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pPr>
      <w:r w:rsidDel="00000000" w:rsidR="00000000" w:rsidRPr="00000000">
        <w:rPr/>
        <w:drawing>
          <wp:inline distB="0" distT="0" distL="0" distR="0">
            <wp:extent cx="2257425" cy="781050"/>
            <wp:effectExtent b="0" l="0" r="0" t="0"/>
            <wp:docPr descr="UWTSD logo | Discover Dylan Thomas" id="1" name="image1.jpg"/>
            <a:graphic>
              <a:graphicData uri="http://schemas.openxmlformats.org/drawingml/2006/picture">
                <pic:pic>
                  <pic:nvPicPr>
                    <pic:cNvPr descr="UWTSD logo | Discover Dylan Thomas" id="0" name="image1.jpg"/>
                    <pic:cNvPicPr preferRelativeResize="0"/>
                  </pic:nvPicPr>
                  <pic:blipFill>
                    <a:blip r:embed="rId6"/>
                    <a:srcRect b="0" l="0" r="0" t="0"/>
                    <a:stretch>
                      <a:fillRect/>
                    </a:stretch>
                  </pic:blipFill>
                  <pic:spPr>
                    <a:xfrm>
                      <a:off x="0" y="0"/>
                      <a:ext cx="2257425" cy="781050"/>
                    </a:xfrm>
                    <a:prstGeom prst="rect"/>
                    <a:ln/>
                  </pic:spPr>
                </pic:pic>
              </a:graphicData>
            </a:graphic>
          </wp:inline>
        </w:drawing>
      </w:r>
      <w:r w:rsidDel="00000000" w:rsidR="00000000" w:rsidRPr="00000000">
        <w:rPr>
          <w:rtl w:val="0"/>
        </w:rPr>
      </w:r>
    </w:p>
    <w:tbl>
      <w:tblPr>
        <w:tblStyle w:val="Table1"/>
        <w:tblW w:w="9016.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400"/>
      </w:tblPr>
      <w:tblGrid>
        <w:gridCol w:w="2515"/>
        <w:gridCol w:w="6501"/>
        <w:tblGridChange w:id="0">
          <w:tblGrid>
            <w:gridCol w:w="2515"/>
            <w:gridCol w:w="6501"/>
          </w:tblGrid>
        </w:tblGridChange>
      </w:tblGrid>
      <w:tr>
        <w:trPr>
          <w:cantSplit w:val="0"/>
          <w:tblHeader w:val="0"/>
        </w:trPr>
        <w:tc>
          <w:tcPr/>
          <w:p w:rsidR="00000000" w:rsidDel="00000000" w:rsidP="00000000" w:rsidRDefault="00000000" w:rsidRPr="00000000" w14:paraId="00000002">
            <w:pPr>
              <w:spacing w:after="80" w:before="80" w:line="48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Name</w:t>
            </w:r>
          </w:p>
        </w:tc>
        <w:tc>
          <w:tcPr/>
          <w:p w:rsidR="00000000" w:rsidDel="00000000" w:rsidP="00000000" w:rsidRDefault="00000000" w:rsidRPr="00000000" w14:paraId="00000003">
            <w:pPr>
              <w:spacing w:after="80" w:before="80" w:line="48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Mimi Alero Imo</w:t>
            </w:r>
          </w:p>
        </w:tc>
      </w:tr>
      <w:tr>
        <w:trPr>
          <w:cantSplit w:val="0"/>
          <w:tblHeader w:val="0"/>
        </w:trPr>
        <w:tc>
          <w:tcPr/>
          <w:p w:rsidR="00000000" w:rsidDel="00000000" w:rsidP="00000000" w:rsidRDefault="00000000" w:rsidRPr="00000000" w14:paraId="00000004">
            <w:pPr>
              <w:spacing w:after="80" w:before="80" w:line="48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Student ID</w:t>
            </w:r>
          </w:p>
        </w:tc>
        <w:tc>
          <w:tcPr/>
          <w:p w:rsidR="00000000" w:rsidDel="00000000" w:rsidP="00000000" w:rsidRDefault="00000000" w:rsidRPr="00000000" w14:paraId="00000005">
            <w:pPr>
              <w:spacing w:after="80" w:before="80" w:line="48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2414781</w:t>
            </w:r>
          </w:p>
        </w:tc>
      </w:tr>
      <w:tr>
        <w:trPr>
          <w:cantSplit w:val="0"/>
          <w:tblHeader w:val="0"/>
        </w:trPr>
        <w:tc>
          <w:tcPr/>
          <w:p w:rsidR="00000000" w:rsidDel="00000000" w:rsidP="00000000" w:rsidRDefault="00000000" w:rsidRPr="00000000" w14:paraId="00000006">
            <w:pPr>
              <w:spacing w:after="80" w:before="80" w:line="48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Module Code</w:t>
            </w:r>
          </w:p>
        </w:tc>
        <w:tc>
          <w:tcPr/>
          <w:p w:rsidR="00000000" w:rsidDel="00000000" w:rsidP="00000000" w:rsidRDefault="00000000" w:rsidRPr="00000000" w14:paraId="00000007">
            <w:pPr>
              <w:spacing w:after="80" w:before="80" w:line="48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BMHP5014</w:t>
            </w:r>
          </w:p>
        </w:tc>
      </w:tr>
      <w:tr>
        <w:trPr>
          <w:cantSplit w:val="0"/>
          <w:tblHeader w:val="0"/>
        </w:trPr>
        <w:tc>
          <w:tcPr/>
          <w:p w:rsidR="00000000" w:rsidDel="00000000" w:rsidP="00000000" w:rsidRDefault="00000000" w:rsidRPr="00000000" w14:paraId="00000008">
            <w:pPr>
              <w:spacing w:after="80" w:before="80" w:line="48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Module Title</w:t>
            </w:r>
          </w:p>
        </w:tc>
        <w:tc>
          <w:tcPr/>
          <w:p w:rsidR="00000000" w:rsidDel="00000000" w:rsidP="00000000" w:rsidRDefault="00000000" w:rsidRPr="00000000" w14:paraId="00000009">
            <w:pPr>
              <w:spacing w:after="80" w:before="80" w:line="48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Changemakers: Creativity and Value Creation</w:t>
            </w:r>
          </w:p>
        </w:tc>
      </w:tr>
      <w:tr>
        <w:trPr>
          <w:cantSplit w:val="0"/>
          <w:tblHeader w:val="0"/>
        </w:trPr>
        <w:tc>
          <w:tcPr/>
          <w:p w:rsidR="00000000" w:rsidDel="00000000" w:rsidP="00000000" w:rsidRDefault="00000000" w:rsidRPr="00000000" w14:paraId="0000000A">
            <w:pPr>
              <w:spacing w:after="80" w:before="80" w:line="48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Lecturer</w:t>
            </w:r>
          </w:p>
        </w:tc>
        <w:tc>
          <w:tcPr/>
          <w:p w:rsidR="00000000" w:rsidDel="00000000" w:rsidP="00000000" w:rsidRDefault="00000000" w:rsidRPr="00000000" w14:paraId="0000000B">
            <w:pPr>
              <w:spacing w:after="80" w:before="80" w:line="48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Laila Surani and Caroline Salami</w:t>
            </w:r>
          </w:p>
        </w:tc>
      </w:tr>
      <w:tr>
        <w:trPr>
          <w:cantSplit w:val="0"/>
          <w:tblHeader w:val="0"/>
        </w:trPr>
        <w:tc>
          <w:tcPr/>
          <w:p w:rsidR="00000000" w:rsidDel="00000000" w:rsidP="00000000" w:rsidRDefault="00000000" w:rsidRPr="00000000" w14:paraId="0000000C">
            <w:pPr>
              <w:spacing w:after="80" w:before="80" w:line="48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Word Count</w:t>
            </w:r>
          </w:p>
        </w:tc>
        <w:tc>
          <w:tcPr/>
          <w:p w:rsidR="00000000" w:rsidDel="00000000" w:rsidP="00000000" w:rsidRDefault="00000000" w:rsidRPr="00000000" w14:paraId="0000000D">
            <w:pPr>
              <w:spacing w:after="80" w:before="80" w:line="480" w:lineRule="auto"/>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2,192 Words</w:t>
            </w:r>
          </w:p>
        </w:tc>
      </w:tr>
    </w:tbl>
    <w:p w:rsidR="00000000" w:rsidDel="00000000" w:rsidP="00000000" w:rsidRDefault="00000000" w:rsidRPr="00000000" w14:paraId="0000000E">
      <w:pPr>
        <w:spacing w:line="360" w:lineRule="auto"/>
        <w:rPr>
          <w:rFonts w:ascii="Times New Roman" w:cs="Times New Roman" w:eastAsia="Times New Roman" w:hAnsi="Times New Roman"/>
          <w:b w:val="1"/>
          <w:bCs w:val="1"/>
        </w:rPr>
      </w:pPr>
      <w:r w:rsidDel="00000000" w:rsidR="00000000" w:rsidRPr="00000000">
        <w:rPr>
          <w:rFonts w:ascii="Quattrocento Sans" w:cs="Quattrocento Sans" w:eastAsia="Quattrocento Sans" w:hAnsi="Quattrocento Sans"/>
          <w:b w:val="1"/>
          <w:bCs w:val="1"/>
          <w:color w:val="1d2125"/>
          <w:highlight w:val="white"/>
          <w:rtl w:val="0"/>
        </w:rPr>
        <w:t xml:space="preserve">                            </w:t>
      </w:r>
      <w:r w:rsidDel="00000000" w:rsidR="00000000" w:rsidRPr="00000000">
        <w:rPr>
          <w:rFonts w:ascii="Times New Roman" w:cs="Times New Roman" w:eastAsia="Times New Roman" w:hAnsi="Times New Roman"/>
          <w:b w:val="1"/>
          <w:bCs w:val="1"/>
          <w:color w:val="1d2125"/>
          <w:rtl w:val="0"/>
        </w:rPr>
        <w:t xml:space="preserve">Submission Date </w:t>
      </w:r>
      <w:r w:rsidDel="00000000" w:rsidR="00000000" w:rsidRPr="00000000">
        <w:rPr>
          <w:rFonts w:ascii="Times New Roman" w:cs="Times New Roman" w:eastAsia="Times New Roman" w:hAnsi="Times New Roman"/>
          <w:color w:val="1d2125"/>
          <w:rtl w:val="0"/>
        </w:rPr>
        <w:t xml:space="preserve">: 15/04/2026</w:t>
      </w:r>
      <w:r w:rsidDel="00000000" w:rsidR="00000000" w:rsidRPr="00000000">
        <w:rPr>
          <w:rtl w:val="0"/>
        </w:rPr>
      </w:r>
    </w:p>
    <w:p w:rsidR="00000000" w:rsidDel="00000000" w:rsidP="00000000" w:rsidRDefault="00000000" w:rsidRPr="00000000" w14:paraId="0000000F">
      <w:pPr>
        <w:spacing w:line="360" w:lineRule="auto"/>
        <w:rPr>
          <w:rFonts w:ascii="Arial" w:cs="Arial" w:eastAsia="Arial" w:hAnsi="Arial"/>
          <w:sz w:val="36"/>
          <w:szCs w:val="36"/>
        </w:rPr>
      </w:pP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Table of Contents</w:t>
      </w:r>
    </w:p>
    <w:sdt>
      <w:sdtPr>
        <w:id w:val="1562601376"/>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dnxu7yqq5nu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5j39tdrnxm6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Defining Key Concepts in Practice</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l84yjvekflf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Innovation</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o3erjxrpo9u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Creativity</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a1o5genx46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Value Creation</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njjnlmh2cjj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Change</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l0rsbh8mfe8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Mind Map</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qottled3w4z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Self-Reflection of Group Activity</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lzi9q07r0zf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Case Study Analysis: Virtual Ward</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m7lbm7qjn5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Task</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phvevda8xxi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Exploring Digital Innovation in Health and Social Care</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3ecuptxqewc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Wearable Health Technologies and Chronic Disease Management</w:t>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qdfyu42rb4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Electronic Health Records and Improved Communication</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ul9hx4bf936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Digital Technology for Preventative Care and Health Promotion</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rey7ldi84zh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Understanding NHS Leadership Framework</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028yzj7dwq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Overview of the NHS Leadership Framework</w:t>
              <w:tab/>
              <w:t xml:space="preserve">9</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yb2dt5y94uj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Leadership Behaviour: Leading with Care</w:t>
              <w:tab/>
              <w:t xml:space="preserve">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ypx0kivc32n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Journal Self-Reflection</w:t>
              <w:tab/>
              <w:t xml:space="preserve">10</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7z9g5eh2eq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w:t>
              <w:tab/>
              <w:t xml:space="preserve">11</w:t>
            </w:r>
          </w:hyperlink>
          <w:r w:rsidDel="00000000" w:rsidR="00000000" w:rsidRPr="00000000">
            <w:rPr>
              <w:rtl w:val="0"/>
            </w:rPr>
          </w:r>
        </w:p>
        <w:p w:rsidR="00000000" w:rsidDel="00000000" w:rsidP="00000000" w:rsidRDefault="00000000" w:rsidRPr="00000000" w14:paraId="00000025">
          <w:pPr>
            <w:spacing w:line="360" w:lineRule="auto"/>
            <w:jc w:val="both"/>
            <w:rPr>
              <w:rFonts w:ascii="Times New Roman" w:cs="Times New Roman" w:eastAsia="Times New Roman" w:hAnsi="Times New Roman"/>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D">
      <w:pPr>
        <w:pStyle w:val="Heading2"/>
        <w:spacing w:line="480" w:lineRule="auto"/>
        <w:rPr/>
      </w:pPr>
      <w:bookmarkStart w:colFirst="0" w:colLast="0" w:name="_dnxu7yqq5nuy" w:id="0"/>
      <w:bookmarkEnd w:id="0"/>
      <w:r w:rsidDel="00000000" w:rsidR="00000000" w:rsidRPr="00000000">
        <w:rPr>
          <w:rtl w:val="0"/>
        </w:rPr>
        <w:t xml:space="preserve">Introduction</w:t>
      </w:r>
    </w:p>
    <w:p w:rsidR="00000000" w:rsidDel="00000000" w:rsidP="00000000" w:rsidRDefault="00000000" w:rsidRPr="00000000" w14:paraId="0000002E">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portfolio focuses on the major concepts as they apply to health care, with specific tasks for innovation, creativity, value creation, and change.</w:t>
      </w:r>
    </w:p>
    <w:p w:rsidR="00000000" w:rsidDel="00000000" w:rsidP="00000000" w:rsidRDefault="00000000" w:rsidRPr="00000000" w14:paraId="0000002F">
      <w:pPr>
        <w:pStyle w:val="Heading2"/>
        <w:spacing w:line="480" w:lineRule="auto"/>
        <w:rPr/>
      </w:pPr>
      <w:bookmarkStart w:colFirst="0" w:colLast="0" w:name="_5j39tdrnxm6u" w:id="1"/>
      <w:bookmarkEnd w:id="1"/>
      <w:r w:rsidDel="00000000" w:rsidR="00000000" w:rsidRPr="00000000">
        <w:rPr>
          <w:rtl w:val="0"/>
        </w:rPr>
        <w:t xml:space="preserve">Defining Key Concepts in Practice</w:t>
      </w:r>
    </w:p>
    <w:p w:rsidR="00000000" w:rsidDel="00000000" w:rsidP="00000000" w:rsidRDefault="00000000" w:rsidRPr="00000000" w14:paraId="00000030">
      <w:pPr>
        <w:pStyle w:val="Heading3"/>
        <w:spacing w:line="480" w:lineRule="auto"/>
        <w:rPr/>
      </w:pPr>
      <w:bookmarkStart w:colFirst="0" w:colLast="0" w:name="_l84yjvekflfb" w:id="2"/>
      <w:bookmarkEnd w:id="2"/>
      <w:r w:rsidDel="00000000" w:rsidR="00000000" w:rsidRPr="00000000">
        <w:rPr>
          <w:rtl w:val="0"/>
        </w:rPr>
        <w:t xml:space="preserve">Innovation</w:t>
      </w:r>
    </w:p>
    <w:p w:rsidR="00000000" w:rsidDel="00000000" w:rsidP="00000000" w:rsidRDefault="00000000" w:rsidRPr="00000000" w14:paraId="00000031">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Innovation refers to the development and utilisation of new ideas, technology, or methods that improve services or organisational efficiency. In the context of health care systems, innovation plays a pivotal role in improving services in response to increasing demand, workforce challenges, or improving care outcomes. Rogers (2003) states that innovation refers to ideas, objects, or practices perceived as new by individuals or organisations. Rogers' theory of diffusion of innovation explains the gradual spread of innovation in organisations as individuals become aware of innovation, evaluate it, and adopt it. In the context of the NHS, innovation is a key term that plays a pivotal role in improving services. For instance, the creation of virtual wards has enabled the development of hospital-standard care services at home using digital technology. </w:t>
      </w:r>
    </w:p>
    <w:p w:rsidR="00000000" w:rsidDel="00000000" w:rsidP="00000000" w:rsidRDefault="00000000" w:rsidRPr="00000000" w14:paraId="00000032">
      <w:pPr>
        <w:pStyle w:val="Heading3"/>
        <w:spacing w:line="480" w:lineRule="auto"/>
        <w:rPr/>
      </w:pPr>
      <w:bookmarkStart w:colFirst="0" w:colLast="0" w:name="_o3erjxrpo9ul" w:id="3"/>
      <w:bookmarkEnd w:id="3"/>
      <w:r w:rsidDel="00000000" w:rsidR="00000000" w:rsidRPr="00000000">
        <w:rPr>
          <w:rtl w:val="0"/>
        </w:rPr>
        <w:t xml:space="preserve">Creativity</w:t>
      </w:r>
    </w:p>
    <w:p w:rsidR="00000000" w:rsidDel="00000000" w:rsidP="00000000" w:rsidRDefault="00000000" w:rsidRPr="00000000" w14:paraId="00000033">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Creativity is defined by the capacity for generating unique ideas that are useful for problem resolution or improvement. It entails the creation of new ideas for the improvement of care services. According to Amabile's Componential Theory of Creativity (1996), creativity occurs when individuals combine their knowledge, creative thinking skills, and intrinsic motivation. This theory is relevant in the healthcare sector since professionals often face challenges that require creative solutions. For example, a hospital may be seeking innovative ideas for improving the discharge of patients from the hospital. Creativity among professionals in the healthcare sector is essential for improving services.</w:t>
      </w:r>
    </w:p>
    <w:p w:rsidR="00000000" w:rsidDel="00000000" w:rsidP="00000000" w:rsidRDefault="00000000" w:rsidRPr="00000000" w14:paraId="00000034">
      <w:pPr>
        <w:pStyle w:val="Heading3"/>
        <w:spacing w:line="480" w:lineRule="auto"/>
        <w:rPr/>
      </w:pPr>
      <w:bookmarkStart w:colFirst="0" w:colLast="0" w:name="_va1o5genx46r" w:id="4"/>
      <w:bookmarkEnd w:id="4"/>
      <w:r w:rsidDel="00000000" w:rsidR="00000000" w:rsidRPr="00000000">
        <w:rPr>
          <w:rtl w:val="0"/>
        </w:rPr>
        <w:t xml:space="preserve">Value Creation</w:t>
      </w:r>
    </w:p>
    <w:p w:rsidR="00000000" w:rsidDel="00000000" w:rsidP="00000000" w:rsidRDefault="00000000" w:rsidRPr="00000000" w14:paraId="00000035">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Value creation in the healthcare sector is concerned with improving the outcomes of patients while ensuring that resources are utilised effectively. According to Porter (2010), value creation in the healthcare sector occurs when there is improvement in the outcomes of patients relative to the cost of providing care. This theory is relevant in modern societies since the increasing demand for services in the healthcare sector has led to a need for ensuring that services have a significant impact on society. An example of value creation in the healthcare sector is the creation of integrated care systems that bring together different care providers for the purpose of improving care services for patients.</w:t>
      </w:r>
    </w:p>
    <w:p w:rsidR="00000000" w:rsidDel="00000000" w:rsidP="00000000" w:rsidRDefault="00000000" w:rsidRPr="00000000" w14:paraId="00000036">
      <w:pPr>
        <w:pStyle w:val="Heading3"/>
        <w:spacing w:line="480" w:lineRule="auto"/>
        <w:rPr/>
      </w:pPr>
      <w:bookmarkStart w:colFirst="0" w:colLast="0" w:name="_njjnlmh2cjj5" w:id="5"/>
      <w:bookmarkEnd w:id="5"/>
      <w:r w:rsidDel="00000000" w:rsidR="00000000" w:rsidRPr="00000000">
        <w:rPr>
          <w:rtl w:val="0"/>
        </w:rPr>
        <w:t xml:space="preserve">Change</w:t>
      </w:r>
    </w:p>
    <w:p w:rsidR="00000000" w:rsidDel="00000000" w:rsidP="00000000" w:rsidRDefault="00000000" w:rsidRPr="00000000" w14:paraId="00000037">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Change refers to the process of moving from the existing way of doing things to a new way of doing things for better results or to adapt to new conditions. In the context of health and social care services, changes are often driven by the need to adapt to emerging changes in technology, policies, or practices. According to Lewin’s Change Management Model, the process of managing change is a three-stage process that includes unfreezing the existing way of doing things, changing to a new way of doing things, and refreezing the new way of doing things to ensure sustainability (Burnes, 2007).</w:t>
      </w:r>
    </w:p>
    <w:p w:rsidR="00000000" w:rsidDel="00000000" w:rsidP="00000000" w:rsidRDefault="00000000" w:rsidRPr="00000000" w14:paraId="00000038">
      <w:pPr>
        <w:pStyle w:val="Heading2"/>
        <w:spacing w:line="480" w:lineRule="auto"/>
        <w:rPr/>
      </w:pPr>
      <w:bookmarkStart w:colFirst="0" w:colLast="0" w:name="_l0rsbh8mfe88" w:id="6"/>
      <w:bookmarkEnd w:id="6"/>
      <w:r w:rsidDel="00000000" w:rsidR="00000000" w:rsidRPr="00000000">
        <w:rPr>
          <w:rtl w:val="0"/>
        </w:rPr>
        <w:t xml:space="preserve">Mind Map</w:t>
      </w:r>
    </w:p>
    <w:p w:rsidR="00000000" w:rsidDel="00000000" w:rsidP="00000000" w:rsidRDefault="00000000" w:rsidRPr="00000000" w14:paraId="00000039">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One of the key challenges facing the health and social care system is the issue of waiting times in emergency departments. Waiting times has a negative impact on patient outcomes, causes stress to healthcare workers, and affects the quality of services provided to patients (Limiri, 2024). In the mind map above, the key issue of waiting times is linked to various underlying causes of waiting times, including staff shortages, increasing patient demand for services, delayed discharge of patients from hospitals, and inadequate community care services. The fact that all the underlying causes are interrelated serves to illustrate that the issue of waiting times is a system-thinking issue that affects the healthcare system as a whole. The issue of waiting times is an example of a situation where the healthcare system is affected by one or more underlying causes (Meadows, 2008).</w:t>
      </w:r>
    </w:p>
    <w:p w:rsidR="00000000" w:rsidDel="00000000" w:rsidP="00000000" w:rsidRDefault="00000000" w:rsidRPr="00000000" w14:paraId="0000003A">
      <w:pPr>
        <w:pStyle w:val="Heading2"/>
        <w:spacing w:line="480" w:lineRule="auto"/>
        <w:rPr/>
      </w:pPr>
      <w:bookmarkStart w:colFirst="0" w:colLast="0" w:name="_qottled3w4z5" w:id="7"/>
      <w:bookmarkEnd w:id="7"/>
      <w:r w:rsidDel="00000000" w:rsidR="00000000" w:rsidRPr="00000000">
        <w:rPr>
          <w:rtl w:val="0"/>
        </w:rPr>
        <w:t xml:space="preserve">Self-Reflection of Group Activity</w:t>
      </w:r>
    </w:p>
    <w:p w:rsidR="00000000" w:rsidDel="00000000" w:rsidP="00000000" w:rsidRDefault="00000000" w:rsidRPr="00000000" w14:paraId="0000003B">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reflective piece will be based on Kolb’s Experiential Learning Cycle (Kolb, 1984). In the class activity, the group analysed a case study on Stanley, a vaccine equity coordinator whose role is to assist and support vulnerable communities, such as Gypsy, Roma, and Traveller communities, minority ethnic communities, refugees, and people experiencing homelessness, in the COVID-19 vaccination rollout.</w:t>
      </w:r>
    </w:p>
    <w:p w:rsidR="00000000" w:rsidDel="00000000" w:rsidP="00000000" w:rsidRDefault="00000000" w:rsidRPr="00000000" w14:paraId="0000003C">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concrete experience involved discussing how to address the problems faced by Stanley, such as limited resources and vaccine availability. Divergent thinking, where multiple ideas are generated and possibilities are explored, was used in the initial stages (Cropley, 2006). The group generated ideas on how to solve the problems, such as how to work with community leaders, how to enhance outreach services, and how to work in partnership with local communities. As ideas were generated, convergent thinking, where ideas are analysed and evaluated, was used to evaluate the ideas and determine the best solution - working in partnership with local communities could be effective in improving access to the vaccine for vulnerable communities.</w:t>
      </w:r>
    </w:p>
    <w:p w:rsidR="00000000" w:rsidDel="00000000" w:rsidP="00000000" w:rsidRDefault="00000000" w:rsidRPr="00000000" w14:paraId="0000003D">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the reflective observation stage, I realized that divergent thinking helped in being creative and allowing all the group members to participate and convergent thinking helped in analysing and evaluating the ideas generated in divergent thinking. In the abstract conceptualization stage, I realized that effective problem-solving involves being creative and, at the same time, analysing and evaluating the ideas generated. In the active experimentation stage, I would encourage more discussion so that all ideas are fully explored before deciding on the best solution.</w:t>
      </w:r>
    </w:p>
    <w:p w:rsidR="00000000" w:rsidDel="00000000" w:rsidP="00000000" w:rsidRDefault="00000000" w:rsidRPr="00000000" w14:paraId="0000003E">
      <w:pPr>
        <w:pStyle w:val="Heading2"/>
        <w:spacing w:line="480" w:lineRule="auto"/>
        <w:rPr/>
      </w:pPr>
      <w:bookmarkStart w:colFirst="0" w:colLast="0" w:name="_lzi9q07r0zf7" w:id="8"/>
      <w:bookmarkEnd w:id="8"/>
      <w:r w:rsidDel="00000000" w:rsidR="00000000" w:rsidRPr="00000000">
        <w:rPr>
          <w:rtl w:val="0"/>
        </w:rPr>
        <w:t xml:space="preserve">Case Study Analysis: Virtual Ward</w:t>
      </w:r>
    </w:p>
    <w:p w:rsidR="00000000" w:rsidDel="00000000" w:rsidP="00000000" w:rsidRDefault="00000000" w:rsidRPr="00000000" w14:paraId="0000003F">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current innovation in the NHS is the creation of a virtual ward. This allows patients to access hospital level care while they are still at home (NHS England, 2022). Virtual wards were created to address the problem of hospital capacity. This became an issue during the COVID-19 pandemic due to the increased demand for hospital beds. It uses technology such as remote monitoring devices and mobile applications to allow monitoring of patients. </w:t>
      </w:r>
    </w:p>
    <w:p w:rsidR="00000000" w:rsidDel="00000000" w:rsidP="00000000" w:rsidRDefault="00000000" w:rsidRPr="00000000" w14:paraId="00000040">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Creativity played a part in the development of this model by forcing healthcare organisations to rethink the way in which healthcare is delivered. Instead of relying on physical beds in a hospital setting, a system that incorporates technology and community-based healthcare has been developed. Rogers' theory of the diffusion of innovation suggests that healthcare innovation is more likely to be adopted in healthcare organisations if it demonstrates clear benefits and increases efficiency (Rogers, 2003).</w:t>
      </w:r>
    </w:p>
    <w:p w:rsidR="00000000" w:rsidDel="00000000" w:rsidP="00000000" w:rsidRDefault="00000000" w:rsidRPr="00000000" w14:paraId="00000041">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benefits that virtual wards offer to healthcare organisations and patients are substantial. Patients benefit from being treated in a familiar environment while at the same time being subject to professional observation. At the same time, hospitals can free up beds and streamline their services. Initial reports from the NHS suggest that virtual wards have resulted in a reduction in hospital admissions and increased patient satisfaction (NHS England, 2022).</w:t>
      </w:r>
    </w:p>
    <w:p w:rsidR="00000000" w:rsidDel="00000000" w:rsidP="00000000" w:rsidRDefault="00000000" w:rsidRPr="00000000" w14:paraId="00000042">
      <w:pPr>
        <w:pStyle w:val="Heading2"/>
        <w:spacing w:line="480" w:lineRule="auto"/>
        <w:rPr/>
      </w:pPr>
      <w:bookmarkStart w:colFirst="0" w:colLast="0" w:name="_hm7lbm7qjn5j" w:id="9"/>
      <w:bookmarkEnd w:id="9"/>
      <w:r w:rsidDel="00000000" w:rsidR="00000000" w:rsidRPr="00000000">
        <w:rPr>
          <w:rtl w:val="0"/>
        </w:rPr>
        <w:t xml:space="preserve">Research Task</w:t>
      </w:r>
    </w:p>
    <w:p w:rsidR="00000000" w:rsidDel="00000000" w:rsidP="00000000" w:rsidRDefault="00000000" w:rsidRPr="00000000" w14:paraId="00000043">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health and social care sector is a very challenging sector in which to work. One of the biggest challenges that health and social care workers face is stress, essentially due to burnout. Burnout can be defined as a condition in which a person suffers from emotional exhaustion, depersonalisation, and reduced feelings of personal accomplishment as a result of prolonged exposure to job stress (Maslach &amp; Leiter, 2016).</w:t>
      </w:r>
    </w:p>
    <w:p w:rsidR="00000000" w:rsidDel="00000000" w:rsidP="00000000" w:rsidRDefault="00000000" w:rsidRPr="00000000" w14:paraId="00000044">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Research by West et al. (2018) suggests that high work demands and lack of organisational support were key factors in burnout for healthcare professionals. The study suggests that high job demands can lead to demotivated workers and an increased possibility of human error. Likewise, the research done by Dall’Ora et al. (2020) on burnout among nurses revealed that factors like staffing shortages, patterns of shifts, and emotional demands of patients contribute to increased levels of stress. The authors argue that organisational factors contribute a great deal to the development of burnout.</w:t>
      </w:r>
    </w:p>
    <w:p w:rsidR="00000000" w:rsidDel="00000000" w:rsidP="00000000" w:rsidRDefault="00000000" w:rsidRPr="00000000" w14:paraId="00000045">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All these research studies indicate that the development of burnout is influenced by various factors that result from the pressures exerted on the individual in the healthcare organisations. Even though West et al. (2018) focused on the role of the organisational leadership and work environment in the development of burnout, the research done by Dall’Ora et al. (2020) on the factors that contribute to burnout among nurses revealed that factors like staffing contribute to the development of burnout. </w:t>
      </w:r>
    </w:p>
    <w:p w:rsidR="00000000" w:rsidDel="00000000" w:rsidP="00000000" w:rsidRDefault="00000000" w:rsidRPr="00000000" w14:paraId="00000046">
      <w:pPr>
        <w:pStyle w:val="Heading2"/>
        <w:spacing w:line="480" w:lineRule="auto"/>
        <w:rPr/>
      </w:pPr>
      <w:bookmarkStart w:colFirst="0" w:colLast="0" w:name="_phvevda8xxiu" w:id="10"/>
      <w:bookmarkEnd w:id="10"/>
      <w:r w:rsidDel="00000000" w:rsidR="00000000" w:rsidRPr="00000000">
        <w:rPr>
          <w:rtl w:val="0"/>
        </w:rPr>
        <w:t xml:space="preserve">Exploring Digital Innovation in Health and Social Care</w:t>
      </w:r>
    </w:p>
    <w:p w:rsidR="00000000" w:rsidDel="00000000" w:rsidP="00000000" w:rsidRDefault="00000000" w:rsidRPr="00000000" w14:paraId="00000047">
      <w:pPr>
        <w:pStyle w:val="Heading3"/>
        <w:spacing w:line="480" w:lineRule="auto"/>
        <w:rPr/>
      </w:pPr>
      <w:bookmarkStart w:colFirst="0" w:colLast="0" w:name="_3ecuptxqewc7" w:id="11"/>
      <w:bookmarkEnd w:id="11"/>
      <w:r w:rsidDel="00000000" w:rsidR="00000000" w:rsidRPr="00000000">
        <w:rPr>
          <w:rtl w:val="0"/>
        </w:rPr>
        <w:t xml:space="preserve">Wearable Health Technologies and Chronic Disease Management</w:t>
      </w:r>
    </w:p>
    <w:p w:rsidR="00000000" w:rsidDel="00000000" w:rsidP="00000000" w:rsidRDefault="00000000" w:rsidRPr="00000000" w14:paraId="00000048">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Wearable health technologies like smartwatches and fitness trackers are increasingly being used to support the management of chronic diseases. Wearable health technologies enable the monitoring of physiological parameters like heart rate, physical activity, and sleep patterns. Wearable health technologies also enable the monitoring of electrocardiogram signals. Continuous monitoring allows for the early detection of the deterioration of the individual’s health. Wearable health technologies can help an individual with cardiovascular disease to monitor irregular heart rhythms. The Technology Acceptance Model states that the adoption of digital technologies is more likely to occur when the individual finds the technology useful and easy to use (Davis, 1989)</w:t>
      </w:r>
    </w:p>
    <w:p w:rsidR="00000000" w:rsidDel="00000000" w:rsidP="00000000" w:rsidRDefault="00000000" w:rsidRPr="00000000" w14:paraId="00000049">
      <w:pPr>
        <w:pStyle w:val="Heading3"/>
        <w:spacing w:line="480" w:lineRule="auto"/>
        <w:rPr/>
      </w:pPr>
      <w:bookmarkStart w:colFirst="0" w:colLast="0" w:name="_bqdfyu42rb4g" w:id="12"/>
      <w:bookmarkEnd w:id="12"/>
      <w:r w:rsidDel="00000000" w:rsidR="00000000" w:rsidRPr="00000000">
        <w:rPr>
          <w:rtl w:val="0"/>
        </w:rPr>
        <w:t xml:space="preserve">Electronic Health Records and Improved Communication </w:t>
      </w:r>
    </w:p>
    <w:p w:rsidR="00000000" w:rsidDel="00000000" w:rsidP="00000000" w:rsidRDefault="00000000" w:rsidRPr="00000000" w14:paraId="0000004A">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Electronic Health Records (EHRs) are used for the improvement of communication and collaboration between different professionals within the healthcare industry. The use of EHR systems allows for the storage of patient information, which can be accessed by authorized professionals. This minimizes the error rate due to lack of information. For instance, a patient can move from one department to another within the hospital or from the hospital to the community, and the relevant medical staff can access the patient's information for the purpose of making informed decisions. The use of digital technology minimizes the use of paperwork, which can be lost or misplaced. Research shows that the use of EHR systems can improve patient safety by reducing the error rate related to the use of medication (Buntin et al., 2011).</w:t>
      </w:r>
    </w:p>
    <w:p w:rsidR="00000000" w:rsidDel="00000000" w:rsidP="00000000" w:rsidRDefault="00000000" w:rsidRPr="00000000" w14:paraId="0000004B">
      <w:pPr>
        <w:pStyle w:val="Heading3"/>
        <w:spacing w:line="480" w:lineRule="auto"/>
        <w:rPr/>
      </w:pPr>
      <w:bookmarkStart w:colFirst="0" w:colLast="0" w:name="_ul9hx4bf936d" w:id="13"/>
      <w:bookmarkEnd w:id="13"/>
      <w:r w:rsidDel="00000000" w:rsidR="00000000" w:rsidRPr="00000000">
        <w:rPr>
          <w:rtl w:val="0"/>
        </w:rPr>
        <w:t xml:space="preserve">Digital Technology for Preventative Care and Health Promotion </w:t>
      </w:r>
    </w:p>
    <w:p w:rsidR="00000000" w:rsidDel="00000000" w:rsidP="00000000" w:rsidRDefault="00000000" w:rsidRPr="00000000" w14:paraId="0000004C">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Digital technology can be used for the promotion of preventative care, which involves the promotion of health before the onset of illness. Mobile health apps can be used for the promotion of health, as they can provide individuals with the relevant information for the promotion of health. For instance, digital health apps developed by the NHS can be used for the promotion of health, as they can be used for tracking the level of exercise, tracking the level of dietary intake, and the sending of reminders for the consumption of medication. Preventative care focuses on the promotion of health before the onset of illness, as opposed to the treatment of illness after the onset of disease. The use of digital technology can promote the health of the population, as the World Health Organization (2021) indicates that digital health tools can improve access to health information for the promotion of health for the general population.</w:t>
      </w:r>
    </w:p>
    <w:p w:rsidR="00000000" w:rsidDel="00000000" w:rsidP="00000000" w:rsidRDefault="00000000" w:rsidRPr="00000000" w14:paraId="0000004D">
      <w:pPr>
        <w:pStyle w:val="Heading2"/>
        <w:spacing w:line="480" w:lineRule="auto"/>
        <w:rPr/>
      </w:pPr>
      <w:bookmarkStart w:colFirst="0" w:colLast="0" w:name="_rey7ldi84zh9" w:id="14"/>
      <w:bookmarkEnd w:id="14"/>
      <w:r w:rsidDel="00000000" w:rsidR="00000000" w:rsidRPr="00000000">
        <w:rPr>
          <w:rtl w:val="0"/>
        </w:rPr>
        <w:t xml:space="preserve">Understanding NHS Leadership Framework</w:t>
      </w:r>
    </w:p>
    <w:p w:rsidR="00000000" w:rsidDel="00000000" w:rsidP="00000000" w:rsidRDefault="00000000" w:rsidRPr="00000000" w14:paraId="0000004E">
      <w:pPr>
        <w:pStyle w:val="Heading3"/>
        <w:spacing w:line="480" w:lineRule="auto"/>
        <w:rPr/>
      </w:pPr>
      <w:bookmarkStart w:colFirst="0" w:colLast="0" w:name="_v028yzj7dwqr" w:id="15"/>
      <w:bookmarkEnd w:id="15"/>
      <w:r w:rsidDel="00000000" w:rsidR="00000000" w:rsidRPr="00000000">
        <w:rPr>
          <w:rtl w:val="0"/>
        </w:rPr>
        <w:t xml:space="preserve">Overview of the NHS Leadership Framework </w:t>
      </w:r>
    </w:p>
    <w:p w:rsidR="00000000" w:rsidDel="00000000" w:rsidP="00000000" w:rsidRDefault="00000000" w:rsidRPr="00000000" w14:paraId="0000004F">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Effective leadership is a fundamental requirement to enhance healthcare services and innovation in health and social care settings. The NHS Healthcare Leadership Model (NHS Leadership Academy, 2013) provides a comprehensive list of leadership behaviors that are fundamental to effective leadership in the entire health system. The NHS leadership framework comprises behaviors such as leading with care, inspiring shared purpose, evaluating information, engaging the team, and influencing results (NHS Leadership Academy, 2013). These behaviors encourage leaders to provide support to the staff, promote collaboration, and cultivate a culture of high-quality patient care.</w:t>
      </w:r>
    </w:p>
    <w:p w:rsidR="00000000" w:rsidDel="00000000" w:rsidP="00000000" w:rsidRDefault="00000000" w:rsidRPr="00000000" w14:paraId="00000050">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leadership model is significant to the health system since health care settings are characterized by a complex environment. Leaders have the responsibility of managing the complex environment to provide quality health care to patients. By encouraging behaviors such as caring, communication, and shared responsibility, the leadership model helps to create a positive working environment where the staff feel supported. </w:t>
      </w:r>
    </w:p>
    <w:p w:rsidR="00000000" w:rsidDel="00000000" w:rsidP="00000000" w:rsidRDefault="00000000" w:rsidRPr="00000000" w14:paraId="00000051">
      <w:pPr>
        <w:pStyle w:val="Heading3"/>
        <w:spacing w:line="480" w:lineRule="auto"/>
        <w:rPr/>
      </w:pPr>
      <w:bookmarkStart w:colFirst="0" w:colLast="0" w:name="_yb2dt5y94ujt" w:id="16"/>
      <w:bookmarkEnd w:id="16"/>
      <w:r w:rsidDel="00000000" w:rsidR="00000000" w:rsidRPr="00000000">
        <w:rPr>
          <w:rtl w:val="0"/>
        </w:rPr>
        <w:t xml:space="preserve">Leadership Behaviour: Leading with Care </w:t>
      </w:r>
    </w:p>
    <w:p w:rsidR="00000000" w:rsidDel="00000000" w:rsidP="00000000" w:rsidRDefault="00000000" w:rsidRPr="00000000" w14:paraId="00000052">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One of the important behaviors identified within the NHS Leadership Framework is leading with care, which emphasizes the importance of staff well-being and the promotion of a positive culture within the workplace. When a person within the organization demonstrates the behavior of leading with care, they are empathizing with the staff, listening to their problems, and promoting a positive culture within the workplace. This can lead to creativity, as employees are comfortable to share their ideas for improving the care service. Transformational Leadership Theory argues that leaders who inspire their staff can motivate individuals to embrace innovative work habits (Bass &amp; Avolio, 1994). This can improve the quality of care within the organization.</w:t>
      </w:r>
    </w:p>
    <w:p w:rsidR="00000000" w:rsidDel="00000000" w:rsidP="00000000" w:rsidRDefault="00000000" w:rsidRPr="00000000" w14:paraId="00000053">
      <w:pPr>
        <w:pStyle w:val="Heading2"/>
        <w:spacing w:line="480" w:lineRule="auto"/>
        <w:rPr/>
      </w:pPr>
      <w:bookmarkStart w:colFirst="0" w:colLast="0" w:name="_ypx0kivc32n9" w:id="17"/>
      <w:bookmarkEnd w:id="17"/>
      <w:r w:rsidDel="00000000" w:rsidR="00000000" w:rsidRPr="00000000">
        <w:rPr>
          <w:rtl w:val="0"/>
        </w:rPr>
        <w:t xml:space="preserve">Journal Self-Reflection</w:t>
      </w:r>
    </w:p>
    <w:p w:rsidR="00000000" w:rsidDel="00000000" w:rsidP="00000000" w:rsidRDefault="00000000" w:rsidRPr="00000000" w14:paraId="00000054">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During the course of this module, I have developed a different understanding of the concept of creativity and value creation in health and social care. At the beginning of the module, I thought that creativity was just about producing new ideas. However, I have come to realize that creativity is also about the implementation of ideas to improve health outcomes and healthcare services. The group problem-solving exercise and the analysis of healthcare innovations were good learning experiences in how creativity can contribute to improvements in healthcare services globally.</w:t>
      </w:r>
    </w:p>
    <w:p w:rsidR="00000000" w:rsidDel="00000000" w:rsidP="00000000" w:rsidRDefault="00000000" w:rsidRPr="00000000" w14:paraId="00000055">
      <w:pPr>
        <w:spacing w:line="48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According to reflective cycle, reflective learning is a process that allows individuals to transform experiences into learning that can be used in future (Kolb, 1984). I have realized that by completing the portfolio tasks, I have gained an understanding of how innovation, leadership, and technology can be linked in healthcare services. I plan to use these ideas in my future career by being open to new ideas and contributing to improvements in healthcare services.</w:t>
      </w:r>
    </w:p>
    <w:p w:rsidR="00000000" w:rsidDel="00000000" w:rsidP="00000000" w:rsidRDefault="00000000" w:rsidRPr="00000000" w14:paraId="00000056">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7">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8">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9">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A">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B">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C">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D">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E">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F">
      <w:pPr>
        <w:pStyle w:val="Heading2"/>
        <w:jc w:val="center"/>
        <w:rPr/>
      </w:pPr>
      <w:bookmarkStart w:colFirst="0" w:colLast="0" w:name="_7z9g5eh2eq6" w:id="18"/>
      <w:bookmarkEnd w:id="18"/>
      <w:r w:rsidDel="00000000" w:rsidR="00000000" w:rsidRPr="00000000">
        <w:rPr>
          <w:rtl w:val="0"/>
        </w:rPr>
        <w:t xml:space="preserve">Reference</w:t>
      </w:r>
    </w:p>
    <w:p w:rsidR="00000000" w:rsidDel="00000000" w:rsidP="00000000" w:rsidRDefault="00000000" w:rsidRPr="00000000" w14:paraId="00000060">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Amabile, T.M. (1996) </w:t>
      </w:r>
      <w:r w:rsidDel="00000000" w:rsidR="00000000" w:rsidRPr="00000000">
        <w:rPr>
          <w:rFonts w:ascii="Times New Roman" w:cs="Times New Roman" w:eastAsia="Times New Roman" w:hAnsi="Times New Roman"/>
          <w:i w:val="1"/>
          <w:iCs w:val="1"/>
          <w:rtl w:val="0"/>
        </w:rPr>
        <w:t xml:space="preserve">Creativity in context</w:t>
      </w:r>
      <w:r w:rsidDel="00000000" w:rsidR="00000000" w:rsidRPr="00000000">
        <w:rPr>
          <w:rFonts w:ascii="Times New Roman" w:cs="Times New Roman" w:eastAsia="Times New Roman" w:hAnsi="Times New Roman"/>
          <w:rtl w:val="0"/>
        </w:rPr>
        <w:t xml:space="preserve">. Boulder, CO: Westview Press.</w:t>
      </w:r>
    </w:p>
    <w:p w:rsidR="00000000" w:rsidDel="00000000" w:rsidP="00000000" w:rsidRDefault="00000000" w:rsidRPr="00000000" w14:paraId="00000061">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Bass, B.M. and Avolio, B.J. (1994) </w:t>
      </w:r>
      <w:r w:rsidDel="00000000" w:rsidR="00000000" w:rsidRPr="00000000">
        <w:rPr>
          <w:rFonts w:ascii="Times New Roman" w:cs="Times New Roman" w:eastAsia="Times New Roman" w:hAnsi="Times New Roman"/>
          <w:i w:val="1"/>
          <w:iCs w:val="1"/>
          <w:rtl w:val="0"/>
        </w:rPr>
        <w:t xml:space="preserve">Improving organizational effectiveness through transformational leadership</w:t>
      </w:r>
      <w:r w:rsidDel="00000000" w:rsidR="00000000" w:rsidRPr="00000000">
        <w:rPr>
          <w:rFonts w:ascii="Times New Roman" w:cs="Times New Roman" w:eastAsia="Times New Roman" w:hAnsi="Times New Roman"/>
          <w:rtl w:val="0"/>
        </w:rPr>
        <w:t xml:space="preserve">. Thousand Oaks: Sage.</w:t>
      </w:r>
    </w:p>
    <w:p w:rsidR="00000000" w:rsidDel="00000000" w:rsidP="00000000" w:rsidRDefault="00000000" w:rsidRPr="00000000" w14:paraId="00000062">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Burnes, B. (2007) ‘Kurt Lewin and the Harwood studies: The foundations of OD’, </w:t>
      </w:r>
      <w:r w:rsidDel="00000000" w:rsidR="00000000" w:rsidRPr="00000000">
        <w:rPr>
          <w:rFonts w:ascii="Times New Roman" w:cs="Times New Roman" w:eastAsia="Times New Roman" w:hAnsi="Times New Roman"/>
          <w:i w:val="1"/>
          <w:iCs w:val="1"/>
          <w:rtl w:val="0"/>
        </w:rPr>
        <w:t xml:space="preserve">Journal of Applied Behavioral Science</w:t>
      </w:r>
      <w:r w:rsidDel="00000000" w:rsidR="00000000" w:rsidRPr="00000000">
        <w:rPr>
          <w:rFonts w:ascii="Times New Roman" w:cs="Times New Roman" w:eastAsia="Times New Roman" w:hAnsi="Times New Roman"/>
          <w:rtl w:val="0"/>
        </w:rPr>
        <w:t xml:space="preserve">, 53(3), pp. 255–278. Available at: </w:t>
      </w:r>
      <w:hyperlink r:id="rId7">
        <w:r w:rsidDel="00000000" w:rsidR="00000000" w:rsidRPr="00000000">
          <w:rPr>
            <w:rFonts w:ascii="Times New Roman" w:cs="Times New Roman" w:eastAsia="Times New Roman" w:hAnsi="Times New Roman"/>
            <w:color w:val="467886"/>
            <w:u w:val="single"/>
            <w:rtl w:val="0"/>
          </w:rPr>
          <w:t xml:space="preserve">https://doi.org/10.1177/0021886317701761</w:t>
        </w:r>
      </w:hyperlink>
      <w:r w:rsidDel="00000000" w:rsidR="00000000" w:rsidRPr="00000000">
        <w:rPr>
          <w:rtl w:val="0"/>
        </w:rPr>
      </w:r>
    </w:p>
    <w:p w:rsidR="00000000" w:rsidDel="00000000" w:rsidP="00000000" w:rsidRDefault="00000000" w:rsidRPr="00000000" w14:paraId="00000063">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Buntin, M.B., Burke, M.F., Hoaglin, M.C. and Blumenthal, D. (2011) ‘The benefits of health information technology: a review of the recent literature’, </w:t>
      </w:r>
      <w:r w:rsidDel="00000000" w:rsidR="00000000" w:rsidRPr="00000000">
        <w:rPr>
          <w:rFonts w:ascii="Times New Roman" w:cs="Times New Roman" w:eastAsia="Times New Roman" w:hAnsi="Times New Roman"/>
          <w:i w:val="1"/>
          <w:iCs w:val="1"/>
          <w:rtl w:val="0"/>
        </w:rPr>
        <w:t xml:space="preserve">Health Affairs</w:t>
      </w:r>
      <w:r w:rsidDel="00000000" w:rsidR="00000000" w:rsidRPr="00000000">
        <w:rPr>
          <w:rFonts w:ascii="Times New Roman" w:cs="Times New Roman" w:eastAsia="Times New Roman" w:hAnsi="Times New Roman"/>
          <w:rtl w:val="0"/>
        </w:rPr>
        <w:t xml:space="preserve">, 30(3), pp. 464–471. Available at: </w:t>
      </w:r>
      <w:hyperlink r:id="rId8">
        <w:r w:rsidDel="00000000" w:rsidR="00000000" w:rsidRPr="00000000">
          <w:rPr>
            <w:rFonts w:ascii="Times New Roman" w:cs="Times New Roman" w:eastAsia="Times New Roman" w:hAnsi="Times New Roman"/>
            <w:color w:val="467886"/>
            <w:u w:val="single"/>
            <w:rtl w:val="0"/>
          </w:rPr>
          <w:t xml:space="preserve">https://doi.org/10.1377/hlthaff.2011.0178</w:t>
        </w:r>
      </w:hyperlink>
      <w:r w:rsidDel="00000000" w:rsidR="00000000" w:rsidRPr="00000000">
        <w:rPr>
          <w:rtl w:val="0"/>
        </w:rPr>
      </w:r>
    </w:p>
    <w:p w:rsidR="00000000" w:rsidDel="00000000" w:rsidP="00000000" w:rsidRDefault="00000000" w:rsidRPr="00000000" w14:paraId="00000064">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Cropley, A. (2006) ‘In praise of convergent thinking’, </w:t>
      </w:r>
      <w:r w:rsidDel="00000000" w:rsidR="00000000" w:rsidRPr="00000000">
        <w:rPr>
          <w:rFonts w:ascii="Times New Roman" w:cs="Times New Roman" w:eastAsia="Times New Roman" w:hAnsi="Times New Roman"/>
          <w:i w:val="1"/>
          <w:iCs w:val="1"/>
          <w:rtl w:val="0"/>
        </w:rPr>
        <w:t xml:space="preserve">Creativity Research Journal</w:t>
      </w:r>
      <w:r w:rsidDel="00000000" w:rsidR="00000000" w:rsidRPr="00000000">
        <w:rPr>
          <w:rFonts w:ascii="Times New Roman" w:cs="Times New Roman" w:eastAsia="Times New Roman" w:hAnsi="Times New Roman"/>
          <w:rtl w:val="0"/>
        </w:rPr>
        <w:t xml:space="preserve">, 18(3), pp. 391–404. Available at: </w:t>
      </w:r>
      <w:hyperlink r:id="rId9">
        <w:r w:rsidDel="00000000" w:rsidR="00000000" w:rsidRPr="00000000">
          <w:rPr>
            <w:rFonts w:ascii="Times New Roman" w:cs="Times New Roman" w:eastAsia="Times New Roman" w:hAnsi="Times New Roman"/>
            <w:color w:val="467886"/>
            <w:u w:val="single"/>
            <w:rtl w:val="0"/>
          </w:rPr>
          <w:t xml:space="preserve">https://doi.org/10.1207/s15326934crj1803_13</w:t>
        </w:r>
      </w:hyperlink>
      <w:r w:rsidDel="00000000" w:rsidR="00000000" w:rsidRPr="00000000">
        <w:rPr>
          <w:rtl w:val="0"/>
        </w:rPr>
      </w:r>
    </w:p>
    <w:p w:rsidR="00000000" w:rsidDel="00000000" w:rsidP="00000000" w:rsidRDefault="00000000" w:rsidRPr="00000000" w14:paraId="00000065">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Dall’Ora, C., Ball, J., Reinius, M. and Griffiths, P. (2020) ‘Burnout in nursing: a theoretical review’, </w:t>
      </w:r>
      <w:r w:rsidDel="00000000" w:rsidR="00000000" w:rsidRPr="00000000">
        <w:rPr>
          <w:rFonts w:ascii="Times New Roman" w:cs="Times New Roman" w:eastAsia="Times New Roman" w:hAnsi="Times New Roman"/>
          <w:i w:val="1"/>
          <w:iCs w:val="1"/>
          <w:rtl w:val="0"/>
        </w:rPr>
        <w:t xml:space="preserve">Human Resources for Health</w:t>
      </w:r>
      <w:r w:rsidDel="00000000" w:rsidR="00000000" w:rsidRPr="00000000">
        <w:rPr>
          <w:rFonts w:ascii="Times New Roman" w:cs="Times New Roman" w:eastAsia="Times New Roman" w:hAnsi="Times New Roman"/>
          <w:rtl w:val="0"/>
        </w:rPr>
        <w:t xml:space="preserve">, 18(41). Available at: </w:t>
      </w:r>
      <w:hyperlink r:id="rId10">
        <w:r w:rsidDel="00000000" w:rsidR="00000000" w:rsidRPr="00000000">
          <w:rPr>
            <w:rFonts w:ascii="Times New Roman" w:cs="Times New Roman" w:eastAsia="Times New Roman" w:hAnsi="Times New Roman"/>
            <w:color w:val="467886"/>
            <w:u w:val="single"/>
            <w:rtl w:val="0"/>
          </w:rPr>
          <w:t xml:space="preserve">https://doi.org/10.1186/s12960-020-00469-9</w:t>
        </w:r>
      </w:hyperlink>
      <w:r w:rsidDel="00000000" w:rsidR="00000000" w:rsidRPr="00000000">
        <w:rPr>
          <w:rtl w:val="0"/>
        </w:rPr>
      </w:r>
    </w:p>
    <w:p w:rsidR="00000000" w:rsidDel="00000000" w:rsidP="00000000" w:rsidRDefault="00000000" w:rsidRPr="00000000" w14:paraId="00000066">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Davis, F.D. (1989) ‘Perceived usefulness, perceived ease of use, and user acceptance of information technology’, </w:t>
      </w:r>
      <w:r w:rsidDel="00000000" w:rsidR="00000000" w:rsidRPr="00000000">
        <w:rPr>
          <w:rFonts w:ascii="Times New Roman" w:cs="Times New Roman" w:eastAsia="Times New Roman" w:hAnsi="Times New Roman"/>
          <w:i w:val="1"/>
          <w:iCs w:val="1"/>
          <w:rtl w:val="0"/>
        </w:rPr>
        <w:t xml:space="preserve">MIS Quarterly</w:t>
      </w:r>
      <w:r w:rsidDel="00000000" w:rsidR="00000000" w:rsidRPr="00000000">
        <w:rPr>
          <w:rFonts w:ascii="Times New Roman" w:cs="Times New Roman" w:eastAsia="Times New Roman" w:hAnsi="Times New Roman"/>
          <w:rtl w:val="0"/>
        </w:rPr>
        <w:t xml:space="preserve">, 13(3), pp. 319–340. Available at: </w:t>
      </w:r>
      <w:hyperlink r:id="rId11">
        <w:r w:rsidDel="00000000" w:rsidR="00000000" w:rsidRPr="00000000">
          <w:rPr>
            <w:rFonts w:ascii="Times New Roman" w:cs="Times New Roman" w:eastAsia="Times New Roman" w:hAnsi="Times New Roman"/>
            <w:color w:val="467886"/>
            <w:u w:val="single"/>
            <w:rtl w:val="0"/>
          </w:rPr>
          <w:t xml:space="preserve">https://doi.org/10.2307/249008</w:t>
        </w:r>
      </w:hyperlink>
      <w:r w:rsidDel="00000000" w:rsidR="00000000" w:rsidRPr="00000000">
        <w:rPr>
          <w:rtl w:val="0"/>
        </w:rPr>
      </w:r>
    </w:p>
    <w:p w:rsidR="00000000" w:rsidDel="00000000" w:rsidP="00000000" w:rsidRDefault="00000000" w:rsidRPr="00000000" w14:paraId="00000067">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Kolb, D.A. (1984) </w:t>
      </w:r>
      <w:r w:rsidDel="00000000" w:rsidR="00000000" w:rsidRPr="00000000">
        <w:rPr>
          <w:rFonts w:ascii="Times New Roman" w:cs="Times New Roman" w:eastAsia="Times New Roman" w:hAnsi="Times New Roman"/>
          <w:i w:val="1"/>
          <w:iCs w:val="1"/>
          <w:rtl w:val="0"/>
        </w:rPr>
        <w:t xml:space="preserve">Experiential learning: experience as the source of learning and development</w:t>
      </w:r>
      <w:r w:rsidDel="00000000" w:rsidR="00000000" w:rsidRPr="00000000">
        <w:rPr>
          <w:rFonts w:ascii="Times New Roman" w:cs="Times New Roman" w:eastAsia="Times New Roman" w:hAnsi="Times New Roman"/>
          <w:rtl w:val="0"/>
        </w:rPr>
        <w:t xml:space="preserve">. Englewood Cliffs, NJ: Prentice Hall.</w:t>
      </w:r>
    </w:p>
    <w:p w:rsidR="00000000" w:rsidDel="00000000" w:rsidP="00000000" w:rsidRDefault="00000000" w:rsidRPr="00000000" w14:paraId="00000068">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Limiri, D. (2024). </w:t>
      </w:r>
      <w:r w:rsidDel="00000000" w:rsidR="00000000" w:rsidRPr="00000000">
        <w:rPr>
          <w:rFonts w:ascii="Times New Roman" w:cs="Times New Roman" w:eastAsia="Times New Roman" w:hAnsi="Times New Roman"/>
          <w:i w:val="1"/>
          <w:iCs w:val="1"/>
          <w:rtl w:val="0"/>
        </w:rPr>
        <w:t xml:space="preserve">The Impact of Long Wait Times on Patient Health Outcomes: The Growing NHS Crisis - Premier Science</w:t>
      </w:r>
      <w:r w:rsidDel="00000000" w:rsidR="00000000" w:rsidRPr="00000000">
        <w:rPr>
          <w:rFonts w:ascii="Times New Roman" w:cs="Times New Roman" w:eastAsia="Times New Roman" w:hAnsi="Times New Roman"/>
          <w:rtl w:val="0"/>
        </w:rPr>
        <w:t xml:space="preserve">. [online] Premier Science. Available at: https://premierscience.com/pjph-25-726/.</w:t>
      </w:r>
    </w:p>
    <w:p w:rsidR="00000000" w:rsidDel="00000000" w:rsidP="00000000" w:rsidRDefault="00000000" w:rsidRPr="00000000" w14:paraId="00000069">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Maslach, C. and Leiter, M.P. (2016) </w:t>
      </w:r>
      <w:r w:rsidDel="00000000" w:rsidR="00000000" w:rsidRPr="00000000">
        <w:rPr>
          <w:rFonts w:ascii="Times New Roman" w:cs="Times New Roman" w:eastAsia="Times New Roman" w:hAnsi="Times New Roman"/>
          <w:i w:val="1"/>
          <w:iCs w:val="1"/>
          <w:rtl w:val="0"/>
        </w:rPr>
        <w:t xml:space="preserve">Burnout</w:t>
      </w:r>
      <w:r w:rsidDel="00000000" w:rsidR="00000000" w:rsidRPr="00000000">
        <w:rPr>
          <w:rFonts w:ascii="Times New Roman" w:cs="Times New Roman" w:eastAsia="Times New Roman" w:hAnsi="Times New Roman"/>
          <w:rtl w:val="0"/>
        </w:rPr>
        <w:t xml:space="preserve">. 2nd edn. Hoboken: Wiley.</w:t>
      </w:r>
    </w:p>
    <w:p w:rsidR="00000000" w:rsidDel="00000000" w:rsidP="00000000" w:rsidRDefault="00000000" w:rsidRPr="00000000" w14:paraId="0000006A">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Meadows, D.H. (2008) </w:t>
      </w:r>
      <w:r w:rsidDel="00000000" w:rsidR="00000000" w:rsidRPr="00000000">
        <w:rPr>
          <w:rFonts w:ascii="Times New Roman" w:cs="Times New Roman" w:eastAsia="Times New Roman" w:hAnsi="Times New Roman"/>
          <w:i w:val="1"/>
          <w:iCs w:val="1"/>
          <w:rtl w:val="0"/>
        </w:rPr>
        <w:t xml:space="preserve">Thinking in systems: a primer</w:t>
      </w:r>
      <w:r w:rsidDel="00000000" w:rsidR="00000000" w:rsidRPr="00000000">
        <w:rPr>
          <w:rFonts w:ascii="Times New Roman" w:cs="Times New Roman" w:eastAsia="Times New Roman" w:hAnsi="Times New Roman"/>
          <w:rtl w:val="0"/>
        </w:rPr>
        <w:t xml:space="preserve">. White River Junction, VT: Chelsea Green Publishing. Available at: </w:t>
      </w:r>
      <w:hyperlink r:id="rId12">
        <w:r w:rsidDel="00000000" w:rsidR="00000000" w:rsidRPr="00000000">
          <w:rPr>
            <w:rFonts w:ascii="Times New Roman" w:cs="Times New Roman" w:eastAsia="Times New Roman" w:hAnsi="Times New Roman"/>
            <w:color w:val="467886"/>
            <w:u w:val="single"/>
            <w:rtl w:val="0"/>
          </w:rPr>
          <w:t xml:space="preserve">https://doi.org/10.4324/9781603580557</w:t>
        </w:r>
      </w:hyperlink>
      <w:r w:rsidDel="00000000" w:rsidR="00000000" w:rsidRPr="00000000">
        <w:rPr>
          <w:rtl w:val="0"/>
        </w:rPr>
      </w:r>
    </w:p>
    <w:p w:rsidR="00000000" w:rsidDel="00000000" w:rsidP="00000000" w:rsidRDefault="00000000" w:rsidRPr="00000000" w14:paraId="0000006B">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NHS England (2022) </w:t>
      </w:r>
      <w:r w:rsidDel="00000000" w:rsidR="00000000" w:rsidRPr="00000000">
        <w:rPr>
          <w:rFonts w:ascii="Times New Roman" w:cs="Times New Roman" w:eastAsia="Times New Roman" w:hAnsi="Times New Roman"/>
          <w:i w:val="1"/>
          <w:iCs w:val="1"/>
          <w:rtl w:val="0"/>
        </w:rPr>
        <w:t xml:space="preserve">Virtual wards including hospital at home</w:t>
      </w:r>
      <w:r w:rsidDel="00000000" w:rsidR="00000000" w:rsidRPr="00000000">
        <w:rPr>
          <w:rFonts w:ascii="Times New Roman" w:cs="Times New Roman" w:eastAsia="Times New Roman" w:hAnsi="Times New Roman"/>
          <w:rtl w:val="0"/>
        </w:rPr>
        <w:t xml:space="preserve">. London: NHS England.</w:t>
        <w:br w:type="textWrapping"/>
        <w:t xml:space="preserve">Available at:</w:t>
        <w:br w:type="textWrapping"/>
        <w:t xml:space="preserve">https://www.england.nhs.uk/long-read/virtual-wards-including-hospital-at-home/</w:t>
      </w:r>
    </w:p>
    <w:p w:rsidR="00000000" w:rsidDel="00000000" w:rsidP="00000000" w:rsidRDefault="00000000" w:rsidRPr="00000000" w14:paraId="0000006C">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NHS Leadership Academy (2013) </w:t>
      </w:r>
      <w:r w:rsidDel="00000000" w:rsidR="00000000" w:rsidRPr="00000000">
        <w:rPr>
          <w:rFonts w:ascii="Times New Roman" w:cs="Times New Roman" w:eastAsia="Times New Roman" w:hAnsi="Times New Roman"/>
          <w:i w:val="1"/>
          <w:iCs w:val="1"/>
          <w:rtl w:val="0"/>
        </w:rPr>
        <w:t xml:space="preserve">Healthcare leadership model</w:t>
      </w:r>
      <w:r w:rsidDel="00000000" w:rsidR="00000000" w:rsidRPr="00000000">
        <w:rPr>
          <w:rFonts w:ascii="Times New Roman" w:cs="Times New Roman" w:eastAsia="Times New Roman" w:hAnsi="Times New Roman"/>
          <w:rtl w:val="0"/>
        </w:rPr>
        <w:t xml:space="preserve">. London: NHS Leadership Academy.</w:t>
        <w:br w:type="textWrapping"/>
        <w:t xml:space="preserve">Available at:</w:t>
        <w:br w:type="textWrapping"/>
      </w:r>
      <w:hyperlink r:id="rId13">
        <w:r w:rsidDel="00000000" w:rsidR="00000000" w:rsidRPr="00000000">
          <w:rPr>
            <w:rFonts w:ascii="Times New Roman" w:cs="Times New Roman" w:eastAsia="Times New Roman" w:hAnsi="Times New Roman"/>
            <w:color w:val="467886"/>
            <w:u w:val="single"/>
            <w:rtl w:val="0"/>
          </w:rPr>
          <w:t xml:space="preserve">https://www.leadershipacademy.nhs.uk/resources/healthcare-leadership-model/</w:t>
        </w:r>
      </w:hyperlink>
      <w:r w:rsidDel="00000000" w:rsidR="00000000" w:rsidRPr="00000000">
        <w:rPr>
          <w:rtl w:val="0"/>
        </w:rPr>
      </w:r>
    </w:p>
    <w:p w:rsidR="00000000" w:rsidDel="00000000" w:rsidP="00000000" w:rsidRDefault="00000000" w:rsidRPr="00000000" w14:paraId="0000006D">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Porter, M.E. (2010) ‘What is value in health care?’, </w:t>
      </w:r>
      <w:r w:rsidDel="00000000" w:rsidR="00000000" w:rsidRPr="00000000">
        <w:rPr>
          <w:rFonts w:ascii="Times New Roman" w:cs="Times New Roman" w:eastAsia="Times New Roman" w:hAnsi="Times New Roman"/>
          <w:i w:val="1"/>
          <w:iCs w:val="1"/>
          <w:rtl w:val="0"/>
        </w:rPr>
        <w:t xml:space="preserve">New England Journal of Medicine</w:t>
      </w:r>
      <w:r w:rsidDel="00000000" w:rsidR="00000000" w:rsidRPr="00000000">
        <w:rPr>
          <w:rFonts w:ascii="Times New Roman" w:cs="Times New Roman" w:eastAsia="Times New Roman" w:hAnsi="Times New Roman"/>
          <w:rtl w:val="0"/>
        </w:rPr>
        <w:t xml:space="preserve">, 363(26), pp. 2477–2481.</w:t>
        <w:br w:type="textWrapping"/>
      </w:r>
      <w:hyperlink r:id="rId14">
        <w:r w:rsidDel="00000000" w:rsidR="00000000" w:rsidRPr="00000000">
          <w:rPr>
            <w:rFonts w:ascii="Times New Roman" w:cs="Times New Roman" w:eastAsia="Times New Roman" w:hAnsi="Times New Roman"/>
            <w:color w:val="467886"/>
            <w:u w:val="single"/>
            <w:rtl w:val="0"/>
          </w:rPr>
          <w:t xml:space="preserve">https://doi.org/10.1056/NEJMp1011024</w:t>
        </w:r>
      </w:hyperlink>
      <w:r w:rsidDel="00000000" w:rsidR="00000000" w:rsidRPr="00000000">
        <w:rPr>
          <w:rtl w:val="0"/>
        </w:rPr>
      </w:r>
    </w:p>
    <w:p w:rsidR="00000000" w:rsidDel="00000000" w:rsidP="00000000" w:rsidRDefault="00000000" w:rsidRPr="00000000" w14:paraId="0000006E">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Rogers, E.M. (2003) </w:t>
      </w:r>
      <w:r w:rsidDel="00000000" w:rsidR="00000000" w:rsidRPr="00000000">
        <w:rPr>
          <w:rFonts w:ascii="Times New Roman" w:cs="Times New Roman" w:eastAsia="Times New Roman" w:hAnsi="Times New Roman"/>
          <w:i w:val="1"/>
          <w:iCs w:val="1"/>
          <w:rtl w:val="0"/>
        </w:rPr>
        <w:t xml:space="preserve">Diffusion of innovations</w:t>
      </w:r>
      <w:r w:rsidDel="00000000" w:rsidR="00000000" w:rsidRPr="00000000">
        <w:rPr>
          <w:rFonts w:ascii="Times New Roman" w:cs="Times New Roman" w:eastAsia="Times New Roman" w:hAnsi="Times New Roman"/>
          <w:rtl w:val="0"/>
        </w:rPr>
        <w:t xml:space="preserve">. 5th edn. New York: Free Press.</w:t>
      </w:r>
    </w:p>
    <w:p w:rsidR="00000000" w:rsidDel="00000000" w:rsidP="00000000" w:rsidRDefault="00000000" w:rsidRPr="00000000" w14:paraId="0000006F">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West, M., Dawson, J. and Admasachew, L. (2018) </w:t>
      </w:r>
      <w:r w:rsidDel="00000000" w:rsidR="00000000" w:rsidRPr="00000000">
        <w:rPr>
          <w:rFonts w:ascii="Times New Roman" w:cs="Times New Roman" w:eastAsia="Times New Roman" w:hAnsi="Times New Roman"/>
          <w:i w:val="1"/>
          <w:iCs w:val="1"/>
          <w:rtl w:val="0"/>
        </w:rPr>
        <w:t xml:space="preserve">NHS staff engagement and wellbeing</w:t>
      </w:r>
      <w:r w:rsidDel="00000000" w:rsidR="00000000" w:rsidRPr="00000000">
        <w:rPr>
          <w:rFonts w:ascii="Times New Roman" w:cs="Times New Roman" w:eastAsia="Times New Roman" w:hAnsi="Times New Roman"/>
          <w:rtl w:val="0"/>
        </w:rPr>
        <w:t xml:space="preserve">. London: The King’s Fund.</w:t>
        <w:br w:type="textWrapping"/>
        <w:t xml:space="preserve">Available at:</w:t>
        <w:br w:type="textWrapping"/>
        <w:t xml:space="preserve">https://www.kingsfund.org.uk/publications/nhs-staff-engagement-and-wellbeing</w:t>
      </w:r>
    </w:p>
    <w:p w:rsidR="00000000" w:rsidDel="00000000" w:rsidP="00000000" w:rsidRDefault="00000000" w:rsidRPr="00000000" w14:paraId="00000070">
      <w:pPr>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World Health Organization (2021) </w:t>
      </w:r>
      <w:r w:rsidDel="00000000" w:rsidR="00000000" w:rsidRPr="00000000">
        <w:rPr>
          <w:rFonts w:ascii="Times New Roman" w:cs="Times New Roman" w:eastAsia="Times New Roman" w:hAnsi="Times New Roman"/>
          <w:i w:val="1"/>
          <w:iCs w:val="1"/>
          <w:rtl w:val="0"/>
        </w:rPr>
        <w:t xml:space="preserve">Global strategy on digital health 2020–2025</w:t>
      </w:r>
      <w:r w:rsidDel="00000000" w:rsidR="00000000" w:rsidRPr="00000000">
        <w:rPr>
          <w:rFonts w:ascii="Times New Roman" w:cs="Times New Roman" w:eastAsia="Times New Roman" w:hAnsi="Times New Roman"/>
          <w:rtl w:val="0"/>
        </w:rPr>
        <w:t xml:space="preserve">. Geneva: WHO.</w:t>
        <w:br w:type="textWrapping"/>
        <w:t xml:space="preserve">Available at:</w:t>
        <w:br w:type="textWrapping"/>
      </w:r>
      <w:hyperlink r:id="rId15">
        <w:r w:rsidDel="00000000" w:rsidR="00000000" w:rsidRPr="00000000">
          <w:rPr>
            <w:rFonts w:ascii="Times New Roman" w:cs="Times New Roman" w:eastAsia="Times New Roman" w:hAnsi="Times New Roman"/>
            <w:color w:val="467886"/>
            <w:u w:val="single"/>
            <w:rtl w:val="0"/>
          </w:rPr>
          <w:t xml:space="preserve">https://www.who.int/publications/i/item/9789240020924</w:t>
        </w:r>
      </w:hyperlink>
      <w:r w:rsidDel="00000000" w:rsidR="00000000" w:rsidRPr="00000000">
        <w:rPr>
          <w:rtl w:val="0"/>
        </w:rPr>
      </w:r>
    </w:p>
    <w:p w:rsidR="00000000" w:rsidDel="00000000" w:rsidP="00000000" w:rsidRDefault="00000000" w:rsidRPr="00000000" w14:paraId="0000007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2">
      <w:pPr>
        <w:spacing w:line="360" w:lineRule="auto"/>
        <w:rPr>
          <w:rFonts w:ascii="Times New Roman" w:cs="Times New Roman" w:eastAsia="Times New Roman" w:hAnsi="Times New Roman"/>
          <w:sz w:val="36"/>
          <w:szCs w:val="36"/>
        </w:rPr>
      </w:pPr>
      <w:r w:rsidDel="00000000" w:rsidR="00000000" w:rsidRPr="00000000">
        <w:rPr>
          <w:rtl w:val="0"/>
        </w:rPr>
      </w:r>
    </w:p>
    <w:sectPr>
      <w:footerReference r:id="rId16"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Arial"/>
  <w:font w:name="Aptos"/>
  <w:font w:name="Play">
    <w:embedRegular w:fontKey="{00000000-0000-0000-0000-000000000000}" r:id="rId1" w:subsetted="0"/>
    <w:embedBold w:fontKey="{00000000-0000-0000-0000-000000000000}" r:id="rId2" w:subsetted="0"/>
  </w:font>
  <w:font w:name="Quattrocento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360" w:lineRule="auto"/>
      <w:jc w:val="both"/>
    </w:pPr>
    <w:rPr>
      <w:rFonts w:ascii="Times New Roman" w:cs="Times New Roman" w:eastAsia="Times New Roman" w:hAnsi="Times New Roman"/>
      <w:b w:val="1"/>
      <w:bCs w:val="1"/>
    </w:rPr>
  </w:style>
  <w:style w:type="paragraph" w:styleId="Heading2">
    <w:name w:val="heading 2"/>
    <w:basedOn w:val="Normal"/>
    <w:next w:val="Normal"/>
    <w:pPr>
      <w:keepNext w:val="1"/>
      <w:keepLines w:val="1"/>
      <w:spacing w:after="80" w:before="160" w:lineRule="auto"/>
      <w:jc w:val="both"/>
    </w:pPr>
    <w:rPr>
      <w:rFonts w:ascii="Times New Roman" w:cs="Times New Roman" w:eastAsia="Times New Roman" w:hAnsi="Times New Roman"/>
      <w:b w:val="1"/>
      <w:bCs w:val="1"/>
    </w:rPr>
  </w:style>
  <w:style w:type="paragraph" w:styleId="Heading3">
    <w:name w:val="heading 3"/>
    <w:basedOn w:val="Normal"/>
    <w:next w:val="Normal"/>
    <w:pPr>
      <w:keepNext w:val="1"/>
      <w:keepLines w:val="1"/>
      <w:spacing w:after="80" w:before="160" w:line="360" w:lineRule="auto"/>
      <w:jc w:val="both"/>
    </w:pPr>
    <w:rPr>
      <w:rFonts w:ascii="Times New Roman" w:cs="Times New Roman" w:eastAsia="Times New Roman" w:hAnsi="Times New Roman"/>
      <w:b w:val="1"/>
      <w:bCs w:val="1"/>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2307/249008" TargetMode="External"/><Relationship Id="rId10" Type="http://schemas.openxmlformats.org/officeDocument/2006/relationships/hyperlink" Target="https://doi.org/10.1186/s12960-020-00469-9" TargetMode="External"/><Relationship Id="rId13" Type="http://schemas.openxmlformats.org/officeDocument/2006/relationships/hyperlink" Target="https://www.leadershipacademy.nhs.uk/resources/healthcare-leadership-model/" TargetMode="External"/><Relationship Id="rId12" Type="http://schemas.openxmlformats.org/officeDocument/2006/relationships/hyperlink" Target="https://books.google.co.uk/books/about/Thinking_in_Systems.html?id=CpbLAgAAQBAJ&amp;redir_esc=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207/s15326934crj1803_13" TargetMode="External"/><Relationship Id="rId15" Type="http://schemas.openxmlformats.org/officeDocument/2006/relationships/hyperlink" Target="https://www.who.int/publications/i/item/9789240020924" TargetMode="External"/><Relationship Id="rId14" Type="http://schemas.openxmlformats.org/officeDocument/2006/relationships/hyperlink" Target="https://doi.org/10.1056/NEJMp1011024"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doi.org/10.1177/002188630629" TargetMode="External"/><Relationship Id="rId8" Type="http://schemas.openxmlformats.org/officeDocument/2006/relationships/hyperlink" Target="https://doi.org/10.1377/hlthaff.2011.0178"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QuattrocentoSans-regular.ttf"/><Relationship Id="rId4" Type="http://schemas.openxmlformats.org/officeDocument/2006/relationships/font" Target="fonts/QuattrocentoSans-bold.ttf"/><Relationship Id="rId5" Type="http://schemas.openxmlformats.org/officeDocument/2006/relationships/font" Target="fonts/QuattrocentoSans-italic.ttf"/><Relationship Id="rId6"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02cacb41-f436-4ad1-8eeb-593f696373a6</vt:lpwstr>
  </property>
</Properties>
</file>