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52651AE" w14:textId="77777777" w:rsidR="004D0958" w:rsidRPr="004D0958" w:rsidRDefault="004D0958" w:rsidP="004D0958">
            <w:pPr>
              <w:overflowPunct/>
              <w:autoSpaceDE/>
              <w:autoSpaceDN/>
              <w:adjustRightInd/>
              <w:ind w:right="-957"/>
              <w:textAlignment w:val="auto"/>
              <w:rPr>
                <w:rFonts w:ascii="Times New Roman" w:hAnsi="Times New Roman" w:cs="Times New Roman"/>
                <w:b/>
                <w:color w:val="auto"/>
                <w:sz w:val="48"/>
              </w:rPr>
            </w:pPr>
            <w:r w:rsidRPr="004D0958">
              <w:rPr>
                <w:rFonts w:ascii="Times New Roman" w:hAnsi="Times New Roman" w:cs="Times New Roman"/>
                <w:b/>
                <w:color w:val="auto"/>
                <w:sz w:val="48"/>
              </w:rPr>
              <w:t>Learner’s name: Sarah Jones</w:t>
            </w:r>
          </w:p>
          <w:p w14:paraId="5A1877B8" w14:textId="77777777" w:rsidR="004D0958" w:rsidRPr="004D0958" w:rsidRDefault="004D0958" w:rsidP="004D0958">
            <w:pPr>
              <w:overflowPunct/>
              <w:autoSpaceDE/>
              <w:autoSpaceDN/>
              <w:adjustRightInd/>
              <w:ind w:right="-957"/>
              <w:textAlignment w:val="auto"/>
              <w:rPr>
                <w:rFonts w:ascii="Times New Roman" w:hAnsi="Times New Roman" w:cs="Times New Roman"/>
                <w:b/>
                <w:color w:val="auto"/>
                <w:sz w:val="48"/>
              </w:rPr>
            </w:pPr>
          </w:p>
          <w:p w14:paraId="77B5C341" w14:textId="77777777" w:rsidR="004D0958" w:rsidRPr="004D0958" w:rsidRDefault="004D0958" w:rsidP="004D0958">
            <w:pPr>
              <w:overflowPunct/>
              <w:autoSpaceDE/>
              <w:autoSpaceDN/>
              <w:adjustRightInd/>
              <w:ind w:right="-957"/>
              <w:textAlignment w:val="auto"/>
              <w:rPr>
                <w:rFonts w:ascii="Times New Roman" w:hAnsi="Times New Roman" w:cs="Times New Roman"/>
                <w:b/>
                <w:color w:val="auto"/>
                <w:sz w:val="48"/>
              </w:rPr>
            </w:pPr>
            <w:r w:rsidRPr="004D0958">
              <w:rPr>
                <w:rFonts w:ascii="Times New Roman" w:hAnsi="Times New Roman" w:cs="Times New Roman"/>
                <w:b/>
                <w:color w:val="auto"/>
                <w:sz w:val="48"/>
              </w:rPr>
              <w:t>Email address: sarahhannaby@hotmail.co.uk</w:t>
            </w:r>
          </w:p>
          <w:p w14:paraId="131086A8" w14:textId="77777777" w:rsidR="004D0958" w:rsidRPr="004D0958" w:rsidRDefault="004D0958" w:rsidP="004D0958">
            <w:pPr>
              <w:overflowPunct/>
              <w:autoSpaceDE/>
              <w:autoSpaceDN/>
              <w:adjustRightInd/>
              <w:ind w:right="-957"/>
              <w:textAlignment w:val="auto"/>
              <w:rPr>
                <w:rFonts w:ascii="Times New Roman" w:hAnsi="Times New Roman" w:cs="Times New Roman"/>
                <w:b/>
                <w:color w:val="auto"/>
                <w:sz w:val="48"/>
              </w:rPr>
            </w:pPr>
          </w:p>
          <w:p w14:paraId="7C0AA030" w14:textId="77777777" w:rsidR="004D0958" w:rsidRPr="004D0958" w:rsidRDefault="004D0958" w:rsidP="004D0958">
            <w:pPr>
              <w:overflowPunct/>
              <w:autoSpaceDE/>
              <w:autoSpaceDN/>
              <w:adjustRightInd/>
              <w:ind w:right="-957"/>
              <w:textAlignment w:val="auto"/>
              <w:rPr>
                <w:rFonts w:ascii="Times New Roman" w:hAnsi="Times New Roman" w:cs="Times New Roman"/>
                <w:b/>
                <w:color w:val="auto"/>
                <w:sz w:val="48"/>
              </w:rPr>
            </w:pPr>
            <w:r w:rsidRPr="004D0958">
              <w:rPr>
                <w:rFonts w:ascii="Times New Roman" w:hAnsi="Times New Roman" w:cs="Times New Roman"/>
                <w:b/>
                <w:color w:val="auto"/>
                <w:sz w:val="48"/>
              </w:rPr>
              <w:t>Learner’s University Registration Number:</w:t>
            </w:r>
          </w:p>
          <w:p w14:paraId="3EB04461" w14:textId="77777777" w:rsidR="004D0958" w:rsidRPr="004D0958" w:rsidRDefault="004D0958" w:rsidP="004D0958">
            <w:pPr>
              <w:overflowPunct/>
              <w:autoSpaceDE/>
              <w:autoSpaceDN/>
              <w:adjustRightInd/>
              <w:ind w:right="-957"/>
              <w:textAlignment w:val="auto"/>
              <w:rPr>
                <w:rFonts w:ascii="Times New Roman" w:hAnsi="Times New Roman" w:cs="Times New Roman"/>
                <w:b/>
                <w:color w:val="auto"/>
                <w:sz w:val="48"/>
              </w:rPr>
            </w:pPr>
            <w:r w:rsidRPr="004D0958">
              <w:rPr>
                <w:rFonts w:ascii="Times New Roman" w:hAnsi="Times New Roman" w:cs="Times New Roman"/>
                <w:b/>
                <w:color w:val="auto"/>
                <w:sz w:val="48"/>
              </w:rPr>
              <w:t>2329847</w:t>
            </w:r>
          </w:p>
          <w:p w14:paraId="5F84129B" w14:textId="19413418" w:rsidR="0085230E" w:rsidRPr="005D3F07" w:rsidRDefault="004D0958" w:rsidP="004D0958">
            <w:pPr>
              <w:overflowPunct/>
              <w:autoSpaceDE/>
              <w:autoSpaceDN/>
              <w:adjustRightInd/>
              <w:ind w:right="-957"/>
              <w:textAlignment w:val="auto"/>
              <w:rPr>
                <w:rFonts w:ascii="Times New Roman" w:hAnsi="Times New Roman" w:cs="Times New Roman"/>
                <w:b/>
                <w:color w:val="auto"/>
                <w:sz w:val="48"/>
              </w:rPr>
            </w:pPr>
            <w:r w:rsidRPr="004D0958">
              <w:rPr>
                <w:rFonts w:ascii="Times New Roman" w:hAnsi="Times New Roman" w:cs="Times New Roman"/>
                <w:b/>
                <w:color w:val="auto"/>
                <w:sz w:val="48"/>
              </w:rPr>
              <w:t xml:space="preserve">Cohort: </w:t>
            </w:r>
            <w:r>
              <w:rPr>
                <w:rFonts w:ascii="Times New Roman" w:hAnsi="Times New Roman" w:cs="Times New Roman"/>
                <w:b/>
                <w:color w:val="auto"/>
                <w:sz w:val="48"/>
              </w:rPr>
              <w:t>21</w:t>
            </w:r>
            <w:r w:rsidRPr="004D0958">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14883BA0" w14:textId="77777777" w:rsidR="00FC0334" w:rsidRDefault="00FC0334" w:rsidP="00FF7EBB">
            <w:pPr>
              <w:jc w:val="both"/>
              <w:rPr>
                <w:sz w:val="24"/>
                <w:szCs w:val="24"/>
              </w:rPr>
            </w:pPr>
          </w:p>
          <w:p w14:paraId="2A837EBC" w14:textId="0EB3149E" w:rsidR="004667E0" w:rsidRDefault="008247FA" w:rsidP="004667E0">
            <w:pPr>
              <w:spacing w:line="360" w:lineRule="auto"/>
              <w:jc w:val="both"/>
              <w:rPr>
                <w:iCs/>
                <w:sz w:val="24"/>
                <w:szCs w:val="24"/>
              </w:rPr>
            </w:pPr>
            <w:r w:rsidRPr="008247FA">
              <w:rPr>
                <w:sz w:val="24"/>
                <w:szCs w:val="24"/>
              </w:rPr>
              <w:t>“</w:t>
            </w:r>
            <w:r w:rsidR="002E35E3" w:rsidRPr="002E35E3">
              <w:rPr>
                <w:i/>
                <w:iCs/>
                <w:sz w:val="24"/>
                <w:szCs w:val="24"/>
              </w:rPr>
              <w:t>Safeguarding means preventing and protecting children and adults at risk from abuse or neglect and educating those around them to recognise the signs and dangers</w:t>
            </w:r>
            <w:r w:rsidR="002E35E3">
              <w:rPr>
                <w:sz w:val="24"/>
                <w:szCs w:val="24"/>
              </w:rPr>
              <w:t>” (WSP, 2019)</w:t>
            </w:r>
            <w:r w:rsidRPr="008247FA">
              <w:rPr>
                <w:sz w:val="24"/>
                <w:szCs w:val="24"/>
              </w:rPr>
              <w:t xml:space="preserve">. S197 of Social Services and Wellbeing (Wales) Act 2014 (SSWBA) defines abuse as physical, sexual, psychological, emotional or financial and </w:t>
            </w:r>
            <w:r>
              <w:rPr>
                <w:sz w:val="24"/>
                <w:szCs w:val="24"/>
              </w:rPr>
              <w:t>states it m</w:t>
            </w:r>
            <w:r w:rsidRPr="008247FA">
              <w:rPr>
                <w:sz w:val="24"/>
                <w:szCs w:val="24"/>
              </w:rPr>
              <w:t>ay occur in any settin</w:t>
            </w:r>
            <w:r>
              <w:rPr>
                <w:sz w:val="24"/>
                <w:szCs w:val="24"/>
              </w:rPr>
              <w:t xml:space="preserve">g, with neglect </w:t>
            </w:r>
            <w:r w:rsidRPr="008247FA">
              <w:rPr>
                <w:sz w:val="24"/>
                <w:szCs w:val="24"/>
              </w:rPr>
              <w:t>defined as a failure to meet a person’s basic physical, emotional, social or psychological needs</w:t>
            </w:r>
            <w:r>
              <w:rPr>
                <w:sz w:val="24"/>
                <w:szCs w:val="24"/>
              </w:rPr>
              <w:t xml:space="preserve">. SSWBA came into force in 2016 and repealed the existing legislation for Safeguarding adults, which was defined by the Care Act (2014), which </w:t>
            </w:r>
            <w:r w:rsidR="004A30D1">
              <w:rPr>
                <w:sz w:val="24"/>
                <w:szCs w:val="24"/>
              </w:rPr>
              <w:t>remains</w:t>
            </w:r>
            <w:r>
              <w:rPr>
                <w:sz w:val="24"/>
                <w:szCs w:val="24"/>
              </w:rPr>
              <w:t xml:space="preserve"> the ma</w:t>
            </w:r>
            <w:r w:rsidR="004A30D1">
              <w:rPr>
                <w:sz w:val="24"/>
                <w:szCs w:val="24"/>
              </w:rPr>
              <w:t>i</w:t>
            </w:r>
            <w:r>
              <w:rPr>
                <w:sz w:val="24"/>
                <w:szCs w:val="24"/>
              </w:rPr>
              <w:t>n legislation for Safeguarding Adults in England.</w:t>
            </w:r>
            <w:r w:rsidR="004667E0" w:rsidRPr="004667E0">
              <w:rPr>
                <w:iCs/>
                <w:sz w:val="24"/>
                <w:szCs w:val="24"/>
              </w:rPr>
              <w:t xml:space="preserve"> Legislation created by the Welsh government is embedded with the principles of the European Convention on Human Rights (ECHR) and the Human Rights Act 1998. </w:t>
            </w:r>
          </w:p>
          <w:p w14:paraId="072AAE9E" w14:textId="77777777" w:rsidR="002E35E3" w:rsidRPr="004667E0" w:rsidRDefault="002E35E3" w:rsidP="004667E0">
            <w:pPr>
              <w:spacing w:line="360" w:lineRule="auto"/>
              <w:jc w:val="both"/>
              <w:rPr>
                <w:iCs/>
                <w:sz w:val="24"/>
                <w:szCs w:val="24"/>
              </w:rPr>
            </w:pPr>
          </w:p>
          <w:p w14:paraId="6156E0F6" w14:textId="54EB2689" w:rsidR="002E35E3" w:rsidRPr="002E35E3" w:rsidRDefault="002E35E3" w:rsidP="002E35E3">
            <w:pPr>
              <w:spacing w:line="360" w:lineRule="auto"/>
              <w:jc w:val="both"/>
              <w:rPr>
                <w:sz w:val="24"/>
                <w:szCs w:val="24"/>
              </w:rPr>
            </w:pPr>
            <w:r w:rsidRPr="002E35E3">
              <w:rPr>
                <w:sz w:val="24"/>
                <w:szCs w:val="24"/>
              </w:rPr>
              <w:t xml:space="preserve">s126 of SSWBA defines an adult “at risk” as someone who is at risk of, or experiencing, abuse and neglect. It also encompasses individuals with care and support needs who are unable to protect themselves from abuse, as a result of those needs. The inclusion of the term “at risk” seeks to enable early intervention, allowing individuals to access preventative services even if they have not experienced abuse or neglect. When safeguarding concerns in relation to an adult are made the LA has 7 days to identify what/if intervention is required and which agency is appropriate to safeguard the individual (eg Police or health services) (Welsh Government, </w:t>
            </w:r>
            <w:r w:rsidRPr="002E35E3">
              <w:rPr>
                <w:sz w:val="24"/>
                <w:szCs w:val="24"/>
              </w:rPr>
              <w:lastRenderedPageBreak/>
              <w:t xml:space="preserve">2015). Under s126 SSWBA the LA’s have a duty to investigate possible abuse or neglect of an adult at risk and s128 sets the requirements for a range of authorities to report possible abuse or neglect to the LA. A s126 </w:t>
            </w:r>
            <w:r>
              <w:rPr>
                <w:sz w:val="24"/>
                <w:szCs w:val="24"/>
              </w:rPr>
              <w:t>i</w:t>
            </w:r>
            <w:r w:rsidRPr="002E35E3">
              <w:rPr>
                <w:sz w:val="24"/>
                <w:szCs w:val="24"/>
              </w:rPr>
              <w:t xml:space="preserve">nquiry can result in 4 possible outcomes; immediate protection is required; adult at risk and protection required; no risk identified but care and support required; and no risk or care and support needs identified. </w:t>
            </w:r>
          </w:p>
          <w:p w14:paraId="705ACAB8" w14:textId="77777777" w:rsidR="004667E0" w:rsidRDefault="004667E0" w:rsidP="000D1B3E">
            <w:pPr>
              <w:spacing w:line="360" w:lineRule="auto"/>
              <w:jc w:val="both"/>
              <w:rPr>
                <w:sz w:val="24"/>
                <w:szCs w:val="24"/>
              </w:rPr>
            </w:pPr>
          </w:p>
          <w:p w14:paraId="49641ACD" w14:textId="5E2FFCAB" w:rsidR="00FC0334" w:rsidRDefault="00367D74" w:rsidP="00367D74">
            <w:pPr>
              <w:spacing w:line="360" w:lineRule="auto"/>
              <w:jc w:val="both"/>
              <w:rPr>
                <w:sz w:val="24"/>
                <w:szCs w:val="24"/>
              </w:rPr>
            </w:pPr>
            <w:r>
              <w:rPr>
                <w:sz w:val="24"/>
                <w:szCs w:val="24"/>
              </w:rPr>
              <w:t>The key principles of SSWBA refer to promoting the</w:t>
            </w:r>
            <w:r w:rsidRPr="00367D74">
              <w:rPr>
                <w:sz w:val="24"/>
                <w:szCs w:val="24"/>
              </w:rPr>
              <w:t xml:space="preserve"> voice and control</w:t>
            </w:r>
            <w:r>
              <w:rPr>
                <w:sz w:val="24"/>
                <w:szCs w:val="24"/>
              </w:rPr>
              <w:t xml:space="preserve"> of individuals</w:t>
            </w:r>
            <w:r w:rsidRPr="00367D74">
              <w:rPr>
                <w:sz w:val="24"/>
                <w:szCs w:val="24"/>
              </w:rPr>
              <w:t>, prevention and early intervention, well-being and co-production (</w:t>
            </w:r>
            <w:r w:rsidR="00F25E83">
              <w:rPr>
                <w:sz w:val="24"/>
                <w:szCs w:val="24"/>
              </w:rPr>
              <w:t>SCW</w:t>
            </w:r>
            <w:r w:rsidRPr="00367D74">
              <w:rPr>
                <w:sz w:val="24"/>
                <w:szCs w:val="24"/>
              </w:rPr>
              <w:t>, 2017</w:t>
            </w:r>
            <w:r>
              <w:rPr>
                <w:sz w:val="24"/>
                <w:szCs w:val="24"/>
              </w:rPr>
              <w:t>).</w:t>
            </w:r>
            <w:r w:rsidR="00F25E83">
              <w:rPr>
                <w:sz w:val="24"/>
                <w:szCs w:val="24"/>
              </w:rPr>
              <w:t xml:space="preserve"> </w:t>
            </w:r>
            <w:r>
              <w:rPr>
                <w:sz w:val="24"/>
                <w:szCs w:val="24"/>
              </w:rPr>
              <w:t xml:space="preserve"> </w:t>
            </w:r>
            <w:r w:rsidR="004667E0">
              <w:rPr>
                <w:sz w:val="24"/>
                <w:szCs w:val="24"/>
              </w:rPr>
              <w:t>SSWBA</w:t>
            </w:r>
            <w:r w:rsidR="00F25E83">
              <w:rPr>
                <w:sz w:val="24"/>
                <w:szCs w:val="24"/>
              </w:rPr>
              <w:t xml:space="preserve"> redefine safeguarding processes within Wales, </w:t>
            </w:r>
            <w:r w:rsidR="00F25E83" w:rsidRPr="00F25E83">
              <w:rPr>
                <w:sz w:val="24"/>
                <w:szCs w:val="24"/>
              </w:rPr>
              <w:t>empower</w:t>
            </w:r>
            <w:r w:rsidR="00F25E83">
              <w:rPr>
                <w:sz w:val="24"/>
                <w:szCs w:val="24"/>
              </w:rPr>
              <w:t>ing</w:t>
            </w:r>
            <w:r w:rsidR="00F25E83" w:rsidRPr="00F25E83">
              <w:rPr>
                <w:sz w:val="24"/>
                <w:szCs w:val="24"/>
              </w:rPr>
              <w:t xml:space="preserve"> individuals to have more choice and control</w:t>
            </w:r>
            <w:r w:rsidR="00F25E83">
              <w:rPr>
                <w:sz w:val="24"/>
                <w:szCs w:val="24"/>
              </w:rPr>
              <w:t>,</w:t>
            </w:r>
            <w:r w:rsidR="00F25E83" w:rsidRPr="00F25E83">
              <w:rPr>
                <w:sz w:val="24"/>
                <w:szCs w:val="24"/>
              </w:rPr>
              <w:t xml:space="preserve"> </w:t>
            </w:r>
            <w:r w:rsidR="004667E0">
              <w:rPr>
                <w:sz w:val="24"/>
                <w:szCs w:val="24"/>
              </w:rPr>
              <w:t>be treated as</w:t>
            </w:r>
            <w:r w:rsidR="00F25E83" w:rsidRPr="00F25E83">
              <w:rPr>
                <w:sz w:val="24"/>
                <w:szCs w:val="24"/>
              </w:rPr>
              <w:t xml:space="preserve"> “experts by experience” to co-productively achieve positive well-being outcomes</w:t>
            </w:r>
            <w:r w:rsidR="004667E0">
              <w:rPr>
                <w:sz w:val="24"/>
                <w:szCs w:val="24"/>
              </w:rPr>
              <w:t>,</w:t>
            </w:r>
            <w:r w:rsidR="004667E0" w:rsidRPr="004667E0">
              <w:rPr>
                <w:sz w:val="24"/>
                <w:szCs w:val="24"/>
              </w:rPr>
              <w:t xml:space="preserve"> moving away from</w:t>
            </w:r>
            <w:r w:rsidR="004667E0">
              <w:rPr>
                <w:sz w:val="24"/>
                <w:szCs w:val="24"/>
              </w:rPr>
              <w:t xml:space="preserve"> the previous more </w:t>
            </w:r>
            <w:r w:rsidR="004667E0" w:rsidRPr="004667E0">
              <w:rPr>
                <w:sz w:val="24"/>
                <w:szCs w:val="24"/>
              </w:rPr>
              <w:t xml:space="preserve">procedural way of working </w:t>
            </w:r>
            <w:r w:rsidR="00F25E83" w:rsidRPr="00F25E83">
              <w:rPr>
                <w:sz w:val="24"/>
                <w:szCs w:val="24"/>
              </w:rPr>
              <w:t>(</w:t>
            </w:r>
            <w:r w:rsidR="00F25E83" w:rsidRPr="00C55857">
              <w:rPr>
                <w:sz w:val="24"/>
                <w:szCs w:val="24"/>
              </w:rPr>
              <w:t>SCIE, 2015</w:t>
            </w:r>
            <w:r w:rsidR="00F25E83" w:rsidRPr="00F25E83">
              <w:rPr>
                <w:sz w:val="24"/>
                <w:szCs w:val="24"/>
              </w:rPr>
              <w:t>).</w:t>
            </w:r>
            <w:r w:rsidR="00C55857">
              <w:rPr>
                <w:sz w:val="24"/>
                <w:szCs w:val="24"/>
              </w:rPr>
              <w:t xml:space="preserve"> The Code of Practice (Welsh Government, 2015) highlights the two key principles underpinning effective safeguarding are a co-ordinated </w:t>
            </w:r>
            <w:r w:rsidR="000D1B3E">
              <w:rPr>
                <w:sz w:val="24"/>
                <w:szCs w:val="24"/>
              </w:rPr>
              <w:t>person-centred</w:t>
            </w:r>
            <w:r w:rsidR="00C55857">
              <w:rPr>
                <w:sz w:val="24"/>
                <w:szCs w:val="24"/>
              </w:rPr>
              <w:t xml:space="preserve"> approach and the notion that “safeguarding is everyone’s responsibility”</w:t>
            </w:r>
            <w:r w:rsidR="000D1B3E">
              <w:rPr>
                <w:sz w:val="24"/>
                <w:szCs w:val="24"/>
              </w:rPr>
              <w:t xml:space="preserve">. </w:t>
            </w:r>
            <w:r w:rsidR="004667E0">
              <w:rPr>
                <w:sz w:val="24"/>
                <w:szCs w:val="24"/>
              </w:rPr>
              <w:t>S</w:t>
            </w:r>
            <w:r w:rsidR="000D1B3E" w:rsidRPr="000D1B3E">
              <w:rPr>
                <w:sz w:val="24"/>
                <w:szCs w:val="24"/>
              </w:rPr>
              <w:t>tronger duties to report safeguarding concerns with the aim to increase multi-agency / inter agency working</w:t>
            </w:r>
            <w:r w:rsidR="004667E0">
              <w:rPr>
                <w:sz w:val="24"/>
                <w:szCs w:val="24"/>
              </w:rPr>
              <w:t xml:space="preserve"> are also introduced in </w:t>
            </w:r>
            <w:r w:rsidR="004667E0" w:rsidRPr="004667E0">
              <w:rPr>
                <w:sz w:val="24"/>
                <w:szCs w:val="24"/>
              </w:rPr>
              <w:t>Part 7 of SSWBA</w:t>
            </w:r>
            <w:r w:rsidR="000D1B3E" w:rsidRPr="000D1B3E">
              <w:rPr>
                <w:sz w:val="24"/>
                <w:szCs w:val="24"/>
              </w:rPr>
              <w:t xml:space="preserve"> (Welsh Government 2015).</w:t>
            </w:r>
            <w:r w:rsidR="004667E0">
              <w:rPr>
                <w:sz w:val="24"/>
                <w:szCs w:val="24"/>
              </w:rPr>
              <w:t xml:space="preserve"> </w:t>
            </w:r>
            <w:r w:rsidR="00463E73">
              <w:rPr>
                <w:sz w:val="24"/>
                <w:szCs w:val="24"/>
              </w:rPr>
              <w:t>The implementation of SSWBA</w:t>
            </w:r>
            <w:r w:rsidRPr="00367D74">
              <w:rPr>
                <w:sz w:val="24"/>
                <w:szCs w:val="24"/>
              </w:rPr>
              <w:t xml:space="preserve"> established</w:t>
            </w:r>
            <w:r>
              <w:rPr>
                <w:sz w:val="24"/>
                <w:szCs w:val="24"/>
              </w:rPr>
              <w:t xml:space="preserve"> regional</w:t>
            </w:r>
            <w:r w:rsidRPr="00367D74">
              <w:rPr>
                <w:sz w:val="24"/>
                <w:szCs w:val="24"/>
              </w:rPr>
              <w:t xml:space="preserve"> safeguarding boards for both Adults and Children</w:t>
            </w:r>
            <w:r>
              <w:rPr>
                <w:sz w:val="24"/>
                <w:szCs w:val="24"/>
              </w:rPr>
              <w:t>, with the intention of preventin</w:t>
            </w:r>
            <w:r w:rsidR="004667E0">
              <w:rPr>
                <w:sz w:val="24"/>
                <w:szCs w:val="24"/>
              </w:rPr>
              <w:t>g</w:t>
            </w:r>
            <w:r>
              <w:rPr>
                <w:sz w:val="24"/>
                <w:szCs w:val="24"/>
              </w:rPr>
              <w:t xml:space="preserve"> and protectin</w:t>
            </w:r>
            <w:r w:rsidR="002E35E3">
              <w:rPr>
                <w:sz w:val="24"/>
                <w:szCs w:val="24"/>
              </w:rPr>
              <w:t>g</w:t>
            </w:r>
            <w:r w:rsidR="004667E0">
              <w:rPr>
                <w:sz w:val="24"/>
                <w:szCs w:val="24"/>
              </w:rPr>
              <w:t xml:space="preserve"> </w:t>
            </w:r>
            <w:r>
              <w:rPr>
                <w:sz w:val="24"/>
                <w:szCs w:val="24"/>
              </w:rPr>
              <w:t>individuals within the designated regions</w:t>
            </w:r>
            <w:r w:rsidR="004667E0">
              <w:rPr>
                <w:sz w:val="24"/>
                <w:szCs w:val="24"/>
              </w:rPr>
              <w:t xml:space="preserve"> from abuse. This including those </w:t>
            </w:r>
            <w:r>
              <w:rPr>
                <w:sz w:val="24"/>
                <w:szCs w:val="24"/>
              </w:rPr>
              <w:t xml:space="preserve">who are at risk of, or experiencing, abuse and neglect. </w:t>
            </w:r>
            <w:r w:rsidR="004667E0">
              <w:rPr>
                <w:sz w:val="24"/>
                <w:szCs w:val="24"/>
              </w:rPr>
              <w:t xml:space="preserve">Regional Safeguarding boards also carry out inspections within agencies to ensure safeguarding practices are being followed appropriately and review policies, procedures and training needs. They work alongside a </w:t>
            </w:r>
            <w:r w:rsidRPr="00367D74">
              <w:rPr>
                <w:sz w:val="24"/>
                <w:szCs w:val="24"/>
              </w:rPr>
              <w:t xml:space="preserve">National Independent Safeguarding board to </w:t>
            </w:r>
            <w:r w:rsidR="00F25E83">
              <w:rPr>
                <w:sz w:val="24"/>
                <w:szCs w:val="24"/>
              </w:rPr>
              <w:t>identify ways of improving</w:t>
            </w:r>
            <w:r w:rsidRPr="00367D74">
              <w:rPr>
                <w:sz w:val="24"/>
                <w:szCs w:val="24"/>
              </w:rPr>
              <w:t xml:space="preserve"> safeguarding in Wales (Social Care Wales, 2017).</w:t>
            </w:r>
          </w:p>
          <w:p w14:paraId="58FCBAD9" w14:textId="77777777" w:rsidR="004667E0" w:rsidRDefault="004667E0" w:rsidP="00781F6A">
            <w:pPr>
              <w:spacing w:line="360" w:lineRule="auto"/>
              <w:jc w:val="both"/>
              <w:rPr>
                <w:sz w:val="24"/>
                <w:szCs w:val="24"/>
              </w:rPr>
            </w:pPr>
          </w:p>
          <w:p w14:paraId="456CC1C5" w14:textId="7C78A526" w:rsidR="00367D74" w:rsidRPr="00367D74" w:rsidRDefault="00367D74" w:rsidP="00F25E83">
            <w:pPr>
              <w:spacing w:line="360" w:lineRule="auto"/>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2CA4AA24"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441FF7B3" w14:textId="196E78F4" w:rsidR="00463E73" w:rsidRDefault="00463E73" w:rsidP="00FF7EBB">
            <w:pPr>
              <w:jc w:val="both"/>
              <w:rPr>
                <w:sz w:val="24"/>
                <w:szCs w:val="24"/>
              </w:rPr>
            </w:pPr>
          </w:p>
          <w:p w14:paraId="3E22E3D6" w14:textId="2AD608FC" w:rsidR="00463E73" w:rsidRDefault="00463E73" w:rsidP="00FF7EBB">
            <w:pPr>
              <w:jc w:val="both"/>
              <w:rPr>
                <w:sz w:val="24"/>
                <w:szCs w:val="24"/>
              </w:rPr>
            </w:pPr>
            <w:r w:rsidRPr="006C03A5">
              <w:rPr>
                <w:sz w:val="24"/>
                <w:szCs w:val="24"/>
              </w:rPr>
              <w:t>51</w:t>
            </w:r>
            <w:r w:rsidR="00C421BB">
              <w:rPr>
                <w:sz w:val="24"/>
                <w:szCs w:val="24"/>
              </w:rPr>
              <w:t>0</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17B4593" w14:textId="2CB7E732" w:rsidR="004119FF" w:rsidRDefault="00AE3CE1" w:rsidP="004667E0">
            <w:pPr>
              <w:spacing w:line="360" w:lineRule="auto"/>
              <w:jc w:val="both"/>
              <w:rPr>
                <w:sz w:val="24"/>
                <w:szCs w:val="24"/>
              </w:rPr>
            </w:pPr>
            <w:r>
              <w:rPr>
                <w:sz w:val="24"/>
                <w:szCs w:val="24"/>
              </w:rPr>
              <w:t>Wales Safeguarding Procedures</w:t>
            </w:r>
            <w:r w:rsidR="00E743BA">
              <w:rPr>
                <w:sz w:val="24"/>
                <w:szCs w:val="24"/>
              </w:rPr>
              <w:t xml:space="preserve"> (WSP, 2019)</w:t>
            </w:r>
            <w:r>
              <w:rPr>
                <w:sz w:val="24"/>
                <w:szCs w:val="24"/>
              </w:rPr>
              <w:t xml:space="preserve"> standardise procedures for adults and children’s safeguarding in Wales</w:t>
            </w:r>
            <w:r w:rsidR="006D46E9">
              <w:rPr>
                <w:sz w:val="24"/>
                <w:szCs w:val="24"/>
              </w:rPr>
              <w:t>.</w:t>
            </w:r>
            <w:r>
              <w:rPr>
                <w:sz w:val="24"/>
                <w:szCs w:val="24"/>
              </w:rPr>
              <w:t xml:space="preserve"> </w:t>
            </w:r>
            <w:r w:rsidR="006D46E9">
              <w:rPr>
                <w:sz w:val="24"/>
                <w:szCs w:val="24"/>
              </w:rPr>
              <w:t>H</w:t>
            </w:r>
            <w:r w:rsidR="00926152">
              <w:rPr>
                <w:sz w:val="24"/>
                <w:szCs w:val="24"/>
              </w:rPr>
              <w:t xml:space="preserve">owever </w:t>
            </w:r>
            <w:r>
              <w:rPr>
                <w:sz w:val="24"/>
                <w:szCs w:val="24"/>
              </w:rPr>
              <w:t xml:space="preserve">the legislative context for </w:t>
            </w:r>
            <w:r w:rsidR="00926152">
              <w:rPr>
                <w:sz w:val="24"/>
                <w:szCs w:val="24"/>
              </w:rPr>
              <w:t xml:space="preserve">both </w:t>
            </w:r>
            <w:r>
              <w:rPr>
                <w:sz w:val="24"/>
                <w:szCs w:val="24"/>
              </w:rPr>
              <w:t>differ</w:t>
            </w:r>
            <w:r w:rsidR="00926152">
              <w:rPr>
                <w:sz w:val="24"/>
                <w:szCs w:val="24"/>
              </w:rPr>
              <w:t>s</w:t>
            </w:r>
            <w:r>
              <w:rPr>
                <w:sz w:val="24"/>
                <w:szCs w:val="24"/>
              </w:rPr>
              <w:t xml:space="preserve">, with Social Services and Wellbeing (Wales) Act 2014 </w:t>
            </w:r>
            <w:r w:rsidR="004667E0">
              <w:rPr>
                <w:sz w:val="24"/>
                <w:szCs w:val="24"/>
              </w:rPr>
              <w:t>providing the safeguarding legislation for</w:t>
            </w:r>
            <w:r>
              <w:rPr>
                <w:sz w:val="24"/>
                <w:szCs w:val="24"/>
              </w:rPr>
              <w:t xml:space="preserve"> adults and the Children Act (1989) </w:t>
            </w:r>
            <w:r w:rsidR="008215FB">
              <w:rPr>
                <w:sz w:val="24"/>
                <w:szCs w:val="24"/>
              </w:rPr>
              <w:t>remaining the</w:t>
            </w:r>
            <w:r>
              <w:rPr>
                <w:sz w:val="24"/>
                <w:szCs w:val="24"/>
              </w:rPr>
              <w:t xml:space="preserve"> driver for safeguarding children. Despite this difference in legislative </w:t>
            </w:r>
            <w:r w:rsidR="008215FB">
              <w:rPr>
                <w:sz w:val="24"/>
                <w:szCs w:val="24"/>
              </w:rPr>
              <w:t>background</w:t>
            </w:r>
            <w:r w:rsidR="00377161">
              <w:rPr>
                <w:sz w:val="24"/>
                <w:szCs w:val="24"/>
              </w:rPr>
              <w:t>,</w:t>
            </w:r>
            <w:r>
              <w:rPr>
                <w:sz w:val="24"/>
                <w:szCs w:val="24"/>
              </w:rPr>
              <w:t xml:space="preserve"> the </w:t>
            </w:r>
            <w:r w:rsidRPr="00AE3CE1">
              <w:rPr>
                <w:sz w:val="24"/>
                <w:szCs w:val="24"/>
              </w:rPr>
              <w:t xml:space="preserve">central principles </w:t>
            </w:r>
            <w:r>
              <w:rPr>
                <w:sz w:val="24"/>
                <w:szCs w:val="24"/>
              </w:rPr>
              <w:t>of both are</w:t>
            </w:r>
            <w:r w:rsidRPr="00AE3CE1">
              <w:rPr>
                <w:sz w:val="24"/>
                <w:szCs w:val="24"/>
              </w:rPr>
              <w:t xml:space="preserve"> the same, </w:t>
            </w:r>
            <w:r>
              <w:rPr>
                <w:sz w:val="24"/>
                <w:szCs w:val="24"/>
              </w:rPr>
              <w:t xml:space="preserve">with </w:t>
            </w:r>
            <w:r w:rsidRPr="00AE3CE1">
              <w:rPr>
                <w:sz w:val="24"/>
                <w:szCs w:val="24"/>
              </w:rPr>
              <w:t>prevention and protection from abuse, promoting wellbeing</w:t>
            </w:r>
            <w:r>
              <w:rPr>
                <w:sz w:val="24"/>
                <w:szCs w:val="24"/>
              </w:rPr>
              <w:t>,</w:t>
            </w:r>
            <w:r w:rsidRPr="00AE3CE1">
              <w:rPr>
                <w:sz w:val="24"/>
                <w:szCs w:val="24"/>
              </w:rPr>
              <w:t xml:space="preserve"> and </w:t>
            </w:r>
            <w:r>
              <w:rPr>
                <w:sz w:val="24"/>
                <w:szCs w:val="24"/>
              </w:rPr>
              <w:t>the notion that</w:t>
            </w:r>
            <w:r w:rsidRPr="00AE3CE1">
              <w:rPr>
                <w:sz w:val="24"/>
                <w:szCs w:val="24"/>
              </w:rPr>
              <w:t xml:space="preserve"> safeguarding is </w:t>
            </w:r>
            <w:r w:rsidR="008215FB">
              <w:rPr>
                <w:sz w:val="24"/>
                <w:szCs w:val="24"/>
              </w:rPr>
              <w:t>“</w:t>
            </w:r>
            <w:r w:rsidRPr="00AE3CE1">
              <w:rPr>
                <w:sz w:val="24"/>
                <w:szCs w:val="24"/>
              </w:rPr>
              <w:t>everyone’s responsibility</w:t>
            </w:r>
            <w:r w:rsidR="008215FB">
              <w:rPr>
                <w:sz w:val="24"/>
                <w:szCs w:val="24"/>
              </w:rPr>
              <w:t>”</w:t>
            </w:r>
            <w:r w:rsidRPr="00AE3CE1">
              <w:rPr>
                <w:sz w:val="24"/>
                <w:szCs w:val="24"/>
              </w:rPr>
              <w:t xml:space="preserve"> </w:t>
            </w:r>
            <w:r>
              <w:rPr>
                <w:sz w:val="24"/>
                <w:szCs w:val="24"/>
              </w:rPr>
              <w:t xml:space="preserve">being at the heart of both contexts </w:t>
            </w:r>
            <w:r w:rsidRPr="00AE3CE1">
              <w:rPr>
                <w:sz w:val="24"/>
                <w:szCs w:val="24"/>
              </w:rPr>
              <w:t>(SCIE,</w:t>
            </w:r>
            <w:r>
              <w:rPr>
                <w:sz w:val="24"/>
                <w:szCs w:val="24"/>
              </w:rPr>
              <w:t xml:space="preserve"> </w:t>
            </w:r>
            <w:r w:rsidRPr="00AE3CE1">
              <w:rPr>
                <w:sz w:val="24"/>
                <w:szCs w:val="24"/>
              </w:rPr>
              <w:t>2020</w:t>
            </w:r>
            <w:r>
              <w:rPr>
                <w:sz w:val="24"/>
                <w:szCs w:val="24"/>
              </w:rPr>
              <w:t>)</w:t>
            </w:r>
            <w:r w:rsidR="008215FB">
              <w:rPr>
                <w:sz w:val="24"/>
                <w:szCs w:val="24"/>
              </w:rPr>
              <w:t>.</w:t>
            </w:r>
            <w:r w:rsidR="004119FF">
              <w:rPr>
                <w:sz w:val="24"/>
                <w:szCs w:val="24"/>
              </w:rPr>
              <w:t xml:space="preserve"> </w:t>
            </w:r>
          </w:p>
          <w:p w14:paraId="6C7380E6" w14:textId="52012FD9" w:rsidR="008215FB" w:rsidRDefault="008215FB" w:rsidP="004667E0">
            <w:pPr>
              <w:spacing w:line="360" w:lineRule="auto"/>
              <w:jc w:val="both"/>
              <w:rPr>
                <w:sz w:val="24"/>
                <w:szCs w:val="24"/>
              </w:rPr>
            </w:pPr>
          </w:p>
          <w:p w14:paraId="67635F49" w14:textId="30CDAE1F" w:rsidR="00E743BA" w:rsidRDefault="008215FB" w:rsidP="00E743BA">
            <w:pPr>
              <w:spacing w:line="360" w:lineRule="auto"/>
              <w:jc w:val="both"/>
              <w:rPr>
                <w:sz w:val="24"/>
                <w:szCs w:val="24"/>
              </w:rPr>
            </w:pPr>
            <w:r>
              <w:rPr>
                <w:sz w:val="24"/>
                <w:szCs w:val="24"/>
              </w:rPr>
              <w:t xml:space="preserve">Arguably the most significant </w:t>
            </w:r>
            <w:r w:rsidR="00E743BA">
              <w:rPr>
                <w:sz w:val="24"/>
                <w:szCs w:val="24"/>
              </w:rPr>
              <w:t>difference</w:t>
            </w:r>
            <w:r>
              <w:rPr>
                <w:sz w:val="24"/>
                <w:szCs w:val="24"/>
              </w:rPr>
              <w:t xml:space="preserve"> in the approaches relate</w:t>
            </w:r>
            <w:r w:rsidR="004C0D3E">
              <w:rPr>
                <w:sz w:val="24"/>
                <w:szCs w:val="24"/>
              </w:rPr>
              <w:t>s</w:t>
            </w:r>
            <w:r>
              <w:rPr>
                <w:sz w:val="24"/>
                <w:szCs w:val="24"/>
              </w:rPr>
              <w:t xml:space="preserve"> to “consent</w:t>
            </w:r>
            <w:r w:rsidR="004C0D3E">
              <w:rPr>
                <w:sz w:val="24"/>
                <w:szCs w:val="24"/>
              </w:rPr>
              <w:t>”</w:t>
            </w:r>
            <w:r w:rsidR="007E106D">
              <w:rPr>
                <w:sz w:val="24"/>
                <w:szCs w:val="24"/>
              </w:rPr>
              <w:t xml:space="preserve"> </w:t>
            </w:r>
            <w:r w:rsidR="00E743BA">
              <w:rPr>
                <w:sz w:val="24"/>
                <w:szCs w:val="24"/>
              </w:rPr>
              <w:t>and the</w:t>
            </w:r>
            <w:r w:rsidR="007E106D">
              <w:rPr>
                <w:sz w:val="24"/>
                <w:szCs w:val="24"/>
              </w:rPr>
              <w:t xml:space="preserve"> way “risk” is viewed and managed. In Children’s safeguarding, consent to intervene is</w:t>
            </w:r>
            <w:r w:rsidR="007E106D" w:rsidRPr="007E106D">
              <w:rPr>
                <w:sz w:val="24"/>
                <w:szCs w:val="24"/>
              </w:rPr>
              <w:t xml:space="preserve"> not required when practitioners hold concerns</w:t>
            </w:r>
            <w:r w:rsidR="007E106D">
              <w:rPr>
                <w:sz w:val="24"/>
                <w:szCs w:val="24"/>
              </w:rPr>
              <w:t>,</w:t>
            </w:r>
            <w:r w:rsidR="007E106D" w:rsidRPr="007E106D">
              <w:rPr>
                <w:sz w:val="24"/>
                <w:szCs w:val="24"/>
              </w:rPr>
              <w:t xml:space="preserve"> and instead decisions </w:t>
            </w:r>
            <w:r w:rsidR="00E743BA">
              <w:rPr>
                <w:sz w:val="24"/>
                <w:szCs w:val="24"/>
              </w:rPr>
              <w:t xml:space="preserve">are made based on promoting children’s welfare </w:t>
            </w:r>
            <w:r w:rsidR="007E106D" w:rsidRPr="007E106D">
              <w:rPr>
                <w:sz w:val="24"/>
                <w:szCs w:val="24"/>
              </w:rPr>
              <w:t xml:space="preserve">and positive outcomes. </w:t>
            </w:r>
            <w:r w:rsidR="00377161">
              <w:rPr>
                <w:sz w:val="24"/>
                <w:szCs w:val="24"/>
              </w:rPr>
              <w:t xml:space="preserve">For </w:t>
            </w:r>
            <w:r w:rsidR="00E743BA">
              <w:rPr>
                <w:sz w:val="24"/>
                <w:szCs w:val="24"/>
              </w:rPr>
              <w:t>adults,</w:t>
            </w:r>
            <w:r w:rsidR="00E743BA" w:rsidRPr="00E743BA">
              <w:rPr>
                <w:sz w:val="24"/>
                <w:szCs w:val="24"/>
              </w:rPr>
              <w:t xml:space="preserve"> consent from the individual</w:t>
            </w:r>
            <w:r w:rsidR="00E743BA">
              <w:rPr>
                <w:sz w:val="24"/>
                <w:szCs w:val="24"/>
              </w:rPr>
              <w:t xml:space="preserve"> must be obtained</w:t>
            </w:r>
            <w:r w:rsidR="00E743BA" w:rsidRPr="00E743BA">
              <w:rPr>
                <w:sz w:val="24"/>
                <w:szCs w:val="24"/>
              </w:rPr>
              <w:t xml:space="preserve"> where possible</w:t>
            </w:r>
            <w:r w:rsidR="00E743BA">
              <w:rPr>
                <w:sz w:val="24"/>
                <w:szCs w:val="24"/>
              </w:rPr>
              <w:t xml:space="preserve"> unless there are </w:t>
            </w:r>
            <w:r w:rsidR="007C706E">
              <w:rPr>
                <w:sz w:val="24"/>
                <w:szCs w:val="24"/>
              </w:rPr>
              <w:t xml:space="preserve">mitigating </w:t>
            </w:r>
            <w:r w:rsidR="00E743BA">
              <w:rPr>
                <w:sz w:val="24"/>
                <w:szCs w:val="24"/>
              </w:rPr>
              <w:t>circumstances</w:t>
            </w:r>
            <w:r w:rsidR="007C706E">
              <w:rPr>
                <w:sz w:val="24"/>
                <w:szCs w:val="24"/>
              </w:rPr>
              <w:t>,</w:t>
            </w:r>
            <w:r w:rsidR="00E743BA">
              <w:rPr>
                <w:sz w:val="24"/>
                <w:szCs w:val="24"/>
              </w:rPr>
              <w:t xml:space="preserve"> such as</w:t>
            </w:r>
            <w:r w:rsidR="00E743BA" w:rsidRPr="00E743BA">
              <w:rPr>
                <w:sz w:val="24"/>
                <w:szCs w:val="24"/>
              </w:rPr>
              <w:t xml:space="preserve"> </w:t>
            </w:r>
            <w:r w:rsidR="00E743BA">
              <w:rPr>
                <w:sz w:val="24"/>
                <w:szCs w:val="24"/>
              </w:rPr>
              <w:t xml:space="preserve">acting in </w:t>
            </w:r>
            <w:r w:rsidR="00E743BA" w:rsidRPr="00E743BA">
              <w:rPr>
                <w:sz w:val="24"/>
                <w:szCs w:val="24"/>
              </w:rPr>
              <w:t>the best interest of the person or where others may be at risk, the</w:t>
            </w:r>
            <w:r w:rsidR="007C706E">
              <w:rPr>
                <w:sz w:val="24"/>
                <w:szCs w:val="24"/>
              </w:rPr>
              <w:t>n</w:t>
            </w:r>
            <w:r w:rsidR="00E743BA" w:rsidRPr="00E743BA">
              <w:rPr>
                <w:sz w:val="24"/>
                <w:szCs w:val="24"/>
              </w:rPr>
              <w:t xml:space="preserve"> decision may be made not to seek consent prior to making a referral (</w:t>
            </w:r>
            <w:r w:rsidR="00E743BA">
              <w:rPr>
                <w:sz w:val="24"/>
                <w:szCs w:val="24"/>
              </w:rPr>
              <w:t>WSP</w:t>
            </w:r>
            <w:r w:rsidR="00E743BA" w:rsidRPr="00E743BA">
              <w:rPr>
                <w:sz w:val="24"/>
                <w:szCs w:val="24"/>
              </w:rPr>
              <w:t>, 2019).</w:t>
            </w:r>
            <w:r w:rsidR="00E743BA">
              <w:rPr>
                <w:sz w:val="24"/>
                <w:szCs w:val="24"/>
              </w:rPr>
              <w:t xml:space="preserve"> </w:t>
            </w:r>
          </w:p>
          <w:p w14:paraId="6AE2BA8B" w14:textId="77777777" w:rsidR="00E743BA" w:rsidRDefault="00E743BA" w:rsidP="00E743BA">
            <w:pPr>
              <w:spacing w:line="360" w:lineRule="auto"/>
              <w:jc w:val="both"/>
              <w:rPr>
                <w:sz w:val="24"/>
                <w:szCs w:val="24"/>
              </w:rPr>
            </w:pPr>
          </w:p>
          <w:p w14:paraId="69BF2C6B" w14:textId="52F711BD" w:rsidR="0082421A" w:rsidRDefault="00E51D64" w:rsidP="00E743BA">
            <w:pPr>
              <w:spacing w:line="360" w:lineRule="auto"/>
              <w:jc w:val="both"/>
              <w:rPr>
                <w:sz w:val="24"/>
                <w:szCs w:val="24"/>
              </w:rPr>
            </w:pPr>
            <w:r w:rsidRPr="00E51D64">
              <w:rPr>
                <w:sz w:val="24"/>
                <w:szCs w:val="24"/>
              </w:rPr>
              <w:t xml:space="preserve">All adults are </w:t>
            </w:r>
            <w:r w:rsidR="00EE2D72">
              <w:rPr>
                <w:sz w:val="24"/>
                <w:szCs w:val="24"/>
              </w:rPr>
              <w:t>assumed</w:t>
            </w:r>
            <w:r w:rsidRPr="00E51D64">
              <w:rPr>
                <w:sz w:val="24"/>
                <w:szCs w:val="24"/>
              </w:rPr>
              <w:t xml:space="preserve"> to have capacity to make decisions unless there is significant evidenced to suggest otherwise</w:t>
            </w:r>
            <w:r w:rsidR="00967F7A">
              <w:rPr>
                <w:sz w:val="24"/>
                <w:szCs w:val="24"/>
              </w:rPr>
              <w:t>, which is not the case for children</w:t>
            </w:r>
            <w:r w:rsidRPr="00E51D64">
              <w:rPr>
                <w:sz w:val="24"/>
                <w:szCs w:val="24"/>
              </w:rPr>
              <w:t xml:space="preserve">. </w:t>
            </w:r>
            <w:r w:rsidRPr="00E51D64">
              <w:rPr>
                <w:rFonts w:eastAsia="Arial"/>
                <w:color w:val="auto"/>
                <w:sz w:val="24"/>
                <w:szCs w:val="24"/>
                <w:lang w:val="en-US" w:eastAsia="en-US"/>
              </w:rPr>
              <w:t xml:space="preserve"> S105 CA89 defines 18 as the age of becoming an adult</w:t>
            </w:r>
            <w:r>
              <w:rPr>
                <w:rFonts w:eastAsia="Arial"/>
                <w:color w:val="auto"/>
                <w:sz w:val="24"/>
                <w:szCs w:val="24"/>
                <w:lang w:val="en-US" w:eastAsia="en-US"/>
              </w:rPr>
              <w:t>.</w:t>
            </w:r>
            <w:r w:rsidRPr="00E51D64">
              <w:rPr>
                <w:rFonts w:eastAsia="Arial"/>
                <w:color w:val="auto"/>
                <w:sz w:val="24"/>
                <w:szCs w:val="24"/>
                <w:lang w:val="en-US" w:eastAsia="en-US"/>
              </w:rPr>
              <w:t xml:space="preserve"> </w:t>
            </w:r>
            <w:r>
              <w:rPr>
                <w:rFonts w:eastAsia="Arial"/>
                <w:color w:val="auto"/>
                <w:sz w:val="24"/>
                <w:szCs w:val="24"/>
                <w:lang w:val="en-US" w:eastAsia="en-US"/>
              </w:rPr>
              <w:t>However, children aged 16 and 17 are also presumed to have ability to make informed decisions unless</w:t>
            </w:r>
            <w:r w:rsidRPr="00E51D64">
              <w:rPr>
                <w:sz w:val="24"/>
                <w:szCs w:val="24"/>
                <w:lang w:val="en-US"/>
              </w:rPr>
              <w:t xml:space="preserve"> there are reasons to believe </w:t>
            </w:r>
            <w:r w:rsidR="00967F7A">
              <w:rPr>
                <w:sz w:val="24"/>
                <w:szCs w:val="24"/>
                <w:lang w:val="en-US"/>
              </w:rPr>
              <w:t xml:space="preserve">they </w:t>
            </w:r>
            <w:r w:rsidRPr="00E51D64">
              <w:rPr>
                <w:sz w:val="24"/>
                <w:szCs w:val="24"/>
                <w:lang w:val="en-US"/>
              </w:rPr>
              <w:t>lack capacity</w:t>
            </w:r>
            <w:r>
              <w:rPr>
                <w:sz w:val="24"/>
                <w:szCs w:val="24"/>
                <w:lang w:val="en-US"/>
              </w:rPr>
              <w:t xml:space="preserve">. In these circumstances </w:t>
            </w:r>
            <w:r w:rsidR="00967F7A">
              <w:rPr>
                <w:sz w:val="24"/>
                <w:szCs w:val="24"/>
                <w:lang w:val="en-US"/>
              </w:rPr>
              <w:t xml:space="preserve">a </w:t>
            </w:r>
            <w:r w:rsidRPr="00E51D64">
              <w:rPr>
                <w:iCs/>
                <w:sz w:val="24"/>
                <w:szCs w:val="24"/>
              </w:rPr>
              <w:t xml:space="preserve">“Gillick </w:t>
            </w:r>
            <w:r w:rsidR="00967F7A" w:rsidRPr="00E51D64">
              <w:rPr>
                <w:iCs/>
                <w:sz w:val="24"/>
                <w:szCs w:val="24"/>
              </w:rPr>
              <w:t>competency</w:t>
            </w:r>
            <w:r w:rsidR="00967F7A">
              <w:rPr>
                <w:iCs/>
                <w:sz w:val="24"/>
                <w:szCs w:val="24"/>
              </w:rPr>
              <w:t xml:space="preserve">” assessment </w:t>
            </w:r>
            <w:r w:rsidRPr="00E51D64">
              <w:rPr>
                <w:iCs/>
                <w:sz w:val="24"/>
                <w:szCs w:val="24"/>
              </w:rPr>
              <w:t xml:space="preserve">should be considered </w:t>
            </w:r>
            <w:r w:rsidR="00967F7A">
              <w:rPr>
                <w:iCs/>
                <w:sz w:val="24"/>
                <w:szCs w:val="24"/>
              </w:rPr>
              <w:t>(Griffiths, 2021)</w:t>
            </w:r>
            <w:r w:rsidRPr="00E51D64">
              <w:rPr>
                <w:iCs/>
                <w:sz w:val="24"/>
                <w:szCs w:val="24"/>
              </w:rPr>
              <w:t xml:space="preserve">. </w:t>
            </w:r>
            <w:r w:rsidR="00926152">
              <w:rPr>
                <w:iCs/>
                <w:sz w:val="24"/>
                <w:szCs w:val="24"/>
              </w:rPr>
              <w:t>A</w:t>
            </w:r>
            <w:r w:rsidR="00926152" w:rsidRPr="00926152">
              <w:rPr>
                <w:sz w:val="24"/>
                <w:szCs w:val="24"/>
              </w:rPr>
              <w:t xml:space="preserve">lthough it is imperative that practitioners </w:t>
            </w:r>
            <w:r w:rsidR="00C421BB" w:rsidRPr="00926152">
              <w:rPr>
                <w:iCs/>
                <w:sz w:val="24"/>
                <w:szCs w:val="24"/>
                <w:lang w:val="en-US"/>
              </w:rPr>
              <w:t>ascertain</w:t>
            </w:r>
            <w:r w:rsidR="00926152" w:rsidRPr="00926152">
              <w:rPr>
                <w:iCs/>
                <w:sz w:val="24"/>
                <w:szCs w:val="24"/>
                <w:lang w:val="en-US"/>
              </w:rPr>
              <w:t xml:space="preserve"> and have regard for the views, wishes and feelings of the child (SCW, 2022),</w:t>
            </w:r>
            <w:r w:rsidR="00926152" w:rsidRPr="00926152">
              <w:rPr>
                <w:iCs/>
                <w:sz w:val="24"/>
                <w:szCs w:val="24"/>
              </w:rPr>
              <w:t xml:space="preserve"> best interest decisions can be made on their behalf. </w:t>
            </w:r>
            <w:r w:rsidR="004119FF">
              <w:rPr>
                <w:iCs/>
                <w:sz w:val="24"/>
                <w:szCs w:val="24"/>
              </w:rPr>
              <w:t xml:space="preserve">In contrast, </w:t>
            </w:r>
            <w:r w:rsidR="00926152">
              <w:rPr>
                <w:sz w:val="24"/>
                <w:szCs w:val="24"/>
              </w:rPr>
              <w:t>MCA</w:t>
            </w:r>
            <w:r w:rsidR="00E743BA" w:rsidRPr="00E743BA">
              <w:rPr>
                <w:sz w:val="24"/>
                <w:szCs w:val="24"/>
              </w:rPr>
              <w:t xml:space="preserve"> 2005 states that adults with capacity </w:t>
            </w:r>
            <w:r w:rsidR="00EE2D72">
              <w:rPr>
                <w:sz w:val="24"/>
                <w:szCs w:val="24"/>
              </w:rPr>
              <w:t>can</w:t>
            </w:r>
            <w:r w:rsidR="00E743BA" w:rsidRPr="00E743BA">
              <w:rPr>
                <w:sz w:val="24"/>
                <w:szCs w:val="24"/>
              </w:rPr>
              <w:t xml:space="preserve"> make unwise choices unless it puts themselves</w:t>
            </w:r>
            <w:r w:rsidR="004119FF">
              <w:rPr>
                <w:sz w:val="24"/>
                <w:szCs w:val="24"/>
              </w:rPr>
              <w:t>/</w:t>
            </w:r>
            <w:r w:rsidR="00E743BA" w:rsidRPr="00E743BA">
              <w:rPr>
                <w:sz w:val="24"/>
                <w:szCs w:val="24"/>
              </w:rPr>
              <w:t>others at risk of harm</w:t>
            </w:r>
            <w:r w:rsidR="0082421A">
              <w:rPr>
                <w:sz w:val="24"/>
                <w:szCs w:val="24"/>
              </w:rPr>
              <w:t>.</w:t>
            </w:r>
            <w:r w:rsidR="004119FF">
              <w:rPr>
                <w:sz w:val="24"/>
                <w:szCs w:val="24"/>
              </w:rPr>
              <w:t xml:space="preserve"> However, </w:t>
            </w:r>
            <w:r w:rsidR="006D46E9" w:rsidRPr="00E743BA">
              <w:rPr>
                <w:sz w:val="24"/>
                <w:szCs w:val="24"/>
              </w:rPr>
              <w:t>The Mental Health Act 2007</w:t>
            </w:r>
            <w:r w:rsidR="00E743BA" w:rsidRPr="00E743BA">
              <w:rPr>
                <w:sz w:val="24"/>
                <w:szCs w:val="24"/>
              </w:rPr>
              <w:t xml:space="preserve"> may be followed to safeguard the individual</w:t>
            </w:r>
            <w:r w:rsidR="0082421A">
              <w:rPr>
                <w:sz w:val="24"/>
                <w:szCs w:val="24"/>
              </w:rPr>
              <w:t xml:space="preserve"> if they are assessed as having mental health disorders that require detention in hospital for a limited period of further assessment, or it is determined that they ought to be detained in the interest of their own safety or the protection of others</w:t>
            </w:r>
            <w:r w:rsidR="00926152">
              <w:rPr>
                <w:sz w:val="24"/>
                <w:szCs w:val="24"/>
              </w:rPr>
              <w:t xml:space="preserve"> (Mind, 2025)</w:t>
            </w:r>
            <w:r w:rsidR="0082421A">
              <w:rPr>
                <w:sz w:val="24"/>
                <w:szCs w:val="24"/>
              </w:rPr>
              <w:t xml:space="preserve">.  </w:t>
            </w:r>
            <w:r w:rsidR="00EE2D72">
              <w:rPr>
                <w:sz w:val="24"/>
                <w:szCs w:val="24"/>
              </w:rPr>
              <w:t xml:space="preserve"> </w:t>
            </w:r>
            <w:r w:rsidR="00926152">
              <w:rPr>
                <w:sz w:val="24"/>
                <w:szCs w:val="24"/>
              </w:rPr>
              <w:t xml:space="preserve">MCA 2005 gives powers to deprive adults of their liberty under the “deprivation </w:t>
            </w:r>
            <w:r w:rsidR="00926152">
              <w:rPr>
                <w:sz w:val="24"/>
                <w:szCs w:val="24"/>
              </w:rPr>
              <w:lastRenderedPageBreak/>
              <w:t xml:space="preserve">of liberty safeguards procedure” but must be done in line </w:t>
            </w:r>
            <w:r w:rsidR="00C421BB">
              <w:rPr>
                <w:sz w:val="24"/>
                <w:szCs w:val="24"/>
              </w:rPr>
              <w:t xml:space="preserve">with </w:t>
            </w:r>
            <w:r w:rsidR="00926152">
              <w:rPr>
                <w:sz w:val="24"/>
                <w:szCs w:val="24"/>
              </w:rPr>
              <w:t>the best interest checklist stipulated in Section</w:t>
            </w:r>
            <w:r w:rsidR="00C421BB">
              <w:rPr>
                <w:sz w:val="24"/>
                <w:szCs w:val="24"/>
              </w:rPr>
              <w:t xml:space="preserve"> </w:t>
            </w:r>
            <w:r w:rsidR="00926152">
              <w:rPr>
                <w:sz w:val="24"/>
                <w:szCs w:val="24"/>
              </w:rPr>
              <w:t xml:space="preserve">2 MCA 2005. </w:t>
            </w:r>
          </w:p>
          <w:p w14:paraId="6B705334" w14:textId="77777777" w:rsidR="00C421BB" w:rsidRDefault="00C421BB" w:rsidP="00E743BA">
            <w:pPr>
              <w:spacing w:line="360" w:lineRule="auto"/>
              <w:jc w:val="both"/>
              <w:rPr>
                <w:sz w:val="24"/>
                <w:szCs w:val="24"/>
              </w:rPr>
            </w:pPr>
          </w:p>
          <w:p w14:paraId="31FDB0F4" w14:textId="7A66D003" w:rsidR="00962C39" w:rsidRPr="00962C39" w:rsidRDefault="00CC1AF9" w:rsidP="007C706E">
            <w:pPr>
              <w:spacing w:line="360" w:lineRule="auto"/>
              <w:jc w:val="both"/>
              <w:rPr>
                <w:sz w:val="24"/>
                <w:szCs w:val="24"/>
              </w:rPr>
            </w:pPr>
            <w:r>
              <w:rPr>
                <w:sz w:val="24"/>
                <w:szCs w:val="24"/>
              </w:rPr>
              <w:t>In summary,</w:t>
            </w:r>
            <w:r w:rsidRPr="00CC1AF9">
              <w:rPr>
                <w:sz w:val="24"/>
                <w:szCs w:val="24"/>
              </w:rPr>
              <w:t xml:space="preserve"> children’s safeguarding allows greater powers to intervene and act in the child’s best interest, whereas adults safeguarding promotes empowerment, autonomy, protection of rights and respecting choice.</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3FCA1A41"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475E0CAD" w14:textId="7E19133F" w:rsidR="005C133E" w:rsidRDefault="005C133E" w:rsidP="00FC0334">
            <w:pPr>
              <w:jc w:val="both"/>
              <w:rPr>
                <w:i/>
                <w:sz w:val="24"/>
                <w:szCs w:val="24"/>
              </w:rPr>
            </w:pPr>
          </w:p>
          <w:p w14:paraId="23046641" w14:textId="3A8393B5" w:rsidR="005C133E" w:rsidRDefault="00B73A37" w:rsidP="00FC0334">
            <w:pPr>
              <w:jc w:val="both"/>
              <w:rPr>
                <w:i/>
                <w:sz w:val="24"/>
                <w:szCs w:val="24"/>
              </w:rPr>
            </w:pPr>
            <w:r>
              <w:rPr>
                <w:i/>
                <w:sz w:val="24"/>
                <w:szCs w:val="24"/>
              </w:rPr>
              <w:t>4</w:t>
            </w:r>
            <w:r w:rsidR="00CC1AF9">
              <w:rPr>
                <w:i/>
                <w:sz w:val="24"/>
                <w:szCs w:val="24"/>
              </w:rPr>
              <w:t>2</w:t>
            </w:r>
            <w:r w:rsidR="00C421BB">
              <w:rPr>
                <w:i/>
                <w:sz w:val="24"/>
                <w:szCs w:val="24"/>
              </w:rPr>
              <w:t>3</w:t>
            </w:r>
          </w:p>
          <w:p w14:paraId="1F6BDF45" w14:textId="08612287" w:rsidR="005C133E" w:rsidRDefault="005C133E" w:rsidP="00FC0334">
            <w:pPr>
              <w:jc w:val="both"/>
              <w:rPr>
                <w:i/>
                <w:sz w:val="24"/>
                <w:szCs w:val="24"/>
              </w:rPr>
            </w:pPr>
          </w:p>
          <w:p w14:paraId="1259789E" w14:textId="77777777" w:rsidR="005C133E" w:rsidRDefault="005C133E"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39AB"/>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B3E"/>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5E3"/>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7D74"/>
    <w:rsid w:val="0037066E"/>
    <w:rsid w:val="00372DB4"/>
    <w:rsid w:val="00373A36"/>
    <w:rsid w:val="0037419E"/>
    <w:rsid w:val="00375AF5"/>
    <w:rsid w:val="003761BD"/>
    <w:rsid w:val="00377161"/>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9FF"/>
    <w:rsid w:val="00411EF7"/>
    <w:rsid w:val="00412677"/>
    <w:rsid w:val="00425160"/>
    <w:rsid w:val="00430DE3"/>
    <w:rsid w:val="004348AE"/>
    <w:rsid w:val="004376C0"/>
    <w:rsid w:val="0044223A"/>
    <w:rsid w:val="00447332"/>
    <w:rsid w:val="00450B67"/>
    <w:rsid w:val="00451851"/>
    <w:rsid w:val="0045189A"/>
    <w:rsid w:val="00453343"/>
    <w:rsid w:val="004538C3"/>
    <w:rsid w:val="004608B9"/>
    <w:rsid w:val="00463B55"/>
    <w:rsid w:val="00463E73"/>
    <w:rsid w:val="00465947"/>
    <w:rsid w:val="004667B1"/>
    <w:rsid w:val="004667E0"/>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30D1"/>
    <w:rsid w:val="004A5A64"/>
    <w:rsid w:val="004B5553"/>
    <w:rsid w:val="004B600B"/>
    <w:rsid w:val="004B6822"/>
    <w:rsid w:val="004B69F6"/>
    <w:rsid w:val="004C0D3E"/>
    <w:rsid w:val="004C2D3A"/>
    <w:rsid w:val="004D03C4"/>
    <w:rsid w:val="004D0958"/>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33E"/>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03A5"/>
    <w:rsid w:val="006C2EB5"/>
    <w:rsid w:val="006D18A3"/>
    <w:rsid w:val="006D46E9"/>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1F6A"/>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706E"/>
    <w:rsid w:val="007D0A07"/>
    <w:rsid w:val="007D0F11"/>
    <w:rsid w:val="007D133D"/>
    <w:rsid w:val="007D3EB4"/>
    <w:rsid w:val="007D3F16"/>
    <w:rsid w:val="007E106D"/>
    <w:rsid w:val="007F10BD"/>
    <w:rsid w:val="007F312E"/>
    <w:rsid w:val="007F3F7E"/>
    <w:rsid w:val="007F4BA4"/>
    <w:rsid w:val="00813CEC"/>
    <w:rsid w:val="0081534C"/>
    <w:rsid w:val="00816CE7"/>
    <w:rsid w:val="008171E4"/>
    <w:rsid w:val="008208EA"/>
    <w:rsid w:val="008215FB"/>
    <w:rsid w:val="00822B44"/>
    <w:rsid w:val="0082421A"/>
    <w:rsid w:val="008247FA"/>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152"/>
    <w:rsid w:val="00926436"/>
    <w:rsid w:val="00926C53"/>
    <w:rsid w:val="0093018C"/>
    <w:rsid w:val="0094495F"/>
    <w:rsid w:val="009544C0"/>
    <w:rsid w:val="00954FA4"/>
    <w:rsid w:val="00956AE9"/>
    <w:rsid w:val="00962C39"/>
    <w:rsid w:val="00964CC6"/>
    <w:rsid w:val="00967BFA"/>
    <w:rsid w:val="00967F7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0662"/>
    <w:rsid w:val="00AA252C"/>
    <w:rsid w:val="00AA666E"/>
    <w:rsid w:val="00AA7960"/>
    <w:rsid w:val="00AB5518"/>
    <w:rsid w:val="00AC3A0E"/>
    <w:rsid w:val="00AC4A04"/>
    <w:rsid w:val="00AC5679"/>
    <w:rsid w:val="00AD336F"/>
    <w:rsid w:val="00AE134C"/>
    <w:rsid w:val="00AE1868"/>
    <w:rsid w:val="00AE2564"/>
    <w:rsid w:val="00AE301F"/>
    <w:rsid w:val="00AE3302"/>
    <w:rsid w:val="00AE3CE1"/>
    <w:rsid w:val="00AE5BA6"/>
    <w:rsid w:val="00AE6231"/>
    <w:rsid w:val="00AE7077"/>
    <w:rsid w:val="00AF61C2"/>
    <w:rsid w:val="00AF6CC6"/>
    <w:rsid w:val="00B0296A"/>
    <w:rsid w:val="00B07E79"/>
    <w:rsid w:val="00B12295"/>
    <w:rsid w:val="00B137BE"/>
    <w:rsid w:val="00B15998"/>
    <w:rsid w:val="00B17FA0"/>
    <w:rsid w:val="00B2292C"/>
    <w:rsid w:val="00B22C3C"/>
    <w:rsid w:val="00B238EB"/>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A37"/>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21BB"/>
    <w:rsid w:val="00C4664D"/>
    <w:rsid w:val="00C472AA"/>
    <w:rsid w:val="00C50A05"/>
    <w:rsid w:val="00C54AED"/>
    <w:rsid w:val="00C555FC"/>
    <w:rsid w:val="00C55857"/>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1AF9"/>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D64"/>
    <w:rsid w:val="00E51F91"/>
    <w:rsid w:val="00E5498A"/>
    <w:rsid w:val="00E559CE"/>
    <w:rsid w:val="00E60F42"/>
    <w:rsid w:val="00E6746C"/>
    <w:rsid w:val="00E7086E"/>
    <w:rsid w:val="00E71248"/>
    <w:rsid w:val="00E73C41"/>
    <w:rsid w:val="00E743BA"/>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520"/>
    <w:rsid w:val="00EC3A85"/>
    <w:rsid w:val="00EC4B89"/>
    <w:rsid w:val="00EC59A5"/>
    <w:rsid w:val="00EC6E15"/>
    <w:rsid w:val="00ED1B30"/>
    <w:rsid w:val="00ED5D03"/>
    <w:rsid w:val="00EE01ED"/>
    <w:rsid w:val="00EE1AC1"/>
    <w:rsid w:val="00EE2D72"/>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5E83"/>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0D1B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109510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470</TotalTime>
  <Pages>5</Pages>
  <Words>1136</Words>
  <Characters>6324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Jones</cp:lastModifiedBy>
  <cp:revision>11</cp:revision>
  <cp:lastPrinted>2020-02-11T19:20:00Z</cp:lastPrinted>
  <dcterms:created xsi:type="dcterms:W3CDTF">2024-02-27T15:54:00Z</dcterms:created>
  <dcterms:modified xsi:type="dcterms:W3CDTF">2025-02-16T13:57:00Z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