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E6DB5" w14:textId="77777777" w:rsidR="0010563A" w:rsidRPr="00334AB4" w:rsidRDefault="0010563A" w:rsidP="0010563A">
      <w:pPr>
        <w:pStyle w:val="ListParagraph"/>
        <w:numPr>
          <w:ilvl w:val="0"/>
          <w:numId w:val="1"/>
        </w:numPr>
        <w:ind w:left="567" w:hanging="567"/>
        <w:rPr>
          <w:rFonts w:ascii="Arial" w:hAnsi="Arial" w:cs="Arial"/>
        </w:rPr>
      </w:pPr>
      <w:r w:rsidRPr="00334AB4">
        <w:rPr>
          <w:rFonts w:ascii="Arial" w:hAnsi="Arial" w:cs="Arial"/>
        </w:rPr>
        <w:t xml:space="preserve">Applying the provisions of IAS 36 </w:t>
      </w:r>
      <w:r w:rsidRPr="00334AB4">
        <w:rPr>
          <w:rFonts w:ascii="Arial" w:hAnsi="Arial" w:cs="Arial"/>
          <w:i/>
        </w:rPr>
        <w:t>Impairment of Assets</w:t>
      </w:r>
      <w:r w:rsidRPr="00334AB4">
        <w:rPr>
          <w:rFonts w:ascii="Arial" w:hAnsi="Arial" w:cs="Arial"/>
        </w:rPr>
        <w:t>, explain the criteria for determining whether an asset is impaired and to which categories of assets the provisions apply.</w:t>
      </w:r>
    </w:p>
    <w:p w14:paraId="7C30B67D" w14:textId="1DA51DCB" w:rsidR="0010563A" w:rsidRDefault="0010563A" w:rsidP="0010563A">
      <w:pPr>
        <w:ind w:left="720" w:hanging="720"/>
        <w:rPr>
          <w:rFonts w:ascii="Arial" w:hAnsi="Arial" w:cs="Arial"/>
        </w:rPr>
      </w:pPr>
    </w:p>
    <w:p w14:paraId="6274A406" w14:textId="77777777" w:rsidR="0010563A" w:rsidRPr="00334AB4" w:rsidRDefault="0010563A" w:rsidP="0010563A">
      <w:pPr>
        <w:ind w:left="720" w:hanging="720"/>
        <w:rPr>
          <w:rFonts w:ascii="Arial" w:hAnsi="Arial" w:cs="Arial"/>
        </w:rPr>
      </w:pPr>
    </w:p>
    <w:p w14:paraId="73D5D3D7" w14:textId="77777777" w:rsidR="0010563A" w:rsidRPr="00334AB4" w:rsidRDefault="0010563A" w:rsidP="0010563A">
      <w:pPr>
        <w:pStyle w:val="ListParagraph"/>
        <w:numPr>
          <w:ilvl w:val="0"/>
          <w:numId w:val="1"/>
        </w:numPr>
        <w:ind w:left="567" w:hanging="567"/>
        <w:rPr>
          <w:rFonts w:ascii="Arial" w:hAnsi="Arial" w:cs="Arial"/>
        </w:rPr>
      </w:pPr>
      <w:r w:rsidRPr="00334AB4">
        <w:rPr>
          <w:rFonts w:ascii="Arial" w:hAnsi="Arial" w:cs="Arial"/>
        </w:rPr>
        <w:t xml:space="preserve">Prometheus invested £650,000 in a new item of plant on 1 May 2016 </w:t>
      </w:r>
      <w:proofErr w:type="gramStart"/>
      <w:r w:rsidRPr="00334AB4">
        <w:rPr>
          <w:rFonts w:ascii="Arial" w:hAnsi="Arial" w:cs="Arial"/>
        </w:rPr>
        <w:t>for the production of</w:t>
      </w:r>
      <w:proofErr w:type="gramEnd"/>
      <w:r w:rsidRPr="00334AB4">
        <w:rPr>
          <w:rFonts w:ascii="Arial" w:hAnsi="Arial" w:cs="Arial"/>
        </w:rPr>
        <w:t xml:space="preserve"> a building product exclusive to a major supplier to the construction sector.</w:t>
      </w:r>
    </w:p>
    <w:p w14:paraId="6D2CD7D0" w14:textId="77777777" w:rsidR="0010563A" w:rsidRPr="00EC0691" w:rsidRDefault="0010563A" w:rsidP="0010563A">
      <w:pPr>
        <w:ind w:left="567"/>
        <w:rPr>
          <w:rFonts w:ascii="Arial" w:hAnsi="Arial" w:cs="Arial"/>
        </w:rPr>
      </w:pPr>
    </w:p>
    <w:p w14:paraId="6C603860" w14:textId="77777777" w:rsidR="0010563A" w:rsidRPr="00EC0691" w:rsidRDefault="0010563A" w:rsidP="0010563A">
      <w:pPr>
        <w:ind w:left="567"/>
        <w:rPr>
          <w:rFonts w:ascii="Arial" w:hAnsi="Arial" w:cs="Arial"/>
        </w:rPr>
      </w:pPr>
      <w:r w:rsidRPr="00EC0691">
        <w:rPr>
          <w:rFonts w:ascii="Arial" w:hAnsi="Arial" w:cs="Arial"/>
        </w:rPr>
        <w:t>The item of plant has an estimated life of 5 years and is being depreciated on a straight-line basis.</w:t>
      </w:r>
    </w:p>
    <w:p w14:paraId="425FB7C8" w14:textId="77777777" w:rsidR="0010563A" w:rsidRPr="00EC0691" w:rsidRDefault="0010563A" w:rsidP="0010563A">
      <w:pPr>
        <w:ind w:left="567"/>
        <w:rPr>
          <w:rFonts w:ascii="Arial" w:hAnsi="Arial" w:cs="Arial"/>
        </w:rPr>
      </w:pPr>
    </w:p>
    <w:p w14:paraId="6D1A45B3" w14:textId="77777777" w:rsidR="0010563A" w:rsidRPr="00EC0691" w:rsidRDefault="0010563A" w:rsidP="0010563A">
      <w:pPr>
        <w:ind w:left="567"/>
        <w:rPr>
          <w:rFonts w:ascii="Arial" w:hAnsi="Arial" w:cs="Arial"/>
        </w:rPr>
      </w:pPr>
      <w:r w:rsidRPr="00EC0691">
        <w:rPr>
          <w:rFonts w:ascii="Arial" w:hAnsi="Arial" w:cs="Arial"/>
        </w:rPr>
        <w:t>On 30 April 2018 Prometheus was informed by its customer that because of competition from other similar products in the marketplace it would be reducing the order quantities of the exclusive product.</w:t>
      </w:r>
    </w:p>
    <w:p w14:paraId="23F0E043" w14:textId="77777777" w:rsidR="0010563A" w:rsidRPr="00EC0691" w:rsidRDefault="0010563A" w:rsidP="0010563A">
      <w:pPr>
        <w:ind w:left="567"/>
        <w:rPr>
          <w:rFonts w:ascii="Arial" w:hAnsi="Arial" w:cs="Arial"/>
        </w:rPr>
      </w:pPr>
    </w:p>
    <w:p w14:paraId="00EE21BD" w14:textId="43BE8CC0" w:rsidR="0010563A" w:rsidRPr="00EC0691" w:rsidRDefault="0010563A" w:rsidP="0010563A">
      <w:pPr>
        <w:rPr>
          <w:rFonts w:ascii="Arial" w:hAnsi="Arial" w:cs="Arial"/>
        </w:rPr>
      </w:pPr>
      <w:r w:rsidRPr="00EC0691">
        <w:rPr>
          <w:rFonts w:ascii="Arial" w:hAnsi="Arial" w:cs="Arial"/>
        </w:rPr>
        <w:t>Following this news Prometheus now estimates that its net cash flows earned from the item of plant in the next 3 years will be:</w:t>
      </w:r>
    </w:p>
    <w:p w14:paraId="4A9101F0" w14:textId="77777777" w:rsidR="0010563A" w:rsidRPr="00334AB4" w:rsidRDefault="0010563A" w:rsidP="0010563A">
      <w:pPr>
        <w:ind w:left="567"/>
        <w:rPr>
          <w:rFonts w:ascii="Arial" w:hAnsi="Arial" w:cs="Aria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</w:tblGrid>
      <w:tr w:rsidR="0010563A" w:rsidRPr="00EC0691" w14:paraId="1C416C41" w14:textId="77777777" w:rsidTr="006B7B07">
        <w:tc>
          <w:tcPr>
            <w:tcW w:w="3261" w:type="dxa"/>
          </w:tcPr>
          <w:p w14:paraId="38042975" w14:textId="77777777" w:rsidR="0010563A" w:rsidRPr="00EC0691" w:rsidRDefault="0010563A" w:rsidP="006B7B07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14:paraId="12B74792" w14:textId="77777777" w:rsidR="0010563A" w:rsidRPr="00EC0691" w:rsidRDefault="0010563A" w:rsidP="006B7B07">
            <w:pPr>
              <w:rPr>
                <w:rFonts w:ascii="Arial" w:hAnsi="Arial" w:cs="Arial"/>
                <w:b/>
              </w:rPr>
            </w:pPr>
            <w:r w:rsidRPr="00EC0691">
              <w:rPr>
                <w:rFonts w:ascii="Arial" w:hAnsi="Arial" w:cs="Arial"/>
                <w:b/>
              </w:rPr>
              <w:t>£000</w:t>
            </w:r>
          </w:p>
        </w:tc>
      </w:tr>
      <w:tr w:rsidR="0010563A" w:rsidRPr="00EC0691" w14:paraId="108C7BA7" w14:textId="77777777" w:rsidTr="006B7B07">
        <w:tc>
          <w:tcPr>
            <w:tcW w:w="3261" w:type="dxa"/>
          </w:tcPr>
          <w:p w14:paraId="14E2C6A4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Year ended 30 April 2019</w:t>
            </w:r>
          </w:p>
        </w:tc>
        <w:tc>
          <w:tcPr>
            <w:tcW w:w="992" w:type="dxa"/>
          </w:tcPr>
          <w:p w14:paraId="5AEB50ED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180</w:t>
            </w:r>
          </w:p>
        </w:tc>
      </w:tr>
      <w:tr w:rsidR="0010563A" w:rsidRPr="00EC0691" w14:paraId="172C3666" w14:textId="77777777" w:rsidTr="006B7B07">
        <w:tc>
          <w:tcPr>
            <w:tcW w:w="3261" w:type="dxa"/>
          </w:tcPr>
          <w:p w14:paraId="78706A31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Year ended 30 April 2020</w:t>
            </w:r>
          </w:p>
        </w:tc>
        <w:tc>
          <w:tcPr>
            <w:tcW w:w="992" w:type="dxa"/>
          </w:tcPr>
          <w:p w14:paraId="0BA6C04E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150</w:t>
            </w:r>
          </w:p>
        </w:tc>
      </w:tr>
      <w:tr w:rsidR="0010563A" w:rsidRPr="00EC0691" w14:paraId="3C6220F3" w14:textId="77777777" w:rsidTr="006B7B07">
        <w:tc>
          <w:tcPr>
            <w:tcW w:w="3261" w:type="dxa"/>
          </w:tcPr>
          <w:p w14:paraId="162F942A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Year ended 30 April 2021</w:t>
            </w:r>
          </w:p>
        </w:tc>
        <w:tc>
          <w:tcPr>
            <w:tcW w:w="992" w:type="dxa"/>
          </w:tcPr>
          <w:p w14:paraId="3A53D012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120</w:t>
            </w:r>
          </w:p>
        </w:tc>
      </w:tr>
    </w:tbl>
    <w:p w14:paraId="1B96DF06" w14:textId="77777777" w:rsidR="0010563A" w:rsidRPr="00EC0691" w:rsidRDefault="0010563A" w:rsidP="0010563A">
      <w:pPr>
        <w:ind w:left="567"/>
        <w:rPr>
          <w:rFonts w:ascii="Arial" w:hAnsi="Arial" w:cs="Arial"/>
        </w:rPr>
      </w:pPr>
    </w:p>
    <w:p w14:paraId="05F6AD5E" w14:textId="77777777" w:rsidR="0010563A" w:rsidRPr="00EC0691" w:rsidRDefault="0010563A" w:rsidP="0010563A">
      <w:pPr>
        <w:ind w:left="567"/>
        <w:rPr>
          <w:rFonts w:ascii="Arial" w:hAnsi="Arial" w:cs="Arial"/>
        </w:rPr>
      </w:pPr>
      <w:r w:rsidRPr="00EC0691">
        <w:rPr>
          <w:rFonts w:ascii="Arial" w:hAnsi="Arial" w:cs="Arial"/>
        </w:rPr>
        <w:t xml:space="preserve">Prometheus has indicated that the current market value of the item of plant would be only £80,000. </w:t>
      </w:r>
    </w:p>
    <w:p w14:paraId="6365ADDD" w14:textId="77777777" w:rsidR="0010563A" w:rsidRPr="00EC0691" w:rsidRDefault="0010563A" w:rsidP="0010563A">
      <w:pPr>
        <w:ind w:left="567"/>
        <w:rPr>
          <w:rFonts w:ascii="Arial" w:hAnsi="Arial" w:cs="Arial"/>
        </w:rPr>
      </w:pPr>
    </w:p>
    <w:p w14:paraId="4ECBD266" w14:textId="77777777" w:rsidR="0010563A" w:rsidRPr="00EC0691" w:rsidRDefault="0010563A" w:rsidP="0010563A">
      <w:pPr>
        <w:ind w:left="567"/>
        <w:rPr>
          <w:rFonts w:ascii="Arial" w:hAnsi="Arial" w:cs="Arial"/>
        </w:rPr>
      </w:pPr>
      <w:r w:rsidRPr="00EC0691">
        <w:rPr>
          <w:rFonts w:ascii="Arial" w:hAnsi="Arial" w:cs="Arial"/>
        </w:rPr>
        <w:t>Prometheus's cost of capital is 10%. The discount rates at 10% are as below:</w:t>
      </w:r>
    </w:p>
    <w:p w14:paraId="7C536818" w14:textId="77777777" w:rsidR="0010563A" w:rsidRPr="00EC0691" w:rsidRDefault="0010563A" w:rsidP="0010563A">
      <w:pPr>
        <w:ind w:left="567"/>
        <w:rPr>
          <w:rFonts w:ascii="Arial" w:hAnsi="Arial" w:cs="Aria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</w:tblGrid>
      <w:tr w:rsidR="0010563A" w:rsidRPr="00EC0691" w14:paraId="1A91F6D7" w14:textId="77777777" w:rsidTr="006B7B07">
        <w:tc>
          <w:tcPr>
            <w:tcW w:w="3261" w:type="dxa"/>
          </w:tcPr>
          <w:p w14:paraId="26CD6724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Year ended 30 April 2019</w:t>
            </w:r>
          </w:p>
        </w:tc>
        <w:tc>
          <w:tcPr>
            <w:tcW w:w="992" w:type="dxa"/>
          </w:tcPr>
          <w:p w14:paraId="30FAA4D3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0.91</w:t>
            </w:r>
          </w:p>
        </w:tc>
      </w:tr>
      <w:tr w:rsidR="0010563A" w:rsidRPr="00EC0691" w14:paraId="6F7D5F76" w14:textId="77777777" w:rsidTr="006B7B07">
        <w:tc>
          <w:tcPr>
            <w:tcW w:w="3261" w:type="dxa"/>
          </w:tcPr>
          <w:p w14:paraId="6CB754D1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Year ended 30 April 2020</w:t>
            </w:r>
          </w:p>
        </w:tc>
        <w:tc>
          <w:tcPr>
            <w:tcW w:w="992" w:type="dxa"/>
          </w:tcPr>
          <w:p w14:paraId="503DD767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0.83</w:t>
            </w:r>
          </w:p>
        </w:tc>
      </w:tr>
      <w:tr w:rsidR="0010563A" w:rsidRPr="00EC0691" w14:paraId="614B73A7" w14:textId="77777777" w:rsidTr="006B7B07">
        <w:tc>
          <w:tcPr>
            <w:tcW w:w="3261" w:type="dxa"/>
          </w:tcPr>
          <w:p w14:paraId="37C411ED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Year ended 30 April 2021</w:t>
            </w:r>
          </w:p>
        </w:tc>
        <w:tc>
          <w:tcPr>
            <w:tcW w:w="992" w:type="dxa"/>
          </w:tcPr>
          <w:p w14:paraId="77F085D7" w14:textId="77777777" w:rsidR="0010563A" w:rsidRPr="00EC0691" w:rsidRDefault="0010563A" w:rsidP="006B7B07">
            <w:pPr>
              <w:rPr>
                <w:rFonts w:ascii="Arial" w:hAnsi="Arial" w:cs="Arial"/>
              </w:rPr>
            </w:pPr>
            <w:r w:rsidRPr="00EC0691">
              <w:rPr>
                <w:rFonts w:ascii="Arial" w:hAnsi="Arial" w:cs="Arial"/>
              </w:rPr>
              <w:t>0.75</w:t>
            </w:r>
          </w:p>
        </w:tc>
      </w:tr>
    </w:tbl>
    <w:p w14:paraId="26A0B2E6" w14:textId="77777777" w:rsidR="0010563A" w:rsidRPr="00EC0691" w:rsidRDefault="0010563A" w:rsidP="0010563A">
      <w:pPr>
        <w:ind w:left="567"/>
        <w:rPr>
          <w:rFonts w:ascii="Arial" w:hAnsi="Arial" w:cs="Arial"/>
        </w:rPr>
      </w:pPr>
    </w:p>
    <w:p w14:paraId="7DFBE43D" w14:textId="77777777" w:rsidR="0010563A" w:rsidRPr="00EC0691" w:rsidRDefault="0010563A" w:rsidP="0010563A">
      <w:pPr>
        <w:ind w:left="567"/>
        <w:rPr>
          <w:rFonts w:ascii="Arial" w:hAnsi="Arial" w:cs="Arial"/>
          <w:b/>
        </w:rPr>
      </w:pPr>
      <w:r w:rsidRPr="00EC0691">
        <w:rPr>
          <w:rFonts w:ascii="Arial" w:hAnsi="Arial" w:cs="Arial"/>
          <w:b/>
          <w:u w:val="single"/>
        </w:rPr>
        <w:t>Required</w:t>
      </w:r>
      <w:r w:rsidRPr="00EC0691">
        <w:rPr>
          <w:rFonts w:ascii="Arial" w:hAnsi="Arial" w:cs="Arial"/>
          <w:b/>
        </w:rPr>
        <w:t>:</w:t>
      </w:r>
    </w:p>
    <w:p w14:paraId="436FEB53" w14:textId="77777777" w:rsidR="0010563A" w:rsidRPr="00EC0691" w:rsidRDefault="0010563A" w:rsidP="0010563A">
      <w:pPr>
        <w:ind w:left="567"/>
        <w:rPr>
          <w:rFonts w:ascii="Arial" w:hAnsi="Arial" w:cs="Arial"/>
        </w:rPr>
      </w:pPr>
    </w:p>
    <w:p w14:paraId="37A3B009" w14:textId="77777777" w:rsidR="0010563A" w:rsidRPr="00EC0691" w:rsidRDefault="0010563A" w:rsidP="0010563A">
      <w:pPr>
        <w:ind w:left="567"/>
        <w:rPr>
          <w:rFonts w:ascii="Arial" w:hAnsi="Arial" w:cs="Arial"/>
        </w:rPr>
      </w:pPr>
      <w:r w:rsidRPr="00EC0691">
        <w:rPr>
          <w:rFonts w:ascii="Arial" w:hAnsi="Arial" w:cs="Arial"/>
        </w:rPr>
        <w:t>Calculate whether any impairment has arisen and identify the value at which the item of plant should be carried in Prometheus's financial statements at 30 April 2018.</w:t>
      </w:r>
    </w:p>
    <w:p w14:paraId="3E961FA7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E5025C"/>
    <w:multiLevelType w:val="hybridMultilevel"/>
    <w:tmpl w:val="ECCAB0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63A"/>
    <w:rsid w:val="0010563A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7B105"/>
  <w15:chartTrackingRefBased/>
  <w15:docId w15:val="{15EC93C8-ACF5-4996-AE89-D21767F3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2021-03-11T11:54:00Z</dcterms:created>
  <dcterms:modified xsi:type="dcterms:W3CDTF">2021-03-11T11:54:00Z</dcterms:modified>
</cp:coreProperties>
</file>