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8A75F" w14:textId="68A9D4BC" w:rsidR="005B4111" w:rsidRPr="005B4111" w:rsidRDefault="005B4111" w:rsidP="005B4111">
      <w:pPr>
        <w:spacing w:after="0"/>
      </w:pPr>
      <w:r w:rsidRPr="005B4111">
        <w:t>Introduction to Human Physiology</w:t>
      </w:r>
    </w:p>
    <w:p w14:paraId="6014CAEE" w14:textId="18B9EFD2" w:rsidR="005B4111" w:rsidRDefault="005B4111" w:rsidP="005B4111">
      <w:pPr>
        <w:spacing w:after="0"/>
      </w:pPr>
      <w:r>
        <w:t>Clare Thomas</w:t>
      </w:r>
    </w:p>
    <w:p w14:paraId="202A4D4F" w14:textId="77777777" w:rsidR="005B4111" w:rsidRDefault="005B4111" w:rsidP="005B4111">
      <w:pPr>
        <w:spacing w:after="0"/>
      </w:pPr>
      <w:r>
        <w:t>Student number 2514560</w:t>
      </w:r>
    </w:p>
    <w:p w14:paraId="253A0FAD" w14:textId="77777777" w:rsidR="007F12D5" w:rsidRDefault="005B4111" w:rsidP="002910C7">
      <w:pPr>
        <w:spacing w:after="0"/>
      </w:pPr>
      <w:r>
        <w:t>19</w:t>
      </w:r>
      <w:r w:rsidRPr="005B4111">
        <w:rPr>
          <w:vertAlign w:val="superscript"/>
        </w:rPr>
        <w:t>th</w:t>
      </w:r>
      <w:r>
        <w:t xml:space="preserve"> February 2026</w:t>
      </w:r>
    </w:p>
    <w:p w14:paraId="4648A391" w14:textId="77777777" w:rsidR="002B13AC" w:rsidRDefault="002B13AC" w:rsidP="002910C7">
      <w:pPr>
        <w:spacing w:after="0"/>
      </w:pPr>
    </w:p>
    <w:p w14:paraId="4DFD8716" w14:textId="77777777" w:rsidR="003873FB" w:rsidRPr="003873FB" w:rsidRDefault="003873FB" w:rsidP="003873FB">
      <w:pPr>
        <w:spacing w:after="0"/>
        <w:rPr>
          <w:rFonts w:ascii="Times New Roman" w:hAnsi="Times New Roman" w:cs="Times New Roman"/>
          <w:sz w:val="22"/>
          <w:szCs w:val="22"/>
        </w:rPr>
      </w:pPr>
      <w:r w:rsidRPr="003873FB">
        <w:rPr>
          <w:rFonts w:ascii="Times New Roman" w:hAnsi="Times New Roman" w:cs="Times New Roman"/>
          <w:sz w:val="22"/>
          <w:szCs w:val="22"/>
        </w:rPr>
        <w:t>AI Acknowledgement Statement</w:t>
      </w:r>
    </w:p>
    <w:p w14:paraId="12342A04" w14:textId="77777777" w:rsidR="003873FB" w:rsidRPr="003873FB" w:rsidRDefault="003873FB" w:rsidP="003873FB">
      <w:pPr>
        <w:spacing w:after="0"/>
        <w:rPr>
          <w:rFonts w:ascii="Times New Roman" w:hAnsi="Times New Roman" w:cs="Times New Roman"/>
          <w:sz w:val="22"/>
          <w:szCs w:val="22"/>
        </w:rPr>
      </w:pPr>
      <w:r w:rsidRPr="003873FB">
        <w:rPr>
          <w:rFonts w:ascii="Times New Roman" w:hAnsi="Times New Roman" w:cs="Times New Roman"/>
          <w:sz w:val="22"/>
          <w:szCs w:val="22"/>
        </w:rPr>
        <w:t>I acknowledge the use of the AI tools listed below. I confirm that I have not presented any AI-generated text as my own work. I confirm that I have retained copies of my drafts, notes, and other resources used before and after the use of AI tools, which I may be asked to provide in evidence.</w:t>
      </w:r>
    </w:p>
    <w:p w14:paraId="763C98D1" w14:textId="77777777" w:rsidR="003873FB" w:rsidRPr="003873FB" w:rsidRDefault="003873FB" w:rsidP="003873FB">
      <w:pPr>
        <w:spacing w:after="0"/>
        <w:rPr>
          <w:rFonts w:ascii="Times New Roman" w:hAnsi="Times New Roman" w:cs="Times New Roman"/>
          <w:sz w:val="22"/>
          <w:szCs w:val="22"/>
        </w:rPr>
      </w:pPr>
      <w:r w:rsidRPr="003873FB">
        <w:rPr>
          <w:rFonts w:ascii="Times New Roman" w:hAnsi="Times New Roman" w:cs="Times New Roman"/>
          <w:sz w:val="22"/>
          <w:szCs w:val="22"/>
        </w:rPr>
        <w:t>For this assessment, Generative AI was used only to support research, structure, and proofreading. AI was not used to generate any sections of the final submission, create original written content, images, or code.</w:t>
      </w:r>
    </w:p>
    <w:p w14:paraId="3E4362F2" w14:textId="77777777" w:rsidR="002B13AC" w:rsidRDefault="002B13AC" w:rsidP="002B13AC">
      <w:pPr>
        <w:spacing w:after="0"/>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7"/>
        <w:gridCol w:w="1154"/>
        <w:gridCol w:w="1458"/>
        <w:gridCol w:w="3597"/>
      </w:tblGrid>
      <w:tr w:rsidR="00D050CA" w:rsidRPr="00D050CA" w14:paraId="3920CA79" w14:textId="77777777">
        <w:trPr>
          <w:tblHeader/>
          <w:tblCellSpacing w:w="15" w:type="dxa"/>
        </w:trPr>
        <w:tc>
          <w:tcPr>
            <w:tcW w:w="0" w:type="auto"/>
            <w:vAlign w:val="center"/>
            <w:hideMark/>
          </w:tcPr>
          <w:p w14:paraId="669F7A84" w14:textId="77777777" w:rsidR="00D050CA" w:rsidRPr="00D050CA" w:rsidRDefault="00D050CA" w:rsidP="00D050CA">
            <w:pPr>
              <w:spacing w:after="0"/>
              <w:rPr>
                <w:rFonts w:ascii="Times New Roman" w:hAnsi="Times New Roman" w:cs="Times New Roman"/>
                <w:b/>
                <w:bCs/>
              </w:rPr>
            </w:pPr>
            <w:r w:rsidRPr="00D050CA">
              <w:rPr>
                <w:rFonts w:ascii="Times New Roman" w:hAnsi="Times New Roman" w:cs="Times New Roman"/>
                <w:b/>
                <w:bCs/>
              </w:rPr>
              <w:t>AI Tool (with URL)</w:t>
            </w:r>
          </w:p>
        </w:tc>
        <w:tc>
          <w:tcPr>
            <w:tcW w:w="0" w:type="auto"/>
            <w:vAlign w:val="center"/>
            <w:hideMark/>
          </w:tcPr>
          <w:p w14:paraId="0F2C06FA" w14:textId="77777777" w:rsidR="00D050CA" w:rsidRPr="00D050CA" w:rsidRDefault="00D050CA" w:rsidP="00D050CA">
            <w:pPr>
              <w:spacing w:after="0"/>
              <w:rPr>
                <w:rFonts w:ascii="Times New Roman" w:hAnsi="Times New Roman" w:cs="Times New Roman"/>
                <w:b/>
                <w:bCs/>
              </w:rPr>
            </w:pPr>
            <w:r w:rsidRPr="00D050CA">
              <w:rPr>
                <w:rFonts w:ascii="Times New Roman" w:hAnsi="Times New Roman" w:cs="Times New Roman"/>
                <w:b/>
                <w:bCs/>
              </w:rPr>
              <w:t>Date used</w:t>
            </w:r>
          </w:p>
        </w:tc>
        <w:tc>
          <w:tcPr>
            <w:tcW w:w="0" w:type="auto"/>
            <w:vAlign w:val="center"/>
            <w:hideMark/>
          </w:tcPr>
          <w:p w14:paraId="27146350" w14:textId="77777777" w:rsidR="00D050CA" w:rsidRPr="00D050CA" w:rsidRDefault="00D050CA" w:rsidP="00D050CA">
            <w:pPr>
              <w:spacing w:after="0"/>
              <w:rPr>
                <w:rFonts w:ascii="Times New Roman" w:hAnsi="Times New Roman" w:cs="Times New Roman"/>
                <w:b/>
                <w:bCs/>
              </w:rPr>
            </w:pPr>
            <w:r w:rsidRPr="00D050CA">
              <w:rPr>
                <w:rFonts w:ascii="Times New Roman" w:hAnsi="Times New Roman" w:cs="Times New Roman"/>
                <w:b/>
                <w:bCs/>
              </w:rPr>
              <w:t>Why did you use this tool?</w:t>
            </w:r>
          </w:p>
        </w:tc>
        <w:tc>
          <w:tcPr>
            <w:tcW w:w="0" w:type="auto"/>
            <w:vAlign w:val="center"/>
            <w:hideMark/>
          </w:tcPr>
          <w:p w14:paraId="5432BA45" w14:textId="77777777" w:rsidR="00D050CA" w:rsidRPr="00D050CA" w:rsidRDefault="00D050CA" w:rsidP="00D050CA">
            <w:pPr>
              <w:spacing w:after="0"/>
              <w:rPr>
                <w:rFonts w:ascii="Times New Roman" w:hAnsi="Times New Roman" w:cs="Times New Roman"/>
                <w:b/>
                <w:bCs/>
              </w:rPr>
            </w:pPr>
            <w:r w:rsidRPr="00D050CA">
              <w:rPr>
                <w:rFonts w:ascii="Times New Roman" w:hAnsi="Times New Roman" w:cs="Times New Roman"/>
                <w:b/>
                <w:bCs/>
              </w:rPr>
              <w:t>Example prompt(s)</w:t>
            </w:r>
          </w:p>
        </w:tc>
      </w:tr>
      <w:tr w:rsidR="00D050CA" w:rsidRPr="00D050CA" w14:paraId="41DB2B56" w14:textId="77777777">
        <w:trPr>
          <w:tblCellSpacing w:w="15" w:type="dxa"/>
        </w:trPr>
        <w:tc>
          <w:tcPr>
            <w:tcW w:w="0" w:type="auto"/>
            <w:vAlign w:val="center"/>
            <w:hideMark/>
          </w:tcPr>
          <w:p w14:paraId="3A0462E4" w14:textId="77777777" w:rsidR="00D050CA" w:rsidRPr="00D050CA" w:rsidRDefault="00D050CA" w:rsidP="00D050CA">
            <w:pPr>
              <w:spacing w:after="0"/>
              <w:rPr>
                <w:rFonts w:ascii="Times New Roman" w:hAnsi="Times New Roman" w:cs="Times New Roman"/>
              </w:rPr>
            </w:pPr>
            <w:hyperlink r:id="rId6" w:history="1">
              <w:r w:rsidRPr="00D050CA">
                <w:rPr>
                  <w:rStyle w:val="Hyperlink"/>
                  <w:rFonts w:ascii="Times New Roman" w:hAnsi="Times New Roman" w:cs="Times New Roman"/>
                  <w:color w:val="auto"/>
                </w:rPr>
                <w:t>https://www.grammarly.com</w:t>
              </w:r>
            </w:hyperlink>
          </w:p>
        </w:tc>
        <w:tc>
          <w:tcPr>
            <w:tcW w:w="0" w:type="auto"/>
            <w:vAlign w:val="center"/>
            <w:hideMark/>
          </w:tcPr>
          <w:p w14:paraId="5552A3FC"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20/02/2026</w:t>
            </w:r>
          </w:p>
        </w:tc>
        <w:tc>
          <w:tcPr>
            <w:tcW w:w="0" w:type="auto"/>
            <w:vAlign w:val="center"/>
            <w:hideMark/>
          </w:tcPr>
          <w:p w14:paraId="5E69EE9C"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Proofreading</w:t>
            </w:r>
          </w:p>
        </w:tc>
        <w:tc>
          <w:tcPr>
            <w:tcW w:w="0" w:type="auto"/>
            <w:vAlign w:val="center"/>
            <w:hideMark/>
          </w:tcPr>
          <w:p w14:paraId="20F3BE60"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Please check the following text for grammar, spelling, and academic tone without changing meaning.</w:t>
            </w:r>
          </w:p>
        </w:tc>
      </w:tr>
      <w:tr w:rsidR="00D050CA" w:rsidRPr="00D050CA" w14:paraId="6D1791B0" w14:textId="77777777">
        <w:trPr>
          <w:tblCellSpacing w:w="15" w:type="dxa"/>
        </w:trPr>
        <w:tc>
          <w:tcPr>
            <w:tcW w:w="0" w:type="auto"/>
            <w:vAlign w:val="center"/>
            <w:hideMark/>
          </w:tcPr>
          <w:p w14:paraId="101A6081" w14:textId="77777777" w:rsidR="00D050CA" w:rsidRPr="00D050CA" w:rsidRDefault="00D050CA" w:rsidP="00D050CA">
            <w:pPr>
              <w:spacing w:after="0"/>
              <w:rPr>
                <w:rFonts w:ascii="Times New Roman" w:hAnsi="Times New Roman" w:cs="Times New Roman"/>
              </w:rPr>
            </w:pPr>
            <w:hyperlink r:id="rId7" w:history="1">
              <w:r w:rsidRPr="00D050CA">
                <w:rPr>
                  <w:rStyle w:val="Hyperlink"/>
                  <w:rFonts w:ascii="Times New Roman" w:hAnsi="Times New Roman" w:cs="Times New Roman"/>
                  <w:color w:val="auto"/>
                </w:rPr>
                <w:t>https://chat.openai.com</w:t>
              </w:r>
            </w:hyperlink>
          </w:p>
        </w:tc>
        <w:tc>
          <w:tcPr>
            <w:tcW w:w="0" w:type="auto"/>
            <w:vAlign w:val="center"/>
            <w:hideMark/>
          </w:tcPr>
          <w:p w14:paraId="5EF4FBAB"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18/02/2026</w:t>
            </w:r>
          </w:p>
        </w:tc>
        <w:tc>
          <w:tcPr>
            <w:tcW w:w="0" w:type="auto"/>
            <w:vAlign w:val="center"/>
            <w:hideMark/>
          </w:tcPr>
          <w:p w14:paraId="7767C1E8"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Structuring</w:t>
            </w:r>
          </w:p>
        </w:tc>
        <w:tc>
          <w:tcPr>
            <w:tcW w:w="0" w:type="auto"/>
            <w:vAlign w:val="center"/>
            <w:hideMark/>
          </w:tcPr>
          <w:p w14:paraId="6286EBF9"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Suggest a clear academic structure and appropriate headings for this assessment.</w:t>
            </w:r>
          </w:p>
        </w:tc>
      </w:tr>
      <w:tr w:rsidR="00D050CA" w:rsidRPr="00D050CA" w14:paraId="75F7C64A" w14:textId="77777777">
        <w:trPr>
          <w:tblCellSpacing w:w="15" w:type="dxa"/>
        </w:trPr>
        <w:tc>
          <w:tcPr>
            <w:tcW w:w="0" w:type="auto"/>
            <w:vAlign w:val="center"/>
            <w:hideMark/>
          </w:tcPr>
          <w:p w14:paraId="3C3CEBCC" w14:textId="77777777" w:rsidR="00D050CA" w:rsidRPr="00D050CA" w:rsidRDefault="00D050CA" w:rsidP="00D050CA">
            <w:pPr>
              <w:spacing w:after="0"/>
              <w:rPr>
                <w:rFonts w:ascii="Times New Roman" w:hAnsi="Times New Roman" w:cs="Times New Roman"/>
              </w:rPr>
            </w:pPr>
            <w:hyperlink r:id="rId8" w:history="1">
              <w:r w:rsidRPr="00D050CA">
                <w:rPr>
                  <w:rStyle w:val="Hyperlink"/>
                  <w:rFonts w:ascii="Times New Roman" w:hAnsi="Times New Roman" w:cs="Times New Roman"/>
                  <w:color w:val="auto"/>
                </w:rPr>
                <w:t>https://chat.openai.com</w:t>
              </w:r>
            </w:hyperlink>
          </w:p>
        </w:tc>
        <w:tc>
          <w:tcPr>
            <w:tcW w:w="0" w:type="auto"/>
            <w:vAlign w:val="center"/>
            <w:hideMark/>
          </w:tcPr>
          <w:p w14:paraId="082EC974"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18/02/2026</w:t>
            </w:r>
          </w:p>
        </w:tc>
        <w:tc>
          <w:tcPr>
            <w:tcW w:w="0" w:type="auto"/>
            <w:vAlign w:val="center"/>
            <w:hideMark/>
          </w:tcPr>
          <w:p w14:paraId="05F3208A"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Research support</w:t>
            </w:r>
          </w:p>
        </w:tc>
        <w:tc>
          <w:tcPr>
            <w:tcW w:w="0" w:type="auto"/>
            <w:vAlign w:val="center"/>
            <w:hideMark/>
          </w:tcPr>
          <w:p w14:paraId="5B3406DA"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Identify evidence-based health and fitness assessments and key sources (e.g., ACSM, WHO) relevant to body composition, cardiovascular fitness, muscular strength/endurance, and flexibility.</w:t>
            </w:r>
          </w:p>
        </w:tc>
      </w:tr>
      <w:tr w:rsidR="00D050CA" w:rsidRPr="00D050CA" w14:paraId="263ACB92" w14:textId="77777777">
        <w:trPr>
          <w:tblCellSpacing w:w="15" w:type="dxa"/>
        </w:trPr>
        <w:tc>
          <w:tcPr>
            <w:tcW w:w="0" w:type="auto"/>
            <w:vAlign w:val="center"/>
            <w:hideMark/>
          </w:tcPr>
          <w:p w14:paraId="3D7EF0B5" w14:textId="77777777" w:rsidR="00D050CA" w:rsidRPr="00D050CA" w:rsidRDefault="00D050CA" w:rsidP="00D050CA">
            <w:pPr>
              <w:spacing w:after="0"/>
              <w:rPr>
                <w:rFonts w:ascii="Times New Roman" w:hAnsi="Times New Roman" w:cs="Times New Roman"/>
              </w:rPr>
            </w:pPr>
            <w:hyperlink r:id="rId9" w:history="1">
              <w:r w:rsidRPr="00D050CA">
                <w:rPr>
                  <w:rStyle w:val="Hyperlink"/>
                  <w:rFonts w:ascii="Times New Roman" w:hAnsi="Times New Roman" w:cs="Times New Roman"/>
                  <w:color w:val="auto"/>
                </w:rPr>
                <w:t>https://chat.openai.com</w:t>
              </w:r>
            </w:hyperlink>
          </w:p>
        </w:tc>
        <w:tc>
          <w:tcPr>
            <w:tcW w:w="0" w:type="auto"/>
            <w:vAlign w:val="center"/>
            <w:hideMark/>
          </w:tcPr>
          <w:p w14:paraId="49E511EA"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20/02/2026</w:t>
            </w:r>
          </w:p>
        </w:tc>
        <w:tc>
          <w:tcPr>
            <w:tcW w:w="0" w:type="auto"/>
            <w:vAlign w:val="center"/>
            <w:hideMark/>
          </w:tcPr>
          <w:p w14:paraId="73ED26C1"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Proofreading</w:t>
            </w:r>
          </w:p>
        </w:tc>
        <w:tc>
          <w:tcPr>
            <w:tcW w:w="0" w:type="auto"/>
            <w:vAlign w:val="center"/>
            <w:hideMark/>
          </w:tcPr>
          <w:p w14:paraId="6BF4B7C4" w14:textId="77777777" w:rsidR="00D050CA" w:rsidRPr="00D050CA" w:rsidRDefault="00D050CA" w:rsidP="00D050CA">
            <w:pPr>
              <w:spacing w:after="0"/>
              <w:rPr>
                <w:rFonts w:ascii="Times New Roman" w:hAnsi="Times New Roman" w:cs="Times New Roman"/>
              </w:rPr>
            </w:pPr>
            <w:r w:rsidRPr="00D050CA">
              <w:rPr>
                <w:rFonts w:ascii="Times New Roman" w:hAnsi="Times New Roman" w:cs="Times New Roman"/>
              </w:rPr>
              <w:t>Review this paragraph for clarity, coherence, and sentence structure only.</w:t>
            </w:r>
          </w:p>
        </w:tc>
      </w:tr>
    </w:tbl>
    <w:p w14:paraId="075A6FBC" w14:textId="77777777" w:rsidR="002B13AC" w:rsidRPr="002B13AC" w:rsidRDefault="002B13AC" w:rsidP="002B13AC">
      <w:pPr>
        <w:spacing w:after="0"/>
        <w:rPr>
          <w:rFonts w:ascii="Times New Roman" w:hAnsi="Times New Roman" w:cs="Times New Roman"/>
        </w:rPr>
      </w:pPr>
    </w:p>
    <w:p w14:paraId="7CDAA533" w14:textId="77777777" w:rsidR="007F12D5" w:rsidRPr="002B13AC" w:rsidRDefault="007F12D5" w:rsidP="002910C7">
      <w:pPr>
        <w:spacing w:after="0"/>
        <w:rPr>
          <w:rFonts w:ascii="Times New Roman" w:hAnsi="Times New Roman" w:cs="Times New Roman"/>
        </w:rPr>
      </w:pPr>
    </w:p>
    <w:p w14:paraId="75F7868C" w14:textId="3F78156C" w:rsidR="002910C7" w:rsidRPr="002910C7" w:rsidRDefault="005B4111" w:rsidP="002910C7">
      <w:pPr>
        <w:spacing w:after="0"/>
        <w:rPr>
          <w:b/>
          <w:bCs/>
        </w:rPr>
      </w:pPr>
      <w:r>
        <w:br w:type="page"/>
      </w:r>
    </w:p>
    <w:p w14:paraId="55FD009F" w14:textId="613667A4" w:rsidR="002910C7" w:rsidRDefault="002910C7" w:rsidP="002910C7">
      <w:pPr>
        <w:spacing w:after="0"/>
        <w:rPr>
          <w:b/>
          <w:bCs/>
        </w:rPr>
      </w:pPr>
      <w:r w:rsidRPr="002910C7">
        <w:rPr>
          <w:b/>
          <w:bCs/>
        </w:rPr>
        <w:lastRenderedPageBreak/>
        <w:t>Part 1: Health and Fitness Assessment Design</w:t>
      </w:r>
    </w:p>
    <w:p w14:paraId="59C9B227" w14:textId="4E3B5A1E" w:rsidR="002910C7" w:rsidRPr="002910C7" w:rsidRDefault="002910C7" w:rsidP="002910C7">
      <w:pPr>
        <w:spacing w:after="0"/>
        <w:rPr>
          <w:rFonts w:ascii="Times New Roman" w:hAnsi="Times New Roman" w:cs="Times New Roman"/>
        </w:rPr>
      </w:pPr>
      <w:r w:rsidRPr="002910C7">
        <w:rPr>
          <w:rFonts w:ascii="Times New Roman" w:hAnsi="Times New Roman" w:cs="Times New Roman"/>
        </w:rPr>
        <w:t>Health and fitness assessments are used to evaluate an individual’s physical capabilities and identify potential health risks. The assessments selected for this report include body composition, cardiovascular fitness, muscular strength, muscular endurance, and flexibility. Together, these components represent key elements of health-related physical fitness and support the development of appropriate and individualised exercise recommendations.</w:t>
      </w:r>
    </w:p>
    <w:p w14:paraId="1FDF378B" w14:textId="77777777" w:rsidR="002910C7" w:rsidRPr="002910C7" w:rsidRDefault="002910C7" w:rsidP="002910C7">
      <w:pPr>
        <w:spacing w:after="0"/>
        <w:rPr>
          <w:rFonts w:ascii="Times New Roman" w:hAnsi="Times New Roman" w:cs="Times New Roman"/>
        </w:rPr>
      </w:pPr>
    </w:p>
    <w:p w14:paraId="29C45A83" w14:textId="77777777" w:rsidR="002910C7" w:rsidRPr="002910C7" w:rsidRDefault="002910C7" w:rsidP="002910C7">
      <w:pPr>
        <w:spacing w:after="0"/>
        <w:rPr>
          <w:rFonts w:ascii="Times New Roman" w:hAnsi="Times New Roman" w:cs="Times New Roman"/>
        </w:rPr>
      </w:pPr>
      <w:r w:rsidRPr="002910C7">
        <w:rPr>
          <w:rFonts w:ascii="Times New Roman" w:hAnsi="Times New Roman" w:cs="Times New Roman"/>
        </w:rPr>
        <w:t>Body composition was assessed using skinfold measurements and waist-to-hip ratio (WHR). Skinfolds provide an estimate of body fat percentage and are commonly used in health and fitness settings due to their practicality and low cost (ACSM, 2022). WHR is an effective indicator of fat distribution and is strongly associated with cardiovascular and metabolic disease risk (World Health Organization (WHO), 2011). Unlike body mass index alone, WHR offers insight into central fat accumulation, which is particularly relevant when assessing trained individuals who may possess greater lean muscle mass. Using both skinfolds and WHR allows cross-validation of results and strengthens confidence in body composition interpretation.</w:t>
      </w:r>
    </w:p>
    <w:p w14:paraId="7F066C79" w14:textId="77777777" w:rsidR="002910C7" w:rsidRPr="002910C7" w:rsidRDefault="002910C7" w:rsidP="002910C7">
      <w:pPr>
        <w:spacing w:after="0"/>
        <w:rPr>
          <w:rFonts w:ascii="Times New Roman" w:hAnsi="Times New Roman" w:cs="Times New Roman"/>
        </w:rPr>
      </w:pPr>
    </w:p>
    <w:p w14:paraId="74506848" w14:textId="77777777" w:rsidR="002910C7" w:rsidRPr="002910C7" w:rsidRDefault="002910C7" w:rsidP="002910C7">
      <w:pPr>
        <w:spacing w:after="0"/>
        <w:rPr>
          <w:rFonts w:ascii="Times New Roman" w:hAnsi="Times New Roman" w:cs="Times New Roman"/>
        </w:rPr>
      </w:pPr>
      <w:r w:rsidRPr="002910C7">
        <w:rPr>
          <w:rFonts w:ascii="Times New Roman" w:hAnsi="Times New Roman" w:cs="Times New Roman"/>
        </w:rPr>
        <w:t>Cardiovascular fitness was assessed using a submaximal step test with post-exercise heart rate measurement. Cardiorespiratory fitness reflects the ability of the heart, lungs, and circulatory system to supply oxygen to working muscles during physical activity (McArdle, Katch and Katch, 2015). Lower recovery heart rates following exercise indicate superior aerobic fitness. Step tests are widely used in applied fitness environments because they are safe, time-efficient, and suitable for a wide range of individuals (ACSM, 2022).</w:t>
      </w:r>
    </w:p>
    <w:p w14:paraId="43E9767B" w14:textId="77777777" w:rsidR="002910C7" w:rsidRPr="002910C7" w:rsidRDefault="002910C7" w:rsidP="002910C7">
      <w:pPr>
        <w:spacing w:after="0"/>
        <w:rPr>
          <w:rFonts w:ascii="Times New Roman" w:hAnsi="Times New Roman" w:cs="Times New Roman"/>
        </w:rPr>
      </w:pPr>
    </w:p>
    <w:p w14:paraId="2AEBFEA2" w14:textId="6630AC57" w:rsidR="002910C7" w:rsidRDefault="002910C7" w:rsidP="002910C7">
      <w:pPr>
        <w:spacing w:after="0"/>
        <w:rPr>
          <w:rFonts w:ascii="Times New Roman" w:hAnsi="Times New Roman" w:cs="Times New Roman"/>
        </w:rPr>
      </w:pPr>
      <w:r w:rsidRPr="002910C7">
        <w:rPr>
          <w:rFonts w:ascii="Times New Roman" w:hAnsi="Times New Roman" w:cs="Times New Roman"/>
        </w:rPr>
        <w:t>Muscular strength was assessed using a handgrip dynamometer. Handgrip strength is a valid indicator of overall muscular strength and is associated with functional ability and general health outcomes (Bohannon, 2019). This assessment is simple to administer, requires minimal equipment, and produces reliable results.</w:t>
      </w:r>
    </w:p>
    <w:p w14:paraId="7643BE3C" w14:textId="77777777" w:rsidR="004117C6" w:rsidRPr="002910C7" w:rsidRDefault="004117C6" w:rsidP="002910C7">
      <w:pPr>
        <w:spacing w:after="0"/>
        <w:rPr>
          <w:rFonts w:ascii="Times New Roman" w:hAnsi="Times New Roman" w:cs="Times New Roman"/>
        </w:rPr>
      </w:pPr>
    </w:p>
    <w:p w14:paraId="3A9453A9" w14:textId="77777777" w:rsidR="002910C7" w:rsidRPr="002910C7" w:rsidRDefault="002910C7" w:rsidP="002910C7">
      <w:pPr>
        <w:spacing w:after="0"/>
        <w:rPr>
          <w:rFonts w:ascii="Times New Roman" w:hAnsi="Times New Roman" w:cs="Times New Roman"/>
        </w:rPr>
      </w:pPr>
      <w:r w:rsidRPr="002910C7">
        <w:rPr>
          <w:rFonts w:ascii="Times New Roman" w:hAnsi="Times New Roman" w:cs="Times New Roman"/>
        </w:rPr>
        <w:t>Muscular endurance was evaluated using a press-up test to fatigue. Muscular endurance refers to the ability of a muscle group to perform repeated contractions over time (McArdle, Katch and Katch, 2015). Press-up tests provide a practical measure of upper-body endurance using body-weight resistance and allow comparison with age-related normative values (ACSM, 2022).</w:t>
      </w:r>
    </w:p>
    <w:p w14:paraId="5DCC6E55" w14:textId="77777777" w:rsidR="002910C7" w:rsidRPr="002910C7" w:rsidRDefault="002910C7" w:rsidP="002910C7">
      <w:pPr>
        <w:spacing w:after="0"/>
        <w:rPr>
          <w:rFonts w:ascii="Times New Roman" w:hAnsi="Times New Roman" w:cs="Times New Roman"/>
        </w:rPr>
      </w:pPr>
    </w:p>
    <w:p w14:paraId="675A46D2" w14:textId="77777777" w:rsidR="002910C7" w:rsidRPr="002910C7" w:rsidRDefault="002910C7" w:rsidP="002910C7">
      <w:pPr>
        <w:spacing w:after="0"/>
        <w:rPr>
          <w:rFonts w:ascii="Times New Roman" w:hAnsi="Times New Roman" w:cs="Times New Roman"/>
        </w:rPr>
      </w:pPr>
      <w:r w:rsidRPr="002910C7">
        <w:rPr>
          <w:rFonts w:ascii="Times New Roman" w:hAnsi="Times New Roman" w:cs="Times New Roman"/>
        </w:rPr>
        <w:t>Flexibility was assessed using the sit-and-reach test, which measures hamstring and lower-back flexibility. Adequate flexibility supports efficient movement and may reduce injury risk (Behm et al., 2016). The sit-and-reach test is widely used due to its simplicity and reliability.</w:t>
      </w:r>
    </w:p>
    <w:p w14:paraId="41D446F0" w14:textId="77777777" w:rsidR="002910C7" w:rsidRPr="002910C7" w:rsidRDefault="002910C7" w:rsidP="002910C7">
      <w:pPr>
        <w:spacing w:after="0"/>
        <w:rPr>
          <w:rFonts w:ascii="Times New Roman" w:hAnsi="Times New Roman" w:cs="Times New Roman"/>
        </w:rPr>
      </w:pPr>
    </w:p>
    <w:p w14:paraId="4B2DD329" w14:textId="61E51E63" w:rsidR="002910C7" w:rsidRDefault="002910C7" w:rsidP="002910C7">
      <w:pPr>
        <w:spacing w:after="0"/>
        <w:rPr>
          <w:rFonts w:ascii="Times New Roman" w:hAnsi="Times New Roman" w:cs="Times New Roman"/>
        </w:rPr>
      </w:pPr>
      <w:r w:rsidRPr="002910C7">
        <w:rPr>
          <w:rFonts w:ascii="Times New Roman" w:hAnsi="Times New Roman" w:cs="Times New Roman"/>
        </w:rPr>
        <w:t>These assessments provide a practical and comprehensive overview of the participant’s health and fitness status.</w:t>
      </w:r>
    </w:p>
    <w:p w14:paraId="782A5B64" w14:textId="77777777" w:rsidR="002910C7" w:rsidRDefault="002910C7" w:rsidP="002910C7">
      <w:pPr>
        <w:spacing w:after="0"/>
        <w:rPr>
          <w:rFonts w:ascii="Times New Roman" w:hAnsi="Times New Roman" w:cs="Times New Roman"/>
        </w:rPr>
      </w:pPr>
    </w:p>
    <w:p w14:paraId="1CF3AB4D" w14:textId="77777777" w:rsidR="002910C7" w:rsidRDefault="002910C7" w:rsidP="002910C7">
      <w:pPr>
        <w:spacing w:after="0"/>
        <w:rPr>
          <w:rFonts w:ascii="Times New Roman" w:hAnsi="Times New Roman" w:cs="Times New Roman"/>
        </w:rPr>
      </w:pPr>
    </w:p>
    <w:p w14:paraId="412B9DB8" w14:textId="77777777" w:rsidR="002910C7" w:rsidRDefault="002910C7" w:rsidP="002910C7">
      <w:pPr>
        <w:spacing w:after="0"/>
        <w:rPr>
          <w:rFonts w:ascii="Times New Roman" w:hAnsi="Times New Roman" w:cs="Times New Roman"/>
        </w:rPr>
      </w:pPr>
    </w:p>
    <w:p w14:paraId="78217E81" w14:textId="745C10D6" w:rsidR="002910C7" w:rsidRPr="002910C7" w:rsidRDefault="004117C6" w:rsidP="002910C7">
      <w:pPr>
        <w:spacing w:after="0"/>
        <w:rPr>
          <w:b/>
          <w:bCs/>
        </w:rPr>
      </w:pPr>
      <w:r w:rsidRPr="004117C6">
        <w:rPr>
          <w:b/>
          <w:bCs/>
        </w:rPr>
        <w:t>Condensed Part 2: Assessment Procedures and Data Collection</w:t>
      </w:r>
    </w:p>
    <w:p w14:paraId="79304340" w14:textId="77777777" w:rsidR="002910C7" w:rsidRPr="004117C6" w:rsidRDefault="002910C7" w:rsidP="002910C7">
      <w:pPr>
        <w:spacing w:after="0"/>
        <w:rPr>
          <w:rFonts w:ascii="Times New Roman" w:hAnsi="Times New Roman" w:cs="Times New Roman"/>
        </w:rPr>
      </w:pPr>
      <w:r w:rsidRPr="002910C7">
        <w:rPr>
          <w:rFonts w:ascii="Times New Roman" w:hAnsi="Times New Roman" w:cs="Times New Roman"/>
        </w:rPr>
        <w:t>All assessments were conducted in a controlled indoor environment to reduce external influences such as temperature and surface variation. The participant wore appropriate sports clothing and footwear and was familiarised with each assessment prior to testing. Standardised procedures were followed to improve the reliability and validity of the results.</w:t>
      </w:r>
    </w:p>
    <w:p w14:paraId="1399D890" w14:textId="77777777" w:rsidR="002910C7" w:rsidRPr="004117C6" w:rsidRDefault="002910C7" w:rsidP="002910C7">
      <w:pPr>
        <w:spacing w:after="0"/>
        <w:rPr>
          <w:rFonts w:ascii="Times New Roman" w:hAnsi="Times New Roman" w:cs="Times New Roman"/>
        </w:rPr>
      </w:pPr>
    </w:p>
    <w:p w14:paraId="4FC41819" w14:textId="0EDE174B" w:rsidR="002910C7" w:rsidRDefault="002910C7" w:rsidP="002910C7">
      <w:pPr>
        <w:spacing w:after="0"/>
        <w:rPr>
          <w:rFonts w:ascii="Times New Roman" w:hAnsi="Times New Roman" w:cs="Times New Roman"/>
        </w:rPr>
      </w:pPr>
      <w:r w:rsidRPr="002910C7">
        <w:rPr>
          <w:rFonts w:ascii="Times New Roman" w:hAnsi="Times New Roman" w:cs="Times New Roman"/>
          <w:b/>
          <w:bCs/>
        </w:rPr>
        <w:t>Body Composition (Skinfolds and Waist-to-Hip Ratio)</w:t>
      </w:r>
      <w:r w:rsidRPr="002910C7">
        <w:rPr>
          <w:rFonts w:ascii="Times New Roman" w:hAnsi="Times New Roman" w:cs="Times New Roman"/>
        </w:rPr>
        <w:br/>
        <w:t xml:space="preserve">Skinfold thickness was measured at four sites (biceps, triceps, subscapular, and </w:t>
      </w:r>
      <w:proofErr w:type="spellStart"/>
      <w:r w:rsidRPr="002910C7">
        <w:rPr>
          <w:rFonts w:ascii="Times New Roman" w:hAnsi="Times New Roman" w:cs="Times New Roman"/>
        </w:rPr>
        <w:t>suprailiac</w:t>
      </w:r>
      <w:proofErr w:type="spellEnd"/>
      <w:r w:rsidRPr="002910C7">
        <w:rPr>
          <w:rFonts w:ascii="Times New Roman" w:hAnsi="Times New Roman" w:cs="Times New Roman"/>
        </w:rPr>
        <w:t>) using calibrated callipers. Anatomical landmarks were identified prior to testing. The tester grasped a vertical skinfold and placed the callipers approximately 1 cm below the fingers. Measurements were recorded to the nearest 0.1 mm, with two measurements taken at each site and the average used. The sum of skinfolds was used to estimate body fat percentage using established prediction equations.</w:t>
      </w:r>
    </w:p>
    <w:p w14:paraId="35FB7954" w14:textId="77777777" w:rsidR="004117C6" w:rsidRPr="002910C7" w:rsidRDefault="004117C6" w:rsidP="002910C7">
      <w:pPr>
        <w:spacing w:after="0"/>
        <w:rPr>
          <w:rFonts w:ascii="Times New Roman" w:hAnsi="Times New Roman" w:cs="Times New Roman"/>
        </w:rPr>
      </w:pPr>
    </w:p>
    <w:p w14:paraId="30DD5DBC" w14:textId="77777777" w:rsidR="002910C7" w:rsidRPr="004117C6" w:rsidRDefault="002910C7" w:rsidP="002910C7">
      <w:pPr>
        <w:spacing w:after="0"/>
        <w:rPr>
          <w:rFonts w:ascii="Times New Roman" w:hAnsi="Times New Roman" w:cs="Times New Roman"/>
        </w:rPr>
      </w:pPr>
      <w:r w:rsidRPr="002910C7">
        <w:rPr>
          <w:rFonts w:ascii="Times New Roman" w:hAnsi="Times New Roman" w:cs="Times New Roman"/>
        </w:rPr>
        <w:t>Waist circumference was measured at the narrowest point between the lower rib and iliac crest, while hip circumference was measured at the widest point of the gluteal region using a flexible tape measure. Measurements were recorded to the nearest 0.1 cm. Waist-to-hip ratio (WHR) was calculated by dividing waist circumference by hip circumference (WHO, 2011).</w:t>
      </w:r>
    </w:p>
    <w:p w14:paraId="6FE177A1" w14:textId="77777777" w:rsidR="002910C7" w:rsidRPr="002910C7" w:rsidRDefault="002910C7" w:rsidP="002910C7">
      <w:pPr>
        <w:spacing w:after="0"/>
        <w:rPr>
          <w:rFonts w:ascii="Times New Roman" w:hAnsi="Times New Roman" w:cs="Times New Roman"/>
        </w:rPr>
      </w:pPr>
    </w:p>
    <w:p w14:paraId="3761C94B" w14:textId="77777777" w:rsidR="002910C7" w:rsidRDefault="002910C7" w:rsidP="002910C7">
      <w:pPr>
        <w:spacing w:after="0"/>
        <w:rPr>
          <w:rFonts w:ascii="Times New Roman" w:hAnsi="Times New Roman" w:cs="Times New Roman"/>
        </w:rPr>
      </w:pPr>
      <w:r w:rsidRPr="002910C7">
        <w:rPr>
          <w:rFonts w:ascii="Times New Roman" w:hAnsi="Times New Roman" w:cs="Times New Roman"/>
          <w:b/>
          <w:bCs/>
        </w:rPr>
        <w:t>Cardiovascular Fitness (Step Test)</w:t>
      </w:r>
      <w:r w:rsidRPr="002910C7">
        <w:rPr>
          <w:rFonts w:ascii="Times New Roman" w:hAnsi="Times New Roman" w:cs="Times New Roman"/>
        </w:rPr>
        <w:br/>
        <w:t>The participant completed a submaximal step test using a fixed-height step and a metronome to maintain a consistent stepping cadence. Immediately after completion, heart rate was measured using a heart rate monitor and recorded in beats per minute (bpm). Post-exercise heart rate was used as an indicator of cardiorespiratory fitness, with lower values reflecting better aerobic capacity (ACSM, 2022).</w:t>
      </w:r>
    </w:p>
    <w:p w14:paraId="63B590A0" w14:textId="77777777" w:rsidR="004117C6" w:rsidRPr="002910C7" w:rsidRDefault="004117C6" w:rsidP="002910C7">
      <w:pPr>
        <w:spacing w:after="0"/>
        <w:rPr>
          <w:rFonts w:ascii="Times New Roman" w:hAnsi="Times New Roman" w:cs="Times New Roman"/>
        </w:rPr>
      </w:pPr>
    </w:p>
    <w:p w14:paraId="3D740D79" w14:textId="77777777" w:rsidR="002910C7" w:rsidRPr="004117C6" w:rsidRDefault="002910C7" w:rsidP="002910C7">
      <w:pPr>
        <w:spacing w:after="0"/>
        <w:rPr>
          <w:rFonts w:ascii="Times New Roman" w:hAnsi="Times New Roman" w:cs="Times New Roman"/>
        </w:rPr>
      </w:pPr>
      <w:r w:rsidRPr="002910C7">
        <w:rPr>
          <w:rFonts w:ascii="Times New Roman" w:hAnsi="Times New Roman" w:cs="Times New Roman"/>
          <w:b/>
          <w:bCs/>
        </w:rPr>
        <w:t>Muscular Strength (Handgrip Dynamometer)</w:t>
      </w:r>
      <w:r w:rsidRPr="002910C7">
        <w:rPr>
          <w:rFonts w:ascii="Times New Roman" w:hAnsi="Times New Roman" w:cs="Times New Roman"/>
        </w:rPr>
        <w:br/>
        <w:t>Muscular strength was assessed using a handgrip dynamometer. The participant stood upright with the arm at the side and elbow extended. Three maximal contractions were performed on the dominant hand, with 60 seconds rest between trials. The mean score was used for analysis. Handgrip dynamometry demonstrates high reliability and validity (Bohannon, 2019).</w:t>
      </w:r>
    </w:p>
    <w:p w14:paraId="39E4618D" w14:textId="77777777" w:rsidR="002910C7" w:rsidRPr="002910C7" w:rsidRDefault="002910C7" w:rsidP="002910C7">
      <w:pPr>
        <w:spacing w:after="0"/>
        <w:rPr>
          <w:rFonts w:ascii="Times New Roman" w:hAnsi="Times New Roman" w:cs="Times New Roman"/>
        </w:rPr>
      </w:pPr>
    </w:p>
    <w:p w14:paraId="2835C2E2" w14:textId="77777777" w:rsidR="002910C7" w:rsidRPr="004117C6" w:rsidRDefault="002910C7" w:rsidP="002910C7">
      <w:pPr>
        <w:spacing w:after="0"/>
        <w:rPr>
          <w:rFonts w:ascii="Times New Roman" w:hAnsi="Times New Roman" w:cs="Times New Roman"/>
        </w:rPr>
      </w:pPr>
      <w:r w:rsidRPr="002910C7">
        <w:rPr>
          <w:rFonts w:ascii="Times New Roman" w:hAnsi="Times New Roman" w:cs="Times New Roman"/>
          <w:b/>
          <w:bCs/>
        </w:rPr>
        <w:t>Muscular Endurance (Press-Up Test)</w:t>
      </w:r>
      <w:r w:rsidRPr="002910C7">
        <w:rPr>
          <w:rFonts w:ascii="Times New Roman" w:hAnsi="Times New Roman" w:cs="Times New Roman"/>
        </w:rPr>
        <w:br/>
        <w:t>The participant performed continuous press-ups using correct technique until volitional fatigue. The total number of correctly performed repetitions was recorded (ACSM, 2022).</w:t>
      </w:r>
    </w:p>
    <w:p w14:paraId="3BE3D843" w14:textId="77777777" w:rsidR="002910C7" w:rsidRPr="002910C7" w:rsidRDefault="002910C7" w:rsidP="002910C7">
      <w:pPr>
        <w:spacing w:after="0"/>
        <w:rPr>
          <w:rFonts w:ascii="Times New Roman" w:hAnsi="Times New Roman" w:cs="Times New Roman"/>
        </w:rPr>
      </w:pPr>
    </w:p>
    <w:p w14:paraId="31822F78" w14:textId="77777777" w:rsidR="002910C7" w:rsidRPr="004117C6" w:rsidRDefault="002910C7" w:rsidP="002910C7">
      <w:pPr>
        <w:spacing w:after="0"/>
        <w:rPr>
          <w:rFonts w:ascii="Times New Roman" w:hAnsi="Times New Roman" w:cs="Times New Roman"/>
        </w:rPr>
      </w:pPr>
      <w:r w:rsidRPr="002910C7">
        <w:rPr>
          <w:rFonts w:ascii="Times New Roman" w:hAnsi="Times New Roman" w:cs="Times New Roman"/>
          <w:b/>
          <w:bCs/>
        </w:rPr>
        <w:t>Flexibility (Sit-and-Reach Test)</w:t>
      </w:r>
      <w:r w:rsidRPr="002910C7">
        <w:rPr>
          <w:rFonts w:ascii="Times New Roman" w:hAnsi="Times New Roman" w:cs="Times New Roman"/>
        </w:rPr>
        <w:br/>
        <w:t>Flexibility was assessed using a sit-and-reach box. The participant sat with legs fully extended and feet flat against the box. With hands overlapping, the participant reached forward as far as possible and held briefly. The best of two attempts was recorded in centimetres.</w:t>
      </w:r>
    </w:p>
    <w:p w14:paraId="42566013" w14:textId="77777777" w:rsidR="002910C7" w:rsidRPr="002910C7" w:rsidRDefault="002910C7" w:rsidP="002910C7">
      <w:pPr>
        <w:spacing w:after="0"/>
        <w:rPr>
          <w:rFonts w:ascii="Times New Roman" w:hAnsi="Times New Roman" w:cs="Times New Roman"/>
        </w:rPr>
      </w:pPr>
    </w:p>
    <w:p w14:paraId="02333100" w14:textId="77777777" w:rsidR="004117C6" w:rsidRDefault="004117C6" w:rsidP="002910C7">
      <w:pPr>
        <w:spacing w:after="0"/>
        <w:rPr>
          <w:rFonts w:ascii="Times New Roman" w:hAnsi="Times New Roman" w:cs="Times New Roman"/>
          <w:b/>
          <w:bCs/>
        </w:rPr>
      </w:pPr>
    </w:p>
    <w:p w14:paraId="6A63E07D" w14:textId="4E35D4D8" w:rsidR="002910C7" w:rsidRDefault="002910C7" w:rsidP="002910C7">
      <w:pPr>
        <w:spacing w:after="0"/>
        <w:rPr>
          <w:rFonts w:ascii="Times New Roman" w:hAnsi="Times New Roman" w:cs="Times New Roman"/>
        </w:rPr>
      </w:pPr>
      <w:r w:rsidRPr="002910C7">
        <w:rPr>
          <w:rFonts w:ascii="Times New Roman" w:hAnsi="Times New Roman" w:cs="Times New Roman"/>
          <w:b/>
          <w:bCs/>
        </w:rPr>
        <w:t>Standardisation and Error Control</w:t>
      </w:r>
      <w:r w:rsidRPr="002910C7">
        <w:rPr>
          <w:rFonts w:ascii="Times New Roman" w:hAnsi="Times New Roman" w:cs="Times New Roman"/>
        </w:rPr>
        <w:br/>
        <w:t>Standardised testing ensures results are consistent, comparable, and meaningful (ACSM, 2022). Potential sources of error include incorrect technique, inconsistent site location, equipment calibration errors, and participant motivation. These were minimised through calibrated equipment, consistent tester involvement, clear instructions, and controlled testing conditions.</w:t>
      </w:r>
    </w:p>
    <w:p w14:paraId="084CAD70" w14:textId="77777777" w:rsidR="004117C6" w:rsidRPr="004117C6" w:rsidRDefault="004117C6" w:rsidP="002910C7">
      <w:pPr>
        <w:spacing w:after="0"/>
        <w:rPr>
          <w:rFonts w:ascii="Times New Roman" w:hAnsi="Times New Roman" w:cs="Times New Roman"/>
          <w:b/>
          <w:bCs/>
        </w:rPr>
      </w:pPr>
    </w:p>
    <w:p w14:paraId="07ED2022" w14:textId="1229C375" w:rsidR="004117C6" w:rsidRDefault="004117C6" w:rsidP="002910C7">
      <w:pPr>
        <w:spacing w:after="0"/>
        <w:rPr>
          <w:rFonts w:ascii="Times New Roman" w:hAnsi="Times New Roman" w:cs="Times New Roman"/>
        </w:rPr>
      </w:pPr>
      <w:r w:rsidRPr="004117C6">
        <w:rPr>
          <w:rFonts w:ascii="Times New Roman" w:hAnsi="Times New Roman" w:cs="Times New Roman"/>
          <w:b/>
          <w:bCs/>
        </w:rPr>
        <w:t>Condensed Part 3: Data Analysis and Interpretation</w:t>
      </w:r>
    </w:p>
    <w:p w14:paraId="3D826D7A" w14:textId="77777777" w:rsidR="004117C6" w:rsidRDefault="004117C6" w:rsidP="002910C7">
      <w:pPr>
        <w:spacing w:after="0"/>
        <w:rPr>
          <w:rFonts w:ascii="Times New Roman" w:hAnsi="Times New Roman" w:cs="Times New Roman"/>
        </w:rPr>
      </w:pPr>
    </w:p>
    <w:p w14:paraId="6030EBC2" w14:textId="24C2249B" w:rsidR="004117C6" w:rsidRDefault="004117C6" w:rsidP="002910C7">
      <w:pPr>
        <w:spacing w:after="0"/>
        <w:rPr>
          <w:rFonts w:ascii="Times New Roman" w:hAnsi="Times New Roman" w:cs="Times New Roman"/>
        </w:rPr>
      </w:pPr>
      <w:r w:rsidRPr="004117C6">
        <w:rPr>
          <w:rFonts w:ascii="Times New Roman" w:hAnsi="Times New Roman" w:cs="Times New Roman"/>
        </w:rPr>
        <w:t>Table 1. Summary of Health and Fitness Assessment Results</w:t>
      </w:r>
    </w:p>
    <w:p w14:paraId="7ADDB1A7" w14:textId="3111005F" w:rsidR="004117C6" w:rsidRPr="002910C7" w:rsidRDefault="004117C6" w:rsidP="002910C7">
      <w:pPr>
        <w:spacing w:after="0"/>
        <w:rPr>
          <w:rFonts w:ascii="Times New Roman" w:hAnsi="Times New Roman" w:cs="Times New Roman"/>
        </w:rPr>
      </w:pPr>
      <w:r w:rsidRPr="004117C6">
        <w:rPr>
          <w:rFonts w:ascii="Times New Roman" w:hAnsi="Times New Roman" w:cs="Times New Roman"/>
        </w:rPr>
        <w:drawing>
          <wp:inline distT="0" distB="0" distL="0" distR="0" wp14:anchorId="7447F754" wp14:editId="3EC66ADF">
            <wp:extent cx="3856054" cy="2994920"/>
            <wp:effectExtent l="0" t="0" r="0" b="0"/>
            <wp:docPr id="793216833"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16833" name="Picture 1" descr="A table with text and numbers&#10;&#10;AI-generated content may be incorrect."/>
                    <pic:cNvPicPr/>
                  </pic:nvPicPr>
                  <pic:blipFill>
                    <a:blip r:embed="rId10"/>
                    <a:stretch>
                      <a:fillRect/>
                    </a:stretch>
                  </pic:blipFill>
                  <pic:spPr>
                    <a:xfrm>
                      <a:off x="0" y="0"/>
                      <a:ext cx="3856054" cy="2994920"/>
                    </a:xfrm>
                    <a:prstGeom prst="rect">
                      <a:avLst/>
                    </a:prstGeom>
                  </pic:spPr>
                </pic:pic>
              </a:graphicData>
            </a:graphic>
          </wp:inline>
        </w:drawing>
      </w:r>
    </w:p>
    <w:p w14:paraId="77568B27" w14:textId="77777777" w:rsidR="002910C7" w:rsidRDefault="002910C7" w:rsidP="002910C7">
      <w:pPr>
        <w:spacing w:after="0"/>
      </w:pPr>
    </w:p>
    <w:p w14:paraId="68BDED31" w14:textId="77777777" w:rsidR="004117C6" w:rsidRDefault="004117C6" w:rsidP="004117C6">
      <w:pPr>
        <w:spacing w:after="0"/>
        <w:rPr>
          <w:rFonts w:ascii="Times New Roman" w:hAnsi="Times New Roman" w:cs="Times New Roman"/>
        </w:rPr>
      </w:pPr>
      <w:r w:rsidRPr="004117C6">
        <w:rPr>
          <w:rFonts w:ascii="Times New Roman" w:hAnsi="Times New Roman" w:cs="Times New Roman"/>
          <w:b/>
          <w:bCs/>
        </w:rPr>
        <w:t>Body Composition</w:t>
      </w:r>
      <w:r w:rsidRPr="004117C6">
        <w:rPr>
          <w:rFonts w:ascii="Times New Roman" w:hAnsi="Times New Roman" w:cs="Times New Roman"/>
        </w:rPr>
        <w:br/>
        <w:t>The participant’s estimated body fat percentage of approximately 14% places them within the fitness category for males, indicating a healthy level of body fat and favourable lean-to-fat mass ratio (ACSM, 2022). This is supported by a waist-to-hip ratio of 0.80, which is below the male risk threshold of 0.90 and therefore indicates low cardiometabolic risk (WHO, 2011). Together, these findings suggest positive body composition characteristics likely influenced by regular training and appropriate energy balance.</w:t>
      </w:r>
    </w:p>
    <w:p w14:paraId="7CE088BE" w14:textId="77777777" w:rsidR="004117C6" w:rsidRPr="004117C6" w:rsidRDefault="004117C6" w:rsidP="004117C6">
      <w:pPr>
        <w:spacing w:after="0"/>
        <w:rPr>
          <w:rFonts w:ascii="Times New Roman" w:hAnsi="Times New Roman" w:cs="Times New Roman"/>
        </w:rPr>
      </w:pPr>
    </w:p>
    <w:p w14:paraId="59414E4F" w14:textId="77777777" w:rsidR="004117C6" w:rsidRDefault="004117C6" w:rsidP="004117C6">
      <w:pPr>
        <w:spacing w:after="0"/>
        <w:rPr>
          <w:rFonts w:ascii="Times New Roman" w:hAnsi="Times New Roman" w:cs="Times New Roman"/>
        </w:rPr>
      </w:pPr>
      <w:r w:rsidRPr="004117C6">
        <w:rPr>
          <w:rFonts w:ascii="Times New Roman" w:hAnsi="Times New Roman" w:cs="Times New Roman"/>
          <w:b/>
          <w:bCs/>
        </w:rPr>
        <w:t>Cardiovascular Fitness</w:t>
      </w:r>
      <w:r w:rsidRPr="004117C6">
        <w:rPr>
          <w:rFonts w:ascii="Times New Roman" w:hAnsi="Times New Roman" w:cs="Times New Roman"/>
        </w:rPr>
        <w:br/>
        <w:t>The post-exercise heart rate of 146 bpm following the step test falls within the below-average category for males aged 20–29 years (ACSM, 2022). This indicates slower recovery and lower aerobic efficiency than expected for age and training status. Cardiorespiratory fitness is strongly associated with reduced risk of cardiovascular disease and improved metabolic health (McArdle, Katch and Katch, 2015). Therefore, improving aerobic capacity represents an important area for development.</w:t>
      </w:r>
    </w:p>
    <w:p w14:paraId="503A70F3" w14:textId="77777777" w:rsidR="004117C6" w:rsidRPr="004117C6" w:rsidRDefault="004117C6" w:rsidP="004117C6">
      <w:pPr>
        <w:spacing w:after="0"/>
        <w:rPr>
          <w:rFonts w:ascii="Times New Roman" w:hAnsi="Times New Roman" w:cs="Times New Roman"/>
        </w:rPr>
      </w:pPr>
    </w:p>
    <w:p w14:paraId="396620EA" w14:textId="77777777" w:rsidR="004117C6" w:rsidRDefault="004117C6" w:rsidP="004117C6">
      <w:pPr>
        <w:spacing w:after="0"/>
        <w:rPr>
          <w:rFonts w:ascii="Times New Roman" w:hAnsi="Times New Roman" w:cs="Times New Roman"/>
        </w:rPr>
      </w:pPr>
      <w:r w:rsidRPr="004117C6">
        <w:rPr>
          <w:rFonts w:ascii="Times New Roman" w:hAnsi="Times New Roman" w:cs="Times New Roman"/>
          <w:b/>
          <w:bCs/>
        </w:rPr>
        <w:t>Muscular Strength</w:t>
      </w:r>
      <w:r w:rsidRPr="004117C6">
        <w:rPr>
          <w:rFonts w:ascii="Times New Roman" w:hAnsi="Times New Roman" w:cs="Times New Roman"/>
        </w:rPr>
        <w:br/>
        <w:t>The mean handgrip strength of 47.4 kg places the participant in the good category for their age group, indicating above-average maximal isometric strength and effective neuromuscular function (Bohannon, 2019). This result reflects a strong foundation of resistance training and supports classification of the participant as physically trained.</w:t>
      </w:r>
    </w:p>
    <w:p w14:paraId="1EF4C385" w14:textId="77777777" w:rsidR="004117C6" w:rsidRPr="004117C6" w:rsidRDefault="004117C6" w:rsidP="004117C6">
      <w:pPr>
        <w:spacing w:after="0"/>
        <w:rPr>
          <w:rFonts w:ascii="Times New Roman" w:hAnsi="Times New Roman" w:cs="Times New Roman"/>
        </w:rPr>
      </w:pPr>
    </w:p>
    <w:p w14:paraId="1E098049" w14:textId="77777777" w:rsidR="004117C6" w:rsidRDefault="004117C6" w:rsidP="004117C6">
      <w:pPr>
        <w:spacing w:after="0"/>
        <w:rPr>
          <w:rFonts w:ascii="Times New Roman" w:hAnsi="Times New Roman" w:cs="Times New Roman"/>
        </w:rPr>
      </w:pPr>
      <w:r w:rsidRPr="004117C6">
        <w:rPr>
          <w:rFonts w:ascii="Times New Roman" w:hAnsi="Times New Roman" w:cs="Times New Roman"/>
          <w:b/>
          <w:bCs/>
        </w:rPr>
        <w:t>Muscular Endurance</w:t>
      </w:r>
      <w:r w:rsidRPr="004117C6">
        <w:rPr>
          <w:rFonts w:ascii="Times New Roman" w:hAnsi="Times New Roman" w:cs="Times New Roman"/>
        </w:rPr>
        <w:br/>
        <w:t>The participant completed 36 press-ups, which falls within the good category for upper-body muscular endurance (ACSM, 2022). This demonstrates the ability to sustain repeated muscular contractions and complements the handgrip strength findings, indicating well-developed upper-body muscular fitness.</w:t>
      </w:r>
    </w:p>
    <w:p w14:paraId="54CDF0E3" w14:textId="77777777" w:rsidR="004117C6" w:rsidRPr="004117C6" w:rsidRDefault="004117C6" w:rsidP="004117C6">
      <w:pPr>
        <w:spacing w:after="0"/>
        <w:rPr>
          <w:rFonts w:ascii="Times New Roman" w:hAnsi="Times New Roman" w:cs="Times New Roman"/>
        </w:rPr>
      </w:pPr>
    </w:p>
    <w:p w14:paraId="6D8B2ABD" w14:textId="77777777" w:rsidR="004117C6" w:rsidRDefault="004117C6" w:rsidP="004117C6">
      <w:pPr>
        <w:spacing w:after="0"/>
        <w:rPr>
          <w:rFonts w:ascii="Times New Roman" w:hAnsi="Times New Roman" w:cs="Times New Roman"/>
        </w:rPr>
      </w:pPr>
      <w:r w:rsidRPr="004117C6">
        <w:rPr>
          <w:rFonts w:ascii="Times New Roman" w:hAnsi="Times New Roman" w:cs="Times New Roman"/>
          <w:b/>
          <w:bCs/>
        </w:rPr>
        <w:t>Flexibility</w:t>
      </w:r>
      <w:r w:rsidRPr="004117C6">
        <w:rPr>
          <w:rFonts w:ascii="Times New Roman" w:hAnsi="Times New Roman" w:cs="Times New Roman"/>
        </w:rPr>
        <w:br/>
        <w:t>A sit-and-reach score of 19 cm places the participant at the upper end of the fair category, bordering on average. This suggests moderate hamstring and lower-back flexibility. Compared with strength and endurance results, flexibility appears to be a relative weakness. Limited posterior-chain flexibility may increase injury risk and restrict movement quality during resistance training (Behm et al., 2016).</w:t>
      </w:r>
    </w:p>
    <w:p w14:paraId="6CB7A008" w14:textId="77777777" w:rsidR="004117C6" w:rsidRPr="004117C6" w:rsidRDefault="004117C6" w:rsidP="004117C6">
      <w:pPr>
        <w:spacing w:after="0"/>
        <w:rPr>
          <w:rFonts w:ascii="Times New Roman" w:hAnsi="Times New Roman" w:cs="Times New Roman"/>
        </w:rPr>
      </w:pPr>
    </w:p>
    <w:p w14:paraId="0EF373AC" w14:textId="77777777" w:rsidR="004117C6" w:rsidRPr="004117C6" w:rsidRDefault="004117C6" w:rsidP="004117C6">
      <w:pPr>
        <w:spacing w:after="0"/>
        <w:rPr>
          <w:rFonts w:ascii="Times New Roman" w:hAnsi="Times New Roman" w:cs="Times New Roman"/>
        </w:rPr>
      </w:pPr>
      <w:r w:rsidRPr="004117C6">
        <w:rPr>
          <w:rFonts w:ascii="Times New Roman" w:hAnsi="Times New Roman" w:cs="Times New Roman"/>
          <w:b/>
          <w:bCs/>
        </w:rPr>
        <w:t>Overall Interpretation</w:t>
      </w:r>
      <w:r w:rsidRPr="004117C6">
        <w:rPr>
          <w:rFonts w:ascii="Times New Roman" w:hAnsi="Times New Roman" w:cs="Times New Roman"/>
        </w:rPr>
        <w:br/>
        <w:t>The participant demonstrates strong muscular strength and endurance alongside healthy body composition. However, cardiovascular fitness and flexibility are comparatively lower and represent priority areas for improvement. Targeted aerobic training and regular flexibility work would support a more balanced fitness profile.</w:t>
      </w:r>
    </w:p>
    <w:p w14:paraId="53F7F7D3" w14:textId="77777777" w:rsidR="004117C6" w:rsidRPr="002E1C22" w:rsidRDefault="004117C6" w:rsidP="002910C7">
      <w:pPr>
        <w:spacing w:after="0"/>
        <w:rPr>
          <w:rFonts w:ascii="Times New Roman" w:hAnsi="Times New Roman" w:cs="Times New Roman"/>
          <w:b/>
          <w:bCs/>
        </w:rPr>
      </w:pPr>
    </w:p>
    <w:p w14:paraId="271DFB33" w14:textId="6B332BD3" w:rsidR="004117C6" w:rsidRPr="004117C6" w:rsidRDefault="004117C6" w:rsidP="004117C6">
      <w:pPr>
        <w:tabs>
          <w:tab w:val="left" w:pos="2112"/>
        </w:tabs>
        <w:spacing w:after="0"/>
        <w:rPr>
          <w:rFonts w:ascii="Times New Roman" w:hAnsi="Times New Roman" w:cs="Times New Roman"/>
          <w:b/>
          <w:bCs/>
        </w:rPr>
      </w:pPr>
      <w:r w:rsidRPr="004117C6">
        <w:rPr>
          <w:rFonts w:ascii="Times New Roman" w:hAnsi="Times New Roman" w:cs="Times New Roman"/>
          <w:b/>
          <w:bCs/>
        </w:rPr>
        <w:t>Condensed Part 4: Recommendations</w:t>
      </w:r>
    </w:p>
    <w:p w14:paraId="443A9B02" w14:textId="77777777" w:rsidR="004117C6" w:rsidRDefault="004117C6" w:rsidP="004117C6">
      <w:pPr>
        <w:tabs>
          <w:tab w:val="left" w:pos="2112"/>
        </w:tabs>
        <w:spacing w:after="0"/>
        <w:rPr>
          <w:rFonts w:ascii="Times New Roman" w:hAnsi="Times New Roman" w:cs="Times New Roman"/>
        </w:rPr>
      </w:pPr>
      <w:r w:rsidRPr="004117C6">
        <w:rPr>
          <w:rFonts w:ascii="Times New Roman" w:hAnsi="Times New Roman" w:cs="Times New Roman"/>
        </w:rPr>
        <w:t>Based on the assessment findings, the participant demonstrates good muscular strength and muscular endurance alongside healthy body composition. However, cardiovascular fitness and flexibility were identified as areas for improvement. Recommendations therefore focus on improving aerobic capacity and increasing range of motion while maintaining current strength levels.</w:t>
      </w:r>
    </w:p>
    <w:p w14:paraId="1E644785" w14:textId="77777777" w:rsidR="004117C6" w:rsidRPr="004117C6" w:rsidRDefault="004117C6" w:rsidP="004117C6">
      <w:pPr>
        <w:tabs>
          <w:tab w:val="left" w:pos="2112"/>
        </w:tabs>
        <w:spacing w:after="0"/>
        <w:rPr>
          <w:rFonts w:ascii="Times New Roman" w:hAnsi="Times New Roman" w:cs="Times New Roman"/>
        </w:rPr>
      </w:pPr>
    </w:p>
    <w:p w14:paraId="17598082" w14:textId="77777777" w:rsidR="004117C6" w:rsidRDefault="004117C6" w:rsidP="004117C6">
      <w:pPr>
        <w:tabs>
          <w:tab w:val="left" w:pos="2112"/>
        </w:tabs>
        <w:spacing w:after="0"/>
        <w:rPr>
          <w:rFonts w:ascii="Times New Roman" w:hAnsi="Times New Roman" w:cs="Times New Roman"/>
        </w:rPr>
      </w:pPr>
      <w:r w:rsidRPr="004117C6">
        <w:rPr>
          <w:rFonts w:ascii="Times New Roman" w:hAnsi="Times New Roman" w:cs="Times New Roman"/>
        </w:rPr>
        <w:t>To improve cardiovascular fitness, the participant should aim to complete 150–300 minutes of moderate-intensity aerobic exercise per week or 75–150 minutes of vigorous-intensity exercise, in line with current physical activity guidelines (ACSM, 2022). Suitable activities include running, cycling, rowing, and circuit-based training. Incorporating interval training one to two times per week may further enhance aerobic adaptations.</w:t>
      </w:r>
    </w:p>
    <w:p w14:paraId="2FD56E18" w14:textId="77777777" w:rsidR="004117C6" w:rsidRPr="004117C6" w:rsidRDefault="004117C6" w:rsidP="004117C6">
      <w:pPr>
        <w:tabs>
          <w:tab w:val="left" w:pos="2112"/>
        </w:tabs>
        <w:spacing w:after="0"/>
        <w:rPr>
          <w:rFonts w:ascii="Times New Roman" w:hAnsi="Times New Roman" w:cs="Times New Roman"/>
        </w:rPr>
      </w:pPr>
    </w:p>
    <w:p w14:paraId="5FA3BA77" w14:textId="77777777" w:rsidR="004117C6" w:rsidRPr="004117C6" w:rsidRDefault="004117C6" w:rsidP="004117C6">
      <w:pPr>
        <w:tabs>
          <w:tab w:val="left" w:pos="2112"/>
        </w:tabs>
        <w:spacing w:after="0"/>
        <w:rPr>
          <w:rFonts w:ascii="Times New Roman" w:hAnsi="Times New Roman" w:cs="Times New Roman"/>
        </w:rPr>
      </w:pPr>
      <w:r w:rsidRPr="004117C6">
        <w:rPr>
          <w:rFonts w:ascii="Times New Roman" w:hAnsi="Times New Roman" w:cs="Times New Roman"/>
        </w:rPr>
        <w:t>Resistance training should be performed 2–4 times per week, targeting all major muscle groups. Progressive overload should be applied through gradual increases in load, repetitions, or training volume to maintain and further develop muscular strength and endurance.</w:t>
      </w:r>
    </w:p>
    <w:p w14:paraId="27354CC3" w14:textId="77777777" w:rsidR="004117C6" w:rsidRDefault="004117C6" w:rsidP="004117C6">
      <w:pPr>
        <w:tabs>
          <w:tab w:val="left" w:pos="2112"/>
        </w:tabs>
        <w:spacing w:after="0"/>
        <w:rPr>
          <w:rFonts w:ascii="Times New Roman" w:hAnsi="Times New Roman" w:cs="Times New Roman"/>
        </w:rPr>
      </w:pPr>
      <w:r w:rsidRPr="004117C6">
        <w:rPr>
          <w:rFonts w:ascii="Times New Roman" w:hAnsi="Times New Roman" w:cs="Times New Roman"/>
        </w:rPr>
        <w:lastRenderedPageBreak/>
        <w:t>Flexibility training should be performed 2–3 times per week, with emphasis on the hamstrings, hip flexors, and lower back. Static stretching held for 20–30 seconds and dynamic mobility exercises can improve range of motion and movement quality (Behm et al., 2016).</w:t>
      </w:r>
    </w:p>
    <w:p w14:paraId="13D3E77F" w14:textId="77777777" w:rsidR="004117C6" w:rsidRPr="004117C6" w:rsidRDefault="004117C6" w:rsidP="004117C6">
      <w:pPr>
        <w:tabs>
          <w:tab w:val="left" w:pos="2112"/>
        </w:tabs>
        <w:spacing w:after="0"/>
        <w:rPr>
          <w:rFonts w:ascii="Times New Roman" w:hAnsi="Times New Roman" w:cs="Times New Roman"/>
        </w:rPr>
      </w:pPr>
    </w:p>
    <w:p w14:paraId="42CE8D09" w14:textId="77777777" w:rsidR="004117C6" w:rsidRPr="004117C6" w:rsidRDefault="004117C6" w:rsidP="004117C6">
      <w:pPr>
        <w:tabs>
          <w:tab w:val="left" w:pos="2112"/>
        </w:tabs>
        <w:spacing w:after="0"/>
        <w:rPr>
          <w:rFonts w:ascii="Times New Roman" w:hAnsi="Times New Roman" w:cs="Times New Roman"/>
        </w:rPr>
      </w:pPr>
      <w:r w:rsidRPr="004117C6">
        <w:rPr>
          <w:rFonts w:ascii="Times New Roman" w:hAnsi="Times New Roman" w:cs="Times New Roman"/>
        </w:rPr>
        <w:t>Maintaining adequate hydration, consuming a balanced diet, and achieving 7–9 hours of sleep per night are also recommended to support recovery and overall health.</w:t>
      </w:r>
    </w:p>
    <w:p w14:paraId="341D0D6B" w14:textId="4645AD0D" w:rsidR="002E1C22" w:rsidRPr="002E1C22" w:rsidRDefault="002E1C22" w:rsidP="002E1C22">
      <w:pPr>
        <w:tabs>
          <w:tab w:val="left" w:pos="2112"/>
        </w:tabs>
        <w:spacing w:after="0"/>
      </w:pPr>
    </w:p>
    <w:p w14:paraId="55B5DD53" w14:textId="7819B412" w:rsidR="002910C7" w:rsidRDefault="002910C7" w:rsidP="001214F2">
      <w:pPr>
        <w:tabs>
          <w:tab w:val="left" w:pos="2112"/>
        </w:tabs>
        <w:spacing w:after="0"/>
      </w:pPr>
      <w:r>
        <w:br w:type="page"/>
      </w:r>
    </w:p>
    <w:p w14:paraId="413BFB79" w14:textId="77777777" w:rsidR="002910C7" w:rsidRPr="002910C7" w:rsidRDefault="002910C7" w:rsidP="002910C7">
      <w:pPr>
        <w:tabs>
          <w:tab w:val="left" w:pos="2112"/>
        </w:tabs>
        <w:spacing w:after="0"/>
        <w:rPr>
          <w:b/>
          <w:bCs/>
        </w:rPr>
      </w:pPr>
      <w:r w:rsidRPr="002910C7">
        <w:rPr>
          <w:b/>
          <w:bCs/>
        </w:rPr>
        <w:lastRenderedPageBreak/>
        <w:t>References</w:t>
      </w:r>
    </w:p>
    <w:p w14:paraId="352B3A3B" w14:textId="77777777" w:rsidR="002910C7" w:rsidRDefault="002910C7" w:rsidP="002910C7">
      <w:pPr>
        <w:tabs>
          <w:tab w:val="left" w:pos="2112"/>
        </w:tabs>
        <w:spacing w:after="0"/>
      </w:pPr>
      <w:r w:rsidRPr="002910C7">
        <w:t xml:space="preserve">ACSM (2022) </w:t>
      </w:r>
      <w:r w:rsidRPr="002910C7">
        <w:rPr>
          <w:i/>
          <w:iCs/>
        </w:rPr>
        <w:t>ACSM’s guidelines for exercise testing and prescription</w:t>
      </w:r>
      <w:r w:rsidRPr="002910C7">
        <w:t xml:space="preserve">. 11th </w:t>
      </w:r>
      <w:proofErr w:type="spellStart"/>
      <w:r w:rsidRPr="002910C7">
        <w:t>edn</w:t>
      </w:r>
      <w:proofErr w:type="spellEnd"/>
      <w:r w:rsidRPr="002910C7">
        <w:t>. Philadelphia: Wolters Kluwer.</w:t>
      </w:r>
    </w:p>
    <w:p w14:paraId="25E86868" w14:textId="77777777" w:rsidR="002910C7" w:rsidRPr="002910C7" w:rsidRDefault="002910C7" w:rsidP="002910C7">
      <w:pPr>
        <w:tabs>
          <w:tab w:val="left" w:pos="2112"/>
        </w:tabs>
        <w:spacing w:after="0"/>
      </w:pPr>
    </w:p>
    <w:p w14:paraId="5665CB24" w14:textId="77777777" w:rsidR="002910C7" w:rsidRDefault="002910C7" w:rsidP="002910C7">
      <w:pPr>
        <w:tabs>
          <w:tab w:val="left" w:pos="2112"/>
        </w:tabs>
        <w:spacing w:after="0"/>
      </w:pPr>
      <w:r w:rsidRPr="002910C7">
        <w:t xml:space="preserve">Behm, D.G., Blazevich, A.J., Kay, A.D. and McHugh, M. (2016) ‘Acute effects of muscle stretching on physical performance, range of motion, and injury incidence in healthy active individuals: A systematic review’, </w:t>
      </w:r>
      <w:r w:rsidRPr="002910C7">
        <w:rPr>
          <w:i/>
          <w:iCs/>
        </w:rPr>
        <w:t>Applied Physiology, Nutrition, and Metabolism</w:t>
      </w:r>
      <w:r w:rsidRPr="002910C7">
        <w:t>, 41(1), pp. 1–11.</w:t>
      </w:r>
    </w:p>
    <w:p w14:paraId="18F05195" w14:textId="77777777" w:rsidR="002910C7" w:rsidRPr="002910C7" w:rsidRDefault="002910C7" w:rsidP="002910C7">
      <w:pPr>
        <w:tabs>
          <w:tab w:val="left" w:pos="2112"/>
        </w:tabs>
        <w:spacing w:after="0"/>
      </w:pPr>
    </w:p>
    <w:p w14:paraId="1A2EF886" w14:textId="77777777" w:rsidR="002910C7" w:rsidRDefault="002910C7" w:rsidP="002910C7">
      <w:pPr>
        <w:tabs>
          <w:tab w:val="left" w:pos="2112"/>
        </w:tabs>
        <w:spacing w:after="0"/>
      </w:pPr>
      <w:r w:rsidRPr="002910C7">
        <w:t xml:space="preserve">Bohannon, R.W. (2019) ‘Grip strength: An indispensable biomarker for older adults’, </w:t>
      </w:r>
      <w:r w:rsidRPr="002910C7">
        <w:rPr>
          <w:i/>
          <w:iCs/>
        </w:rPr>
        <w:t>Clinical Interventions in Aging</w:t>
      </w:r>
      <w:r w:rsidRPr="002910C7">
        <w:t>, 14, pp. 1681–1691.</w:t>
      </w:r>
    </w:p>
    <w:p w14:paraId="184A7CA8" w14:textId="77777777" w:rsidR="002910C7" w:rsidRPr="002910C7" w:rsidRDefault="002910C7" w:rsidP="002910C7">
      <w:pPr>
        <w:tabs>
          <w:tab w:val="left" w:pos="2112"/>
        </w:tabs>
        <w:spacing w:after="0"/>
      </w:pPr>
    </w:p>
    <w:p w14:paraId="1700FB5B" w14:textId="77777777" w:rsidR="002910C7" w:rsidRDefault="002910C7" w:rsidP="002910C7">
      <w:pPr>
        <w:tabs>
          <w:tab w:val="left" w:pos="2112"/>
        </w:tabs>
        <w:spacing w:after="0"/>
      </w:pPr>
      <w:r w:rsidRPr="002910C7">
        <w:t xml:space="preserve">McArdle, W.D., Katch, F.I. and Katch, V.L. (2015) </w:t>
      </w:r>
      <w:r w:rsidRPr="002910C7">
        <w:rPr>
          <w:i/>
          <w:iCs/>
        </w:rPr>
        <w:t>Exercise physiology: Nutrition, energy, and human performance</w:t>
      </w:r>
      <w:r w:rsidRPr="002910C7">
        <w:t xml:space="preserve">. 8th </w:t>
      </w:r>
      <w:proofErr w:type="spellStart"/>
      <w:r w:rsidRPr="002910C7">
        <w:t>edn</w:t>
      </w:r>
      <w:proofErr w:type="spellEnd"/>
      <w:r w:rsidRPr="002910C7">
        <w:t>. Philadelphia: Wolters Kluwer.</w:t>
      </w:r>
    </w:p>
    <w:p w14:paraId="2E20E6C2" w14:textId="77777777" w:rsidR="002910C7" w:rsidRPr="002910C7" w:rsidRDefault="002910C7" w:rsidP="002910C7">
      <w:pPr>
        <w:tabs>
          <w:tab w:val="left" w:pos="2112"/>
        </w:tabs>
        <w:spacing w:after="0"/>
      </w:pPr>
    </w:p>
    <w:p w14:paraId="1BB7A143" w14:textId="77777777" w:rsidR="002910C7" w:rsidRPr="002910C7" w:rsidRDefault="002910C7" w:rsidP="002910C7">
      <w:pPr>
        <w:tabs>
          <w:tab w:val="left" w:pos="2112"/>
        </w:tabs>
        <w:spacing w:after="0"/>
      </w:pPr>
      <w:r w:rsidRPr="002910C7">
        <w:t xml:space="preserve">World Health Organization (WHO) (2011) </w:t>
      </w:r>
      <w:r w:rsidRPr="002910C7">
        <w:rPr>
          <w:i/>
          <w:iCs/>
        </w:rPr>
        <w:t>Waist circumference and waist–hip ratio: Report of a WHO expert consultation</w:t>
      </w:r>
      <w:r w:rsidRPr="002910C7">
        <w:t>. Geneva: WHO.</w:t>
      </w:r>
    </w:p>
    <w:p w14:paraId="0D1E16BF" w14:textId="77777777" w:rsidR="001214F2" w:rsidRDefault="001214F2" w:rsidP="001214F2">
      <w:pPr>
        <w:tabs>
          <w:tab w:val="left" w:pos="2112"/>
        </w:tabs>
        <w:spacing w:after="0"/>
      </w:pPr>
    </w:p>
    <w:sectPr w:rsidR="001214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3F8C5" w14:textId="77777777" w:rsidR="00761892" w:rsidRDefault="00761892" w:rsidP="001214F2">
      <w:pPr>
        <w:spacing w:after="0" w:line="240" w:lineRule="auto"/>
      </w:pPr>
      <w:r>
        <w:separator/>
      </w:r>
    </w:p>
  </w:endnote>
  <w:endnote w:type="continuationSeparator" w:id="0">
    <w:p w14:paraId="069DC6D6" w14:textId="77777777" w:rsidR="00761892" w:rsidRDefault="00761892" w:rsidP="00121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C6EE3" w14:textId="77777777" w:rsidR="00761892" w:rsidRDefault="00761892" w:rsidP="001214F2">
      <w:pPr>
        <w:spacing w:after="0" w:line="240" w:lineRule="auto"/>
      </w:pPr>
      <w:r>
        <w:separator/>
      </w:r>
    </w:p>
  </w:footnote>
  <w:footnote w:type="continuationSeparator" w:id="0">
    <w:p w14:paraId="124F7FBF" w14:textId="77777777" w:rsidR="00761892" w:rsidRDefault="00761892" w:rsidP="001214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111"/>
    <w:rsid w:val="0007397A"/>
    <w:rsid w:val="001214F2"/>
    <w:rsid w:val="00211EB1"/>
    <w:rsid w:val="002910C7"/>
    <w:rsid w:val="002B13AC"/>
    <w:rsid w:val="002E1C22"/>
    <w:rsid w:val="003873FB"/>
    <w:rsid w:val="003A188C"/>
    <w:rsid w:val="004117C6"/>
    <w:rsid w:val="005B4111"/>
    <w:rsid w:val="00761892"/>
    <w:rsid w:val="007F12D5"/>
    <w:rsid w:val="00D050CA"/>
    <w:rsid w:val="00E04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23662"/>
  <w15:chartTrackingRefBased/>
  <w15:docId w15:val="{FE37F15A-447A-4709-AACE-1999BDEE0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1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1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1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1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1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1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1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1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1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1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1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1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1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1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1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1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1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111"/>
    <w:rPr>
      <w:rFonts w:eastAsiaTheme="majorEastAsia" w:cstheme="majorBidi"/>
      <w:color w:val="272727" w:themeColor="text1" w:themeTint="D8"/>
    </w:rPr>
  </w:style>
  <w:style w:type="paragraph" w:styleId="Title">
    <w:name w:val="Title"/>
    <w:basedOn w:val="Normal"/>
    <w:next w:val="Normal"/>
    <w:link w:val="TitleChar"/>
    <w:uiPriority w:val="10"/>
    <w:qFormat/>
    <w:rsid w:val="005B41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1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1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1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111"/>
    <w:pPr>
      <w:spacing w:before="160"/>
      <w:jc w:val="center"/>
    </w:pPr>
    <w:rPr>
      <w:i/>
      <w:iCs/>
      <w:color w:val="404040" w:themeColor="text1" w:themeTint="BF"/>
    </w:rPr>
  </w:style>
  <w:style w:type="character" w:customStyle="1" w:styleId="QuoteChar">
    <w:name w:val="Quote Char"/>
    <w:basedOn w:val="DefaultParagraphFont"/>
    <w:link w:val="Quote"/>
    <w:uiPriority w:val="29"/>
    <w:rsid w:val="005B4111"/>
    <w:rPr>
      <w:i/>
      <w:iCs/>
      <w:color w:val="404040" w:themeColor="text1" w:themeTint="BF"/>
    </w:rPr>
  </w:style>
  <w:style w:type="paragraph" w:styleId="ListParagraph">
    <w:name w:val="List Paragraph"/>
    <w:basedOn w:val="Normal"/>
    <w:uiPriority w:val="34"/>
    <w:qFormat/>
    <w:rsid w:val="005B4111"/>
    <w:pPr>
      <w:ind w:left="720"/>
      <w:contextualSpacing/>
    </w:pPr>
  </w:style>
  <w:style w:type="character" w:styleId="IntenseEmphasis">
    <w:name w:val="Intense Emphasis"/>
    <w:basedOn w:val="DefaultParagraphFont"/>
    <w:uiPriority w:val="21"/>
    <w:qFormat/>
    <w:rsid w:val="005B4111"/>
    <w:rPr>
      <w:i/>
      <w:iCs/>
      <w:color w:val="0F4761" w:themeColor="accent1" w:themeShade="BF"/>
    </w:rPr>
  </w:style>
  <w:style w:type="paragraph" w:styleId="IntenseQuote">
    <w:name w:val="Intense Quote"/>
    <w:basedOn w:val="Normal"/>
    <w:next w:val="Normal"/>
    <w:link w:val="IntenseQuoteChar"/>
    <w:uiPriority w:val="30"/>
    <w:qFormat/>
    <w:rsid w:val="005B41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111"/>
    <w:rPr>
      <w:i/>
      <w:iCs/>
      <w:color w:val="0F4761" w:themeColor="accent1" w:themeShade="BF"/>
    </w:rPr>
  </w:style>
  <w:style w:type="character" w:styleId="IntenseReference">
    <w:name w:val="Intense Reference"/>
    <w:basedOn w:val="DefaultParagraphFont"/>
    <w:uiPriority w:val="32"/>
    <w:qFormat/>
    <w:rsid w:val="005B4111"/>
    <w:rPr>
      <w:b/>
      <w:bCs/>
      <w:smallCaps/>
      <w:color w:val="0F4761" w:themeColor="accent1" w:themeShade="BF"/>
      <w:spacing w:val="5"/>
    </w:rPr>
  </w:style>
  <w:style w:type="paragraph" w:styleId="Header">
    <w:name w:val="header"/>
    <w:basedOn w:val="Normal"/>
    <w:link w:val="HeaderChar"/>
    <w:uiPriority w:val="99"/>
    <w:unhideWhenUsed/>
    <w:rsid w:val="0012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4F2"/>
  </w:style>
  <w:style w:type="paragraph" w:styleId="Footer">
    <w:name w:val="footer"/>
    <w:basedOn w:val="Normal"/>
    <w:link w:val="FooterChar"/>
    <w:uiPriority w:val="99"/>
    <w:unhideWhenUsed/>
    <w:rsid w:val="0012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4F2"/>
  </w:style>
  <w:style w:type="paragraph" w:styleId="NormalWeb">
    <w:name w:val="Normal (Web)"/>
    <w:basedOn w:val="Normal"/>
    <w:uiPriority w:val="99"/>
    <w:semiHidden/>
    <w:unhideWhenUsed/>
    <w:rsid w:val="002910C7"/>
    <w:rPr>
      <w:rFonts w:ascii="Times New Roman" w:hAnsi="Times New Roman" w:cs="Times New Roman"/>
    </w:rPr>
  </w:style>
  <w:style w:type="character" w:styleId="Hyperlink">
    <w:name w:val="Hyperlink"/>
    <w:basedOn w:val="DefaultParagraphFont"/>
    <w:uiPriority w:val="99"/>
    <w:unhideWhenUsed/>
    <w:rsid w:val="00E0440D"/>
    <w:rPr>
      <w:color w:val="467886" w:themeColor="hyperlink"/>
      <w:u w:val="single"/>
    </w:rPr>
  </w:style>
  <w:style w:type="character" w:styleId="UnresolvedMention">
    <w:name w:val="Unresolved Mention"/>
    <w:basedOn w:val="DefaultParagraphFont"/>
    <w:uiPriority w:val="99"/>
    <w:semiHidden/>
    <w:unhideWhenUsed/>
    <w:rsid w:val="00E044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openai.com/" TargetMode="External"/><Relationship Id="rId3" Type="http://schemas.openxmlformats.org/officeDocument/2006/relationships/webSettings" Target="webSettings.xml"/><Relationship Id="rId7" Type="http://schemas.openxmlformats.org/officeDocument/2006/relationships/hyperlink" Target="https://chat.openai.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rammarly.com/"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s://chat.openai.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1852</Words>
  <Characters>10562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thomas</dc:creator>
  <cp:keywords/>
  <dc:description/>
  <cp:lastModifiedBy>Clare thomas</cp:lastModifiedBy>
  <cp:revision>7</cp:revision>
  <dcterms:created xsi:type="dcterms:W3CDTF">2026-02-19T16:24:00Z</dcterms:created>
  <dcterms:modified xsi:type="dcterms:W3CDTF">2026-02-21T14:16:00Z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eb03900f-05f8-4f55-9469-7a9d6ea21557</vt:lpwstr>
  </property>
</Properties>
</file>