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98717" w14:textId="111B5DFF" w:rsidR="00963964" w:rsidRDefault="00963964">
      <w:pPr>
        <w:spacing w:after="480"/>
        <w:jc w:val="center"/>
        <w:rPr>
          <w:b/>
          <w:bCs/>
          <w:sz w:val="28"/>
          <w:szCs w:val="28"/>
        </w:rPr>
      </w:pPr>
      <w:r>
        <w:rPr>
          <w:b/>
          <w:bCs/>
          <w:sz w:val="28"/>
          <w:szCs w:val="28"/>
        </w:rPr>
        <w:t xml:space="preserve">Marian Raducanu </w:t>
      </w:r>
    </w:p>
    <w:p w14:paraId="1076F0F4" w14:textId="3181BBCA" w:rsidR="00963964" w:rsidRDefault="00963964">
      <w:pPr>
        <w:spacing w:after="480"/>
        <w:jc w:val="center"/>
        <w:rPr>
          <w:b/>
          <w:bCs/>
          <w:sz w:val="28"/>
          <w:szCs w:val="28"/>
        </w:rPr>
      </w:pPr>
      <w:r>
        <w:rPr>
          <w:b/>
          <w:bCs/>
          <w:sz w:val="28"/>
          <w:szCs w:val="28"/>
        </w:rPr>
        <w:t xml:space="preserve">HPRS 4905: Introduction to Hebrew Bible </w:t>
      </w:r>
    </w:p>
    <w:p w14:paraId="172B8B3F" w14:textId="7135E8B5" w:rsidR="00963964" w:rsidRDefault="00963964">
      <w:pPr>
        <w:spacing w:after="480"/>
        <w:jc w:val="center"/>
        <w:rPr>
          <w:b/>
          <w:bCs/>
          <w:sz w:val="28"/>
          <w:szCs w:val="28"/>
        </w:rPr>
      </w:pPr>
      <w:r>
        <w:rPr>
          <w:b/>
          <w:bCs/>
          <w:sz w:val="28"/>
          <w:szCs w:val="28"/>
        </w:rPr>
        <w:t>Essay</w:t>
      </w:r>
    </w:p>
    <w:p w14:paraId="64BDF7BC" w14:textId="6FFE77AF" w:rsidR="004137E4" w:rsidRDefault="00E6121B" w:rsidP="00963964">
      <w:pPr>
        <w:spacing w:after="480"/>
        <w:jc w:val="center"/>
      </w:pPr>
      <w:r>
        <w:rPr>
          <w:b/>
          <w:bCs/>
          <w:sz w:val="28"/>
          <w:szCs w:val="28"/>
        </w:rPr>
        <w:t>The Importance of King Solomon in the Hebrew Bible</w:t>
      </w:r>
    </w:p>
    <w:p w14:paraId="66D5C63B" w14:textId="77777777" w:rsidR="004137E4" w:rsidRDefault="00E6121B">
      <w:pPr>
        <w:spacing w:after="240" w:line="480" w:lineRule="auto"/>
        <w:jc w:val="both"/>
      </w:pPr>
      <w:r>
        <w:t>The figure of King Solomon occupies a position of singular importance within the Hebrew Bible. Reigning as the third monarch of a united Israelite kingdom, following Saul and his father David, Solomon is presented across multiple biblical books as a ruler of extraordinary wisdom, wealth, and ambition. His reign, traditionally dated to approximately 970 to 930 BCE, serves as both a historical watershed and a theological reference point throughout the scriptural canon.</w:t>
      </w:r>
      <w:r>
        <w:rPr>
          <w:rStyle w:val="FootnoteReference"/>
        </w:rPr>
        <w:footnoteReference w:id="1"/>
      </w:r>
      <w:r>
        <w:rPr>
          <w:rStyle w:val="FootnoteReference"/>
        </w:rPr>
        <w:footnoteReference w:id="2"/>
      </w:r>
    </w:p>
    <w:p w14:paraId="3222A498" w14:textId="77777777" w:rsidR="004137E4" w:rsidRDefault="00E6121B">
      <w:pPr>
        <w:spacing w:after="240" w:line="480" w:lineRule="auto"/>
        <w:jc w:val="both"/>
      </w:pPr>
      <w:r>
        <w:t>The narratives concentrated primarily in 1 Kings 1 through 11, alongside parallel material in 2 Chronicles 1 through 9, construct Solomon as the embodiment of Israel at its zenith. Yet the biblical portrait is far from uniformly celebratory. Scholars have long recognised that the Deuteronomistic editors responsible for shaping the Books of Kings use Solomon's career as a vehicle for exploring the conditions under which divine favour is granted and withdrawn. Understanding Solomon's importance therefore requ</w:t>
      </w:r>
      <w:r>
        <w:t>ires attention not only to the grandeur attributed to him, but also to the ambivalence with which that grandeur is ultimately judged.</w:t>
      </w:r>
    </w:p>
    <w:p w14:paraId="761128EB" w14:textId="77777777" w:rsidR="004137E4" w:rsidRDefault="00E6121B">
      <w:pPr>
        <w:spacing w:before="360" w:after="120"/>
      </w:pPr>
      <w:r>
        <w:rPr>
          <w:b/>
          <w:bCs/>
        </w:rPr>
        <w:t>The Davidic Legacy and Solomon's Accession</w:t>
      </w:r>
    </w:p>
    <w:p w14:paraId="0B5BA713" w14:textId="77777777" w:rsidR="004137E4" w:rsidRDefault="00E6121B">
      <w:pPr>
        <w:spacing w:after="240" w:line="480" w:lineRule="auto"/>
        <w:jc w:val="both"/>
      </w:pPr>
      <w:r>
        <w:t xml:space="preserve">Solomon's importance within the Hebrew Bible is inseparable from his relationship to his father David. The Davidic covenant, articulated in 2 Samuel 7, promises an enduring dynasty and a descendant who will build a permanent dwelling for the Lord. Solomon is presented as the </w:t>
      </w:r>
      <w:r>
        <w:lastRenderedPageBreak/>
        <w:t>fulfilment of this promise, the one chosen by God to construct the Jerusalem Temple and to consolidate the territorial and political achievements of his father.</w:t>
      </w:r>
      <w:r>
        <w:rPr>
          <w:rStyle w:val="FootnoteReference"/>
        </w:rPr>
        <w:footnoteReference w:id="3"/>
      </w:r>
    </w:p>
    <w:p w14:paraId="5625465D" w14:textId="77777777" w:rsidR="004137E4" w:rsidRDefault="00E6121B">
      <w:pPr>
        <w:spacing w:after="240" w:line="480" w:lineRule="auto"/>
        <w:jc w:val="both"/>
      </w:pPr>
      <w:r>
        <w:t>The account of Solomon's accession in 1 Kings 1 and 2 is, however, markedly political in character. Scholars of the so-called Succession Narrative have noted that the text records a court struggle in which Solomon prevails over his elder brother Adonijah through the intervention of the prophet Nathan and his mother Bathsheba.</w:t>
      </w:r>
      <w:r>
        <w:rPr>
          <w:rStyle w:val="FootnoteReference"/>
        </w:rPr>
        <w:footnoteReference w:id="4"/>
      </w:r>
      <w:r>
        <w:t xml:space="preserve"> Far from presenting a straightforward divine appointment, the narrative foregrounds human intrigue and the fragility of dynastic succession. This tension between divine election and political manoeuvring runs throughout the Solomon material and contributes to its narrative richness.</w:t>
      </w:r>
    </w:p>
    <w:p w14:paraId="6F093C0B" w14:textId="77777777" w:rsidR="004137E4" w:rsidRDefault="00E6121B">
      <w:pPr>
        <w:spacing w:after="240" w:line="480" w:lineRule="auto"/>
        <w:jc w:val="both"/>
      </w:pPr>
      <w:r>
        <w:t>Once established on the throne, Solomon consolidates his position through a series of acts, including the execution of Adonijah, the removal of the priest Abiathar, and the killing of Joab. The Deuteronomistic historian presents these events as the fulfilment of David's deathbed instructions, thus legitimising Solomon's actions as the completion of a divinely sanctioned agenda.</w:t>
      </w:r>
      <w:r>
        <w:rPr>
          <w:rStyle w:val="FootnoteReference"/>
        </w:rPr>
        <w:footnoteReference w:id="5"/>
      </w:r>
      <w:r>
        <w:t xml:space="preserve"> The effect is to link Solomon's reign from its outset to the fulfilment of prophetic and covenantal obligations, a theme that will recur throughout his story.</w:t>
      </w:r>
    </w:p>
    <w:p w14:paraId="50515F2A" w14:textId="77777777" w:rsidR="004137E4" w:rsidRDefault="00E6121B">
      <w:pPr>
        <w:spacing w:before="360" w:after="120"/>
      </w:pPr>
      <w:r>
        <w:rPr>
          <w:b/>
          <w:bCs/>
        </w:rPr>
        <w:t>Wisdom and the Divine Gift</w:t>
      </w:r>
    </w:p>
    <w:p w14:paraId="5CBCC11F" w14:textId="77777777" w:rsidR="004137E4" w:rsidRDefault="00E6121B">
      <w:pPr>
        <w:spacing w:after="240" w:line="480" w:lineRule="auto"/>
        <w:jc w:val="both"/>
      </w:pPr>
      <w:r>
        <w:t xml:space="preserve">Perhaps no aspect of Solomon's portrayal is more central to his biblical importance than his reputation for wisdom. At Gibeon, in a celebrated dream vision recorded in 1 Kings 3, Solomon requests from God not wealth or military power but an understanding heart with which to </w:t>
      </w:r>
      <w:r>
        <w:lastRenderedPageBreak/>
        <w:t>govern Israel. This petition is granted, and Solomon is endowed with wisdom surpassing that of all other peoples.</w:t>
      </w:r>
      <w:r>
        <w:rPr>
          <w:rStyle w:val="FootnoteReference"/>
        </w:rPr>
        <w:footnoteReference w:id="6"/>
      </w:r>
    </w:p>
    <w:p w14:paraId="5049AD8F" w14:textId="77777777" w:rsidR="004137E4" w:rsidRDefault="00E6121B">
      <w:pPr>
        <w:spacing w:after="240" w:line="480" w:lineRule="auto"/>
        <w:jc w:val="both"/>
      </w:pPr>
      <w:r>
        <w:t>The narrative consequences of this divine gift are immediately illustrated. The famous judgement of the two mothers who both claim the same infant (1 Kings 3:16-28) demonstrates Solomon's ability to discern truth through cunning rather than force. Von Rad observes that this episode belongs to a broader tradition of wisdom narratives that celebrate the sagacity of rulers as a manifestation of divine blessing upon the community they govern.</w:t>
      </w:r>
      <w:r>
        <w:rPr>
          <w:rStyle w:val="FootnoteReference"/>
        </w:rPr>
        <w:footnoteReference w:id="7"/>
      </w:r>
    </w:p>
    <w:p w14:paraId="359424FC" w14:textId="77777777" w:rsidR="004137E4" w:rsidRDefault="00E6121B">
      <w:pPr>
        <w:spacing w:after="240" w:line="480" w:lineRule="auto"/>
        <w:jc w:val="both"/>
      </w:pPr>
      <w:r>
        <w:t>The biblical text extends Solomon's wisdom into literary production. He is credited with composing three thousand proverbs and a thousand and five songs (1 Kings 4:32), and with possessing encyclopaedic knowledge of the natural world. This association gave rise to a substantial corpus of postbiblical literature attributed to Solomon, including the Book of Proverbs, Ecclesiastes, the Song of Solomon, and, in the deuterocanonical tradition, the Wisdom of Solomon. Crenshaw notes that while direct Solomonic aut</w:t>
      </w:r>
      <w:r>
        <w:t>horship of these texts is not accepted by modern scholarship, the attribution reflects the enduring cultural authority of Solomon as the patron of Israelite wisdom.</w:t>
      </w:r>
      <w:r>
        <w:rPr>
          <w:rStyle w:val="FootnoteReference"/>
        </w:rPr>
        <w:footnoteReference w:id="8"/>
      </w:r>
    </w:p>
    <w:p w14:paraId="0F5BAFD1" w14:textId="77777777" w:rsidR="004137E4" w:rsidRDefault="00E6121B">
      <w:pPr>
        <w:spacing w:after="240" w:line="480" w:lineRule="auto"/>
        <w:jc w:val="both"/>
      </w:pPr>
      <w:r>
        <w:t>The wisdom tradition is therefore one of the primary channels through which Solomon's significance extended beyond the historical narrative. His name became a byword for intellectual achievement and discernment, and the books associated with him constitute some of the most philosophically and poetically rich material in the entire biblical canon.</w:t>
      </w:r>
      <w:r>
        <w:rPr>
          <w:rStyle w:val="FootnoteReference"/>
        </w:rPr>
        <w:footnoteReference w:id="9"/>
      </w:r>
    </w:p>
    <w:p w14:paraId="4B74975A" w14:textId="77777777" w:rsidR="004137E4" w:rsidRDefault="00E6121B">
      <w:pPr>
        <w:spacing w:before="360" w:after="120"/>
      </w:pPr>
      <w:r>
        <w:rPr>
          <w:b/>
          <w:bCs/>
        </w:rPr>
        <w:t>The Building of the Temple</w:t>
      </w:r>
    </w:p>
    <w:p w14:paraId="52DF3AE6" w14:textId="77777777" w:rsidR="004137E4" w:rsidRDefault="00E6121B">
      <w:pPr>
        <w:spacing w:after="240" w:line="480" w:lineRule="auto"/>
        <w:jc w:val="both"/>
      </w:pPr>
      <w:r>
        <w:lastRenderedPageBreak/>
        <w:t>If Solomon's wisdom defines his intellectual legacy, the construction of the Jerusalem Temple defines his religious one. The detailed account of the Temple's construction in 1 Kings 5 through 8 occupies a substantial portion of the Solomon narrative and is clearly intended to convey its theological centrality. The Temple, built of cedar and stone, adorned with gold and bronze, and housing the Ark of the Covenant in its innermost sanctuary, represented the permanent dwelling place of the divine presence on e</w:t>
      </w:r>
      <w:r>
        <w:t>arth.</w:t>
      </w:r>
      <w:r>
        <w:rPr>
          <w:rStyle w:val="FootnoteReference"/>
        </w:rPr>
        <w:footnoteReference w:id="10"/>
      </w:r>
    </w:p>
    <w:p w14:paraId="58E37646" w14:textId="77777777" w:rsidR="004137E4" w:rsidRDefault="00E6121B">
      <w:pPr>
        <w:spacing w:after="240" w:line="480" w:lineRule="auto"/>
        <w:jc w:val="both"/>
      </w:pPr>
      <w:r>
        <w:t>The political and theological significance of this achievement cannot be overstated. De Vaux emphasises that the Temple served simultaneously as a royal chapel and as the national sanctuary of Israel, binding together the authority of the monarchy and the worship of Yahweh in a single architectural and institutional complex.</w:t>
      </w:r>
      <w:r>
        <w:rPr>
          <w:rStyle w:val="FootnoteReference"/>
        </w:rPr>
        <w:footnoteReference w:id="11"/>
      </w:r>
      <w:r>
        <w:t xml:space="preserve"> The dedication of the Temple in 1 Kings 8 is narrated as the high point of Solomon's reign, the moment at which God's promise to David finds its most concrete expression.</w:t>
      </w:r>
    </w:p>
    <w:p w14:paraId="293D4AC6" w14:textId="77777777" w:rsidR="004137E4" w:rsidRDefault="00E6121B">
      <w:pPr>
        <w:spacing w:after="240" w:line="480" w:lineRule="auto"/>
        <w:jc w:val="both"/>
      </w:pPr>
      <w:r>
        <w:t>Solomon's prayer of dedication (1 Kings 8:22-53) is among the most theologically sophisticated passages in the Deuteronomistic History. It articulates a vision of the Temple not as a literal house confining the deity, but as a place towards which prayer is directed, a conduit for divine forgiveness and restoration. Sweeney argues that this prayer reflects the exilic context of the Deuteronomistic editors, who shaped the material to address a community that had lost both the Temple and the land, offering a t</w:t>
      </w:r>
      <w:r>
        <w:t>heology of prayer and repentance as the basis for renewed relationship with God.</w:t>
      </w:r>
      <w:r>
        <w:rPr>
          <w:rStyle w:val="FootnoteReference"/>
        </w:rPr>
        <w:footnoteReference w:id="12"/>
      </w:r>
    </w:p>
    <w:p w14:paraId="2F6A64A0" w14:textId="77777777" w:rsidR="004137E4" w:rsidRDefault="00E6121B">
      <w:pPr>
        <w:spacing w:after="240" w:line="480" w:lineRule="auto"/>
        <w:jc w:val="both"/>
      </w:pPr>
      <w:r>
        <w:t xml:space="preserve">The Temple thus functions in the text not merely as a historical monument but as a theological symbol of Israel's covenant identity. Its construction marks the fulfilment of the Davidic </w:t>
      </w:r>
      <w:r>
        <w:lastRenderedPageBreak/>
        <w:t>promise, while its later destruction, which the editors of Kings foreshadow throughout, becomes the defining catastrophe of Israelite history. Solomon's role as Temple builder places him at the pivotal junction between promise and loss, between the golden age of the united monarchy and the long tragedy of exile.</w:t>
      </w:r>
      <w:r>
        <w:rPr>
          <w:rStyle w:val="FootnoteReference"/>
        </w:rPr>
        <w:footnoteReference w:id="13"/>
      </w:r>
    </w:p>
    <w:p w14:paraId="1FA307AC" w14:textId="77777777" w:rsidR="004137E4" w:rsidRDefault="00E6121B">
      <w:pPr>
        <w:spacing w:before="360" w:after="120"/>
      </w:pPr>
      <w:r>
        <w:rPr>
          <w:b/>
          <w:bCs/>
        </w:rPr>
        <w:t>Administration, Trade, and Imperial Ambition</w:t>
      </w:r>
    </w:p>
    <w:p w14:paraId="4C6A1824" w14:textId="77777777" w:rsidR="004137E4" w:rsidRDefault="00E6121B">
      <w:pPr>
        <w:spacing w:after="240" w:line="480" w:lineRule="auto"/>
        <w:jc w:val="both"/>
      </w:pPr>
      <w:r>
        <w:t>Beyond his religious significance, Solomon is presented as an administrator and trader of remarkable ability. 1 Kings 4 describes an elaborate system of twelve administrative districts, each responsible for supplying the royal court for one month of the year. This reorganisation of Israelite territory, which cut across traditional tribal boundaries, represents a significant centralisation of political power and reflects Solomon's ambition to model his kingdom on the great courts of the ancient Near East.</w:t>
      </w:r>
      <w:r>
        <w:rPr>
          <w:rStyle w:val="FootnoteReference"/>
        </w:rPr>
        <w:footnoteReference w:id="14"/>
      </w:r>
    </w:p>
    <w:p w14:paraId="1D2D01EF" w14:textId="77777777" w:rsidR="004137E4" w:rsidRDefault="00E6121B">
      <w:pPr>
        <w:spacing w:after="240" w:line="480" w:lineRule="auto"/>
        <w:jc w:val="both"/>
      </w:pPr>
      <w:r>
        <w:t>The accounts of Solomon's commercial enterprises, including his trade partnerships with Hiram of Tyre and his maritime expeditions to Ophir, present Israel as a participant in the broader economy of the ancient world. The visit of the Queen of Sheba (1 Kings 10) functions within this context as a literary set piece demonstrating Solomon's international renown, as a ruler whose wisdom and wealth attract the admiration of distant monarchs.</w:t>
      </w:r>
      <w:r>
        <w:rPr>
          <w:rStyle w:val="FootnoteReference"/>
        </w:rPr>
        <w:footnoteReference w:id="15"/>
      </w:r>
    </w:p>
    <w:p w14:paraId="62AFF408" w14:textId="77777777" w:rsidR="004137E4" w:rsidRDefault="00E6121B">
      <w:pPr>
        <w:spacing w:after="240" w:line="480" w:lineRule="auto"/>
        <w:jc w:val="both"/>
      </w:pPr>
      <w:r>
        <w:t>Provan, Long, and Longman observe that the cumulative effect of these administrative and commercial narratives is to construct Solomon as a figure of cosmopolitan achievement, a ruler who brought Israel into the mainstream of ancient Near Eastern civilisation.</w:t>
      </w:r>
      <w:r>
        <w:rPr>
          <w:rStyle w:val="FootnoteReference"/>
        </w:rPr>
        <w:footnoteReference w:id="16"/>
      </w:r>
      <w:r>
        <w:t xml:space="preserve"> Yet the biblical editors are alert to the dangers implicit in this ambition. The language used to describe Solomon's accumulation of horses, chariots, and foreign wives echoes the prohibitions of </w:t>
      </w:r>
      <w:r>
        <w:lastRenderedPageBreak/>
        <w:t>Deuteronomy 17:14-20, where the law of the king explicitly warns against precisely such excesses. The grandeur of Solomon's court is thus presented as containing within itself the seeds of his eventual downfall.</w:t>
      </w:r>
    </w:p>
    <w:p w14:paraId="1331B851" w14:textId="77777777" w:rsidR="004137E4" w:rsidRDefault="00E6121B">
      <w:pPr>
        <w:spacing w:before="360" w:after="120"/>
      </w:pPr>
      <w:r>
        <w:rPr>
          <w:b/>
          <w:bCs/>
        </w:rPr>
        <w:t>The Shadow Side: Apostasy and its Consequences</w:t>
      </w:r>
    </w:p>
    <w:p w14:paraId="7578B3FE" w14:textId="77777777" w:rsidR="004137E4" w:rsidRDefault="00E6121B">
      <w:pPr>
        <w:spacing w:after="240" w:line="480" w:lineRule="auto"/>
        <w:jc w:val="both"/>
      </w:pPr>
      <w:r>
        <w:t>The Deuteronomistic historian's account of Solomon's reign does not end in triumph. 1 Kings 11 records a sharp reversal of divine favour, attributed to Solomon's marriage to foreign women who turn his heart towards other gods. He builds high places for Chemosh, Milcom, and other deities, and God declares that the kingdom will be divided after his death.</w:t>
      </w:r>
      <w:r>
        <w:rPr>
          <w:rStyle w:val="FootnoteReference"/>
        </w:rPr>
        <w:footnoteReference w:id="17"/>
      </w:r>
    </w:p>
    <w:p w14:paraId="329E1CCC" w14:textId="77777777" w:rsidR="004137E4" w:rsidRDefault="00E6121B">
      <w:pPr>
        <w:spacing w:after="240" w:line="480" w:lineRule="auto"/>
        <w:jc w:val="both"/>
      </w:pPr>
      <w:r>
        <w:t>This apostasy narrative is theologically central to the purpose of the Solomon material within Kings as a whole. Knoppers argues that Solomon functions as an archetype of the Deuteronomistic ideal of kingship: his early reign embodies obedience and receives divine blessing, while his later reign embodies disobedience and receives divine punishment.</w:t>
      </w:r>
      <w:r>
        <w:rPr>
          <w:rStyle w:val="FootnoteReference"/>
        </w:rPr>
        <w:footnoteReference w:id="18"/>
      </w:r>
      <w:r>
        <w:t xml:space="preserve"> The structure of Solomon's career thus encapsulates the overarching theology of the Deuteronomistic History, in which the prosperity or suffering of Israel is consistently related to faithfulness or unfaithfulness to the Mosaic covenant.</w:t>
      </w:r>
    </w:p>
    <w:p w14:paraId="76C38BF5" w14:textId="08A6B084" w:rsidR="004137E4" w:rsidRDefault="00E6121B">
      <w:pPr>
        <w:spacing w:after="240" w:line="480" w:lineRule="auto"/>
        <w:jc w:val="both"/>
      </w:pPr>
      <w:r>
        <w:t xml:space="preserve">The adversaries raised up against Solomon, including Hadad the Edomite, Rezon of Damascus, and Jeroboam son of Nebat, are presented as instruments of divine displeasure. </w:t>
      </w:r>
      <w:r w:rsidR="00963964">
        <w:t>Jeroboam singled</w:t>
      </w:r>
      <w:r>
        <w:t xml:space="preserve"> out by the prophet Ahijah and promised ten of the twelve tribes, represents the coming division of the kingdom that will follow Solomon's death. Blenkinsopp notes that this prophetic confrontation establishes a pattern of prophetic critique of royal power that will recur throughout the subsequent history of the monarchy.</w:t>
      </w:r>
      <w:r>
        <w:rPr>
          <w:rStyle w:val="FootnoteReference"/>
        </w:rPr>
        <w:footnoteReference w:id="19"/>
      </w:r>
    </w:p>
    <w:p w14:paraId="46DD2BA4" w14:textId="77777777" w:rsidR="004137E4" w:rsidRDefault="00E6121B">
      <w:pPr>
        <w:spacing w:after="240" w:line="480" w:lineRule="auto"/>
        <w:jc w:val="both"/>
      </w:pPr>
      <w:r>
        <w:lastRenderedPageBreak/>
        <w:t>The ambivalence of Solomon's legacy is thus built into the very structure of his biblical narrative. He is simultaneously the wisest of kings and a man whose wisdom ultimately fails to preserve his faithfulness. He is the builder of the Temple and a worshipper of foreign gods. This complexity makes Solomon one of the most theologically rich figures in the Hebrew Bible, a figure whose career invites reflection on the conditions of divine favour, the corrupting potential of power, and the gap between human ac</w:t>
      </w:r>
      <w:r>
        <w:t>hievement and covenantal fidelity.</w:t>
      </w:r>
      <w:r>
        <w:rPr>
          <w:rStyle w:val="FootnoteReference"/>
        </w:rPr>
        <w:footnoteReference w:id="20"/>
      </w:r>
    </w:p>
    <w:p w14:paraId="2DE01350" w14:textId="77777777" w:rsidR="004137E4" w:rsidRDefault="00E6121B">
      <w:pPr>
        <w:spacing w:before="360" w:after="120"/>
      </w:pPr>
      <w:r>
        <w:rPr>
          <w:b/>
          <w:bCs/>
        </w:rPr>
        <w:t>Conclusion</w:t>
      </w:r>
    </w:p>
    <w:p w14:paraId="0851AAA6" w14:textId="77777777" w:rsidR="004137E4" w:rsidRDefault="00E6121B">
      <w:pPr>
        <w:spacing w:after="240" w:line="480" w:lineRule="auto"/>
        <w:jc w:val="both"/>
      </w:pPr>
      <w:r>
        <w:t>The importance of King Solomon in the Hebrew Bible is multidimensional and irreducible to any single aspect of his portrayal. He is the fulfiller of the Davidic covenant, the builder of the Temple, the patron of wisdom, and the architect of Israel's greatest imperial moment. He is also the king whose idolatries precipitate the division of the kingdom and set in motion the long decline that will culminate in the Babylonian exile. Brueggemann's characterisation of Solomon as "Israel's ironic icon of human ach</w:t>
      </w:r>
      <w:r>
        <w:t>ievement" captures something essential about this duality: his greatness and his failure are inextricably bound together.</w:t>
      </w:r>
      <w:r>
        <w:rPr>
          <w:rStyle w:val="FootnoteReference"/>
        </w:rPr>
        <w:footnoteReference w:id="21"/>
      </w:r>
      <w:r>
        <w:rPr>
          <w:rStyle w:val="FootnoteReference"/>
        </w:rPr>
        <w:footnoteReference w:id="22"/>
      </w:r>
    </w:p>
    <w:p w14:paraId="400C59D4" w14:textId="77777777" w:rsidR="004137E4" w:rsidRDefault="00E6121B">
      <w:pPr>
        <w:spacing w:after="240" w:line="480" w:lineRule="auto"/>
        <w:jc w:val="both"/>
      </w:pPr>
      <w:r>
        <w:t>For the Deuteronomistic editors who shaped his story, Solomon served as the pre-eminent illustration of a theology of history in which obedience brings blessing and disobedience brings curse. For the wisdom tradition, he stood as the supreme patron of intellectual and literary culture. For later Jewish and Christian interpretation, he became a figure of almost mythological stature, associated with divine knowledge, architectural wonder, and esoteric power. Across all these registers, the figure of Solomon o</w:t>
      </w:r>
      <w:r>
        <w:t xml:space="preserve">ccupies a place of central importance </w:t>
      </w:r>
      <w:r>
        <w:lastRenderedPageBreak/>
        <w:t>not only within the Hebrew Bible itself but within the broader history of religious thought that grows from it.</w:t>
      </w:r>
    </w:p>
    <w:p w14:paraId="34DEE458" w14:textId="77777777" w:rsidR="004137E4" w:rsidRDefault="00E6121B">
      <w:pPr>
        <w:spacing w:before="480" w:after="120"/>
      </w:pPr>
      <w:r>
        <w:rPr>
          <w:b/>
          <w:bCs/>
        </w:rPr>
        <w:t>Bibliography</w:t>
      </w:r>
    </w:p>
    <w:p w14:paraId="65EAE500" w14:textId="77777777" w:rsidR="004137E4" w:rsidRDefault="00E6121B">
      <w:pPr>
        <w:spacing w:after="120" w:line="360" w:lineRule="auto"/>
        <w:ind w:left="720" w:hanging="720"/>
        <w:jc w:val="both"/>
      </w:pPr>
      <w:r>
        <w:t xml:space="preserve">Blenkinsopp, Joseph, A History of Prophecy in Israel, rev. </w:t>
      </w:r>
      <w:proofErr w:type="spellStart"/>
      <w:r>
        <w:t>edn</w:t>
      </w:r>
      <w:proofErr w:type="spellEnd"/>
      <w:r>
        <w:t xml:space="preserve"> (Louisville: Westminster John Knox Press, 1996)</w:t>
      </w:r>
    </w:p>
    <w:p w14:paraId="7F601374" w14:textId="77777777" w:rsidR="004137E4" w:rsidRDefault="00E6121B">
      <w:pPr>
        <w:spacing w:after="120" w:line="360" w:lineRule="auto"/>
        <w:ind w:left="720" w:hanging="720"/>
        <w:jc w:val="both"/>
      </w:pPr>
      <w:r>
        <w:t xml:space="preserve">Bright, John, A History of Israel, 4th </w:t>
      </w:r>
      <w:proofErr w:type="spellStart"/>
      <w:r>
        <w:t>edn</w:t>
      </w:r>
      <w:proofErr w:type="spellEnd"/>
      <w:r>
        <w:t xml:space="preserve"> (Louisville: Westminster John Knox Press, 2000)</w:t>
      </w:r>
    </w:p>
    <w:p w14:paraId="23D73CE8" w14:textId="77777777" w:rsidR="004137E4" w:rsidRDefault="00E6121B">
      <w:pPr>
        <w:spacing w:after="120" w:line="360" w:lineRule="auto"/>
        <w:ind w:left="720" w:hanging="720"/>
        <w:jc w:val="both"/>
      </w:pPr>
      <w:r>
        <w:t>Brueggemann, Walter, Solomon: Israel's Ironic Icon of Human Achievement (Columbia: University of South Carolina Press, 2005)</w:t>
      </w:r>
    </w:p>
    <w:p w14:paraId="13485C30" w14:textId="77777777" w:rsidR="004137E4" w:rsidRDefault="00E6121B">
      <w:pPr>
        <w:spacing w:after="120" w:line="360" w:lineRule="auto"/>
        <w:ind w:left="720" w:hanging="720"/>
        <w:jc w:val="both"/>
      </w:pPr>
      <w:r>
        <w:t xml:space="preserve">Crenshaw, James L., Old Testament Wisdom: An Introduction, 3rd </w:t>
      </w:r>
      <w:proofErr w:type="spellStart"/>
      <w:r>
        <w:t>edn</w:t>
      </w:r>
      <w:proofErr w:type="spellEnd"/>
      <w:r>
        <w:t xml:space="preserve"> (Louisville: Westminster John Knox Press, 2010)</w:t>
      </w:r>
    </w:p>
    <w:p w14:paraId="5A0550FD" w14:textId="77777777" w:rsidR="004137E4" w:rsidRDefault="00E6121B">
      <w:pPr>
        <w:spacing w:after="120" w:line="360" w:lineRule="auto"/>
        <w:ind w:left="720" w:hanging="720"/>
        <w:jc w:val="both"/>
      </w:pPr>
      <w:r>
        <w:t>de Vaux, Roland, Ancient Israel: Its Life and Institutions, trans. by John McHugh (London: Darton, Longman and Todd, 1961)</w:t>
      </w:r>
    </w:p>
    <w:p w14:paraId="1900D28E" w14:textId="77777777" w:rsidR="004137E4" w:rsidRDefault="00E6121B">
      <w:pPr>
        <w:spacing w:after="120" w:line="360" w:lineRule="auto"/>
        <w:ind w:left="720" w:hanging="720"/>
        <w:jc w:val="both"/>
      </w:pPr>
      <w:r>
        <w:t>Knoppers, Gary N., Two Nations Under God: The Deuteronomistic History of Solomon and the Dual Monarchies, 2 vols (Atlanta: Scholars Press, 1993)</w:t>
      </w:r>
    </w:p>
    <w:p w14:paraId="4F9A407E" w14:textId="77777777" w:rsidR="004137E4" w:rsidRDefault="00E6121B">
      <w:pPr>
        <w:spacing w:after="120" w:line="360" w:lineRule="auto"/>
        <w:ind w:left="720" w:hanging="720"/>
        <w:jc w:val="both"/>
      </w:pPr>
      <w:r>
        <w:t>Provan, Iain, V. Philips Long, and Tremper Longman III, A Biblical History of Israel (Louisville: Westminster John Knox Press, 2003)</w:t>
      </w:r>
    </w:p>
    <w:p w14:paraId="6BA8F05F" w14:textId="77777777" w:rsidR="004137E4" w:rsidRDefault="00E6121B">
      <w:pPr>
        <w:spacing w:after="120" w:line="360" w:lineRule="auto"/>
        <w:ind w:left="720" w:hanging="720"/>
        <w:jc w:val="both"/>
      </w:pPr>
      <w:r>
        <w:t>Sweeney, Marvin A., I and II Kings: A Commentary (Louisville: Westminster John Knox Press, 2007)</w:t>
      </w:r>
    </w:p>
    <w:p w14:paraId="4B1A5B1B" w14:textId="77777777" w:rsidR="004137E4" w:rsidRDefault="00E6121B">
      <w:pPr>
        <w:spacing w:after="120" w:line="360" w:lineRule="auto"/>
        <w:ind w:left="720" w:hanging="720"/>
        <w:jc w:val="both"/>
      </w:pPr>
      <w:r>
        <w:t>von Rad, Gerhard, Wisdom in Israel, trans. by James D. Martin (London: SCM Press, 1972)</w:t>
      </w:r>
    </w:p>
    <w:p w14:paraId="4D25F88B" w14:textId="77777777" w:rsidR="004137E4" w:rsidRDefault="00E6121B">
      <w:pPr>
        <w:spacing w:after="120" w:line="360" w:lineRule="auto"/>
        <w:ind w:left="720" w:hanging="720"/>
        <w:jc w:val="both"/>
      </w:pPr>
      <w:proofErr w:type="spellStart"/>
      <w:r>
        <w:t>Whybray</w:t>
      </w:r>
      <w:proofErr w:type="spellEnd"/>
      <w:r>
        <w:t>, R. N., The Succession Narrative: A Study of II Samuel 9-20 and 1 Kings 1 and 2 (London: SCM Press, 1968)</w:t>
      </w:r>
    </w:p>
    <w:sectPr w:rsidR="004137E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EB9B8" w14:textId="77777777" w:rsidR="00E6121B" w:rsidRDefault="00E6121B">
      <w:r>
        <w:separator/>
      </w:r>
    </w:p>
  </w:endnote>
  <w:endnote w:type="continuationSeparator" w:id="0">
    <w:p w14:paraId="722D4F49" w14:textId="77777777" w:rsidR="00E6121B" w:rsidRDefault="00E61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83E6" w14:textId="77777777" w:rsidR="00E6121B" w:rsidRDefault="00E6121B">
      <w:r>
        <w:separator/>
      </w:r>
    </w:p>
  </w:footnote>
  <w:footnote w:type="continuationSeparator" w:id="0">
    <w:p w14:paraId="5A1A9ED2" w14:textId="77777777" w:rsidR="00E6121B" w:rsidRDefault="00E6121B">
      <w:r>
        <w:continuationSeparator/>
      </w:r>
    </w:p>
  </w:footnote>
  <w:footnote w:id="1">
    <w:p w14:paraId="3442A5D8" w14:textId="77777777" w:rsidR="004137E4" w:rsidRDefault="00E6121B">
      <w:r>
        <w:rPr>
          <w:rStyle w:val="FootnoteReference"/>
        </w:rPr>
        <w:footnoteRef/>
      </w:r>
      <w:r>
        <w:rPr>
          <w:sz w:val="20"/>
          <w:szCs w:val="20"/>
        </w:rPr>
        <w:t>All biblical quotations are taken from the New Revised Standard Version (NRSV).</w:t>
      </w:r>
    </w:p>
  </w:footnote>
  <w:footnote w:id="2">
    <w:p w14:paraId="7BE10C88" w14:textId="77777777" w:rsidR="004137E4" w:rsidRDefault="00E6121B">
      <w:r>
        <w:rPr>
          <w:rStyle w:val="FootnoteReference"/>
        </w:rPr>
        <w:footnoteRef/>
      </w:r>
      <w:r>
        <w:rPr>
          <w:sz w:val="20"/>
          <w:szCs w:val="20"/>
        </w:rPr>
        <w:t xml:space="preserve">John Bright, A History of Israel, 4th </w:t>
      </w:r>
      <w:proofErr w:type="spellStart"/>
      <w:r>
        <w:rPr>
          <w:sz w:val="20"/>
          <w:szCs w:val="20"/>
        </w:rPr>
        <w:t>edn</w:t>
      </w:r>
      <w:proofErr w:type="spellEnd"/>
      <w:r>
        <w:rPr>
          <w:sz w:val="20"/>
          <w:szCs w:val="20"/>
        </w:rPr>
        <w:t xml:space="preserve"> (Louisville: Westminster John Knox Press, 2000), p. 211.</w:t>
      </w:r>
    </w:p>
  </w:footnote>
  <w:footnote w:id="3">
    <w:p w14:paraId="03AABF09" w14:textId="77777777" w:rsidR="004137E4" w:rsidRDefault="00E6121B">
      <w:r>
        <w:rPr>
          <w:rStyle w:val="FootnoteReference"/>
        </w:rPr>
        <w:footnoteRef/>
      </w:r>
      <w:r>
        <w:rPr>
          <w:sz w:val="20"/>
          <w:szCs w:val="20"/>
        </w:rPr>
        <w:t>Gary N. Knoppers, Two Nations Under God: The Deuteronomistic History of Solomon and the Dual Monarchies, 2 vols (Atlanta: Scholars Press, 1993), I, p. 57.</w:t>
      </w:r>
    </w:p>
  </w:footnote>
  <w:footnote w:id="4">
    <w:p w14:paraId="486F7909" w14:textId="77777777" w:rsidR="004137E4" w:rsidRDefault="00E6121B">
      <w:r>
        <w:rPr>
          <w:rStyle w:val="FootnoteReference"/>
        </w:rPr>
        <w:footnoteRef/>
      </w:r>
      <w:r>
        <w:rPr>
          <w:sz w:val="20"/>
          <w:szCs w:val="20"/>
        </w:rPr>
        <w:t xml:space="preserve">R. N. </w:t>
      </w:r>
      <w:proofErr w:type="spellStart"/>
      <w:r>
        <w:rPr>
          <w:sz w:val="20"/>
          <w:szCs w:val="20"/>
        </w:rPr>
        <w:t>Whybray</w:t>
      </w:r>
      <w:proofErr w:type="spellEnd"/>
      <w:r>
        <w:rPr>
          <w:sz w:val="20"/>
          <w:szCs w:val="20"/>
        </w:rPr>
        <w:t>, The Succession Narrative: A Study of II Samuel 9-20 and 1 Kings 1 and 2 (London: SCM Press, 1968), p. 56.</w:t>
      </w:r>
    </w:p>
  </w:footnote>
  <w:footnote w:id="5">
    <w:p w14:paraId="77833405" w14:textId="77777777" w:rsidR="004137E4" w:rsidRDefault="00E6121B">
      <w:r>
        <w:rPr>
          <w:rStyle w:val="FootnoteReference"/>
        </w:rPr>
        <w:footnoteRef/>
      </w:r>
      <w:r>
        <w:rPr>
          <w:sz w:val="20"/>
          <w:szCs w:val="20"/>
        </w:rPr>
        <w:t>Iain Provan, V. Philips Long, and Tremper Longman III, A Biblical History of Israel (Louisville: Westminster John Knox Press, 2003), p. 230.</w:t>
      </w:r>
    </w:p>
  </w:footnote>
  <w:footnote w:id="6">
    <w:p w14:paraId="7F6F9747" w14:textId="77777777" w:rsidR="004137E4" w:rsidRDefault="00E6121B">
      <w:r>
        <w:rPr>
          <w:rStyle w:val="FootnoteReference"/>
        </w:rPr>
        <w:footnoteRef/>
      </w:r>
      <w:r>
        <w:rPr>
          <w:sz w:val="20"/>
          <w:szCs w:val="20"/>
        </w:rPr>
        <w:t>Gerhard von Rad, Wisdom in Israel, trans. by James D. Martin (London: SCM Press, 1972), p. 17.</w:t>
      </w:r>
    </w:p>
  </w:footnote>
  <w:footnote w:id="7">
    <w:p w14:paraId="770B7B8C" w14:textId="77777777" w:rsidR="00963964" w:rsidRDefault="00963964"/>
    <w:p w14:paraId="0E8F9456" w14:textId="77777777" w:rsidR="00E6121B" w:rsidRDefault="00E6121B"/>
  </w:footnote>
  <w:footnote w:id="8">
    <w:p w14:paraId="353A5F11" w14:textId="77777777" w:rsidR="004137E4" w:rsidRDefault="00E6121B">
      <w:r>
        <w:rPr>
          <w:rStyle w:val="FootnoteReference"/>
        </w:rPr>
        <w:footnoteRef/>
      </w:r>
      <w:r>
        <w:rPr>
          <w:sz w:val="20"/>
          <w:szCs w:val="20"/>
        </w:rPr>
        <w:t xml:space="preserve">James L. Crenshaw, Old Testament Wisdom: An Introduction, 3rd </w:t>
      </w:r>
      <w:proofErr w:type="spellStart"/>
      <w:r>
        <w:rPr>
          <w:sz w:val="20"/>
          <w:szCs w:val="20"/>
        </w:rPr>
        <w:t>edn</w:t>
      </w:r>
      <w:proofErr w:type="spellEnd"/>
      <w:r>
        <w:rPr>
          <w:sz w:val="20"/>
          <w:szCs w:val="20"/>
        </w:rPr>
        <w:t xml:space="preserve"> (Louisville: Westminster John Knox Press, 2010), p. 49.</w:t>
      </w:r>
    </w:p>
  </w:footnote>
  <w:footnote w:id="9">
    <w:p w14:paraId="1B5DCF04" w14:textId="77777777" w:rsidR="004137E4" w:rsidRDefault="00E6121B">
      <w:r>
        <w:rPr>
          <w:rStyle w:val="FootnoteReference"/>
        </w:rPr>
        <w:footnoteRef/>
      </w:r>
      <w:r>
        <w:rPr>
          <w:sz w:val="20"/>
          <w:szCs w:val="20"/>
        </w:rPr>
        <w:t>Ibid., p. 52.</w:t>
      </w:r>
    </w:p>
  </w:footnote>
  <w:footnote w:id="10">
    <w:p w14:paraId="78DB9CFF" w14:textId="77777777" w:rsidR="004137E4" w:rsidRDefault="00E6121B">
      <w:r>
        <w:rPr>
          <w:rStyle w:val="FootnoteReference"/>
        </w:rPr>
        <w:footnoteRef/>
      </w:r>
      <w:r>
        <w:rPr>
          <w:sz w:val="20"/>
          <w:szCs w:val="20"/>
        </w:rPr>
        <w:t>Walter Brueggemann, Solomon: Israel's Ironic Icon of Human Achievement (Columbia: University of South Carolina Press, 2005), p. 44.</w:t>
      </w:r>
    </w:p>
  </w:footnote>
  <w:footnote w:id="11">
    <w:p w14:paraId="1C22ECF5" w14:textId="77777777" w:rsidR="004137E4" w:rsidRDefault="00E6121B">
      <w:r>
        <w:rPr>
          <w:rStyle w:val="FootnoteReference"/>
        </w:rPr>
        <w:footnoteRef/>
      </w:r>
      <w:r>
        <w:rPr>
          <w:sz w:val="20"/>
          <w:szCs w:val="20"/>
        </w:rPr>
        <w:t>Roland de Vaux, Ancient Israel: Its Life and Institutions, trans. by John McHugh (London: Darton, Longman and Todd, 1961), p. 129.</w:t>
      </w:r>
    </w:p>
  </w:footnote>
  <w:footnote w:id="12">
    <w:p w14:paraId="02E93279" w14:textId="77777777" w:rsidR="004137E4" w:rsidRDefault="00E6121B">
      <w:r>
        <w:rPr>
          <w:rStyle w:val="FootnoteReference"/>
        </w:rPr>
        <w:footnoteRef/>
      </w:r>
      <w:r>
        <w:rPr>
          <w:sz w:val="20"/>
          <w:szCs w:val="20"/>
        </w:rPr>
        <w:t>Marvin A. Sweeney, I and II Kings: A Commentary (Louisville: Westminster John Knox Press, 2007), p. 160.</w:t>
      </w:r>
    </w:p>
  </w:footnote>
  <w:footnote w:id="13">
    <w:p w14:paraId="4741F9AA" w14:textId="77777777" w:rsidR="004137E4" w:rsidRDefault="00E6121B">
      <w:r>
        <w:rPr>
          <w:rStyle w:val="FootnoteReference"/>
        </w:rPr>
        <w:footnoteRef/>
      </w:r>
      <w:r>
        <w:rPr>
          <w:sz w:val="20"/>
          <w:szCs w:val="20"/>
        </w:rPr>
        <w:t>Ibid., p. 162.</w:t>
      </w:r>
    </w:p>
  </w:footnote>
  <w:footnote w:id="14">
    <w:p w14:paraId="4913C0F5" w14:textId="77777777" w:rsidR="004137E4" w:rsidRDefault="00E6121B">
      <w:r>
        <w:rPr>
          <w:rStyle w:val="FootnoteReference"/>
        </w:rPr>
        <w:footnoteRef/>
      </w:r>
      <w:r>
        <w:rPr>
          <w:sz w:val="20"/>
          <w:szCs w:val="20"/>
        </w:rPr>
        <w:t>Bright, p. 213.</w:t>
      </w:r>
    </w:p>
  </w:footnote>
  <w:footnote w:id="15">
    <w:p w14:paraId="15DE4B73" w14:textId="77777777" w:rsidR="00963964" w:rsidRDefault="00963964"/>
    <w:p w14:paraId="0C014975" w14:textId="77777777" w:rsidR="00E6121B" w:rsidRDefault="00E6121B"/>
  </w:footnote>
  <w:footnote w:id="16">
    <w:p w14:paraId="286BB657" w14:textId="77777777" w:rsidR="004137E4" w:rsidRDefault="00E6121B">
      <w:r>
        <w:rPr>
          <w:rStyle w:val="FootnoteReference"/>
        </w:rPr>
        <w:footnoteRef/>
      </w:r>
      <w:r>
        <w:rPr>
          <w:sz w:val="20"/>
          <w:szCs w:val="20"/>
        </w:rPr>
        <w:t>Provan, Long, and Longman, p. 233.</w:t>
      </w:r>
    </w:p>
  </w:footnote>
  <w:footnote w:id="17">
    <w:p w14:paraId="473F0138" w14:textId="77777777" w:rsidR="004137E4" w:rsidRDefault="00E6121B">
      <w:r>
        <w:rPr>
          <w:rStyle w:val="FootnoteReference"/>
        </w:rPr>
        <w:footnoteRef/>
      </w:r>
      <w:r>
        <w:rPr>
          <w:sz w:val="20"/>
          <w:szCs w:val="20"/>
        </w:rPr>
        <w:t xml:space="preserve">Joseph Blenkinsopp, A History of Prophecy in Israel, rev. </w:t>
      </w:r>
      <w:proofErr w:type="spellStart"/>
      <w:r>
        <w:rPr>
          <w:sz w:val="20"/>
          <w:szCs w:val="20"/>
        </w:rPr>
        <w:t>edn</w:t>
      </w:r>
      <w:proofErr w:type="spellEnd"/>
      <w:r>
        <w:rPr>
          <w:sz w:val="20"/>
          <w:szCs w:val="20"/>
        </w:rPr>
        <w:t xml:space="preserve"> (Louisville: Westminster John Knox Press, 1996), p. 62.</w:t>
      </w:r>
    </w:p>
  </w:footnote>
  <w:footnote w:id="18">
    <w:p w14:paraId="571EA479" w14:textId="77777777" w:rsidR="004137E4" w:rsidRDefault="00E6121B">
      <w:r>
        <w:rPr>
          <w:rStyle w:val="FootnoteReference"/>
        </w:rPr>
        <w:footnoteRef/>
      </w:r>
      <w:r>
        <w:rPr>
          <w:sz w:val="20"/>
          <w:szCs w:val="20"/>
        </w:rPr>
        <w:t>Knoppers, I, p. 115.</w:t>
      </w:r>
    </w:p>
  </w:footnote>
  <w:footnote w:id="19">
    <w:p w14:paraId="4D989BB6" w14:textId="77777777" w:rsidR="004137E4" w:rsidRDefault="00E6121B">
      <w:r>
        <w:rPr>
          <w:rStyle w:val="FootnoteReference"/>
        </w:rPr>
        <w:footnoteRef/>
      </w:r>
      <w:r>
        <w:rPr>
          <w:sz w:val="20"/>
          <w:szCs w:val="20"/>
        </w:rPr>
        <w:t>Blenkinsopp, p. 65.</w:t>
      </w:r>
    </w:p>
  </w:footnote>
  <w:footnote w:id="20">
    <w:p w14:paraId="729A6237" w14:textId="77777777" w:rsidR="004137E4" w:rsidRDefault="00E6121B">
      <w:r>
        <w:rPr>
          <w:rStyle w:val="FootnoteReference"/>
        </w:rPr>
        <w:footnoteRef/>
      </w:r>
      <w:r>
        <w:rPr>
          <w:sz w:val="20"/>
          <w:szCs w:val="20"/>
        </w:rPr>
        <w:t>Brueggemann, p. 72.</w:t>
      </w:r>
    </w:p>
  </w:footnote>
  <w:footnote w:id="21">
    <w:p w14:paraId="27B6D4AA" w14:textId="77777777" w:rsidR="00963964" w:rsidRDefault="00963964"/>
    <w:p w14:paraId="2C093AD3" w14:textId="77777777" w:rsidR="00E6121B" w:rsidRDefault="00E6121B"/>
  </w:footnote>
  <w:footnote w:id="22">
    <w:p w14:paraId="79228BE9" w14:textId="77777777" w:rsidR="004137E4" w:rsidRDefault="00E6121B">
      <w:r>
        <w:rPr>
          <w:rStyle w:val="FootnoteReference"/>
        </w:rPr>
        <w:footnoteRef/>
      </w:r>
      <w:r>
        <w:rPr>
          <w:sz w:val="20"/>
          <w:szCs w:val="20"/>
        </w:rPr>
        <w:t>Brueggemann, p. 101.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10FE4"/>
    <w:multiLevelType w:val="hybridMultilevel"/>
    <w:tmpl w:val="6B24AB92"/>
    <w:lvl w:ilvl="0" w:tplc="8F5C47F0">
      <w:start w:val="1"/>
      <w:numFmt w:val="bullet"/>
      <w:lvlText w:val="●"/>
      <w:lvlJc w:val="left"/>
      <w:pPr>
        <w:ind w:left="720" w:hanging="360"/>
      </w:pPr>
    </w:lvl>
    <w:lvl w:ilvl="1" w:tplc="2DFA5A2C">
      <w:start w:val="1"/>
      <w:numFmt w:val="bullet"/>
      <w:lvlText w:val="○"/>
      <w:lvlJc w:val="left"/>
      <w:pPr>
        <w:ind w:left="1440" w:hanging="360"/>
      </w:pPr>
    </w:lvl>
    <w:lvl w:ilvl="2" w:tplc="E4063B8E">
      <w:start w:val="1"/>
      <w:numFmt w:val="bullet"/>
      <w:lvlText w:val="■"/>
      <w:lvlJc w:val="left"/>
      <w:pPr>
        <w:ind w:left="2160" w:hanging="360"/>
      </w:pPr>
    </w:lvl>
    <w:lvl w:ilvl="3" w:tplc="087E27FA">
      <w:start w:val="1"/>
      <w:numFmt w:val="bullet"/>
      <w:lvlText w:val="●"/>
      <w:lvlJc w:val="left"/>
      <w:pPr>
        <w:ind w:left="2880" w:hanging="360"/>
      </w:pPr>
    </w:lvl>
    <w:lvl w:ilvl="4" w:tplc="1C761D66">
      <w:start w:val="1"/>
      <w:numFmt w:val="bullet"/>
      <w:lvlText w:val="○"/>
      <w:lvlJc w:val="left"/>
      <w:pPr>
        <w:ind w:left="3600" w:hanging="360"/>
      </w:pPr>
    </w:lvl>
    <w:lvl w:ilvl="5" w:tplc="4F3866D0">
      <w:start w:val="1"/>
      <w:numFmt w:val="bullet"/>
      <w:lvlText w:val="■"/>
      <w:lvlJc w:val="left"/>
      <w:pPr>
        <w:ind w:left="4320" w:hanging="360"/>
      </w:pPr>
    </w:lvl>
    <w:lvl w:ilvl="6" w:tplc="B3D8E066">
      <w:start w:val="1"/>
      <w:numFmt w:val="bullet"/>
      <w:lvlText w:val="●"/>
      <w:lvlJc w:val="left"/>
      <w:pPr>
        <w:ind w:left="5040" w:hanging="360"/>
      </w:pPr>
    </w:lvl>
    <w:lvl w:ilvl="7" w:tplc="5652FA5E">
      <w:start w:val="1"/>
      <w:numFmt w:val="bullet"/>
      <w:lvlText w:val="●"/>
      <w:lvlJc w:val="left"/>
      <w:pPr>
        <w:ind w:left="5760" w:hanging="360"/>
      </w:pPr>
    </w:lvl>
    <w:lvl w:ilvl="8" w:tplc="9C865DC4">
      <w:start w:val="1"/>
      <w:numFmt w:val="bullet"/>
      <w:lvlText w:val="●"/>
      <w:lvlJc w:val="left"/>
      <w:pPr>
        <w:ind w:left="6480" w:hanging="360"/>
      </w:pPr>
    </w:lvl>
  </w:abstractNum>
  <w:num w:numId="1" w16cid:durableId="6066161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7E4"/>
    <w:rsid w:val="00332E39"/>
    <w:rsid w:val="004137E4"/>
    <w:rsid w:val="009170B0"/>
    <w:rsid w:val="00963964"/>
    <w:rsid w:val="00E61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33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170B0"/>
    <w:pPr>
      <w:tabs>
        <w:tab w:val="center" w:pos="4513"/>
        <w:tab w:val="right" w:pos="9026"/>
      </w:tabs>
    </w:pPr>
  </w:style>
  <w:style w:type="character" w:customStyle="1" w:styleId="HeaderChar">
    <w:name w:val="Header Char"/>
    <w:basedOn w:val="DefaultParagraphFont"/>
    <w:link w:val="Header"/>
    <w:uiPriority w:val="99"/>
    <w:rsid w:val="009170B0"/>
  </w:style>
  <w:style w:type="paragraph" w:styleId="Footer">
    <w:name w:val="footer"/>
    <w:basedOn w:val="Normal"/>
    <w:link w:val="FooterChar"/>
    <w:uiPriority w:val="99"/>
    <w:unhideWhenUsed/>
    <w:rsid w:val="009170B0"/>
    <w:pPr>
      <w:tabs>
        <w:tab w:val="center" w:pos="4513"/>
        <w:tab w:val="right" w:pos="9026"/>
      </w:tabs>
    </w:pPr>
  </w:style>
  <w:style w:type="character" w:customStyle="1" w:styleId="FooterChar">
    <w:name w:val="Footer Char"/>
    <w:basedOn w:val="DefaultParagraphFont"/>
    <w:link w:val="Footer"/>
    <w:uiPriority w:val="99"/>
    <w:rsid w:val="00917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1991</Words>
  <Characters>11094</Characters>
  <Application>Microsoft Office Word</Application>
  <DocSecurity>0</DocSecurity>
  <Lines>168</Lines>
  <Paragraphs>48</Paragraphs>
  <ScaleCrop>false</ScaleCrop>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2026-05-04T09:07:00Z</dcterms:created>
  <dcterms:modified xsi:type="dcterms:W3CDTF">2026-05-04T09:07:00Z</dcterms:modified>
</cp:coreProperties>
</file>