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5B9BD5" w:themeColor="accent1"/>
          <w:sz w:val="24"/>
          <w:szCs w:val="24"/>
          <w:lang w:val="en-GB"/>
        </w:rPr>
        <w:id w:val="-1522475554"/>
        <w:docPartObj>
          <w:docPartGallery w:val="Cover Pages"/>
          <w:docPartUnique/>
        </w:docPartObj>
      </w:sdtPr>
      <w:sdtEndPr>
        <w:rPr>
          <w:color w:val="auto"/>
        </w:rPr>
      </w:sdtEndPr>
      <w:sdtContent>
        <w:p w14:paraId="251B9321" w14:textId="77777777" w:rsidR="007D1947" w:rsidRPr="00FE0A4D" w:rsidRDefault="007D1947" w:rsidP="00C8693C">
          <w:pPr>
            <w:pStyle w:val="NoSpacing"/>
            <w:spacing w:before="1540" w:after="240" w:line="360" w:lineRule="auto"/>
            <w:jc w:val="both"/>
            <w:rPr>
              <w:rFonts w:ascii="Arial" w:hAnsi="Arial" w:cs="Arial"/>
              <w:color w:val="5B9BD5" w:themeColor="accent1"/>
              <w:sz w:val="24"/>
              <w:szCs w:val="24"/>
            </w:rPr>
          </w:pPr>
          <w:r w:rsidRPr="00FE0A4D">
            <w:rPr>
              <w:rFonts w:ascii="Arial" w:hAnsi="Arial" w:cs="Arial"/>
              <w:noProof/>
              <w:color w:val="5B9BD5" w:themeColor="accent1"/>
              <w:sz w:val="24"/>
              <w:szCs w:val="24"/>
            </w:rPr>
            <w:drawing>
              <wp:inline distT="0" distB="0" distL="0" distR="0" wp14:anchorId="251B93E0" wp14:editId="251B93E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24"/>
              <w:szCs w:val="24"/>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251B9322" w14:textId="11BB4757" w:rsidR="007D1947" w:rsidRPr="00FE0A4D" w:rsidRDefault="00685615" w:rsidP="00C8693C">
              <w:pPr>
                <w:pStyle w:val="NoSpacing"/>
                <w:pBdr>
                  <w:top w:val="single" w:sz="6" w:space="6" w:color="5B9BD5" w:themeColor="accent1"/>
                  <w:bottom w:val="single" w:sz="6" w:space="6" w:color="5B9BD5" w:themeColor="accent1"/>
                </w:pBdr>
                <w:spacing w:after="240" w:line="360" w:lineRule="auto"/>
                <w:jc w:val="both"/>
                <w:rPr>
                  <w:rFonts w:ascii="Arial" w:eastAsiaTheme="majorEastAsia" w:hAnsi="Arial" w:cs="Arial"/>
                  <w:caps/>
                  <w:color w:val="5B9BD5" w:themeColor="accent1"/>
                  <w:sz w:val="24"/>
                  <w:szCs w:val="24"/>
                </w:rPr>
              </w:pPr>
              <w:r>
                <w:rPr>
                  <w:rFonts w:ascii="Arial" w:eastAsiaTheme="majorEastAsia" w:hAnsi="Arial" w:cs="Arial"/>
                  <w:caps/>
                  <w:color w:val="5B9BD5" w:themeColor="accent1"/>
                  <w:sz w:val="24"/>
                  <w:szCs w:val="24"/>
                </w:rPr>
                <w:t>Assignment 2: Marriott International</w:t>
              </w:r>
            </w:p>
          </w:sdtContent>
        </w:sdt>
        <w:sdt>
          <w:sdtPr>
            <w:rPr>
              <w:rFonts w:ascii="Arial" w:hAnsi="Arial" w:cs="Arial"/>
              <w:color w:val="5B9BD5" w:themeColor="accent1"/>
              <w:sz w:val="24"/>
              <w:szCs w:val="24"/>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251B9323" w14:textId="34FCC6A9" w:rsidR="007D1947" w:rsidRPr="00FE0A4D" w:rsidRDefault="00685615" w:rsidP="00C8693C">
              <w:pPr>
                <w:pStyle w:val="NoSpacing"/>
                <w:spacing w:line="360" w:lineRule="auto"/>
                <w:jc w:val="both"/>
                <w:rPr>
                  <w:rFonts w:ascii="Arial" w:hAnsi="Arial" w:cs="Arial"/>
                  <w:color w:val="5B9BD5" w:themeColor="accent1"/>
                  <w:sz w:val="24"/>
                  <w:szCs w:val="24"/>
                </w:rPr>
              </w:pPr>
              <w:r>
                <w:rPr>
                  <w:rFonts w:ascii="Arial" w:hAnsi="Arial" w:cs="Arial"/>
                  <w:color w:val="5B9BD5" w:themeColor="accent1"/>
                  <w:sz w:val="24"/>
                  <w:szCs w:val="24"/>
                </w:rPr>
                <w:t>Financial Management for the Hotel Industry</w:t>
              </w:r>
            </w:p>
          </w:sdtContent>
        </w:sdt>
        <w:p w14:paraId="251B9324" w14:textId="77777777" w:rsidR="007D1947" w:rsidRDefault="00685615" w:rsidP="00C8693C">
          <w:pPr>
            <w:pStyle w:val="NoSpacing"/>
            <w:spacing w:before="480" w:line="360" w:lineRule="auto"/>
            <w:jc w:val="both"/>
            <w:rPr>
              <w:rFonts w:ascii="Arial" w:hAnsi="Arial" w:cs="Arial"/>
              <w:color w:val="5B9BD5" w:themeColor="accent1"/>
              <w:sz w:val="24"/>
              <w:szCs w:val="24"/>
            </w:rPr>
          </w:pPr>
          <w:r>
            <w:rPr>
              <w:rFonts w:ascii="Arial" w:hAnsi="Arial" w:cs="Arial"/>
              <w:noProof/>
              <w:color w:val="5B9BD5" w:themeColor="accent1"/>
              <w:sz w:val="24"/>
              <w:szCs w:val="24"/>
              <w:lang w:val="en-GB" w:eastAsia="en-GB"/>
            </w:rPr>
            <w:pict w14:anchorId="251B93E3">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sdt>
                      <w:sdtPr>
                        <w:rPr>
                          <w:caps/>
                          <w:color w:val="5B9BD5" w:themeColor="accent1"/>
                          <w:sz w:val="28"/>
                          <w:szCs w:val="28"/>
                        </w:rPr>
                        <w:alias w:val="Date"/>
                        <w:tag w:val=""/>
                        <w:id w:val="77620813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51B93EE" w14:textId="158C5666" w:rsidR="007D1947" w:rsidRDefault="00685615" w:rsidP="00685615">
                          <w:pPr>
                            <w:pStyle w:val="NoSpacing"/>
                            <w:spacing w:after="40"/>
                            <w:rPr>
                              <w:caps/>
                              <w:color w:val="5B9BD5" w:themeColor="accent1"/>
                              <w:sz w:val="28"/>
                              <w:szCs w:val="28"/>
                            </w:rPr>
                          </w:pPr>
                          <w:r>
                            <w:rPr>
                              <w:caps/>
                              <w:color w:val="5B9BD5" w:themeColor="accent1"/>
                              <w:sz w:val="28"/>
                              <w:szCs w:val="28"/>
                            </w:rPr>
                            <w:t xml:space="preserve">     </w:t>
                          </w:r>
                        </w:p>
                      </w:sdtContent>
                    </w:sdt>
                    <w:p w14:paraId="251B93EF" w14:textId="77777777" w:rsidR="007D1947" w:rsidRDefault="00685615">
                      <w:pPr>
                        <w:pStyle w:val="NoSpacing"/>
                        <w:jc w:val="center"/>
                        <w:rPr>
                          <w:color w:val="5B9BD5" w:themeColor="accent1"/>
                        </w:rPr>
                      </w:pPr>
                      <w:sdt>
                        <w:sdtPr>
                          <w:rPr>
                            <w:caps/>
                            <w:color w:val="5B9BD5" w:themeColor="accent1"/>
                          </w:rPr>
                          <w:alias w:val="Company"/>
                          <w:tag w:val=""/>
                          <w:id w:val="776208135"/>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51B93F0" w14:textId="77777777" w:rsidR="007D1947" w:rsidRDefault="00685615">
                      <w:pPr>
                        <w:pStyle w:val="NoSpacing"/>
                        <w:jc w:val="center"/>
                        <w:rPr>
                          <w:color w:val="5B9BD5" w:themeColor="accent1"/>
                        </w:rPr>
                      </w:pPr>
                      <w:sdt>
                        <w:sdtPr>
                          <w:rPr>
                            <w:color w:val="5B9BD5" w:themeColor="accent1"/>
                          </w:rPr>
                          <w:alias w:val="Address"/>
                          <w:tag w:val=""/>
                          <w:id w:val="776208136"/>
                          <w:showingPlcHdr/>
                          <w:dataBinding w:prefixMappings="xmlns:ns0='http://schemas.microsoft.com/office/2006/coverPageProps' " w:xpath="/ns0:CoverPageProperties[1]/ns0:CompanyAddress[1]" w:storeItemID="{55AF091B-3C7A-41E3-B477-F2FDAA23CFDA}"/>
                          <w:text/>
                        </w:sdtPr>
                        <w:sdtEndPr/>
                        <w:sdtContent>
                          <w:r w:rsidR="00980B34">
                            <w:rPr>
                              <w:color w:val="5B9BD5" w:themeColor="accent1"/>
                            </w:rPr>
                            <w:t xml:space="preserve">     </w:t>
                          </w:r>
                        </w:sdtContent>
                      </w:sdt>
                    </w:p>
                  </w:txbxContent>
                </v:textbox>
                <w10:wrap anchorx="margin" anchory="page"/>
              </v:shape>
            </w:pict>
          </w:r>
          <w:r w:rsidR="007D1947" w:rsidRPr="00FE0A4D">
            <w:rPr>
              <w:rFonts w:ascii="Arial" w:hAnsi="Arial" w:cs="Arial"/>
              <w:noProof/>
              <w:color w:val="5B9BD5" w:themeColor="accent1"/>
              <w:sz w:val="24"/>
              <w:szCs w:val="24"/>
            </w:rPr>
            <w:drawing>
              <wp:inline distT="0" distB="0" distL="0" distR="0" wp14:anchorId="251B93E4" wp14:editId="251B93E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7DF90F7" w14:textId="4108F85E" w:rsidR="0074557A" w:rsidRDefault="0074557A" w:rsidP="00C8693C">
          <w:pPr>
            <w:pStyle w:val="NoSpacing"/>
            <w:spacing w:before="480" w:line="360" w:lineRule="auto"/>
            <w:jc w:val="both"/>
            <w:rPr>
              <w:rFonts w:ascii="Arial" w:hAnsi="Arial" w:cs="Arial"/>
              <w:color w:val="5B9BD5" w:themeColor="accent1"/>
              <w:sz w:val="24"/>
              <w:szCs w:val="24"/>
            </w:rPr>
          </w:pPr>
          <w:r>
            <w:rPr>
              <w:rFonts w:ascii="Arial" w:hAnsi="Arial" w:cs="Arial"/>
              <w:color w:val="5B9BD5" w:themeColor="accent1"/>
              <w:sz w:val="24"/>
              <w:szCs w:val="24"/>
            </w:rPr>
            <w:t xml:space="preserve">Student Name: Filis </w:t>
          </w:r>
          <w:proofErr w:type="spellStart"/>
          <w:r>
            <w:rPr>
              <w:rFonts w:ascii="Arial" w:hAnsi="Arial" w:cs="Arial"/>
              <w:color w:val="5B9BD5" w:themeColor="accent1"/>
              <w:sz w:val="24"/>
              <w:szCs w:val="24"/>
            </w:rPr>
            <w:t>Laris</w:t>
          </w:r>
          <w:proofErr w:type="spellEnd"/>
          <w:r>
            <w:rPr>
              <w:rFonts w:ascii="Arial" w:hAnsi="Arial" w:cs="Arial"/>
              <w:color w:val="5B9BD5" w:themeColor="accent1"/>
              <w:sz w:val="24"/>
              <w:szCs w:val="24"/>
            </w:rPr>
            <w:t xml:space="preserve"> Osman</w:t>
          </w:r>
        </w:p>
        <w:p w14:paraId="2A7B87E0" w14:textId="19333693" w:rsidR="0074557A" w:rsidRDefault="0074557A" w:rsidP="00C8693C">
          <w:pPr>
            <w:pStyle w:val="NoSpacing"/>
            <w:spacing w:before="480" w:line="360" w:lineRule="auto"/>
            <w:jc w:val="both"/>
            <w:rPr>
              <w:rFonts w:ascii="Arial" w:hAnsi="Arial" w:cs="Arial"/>
              <w:color w:val="5B9BD5" w:themeColor="accent1"/>
              <w:sz w:val="24"/>
              <w:szCs w:val="24"/>
            </w:rPr>
          </w:pPr>
          <w:r>
            <w:rPr>
              <w:rFonts w:ascii="Arial" w:hAnsi="Arial" w:cs="Arial"/>
              <w:color w:val="5B9BD5" w:themeColor="accent1"/>
              <w:sz w:val="24"/>
              <w:szCs w:val="24"/>
            </w:rPr>
            <w:t>Student ID: 2025564</w:t>
          </w:r>
        </w:p>
        <w:p w14:paraId="019254DF" w14:textId="12CA757B" w:rsidR="0074557A" w:rsidRDefault="00463D2D" w:rsidP="00C8693C">
          <w:pPr>
            <w:pStyle w:val="NoSpacing"/>
            <w:spacing w:before="480" w:line="360" w:lineRule="auto"/>
            <w:jc w:val="both"/>
            <w:rPr>
              <w:rFonts w:ascii="Arial" w:hAnsi="Arial" w:cs="Arial"/>
              <w:color w:val="5B9BD5" w:themeColor="accent1"/>
              <w:sz w:val="24"/>
              <w:szCs w:val="24"/>
            </w:rPr>
          </w:pPr>
          <w:r>
            <w:rPr>
              <w:rFonts w:ascii="Arial" w:hAnsi="Arial" w:cs="Arial"/>
              <w:color w:val="5B9BD5" w:themeColor="accent1"/>
              <w:sz w:val="24"/>
              <w:szCs w:val="24"/>
            </w:rPr>
            <w:t xml:space="preserve">Module Name: Financial Management </w:t>
          </w:r>
        </w:p>
        <w:p w14:paraId="18B9AE16" w14:textId="5C15B764" w:rsidR="00463D2D" w:rsidRPr="00685615" w:rsidRDefault="00463D2D" w:rsidP="00C8693C">
          <w:pPr>
            <w:pStyle w:val="NoSpacing"/>
            <w:spacing w:before="480" w:line="360" w:lineRule="auto"/>
            <w:jc w:val="both"/>
            <w:rPr>
              <w:rFonts w:ascii="Arial" w:hAnsi="Arial" w:cs="Arial"/>
              <w:color w:val="5B9BD5" w:themeColor="accent1"/>
              <w:sz w:val="24"/>
              <w:szCs w:val="24"/>
              <w:lang w:val="en-GB"/>
            </w:rPr>
          </w:pPr>
          <w:r w:rsidRPr="00685615">
            <w:rPr>
              <w:rFonts w:ascii="Arial" w:hAnsi="Arial" w:cs="Arial"/>
              <w:color w:val="5B9BD5" w:themeColor="accent1"/>
              <w:sz w:val="24"/>
              <w:szCs w:val="24"/>
              <w:lang w:val="en-GB"/>
            </w:rPr>
            <w:t>Module Code: BMIH</w:t>
          </w:r>
          <w:r w:rsidR="00520B12" w:rsidRPr="00685615">
            <w:rPr>
              <w:rFonts w:ascii="Arial" w:hAnsi="Arial" w:cs="Arial"/>
              <w:color w:val="5B9BD5" w:themeColor="accent1"/>
              <w:sz w:val="24"/>
              <w:szCs w:val="24"/>
              <w:lang w:val="en-GB"/>
            </w:rPr>
            <w:t>500</w:t>
          </w:r>
          <w:r w:rsidR="004E5F56" w:rsidRPr="00685615">
            <w:rPr>
              <w:rFonts w:ascii="Arial" w:hAnsi="Arial" w:cs="Arial"/>
              <w:color w:val="5B9BD5" w:themeColor="accent1"/>
              <w:sz w:val="24"/>
              <w:szCs w:val="24"/>
              <w:lang w:val="en-GB"/>
            </w:rPr>
            <w:t>7</w:t>
          </w:r>
        </w:p>
        <w:p w14:paraId="5F16A63F" w14:textId="1C9CC6C2" w:rsidR="00920EB5" w:rsidRPr="00685615" w:rsidRDefault="00CF64A0" w:rsidP="00C8693C">
          <w:pPr>
            <w:pStyle w:val="NoSpacing"/>
            <w:spacing w:before="480" w:line="360" w:lineRule="auto"/>
            <w:jc w:val="both"/>
            <w:rPr>
              <w:rFonts w:ascii="Arial" w:hAnsi="Arial" w:cs="Arial"/>
              <w:color w:val="5B9BD5" w:themeColor="accent1"/>
              <w:sz w:val="24"/>
              <w:szCs w:val="24"/>
              <w:lang w:val="en-GB"/>
            </w:rPr>
          </w:pPr>
          <w:r w:rsidRPr="00685615">
            <w:rPr>
              <w:rFonts w:ascii="Arial" w:hAnsi="Arial" w:cs="Arial"/>
              <w:color w:val="5B9BD5" w:themeColor="accent1"/>
              <w:sz w:val="24"/>
              <w:szCs w:val="24"/>
              <w:lang w:val="en-GB"/>
            </w:rPr>
            <w:t>Lectures</w:t>
          </w:r>
          <w:r w:rsidR="00920EB5" w:rsidRPr="00685615">
            <w:rPr>
              <w:rFonts w:ascii="Arial" w:hAnsi="Arial" w:cs="Arial"/>
              <w:color w:val="5B9BD5" w:themeColor="accent1"/>
              <w:sz w:val="24"/>
              <w:szCs w:val="24"/>
              <w:lang w:val="en-GB"/>
            </w:rPr>
            <w:t xml:space="preserve"> Name: Dale </w:t>
          </w:r>
          <w:r w:rsidR="00D815A1" w:rsidRPr="00685615">
            <w:rPr>
              <w:rFonts w:ascii="Arial" w:hAnsi="Arial" w:cs="Arial"/>
              <w:color w:val="5B9BD5" w:themeColor="accent1"/>
              <w:sz w:val="24"/>
              <w:szCs w:val="24"/>
              <w:lang w:val="en-GB"/>
            </w:rPr>
            <w:t>Clarke</w:t>
          </w:r>
        </w:p>
        <w:p w14:paraId="251B9325" w14:textId="77777777" w:rsidR="007D1947" w:rsidRPr="00FE0A4D" w:rsidRDefault="007D1947" w:rsidP="00C8693C">
          <w:pPr>
            <w:pStyle w:val="Heading1"/>
            <w:jc w:val="both"/>
            <w:rPr>
              <w:rFonts w:ascii="Arial" w:hAnsi="Arial" w:cs="Arial"/>
              <w:sz w:val="24"/>
              <w:szCs w:val="24"/>
            </w:rPr>
          </w:pPr>
          <w:r w:rsidRPr="00685615">
            <w:rPr>
              <w:rFonts w:ascii="Arial" w:hAnsi="Arial" w:cs="Arial"/>
              <w:sz w:val="24"/>
              <w:szCs w:val="24"/>
            </w:rPr>
            <w:br w:type="page"/>
          </w:r>
          <w:bookmarkStart w:id="0" w:name="_Toc120286201"/>
          <w:r w:rsidRPr="00FE0A4D">
            <w:rPr>
              <w:rFonts w:ascii="Arial" w:hAnsi="Arial" w:cs="Arial"/>
              <w:sz w:val="24"/>
              <w:szCs w:val="24"/>
            </w:rPr>
            <w:lastRenderedPageBreak/>
            <w:t>Executive Summary</w:t>
          </w:r>
          <w:bookmarkEnd w:id="0"/>
        </w:p>
        <w:p w14:paraId="251B9326" w14:textId="77777777" w:rsidR="007D1947" w:rsidRPr="00FE0A4D" w:rsidRDefault="00B25038" w:rsidP="00C8693C">
          <w:pPr>
            <w:jc w:val="both"/>
            <w:rPr>
              <w:rFonts w:ascii="Arial" w:hAnsi="Arial" w:cs="Arial"/>
              <w:szCs w:val="24"/>
              <w:lang w:val="en-IN"/>
            </w:rPr>
          </w:pPr>
          <w:r w:rsidRPr="00FE0A4D">
            <w:rPr>
              <w:rFonts w:ascii="Arial" w:hAnsi="Arial" w:cs="Arial"/>
              <w:szCs w:val="24"/>
              <w:lang w:val="en-IN"/>
            </w:rPr>
            <w:t>The purpose of this report is to analyse the financial statements of the famous hospitality organisation Marriott International and reflect how financial management can be attained in the hospitality industry. Discussions have been made on the financial performance and the trends in the performance of Marriott International in 2020 and 2021, the findings of which reflect improvements in profitability and gearing. However, improvements are needed to be made in the liquidity of the organisation. The benefits and limitations of ratio analysis could be determined as well. The report has also identified how important ratios are for the decision-making of a company.</w:t>
          </w:r>
        </w:p>
        <w:p w14:paraId="251B9327" w14:textId="77777777" w:rsidR="007D1947" w:rsidRPr="00FE0A4D" w:rsidRDefault="007D1947" w:rsidP="00C8693C">
          <w:pPr>
            <w:jc w:val="both"/>
            <w:rPr>
              <w:rFonts w:ascii="Arial" w:hAnsi="Arial" w:cs="Arial"/>
              <w:szCs w:val="24"/>
            </w:rPr>
          </w:pPr>
        </w:p>
        <w:p w14:paraId="251B9328" w14:textId="77777777" w:rsidR="007D1947" w:rsidRPr="00FE0A4D" w:rsidRDefault="007D1947" w:rsidP="00C8693C">
          <w:pPr>
            <w:jc w:val="both"/>
            <w:rPr>
              <w:rFonts w:ascii="Arial" w:hAnsi="Arial" w:cs="Arial"/>
              <w:szCs w:val="24"/>
            </w:rPr>
          </w:pPr>
        </w:p>
        <w:p w14:paraId="251B9329" w14:textId="77777777" w:rsidR="007D1947" w:rsidRPr="00FE0A4D" w:rsidRDefault="007D1947" w:rsidP="00C8693C">
          <w:pPr>
            <w:jc w:val="both"/>
            <w:rPr>
              <w:rFonts w:ascii="Arial" w:hAnsi="Arial" w:cs="Arial"/>
              <w:szCs w:val="24"/>
            </w:rPr>
          </w:pPr>
        </w:p>
        <w:p w14:paraId="251B932A" w14:textId="77777777" w:rsidR="007D1947" w:rsidRPr="00FE0A4D" w:rsidRDefault="007D1947" w:rsidP="00C8693C">
          <w:pPr>
            <w:jc w:val="both"/>
            <w:rPr>
              <w:rFonts w:ascii="Arial" w:hAnsi="Arial" w:cs="Arial"/>
              <w:szCs w:val="24"/>
            </w:rPr>
          </w:pPr>
        </w:p>
        <w:p w14:paraId="251B932B" w14:textId="77777777" w:rsidR="007D1947" w:rsidRPr="00FE0A4D" w:rsidRDefault="007D1947" w:rsidP="00C8693C">
          <w:pPr>
            <w:jc w:val="both"/>
            <w:rPr>
              <w:rFonts w:ascii="Arial" w:hAnsi="Arial" w:cs="Arial"/>
              <w:szCs w:val="24"/>
            </w:rPr>
          </w:pPr>
        </w:p>
        <w:p w14:paraId="251B932C" w14:textId="77777777" w:rsidR="007D1947" w:rsidRPr="00FE0A4D" w:rsidRDefault="007D1947" w:rsidP="00C8693C">
          <w:pPr>
            <w:jc w:val="both"/>
            <w:rPr>
              <w:rFonts w:ascii="Arial" w:hAnsi="Arial" w:cs="Arial"/>
              <w:szCs w:val="24"/>
            </w:rPr>
          </w:pPr>
        </w:p>
        <w:p w14:paraId="251B932D" w14:textId="77777777" w:rsidR="007D1947" w:rsidRPr="00FE0A4D" w:rsidRDefault="007D1947" w:rsidP="00C8693C">
          <w:pPr>
            <w:jc w:val="both"/>
            <w:rPr>
              <w:rFonts w:ascii="Arial" w:hAnsi="Arial" w:cs="Arial"/>
              <w:szCs w:val="24"/>
            </w:rPr>
          </w:pPr>
        </w:p>
        <w:p w14:paraId="251B932E" w14:textId="77777777" w:rsidR="007D1947" w:rsidRPr="00FE0A4D" w:rsidRDefault="007D1947" w:rsidP="00C8693C">
          <w:pPr>
            <w:jc w:val="both"/>
            <w:rPr>
              <w:rFonts w:ascii="Arial" w:hAnsi="Arial" w:cs="Arial"/>
              <w:szCs w:val="24"/>
            </w:rPr>
          </w:pPr>
        </w:p>
        <w:p w14:paraId="251B932F" w14:textId="77777777" w:rsidR="007D1947" w:rsidRPr="00FE0A4D" w:rsidRDefault="007D1947" w:rsidP="00C8693C">
          <w:pPr>
            <w:jc w:val="both"/>
            <w:rPr>
              <w:rFonts w:ascii="Arial" w:hAnsi="Arial" w:cs="Arial"/>
              <w:szCs w:val="24"/>
            </w:rPr>
          </w:pPr>
        </w:p>
        <w:p w14:paraId="251B9330" w14:textId="77777777" w:rsidR="007D1947" w:rsidRPr="00FE0A4D" w:rsidRDefault="007D1947" w:rsidP="00C8693C">
          <w:pPr>
            <w:jc w:val="both"/>
            <w:rPr>
              <w:rFonts w:ascii="Arial" w:hAnsi="Arial" w:cs="Arial"/>
              <w:szCs w:val="24"/>
            </w:rPr>
          </w:pPr>
        </w:p>
        <w:p w14:paraId="251B9331" w14:textId="77777777" w:rsidR="007D1947" w:rsidRPr="00FE0A4D" w:rsidRDefault="007D1947" w:rsidP="00C8693C">
          <w:pPr>
            <w:jc w:val="both"/>
            <w:rPr>
              <w:rFonts w:ascii="Arial" w:hAnsi="Arial" w:cs="Arial"/>
              <w:szCs w:val="24"/>
            </w:rPr>
          </w:pPr>
        </w:p>
        <w:p w14:paraId="251B9332" w14:textId="77777777" w:rsidR="007D1947" w:rsidRPr="00FE0A4D" w:rsidRDefault="007D1947" w:rsidP="00C8693C">
          <w:pPr>
            <w:jc w:val="both"/>
            <w:rPr>
              <w:rFonts w:ascii="Arial" w:hAnsi="Arial" w:cs="Arial"/>
              <w:szCs w:val="24"/>
            </w:rPr>
          </w:pPr>
        </w:p>
        <w:p w14:paraId="251B9333" w14:textId="77777777" w:rsidR="007D1947" w:rsidRPr="00FE0A4D" w:rsidRDefault="007D1947" w:rsidP="00C8693C">
          <w:pPr>
            <w:jc w:val="both"/>
            <w:rPr>
              <w:rFonts w:ascii="Arial" w:hAnsi="Arial" w:cs="Arial"/>
              <w:szCs w:val="24"/>
            </w:rPr>
          </w:pPr>
        </w:p>
        <w:p w14:paraId="251B9334" w14:textId="77777777" w:rsidR="007D1947" w:rsidRPr="00FE0A4D" w:rsidRDefault="007D1947" w:rsidP="00C8693C">
          <w:pPr>
            <w:jc w:val="both"/>
            <w:rPr>
              <w:rFonts w:ascii="Arial" w:hAnsi="Arial" w:cs="Arial"/>
              <w:szCs w:val="24"/>
            </w:rPr>
          </w:pPr>
        </w:p>
        <w:p w14:paraId="251B9335" w14:textId="77777777" w:rsidR="007D1947" w:rsidRPr="00FE0A4D" w:rsidRDefault="007D1947" w:rsidP="00C8693C">
          <w:pPr>
            <w:jc w:val="both"/>
            <w:rPr>
              <w:rFonts w:ascii="Arial" w:hAnsi="Arial" w:cs="Arial"/>
              <w:szCs w:val="24"/>
            </w:rPr>
          </w:pPr>
        </w:p>
        <w:p w14:paraId="251B9336" w14:textId="77777777" w:rsidR="007D1947" w:rsidRPr="00FE0A4D" w:rsidRDefault="007D1947" w:rsidP="00C8693C">
          <w:pPr>
            <w:jc w:val="both"/>
            <w:rPr>
              <w:rFonts w:ascii="Arial" w:hAnsi="Arial" w:cs="Arial"/>
              <w:szCs w:val="24"/>
            </w:rPr>
          </w:pPr>
        </w:p>
        <w:p w14:paraId="251B9337" w14:textId="77777777" w:rsidR="007D1947" w:rsidRPr="00FE0A4D" w:rsidRDefault="007D1947" w:rsidP="00C8693C">
          <w:pPr>
            <w:jc w:val="both"/>
            <w:rPr>
              <w:rFonts w:ascii="Arial" w:hAnsi="Arial" w:cs="Arial"/>
              <w:szCs w:val="24"/>
            </w:rPr>
          </w:pPr>
        </w:p>
        <w:sdt>
          <w:sdtPr>
            <w:rPr>
              <w:rFonts w:ascii="Arial" w:eastAsiaTheme="minorHAnsi" w:hAnsi="Arial" w:cs="Arial"/>
              <w:color w:val="auto"/>
              <w:sz w:val="24"/>
              <w:szCs w:val="24"/>
              <w:lang w:val="en-GB"/>
            </w:rPr>
            <w:id w:val="-1297214018"/>
            <w:docPartObj>
              <w:docPartGallery w:val="Table of Contents"/>
              <w:docPartUnique/>
            </w:docPartObj>
          </w:sdtPr>
          <w:sdtEndPr>
            <w:rPr>
              <w:b/>
              <w:bCs/>
              <w:noProof/>
            </w:rPr>
          </w:sdtEndPr>
          <w:sdtContent>
            <w:p w14:paraId="251B9338" w14:textId="77777777" w:rsidR="007D1947" w:rsidRPr="00FE0A4D" w:rsidRDefault="007D1947" w:rsidP="00C8693C">
              <w:pPr>
                <w:pStyle w:val="TOCHeading"/>
                <w:jc w:val="both"/>
                <w:rPr>
                  <w:rFonts w:ascii="Arial" w:eastAsiaTheme="minorHAnsi" w:hAnsi="Arial" w:cs="Arial"/>
                  <w:color w:val="auto"/>
                  <w:sz w:val="24"/>
                  <w:szCs w:val="24"/>
                  <w:lang w:val="en-GB"/>
                </w:rPr>
              </w:pPr>
              <w:r w:rsidRPr="00FE0A4D">
                <w:rPr>
                  <w:rFonts w:ascii="Arial" w:hAnsi="Arial" w:cs="Arial"/>
                  <w:sz w:val="24"/>
                  <w:szCs w:val="24"/>
                </w:rPr>
                <w:t>Table of Contents</w:t>
              </w:r>
            </w:p>
            <w:p w14:paraId="251B9339" w14:textId="77777777" w:rsidR="008F448E" w:rsidRPr="00FE0A4D" w:rsidRDefault="00CB7BFF" w:rsidP="00C8693C">
              <w:pPr>
                <w:pStyle w:val="TOC1"/>
                <w:tabs>
                  <w:tab w:val="right" w:leader="dot" w:pos="9016"/>
                </w:tabs>
                <w:jc w:val="both"/>
                <w:rPr>
                  <w:rFonts w:ascii="Arial" w:eastAsiaTheme="minorEastAsia" w:hAnsi="Arial" w:cs="Arial"/>
                  <w:noProof/>
                  <w:szCs w:val="24"/>
                  <w:lang w:eastAsia="en-GB"/>
                </w:rPr>
              </w:pPr>
              <w:r w:rsidRPr="00FE0A4D">
                <w:rPr>
                  <w:rFonts w:ascii="Arial" w:hAnsi="Arial" w:cs="Arial"/>
                  <w:szCs w:val="24"/>
                </w:rPr>
                <w:fldChar w:fldCharType="begin"/>
              </w:r>
              <w:r w:rsidR="007D1947" w:rsidRPr="00FE0A4D">
                <w:rPr>
                  <w:rFonts w:ascii="Arial" w:hAnsi="Arial" w:cs="Arial"/>
                  <w:szCs w:val="24"/>
                </w:rPr>
                <w:instrText xml:space="preserve"> TOC \o "1-3" \h \z \u </w:instrText>
              </w:r>
              <w:r w:rsidRPr="00FE0A4D">
                <w:rPr>
                  <w:rFonts w:ascii="Arial" w:hAnsi="Arial" w:cs="Arial"/>
                  <w:szCs w:val="24"/>
                </w:rPr>
                <w:fldChar w:fldCharType="separate"/>
              </w:r>
              <w:hyperlink w:anchor="_Toc120286201" w:history="1">
                <w:r w:rsidR="008F448E" w:rsidRPr="00FE0A4D">
                  <w:rPr>
                    <w:rStyle w:val="Hyperlink"/>
                    <w:rFonts w:ascii="Arial" w:hAnsi="Arial" w:cs="Arial"/>
                    <w:noProof/>
                    <w:szCs w:val="24"/>
                  </w:rPr>
                  <w:t>Executive Summary</w:t>
                </w:r>
                <w:r w:rsidR="008F448E" w:rsidRPr="00FE0A4D">
                  <w:rPr>
                    <w:rFonts w:ascii="Arial" w:hAnsi="Arial" w:cs="Arial"/>
                    <w:noProof/>
                    <w:webHidden/>
                    <w:szCs w:val="24"/>
                  </w:rPr>
                  <w:tab/>
                </w:r>
                <w:r w:rsidRPr="00FE0A4D">
                  <w:rPr>
                    <w:rFonts w:ascii="Arial" w:hAnsi="Arial" w:cs="Arial"/>
                    <w:noProof/>
                    <w:webHidden/>
                    <w:szCs w:val="24"/>
                  </w:rPr>
                  <w:fldChar w:fldCharType="begin"/>
                </w:r>
                <w:r w:rsidR="008F448E" w:rsidRPr="00FE0A4D">
                  <w:rPr>
                    <w:rFonts w:ascii="Arial" w:hAnsi="Arial" w:cs="Arial"/>
                    <w:noProof/>
                    <w:webHidden/>
                    <w:szCs w:val="24"/>
                  </w:rPr>
                  <w:instrText xml:space="preserve"> PAGEREF _Toc120286201 \h </w:instrText>
                </w:r>
                <w:r w:rsidRPr="00FE0A4D">
                  <w:rPr>
                    <w:rFonts w:ascii="Arial" w:hAnsi="Arial" w:cs="Arial"/>
                    <w:noProof/>
                    <w:webHidden/>
                    <w:szCs w:val="24"/>
                  </w:rPr>
                </w:r>
                <w:r w:rsidRPr="00FE0A4D">
                  <w:rPr>
                    <w:rFonts w:ascii="Arial" w:hAnsi="Arial" w:cs="Arial"/>
                    <w:noProof/>
                    <w:webHidden/>
                    <w:szCs w:val="24"/>
                  </w:rPr>
                  <w:fldChar w:fldCharType="separate"/>
                </w:r>
                <w:r w:rsidR="008F448E" w:rsidRPr="00FE0A4D">
                  <w:rPr>
                    <w:rFonts w:ascii="Arial" w:hAnsi="Arial" w:cs="Arial"/>
                    <w:noProof/>
                    <w:webHidden/>
                    <w:szCs w:val="24"/>
                  </w:rPr>
                  <w:t>1</w:t>
                </w:r>
                <w:r w:rsidRPr="00FE0A4D">
                  <w:rPr>
                    <w:rFonts w:ascii="Arial" w:hAnsi="Arial" w:cs="Arial"/>
                    <w:noProof/>
                    <w:webHidden/>
                    <w:szCs w:val="24"/>
                  </w:rPr>
                  <w:fldChar w:fldCharType="end"/>
                </w:r>
              </w:hyperlink>
            </w:p>
            <w:p w14:paraId="251B933A" w14:textId="77777777" w:rsidR="008F448E" w:rsidRPr="00FE0A4D" w:rsidRDefault="00685615" w:rsidP="00C8693C">
              <w:pPr>
                <w:pStyle w:val="TOC1"/>
                <w:tabs>
                  <w:tab w:val="right" w:leader="dot" w:pos="9016"/>
                </w:tabs>
                <w:jc w:val="both"/>
                <w:rPr>
                  <w:rFonts w:ascii="Arial" w:eastAsiaTheme="minorEastAsia" w:hAnsi="Arial" w:cs="Arial"/>
                  <w:noProof/>
                  <w:szCs w:val="24"/>
                  <w:lang w:eastAsia="en-GB"/>
                </w:rPr>
              </w:pPr>
              <w:hyperlink w:anchor="_Toc120286202" w:history="1">
                <w:r w:rsidR="008F448E" w:rsidRPr="00FE0A4D">
                  <w:rPr>
                    <w:rStyle w:val="Hyperlink"/>
                    <w:rFonts w:ascii="Arial" w:hAnsi="Arial" w:cs="Arial"/>
                    <w:noProof/>
                    <w:szCs w:val="24"/>
                  </w:rPr>
                  <w:t>Introduction</w:t>
                </w:r>
                <w:r w:rsidR="008F448E" w:rsidRPr="00FE0A4D">
                  <w:rPr>
                    <w:rFonts w:ascii="Arial" w:hAnsi="Arial" w:cs="Arial"/>
                    <w:noProof/>
                    <w:webHidden/>
                    <w:szCs w:val="24"/>
                  </w:rPr>
                  <w:tab/>
                </w:r>
                <w:r w:rsidR="00CB7BFF" w:rsidRPr="00FE0A4D">
                  <w:rPr>
                    <w:rFonts w:ascii="Arial" w:hAnsi="Arial" w:cs="Arial"/>
                    <w:noProof/>
                    <w:webHidden/>
                    <w:szCs w:val="24"/>
                  </w:rPr>
                  <w:fldChar w:fldCharType="begin"/>
                </w:r>
                <w:r w:rsidR="008F448E" w:rsidRPr="00FE0A4D">
                  <w:rPr>
                    <w:rFonts w:ascii="Arial" w:hAnsi="Arial" w:cs="Arial"/>
                    <w:noProof/>
                    <w:webHidden/>
                    <w:szCs w:val="24"/>
                  </w:rPr>
                  <w:instrText xml:space="preserve"> PAGEREF _Toc120286202 \h </w:instrText>
                </w:r>
                <w:r w:rsidR="00CB7BFF" w:rsidRPr="00FE0A4D">
                  <w:rPr>
                    <w:rFonts w:ascii="Arial" w:hAnsi="Arial" w:cs="Arial"/>
                    <w:noProof/>
                    <w:webHidden/>
                    <w:szCs w:val="24"/>
                  </w:rPr>
                </w:r>
                <w:r w:rsidR="00CB7BFF" w:rsidRPr="00FE0A4D">
                  <w:rPr>
                    <w:rFonts w:ascii="Arial" w:hAnsi="Arial" w:cs="Arial"/>
                    <w:noProof/>
                    <w:webHidden/>
                    <w:szCs w:val="24"/>
                  </w:rPr>
                  <w:fldChar w:fldCharType="separate"/>
                </w:r>
                <w:r w:rsidR="008F448E" w:rsidRPr="00FE0A4D">
                  <w:rPr>
                    <w:rFonts w:ascii="Arial" w:hAnsi="Arial" w:cs="Arial"/>
                    <w:noProof/>
                    <w:webHidden/>
                    <w:szCs w:val="24"/>
                  </w:rPr>
                  <w:t>3</w:t>
                </w:r>
                <w:r w:rsidR="00CB7BFF" w:rsidRPr="00FE0A4D">
                  <w:rPr>
                    <w:rFonts w:ascii="Arial" w:hAnsi="Arial" w:cs="Arial"/>
                    <w:noProof/>
                    <w:webHidden/>
                    <w:szCs w:val="24"/>
                  </w:rPr>
                  <w:fldChar w:fldCharType="end"/>
                </w:r>
              </w:hyperlink>
            </w:p>
            <w:p w14:paraId="251B933B" w14:textId="77777777" w:rsidR="008F448E" w:rsidRPr="00FE0A4D" w:rsidRDefault="00685615" w:rsidP="00C8693C">
              <w:pPr>
                <w:pStyle w:val="TOC1"/>
                <w:tabs>
                  <w:tab w:val="right" w:leader="dot" w:pos="9016"/>
                </w:tabs>
                <w:jc w:val="both"/>
                <w:rPr>
                  <w:rFonts w:ascii="Arial" w:eastAsiaTheme="minorEastAsia" w:hAnsi="Arial" w:cs="Arial"/>
                  <w:noProof/>
                  <w:szCs w:val="24"/>
                  <w:lang w:eastAsia="en-GB"/>
                </w:rPr>
              </w:pPr>
              <w:hyperlink w:anchor="_Toc120286203" w:history="1">
                <w:r w:rsidR="008F448E" w:rsidRPr="00FE0A4D">
                  <w:rPr>
                    <w:rStyle w:val="Hyperlink"/>
                    <w:rFonts w:ascii="Arial" w:hAnsi="Arial" w:cs="Arial"/>
                    <w:noProof/>
                    <w:szCs w:val="24"/>
                  </w:rPr>
                  <w:t>Financial Analysis Trends</w:t>
                </w:r>
                <w:r w:rsidR="008F448E" w:rsidRPr="00FE0A4D">
                  <w:rPr>
                    <w:rFonts w:ascii="Arial" w:hAnsi="Arial" w:cs="Arial"/>
                    <w:noProof/>
                    <w:webHidden/>
                    <w:szCs w:val="24"/>
                  </w:rPr>
                  <w:tab/>
                </w:r>
                <w:r w:rsidR="00CB7BFF" w:rsidRPr="00FE0A4D">
                  <w:rPr>
                    <w:rFonts w:ascii="Arial" w:hAnsi="Arial" w:cs="Arial"/>
                    <w:noProof/>
                    <w:webHidden/>
                    <w:szCs w:val="24"/>
                  </w:rPr>
                  <w:fldChar w:fldCharType="begin"/>
                </w:r>
                <w:r w:rsidR="008F448E" w:rsidRPr="00FE0A4D">
                  <w:rPr>
                    <w:rFonts w:ascii="Arial" w:hAnsi="Arial" w:cs="Arial"/>
                    <w:noProof/>
                    <w:webHidden/>
                    <w:szCs w:val="24"/>
                  </w:rPr>
                  <w:instrText xml:space="preserve"> PAGEREF _Toc120286203 \h </w:instrText>
                </w:r>
                <w:r w:rsidR="00CB7BFF" w:rsidRPr="00FE0A4D">
                  <w:rPr>
                    <w:rFonts w:ascii="Arial" w:hAnsi="Arial" w:cs="Arial"/>
                    <w:noProof/>
                    <w:webHidden/>
                    <w:szCs w:val="24"/>
                  </w:rPr>
                </w:r>
                <w:r w:rsidR="00CB7BFF" w:rsidRPr="00FE0A4D">
                  <w:rPr>
                    <w:rFonts w:ascii="Arial" w:hAnsi="Arial" w:cs="Arial"/>
                    <w:noProof/>
                    <w:webHidden/>
                    <w:szCs w:val="24"/>
                  </w:rPr>
                  <w:fldChar w:fldCharType="separate"/>
                </w:r>
                <w:r w:rsidR="008F448E" w:rsidRPr="00FE0A4D">
                  <w:rPr>
                    <w:rFonts w:ascii="Arial" w:hAnsi="Arial" w:cs="Arial"/>
                    <w:noProof/>
                    <w:webHidden/>
                    <w:szCs w:val="24"/>
                  </w:rPr>
                  <w:t>4</w:t>
                </w:r>
                <w:r w:rsidR="00CB7BFF" w:rsidRPr="00FE0A4D">
                  <w:rPr>
                    <w:rFonts w:ascii="Arial" w:hAnsi="Arial" w:cs="Arial"/>
                    <w:noProof/>
                    <w:webHidden/>
                    <w:szCs w:val="24"/>
                  </w:rPr>
                  <w:fldChar w:fldCharType="end"/>
                </w:r>
              </w:hyperlink>
            </w:p>
            <w:p w14:paraId="251B933C" w14:textId="77777777" w:rsidR="008F448E" w:rsidRPr="00FE0A4D" w:rsidRDefault="00685615" w:rsidP="00C8693C">
              <w:pPr>
                <w:pStyle w:val="TOC2"/>
                <w:tabs>
                  <w:tab w:val="right" w:leader="dot" w:pos="9016"/>
                </w:tabs>
                <w:jc w:val="both"/>
                <w:rPr>
                  <w:rFonts w:ascii="Arial" w:eastAsiaTheme="minorEastAsia" w:hAnsi="Arial" w:cs="Arial"/>
                  <w:noProof/>
                  <w:szCs w:val="24"/>
                  <w:lang w:eastAsia="en-GB"/>
                </w:rPr>
              </w:pPr>
              <w:hyperlink w:anchor="_Toc120286204" w:history="1">
                <w:r w:rsidR="008F448E" w:rsidRPr="00FE0A4D">
                  <w:rPr>
                    <w:rStyle w:val="Hyperlink"/>
                    <w:rFonts w:ascii="Arial" w:hAnsi="Arial" w:cs="Arial"/>
                    <w:noProof/>
                    <w:szCs w:val="24"/>
                  </w:rPr>
                  <w:t>Profitability</w:t>
                </w:r>
                <w:r w:rsidR="008F448E" w:rsidRPr="00FE0A4D">
                  <w:rPr>
                    <w:rFonts w:ascii="Arial" w:hAnsi="Arial" w:cs="Arial"/>
                    <w:noProof/>
                    <w:webHidden/>
                    <w:szCs w:val="24"/>
                  </w:rPr>
                  <w:tab/>
                </w:r>
                <w:r w:rsidR="00CB7BFF" w:rsidRPr="00FE0A4D">
                  <w:rPr>
                    <w:rFonts w:ascii="Arial" w:hAnsi="Arial" w:cs="Arial"/>
                    <w:noProof/>
                    <w:webHidden/>
                    <w:szCs w:val="24"/>
                  </w:rPr>
                  <w:fldChar w:fldCharType="begin"/>
                </w:r>
                <w:r w:rsidR="008F448E" w:rsidRPr="00FE0A4D">
                  <w:rPr>
                    <w:rFonts w:ascii="Arial" w:hAnsi="Arial" w:cs="Arial"/>
                    <w:noProof/>
                    <w:webHidden/>
                    <w:szCs w:val="24"/>
                  </w:rPr>
                  <w:instrText xml:space="preserve"> PAGEREF _Toc120286204 \h </w:instrText>
                </w:r>
                <w:r w:rsidR="00CB7BFF" w:rsidRPr="00FE0A4D">
                  <w:rPr>
                    <w:rFonts w:ascii="Arial" w:hAnsi="Arial" w:cs="Arial"/>
                    <w:noProof/>
                    <w:webHidden/>
                    <w:szCs w:val="24"/>
                  </w:rPr>
                </w:r>
                <w:r w:rsidR="00CB7BFF" w:rsidRPr="00FE0A4D">
                  <w:rPr>
                    <w:rFonts w:ascii="Arial" w:hAnsi="Arial" w:cs="Arial"/>
                    <w:noProof/>
                    <w:webHidden/>
                    <w:szCs w:val="24"/>
                  </w:rPr>
                  <w:fldChar w:fldCharType="separate"/>
                </w:r>
                <w:r w:rsidR="008F448E" w:rsidRPr="00FE0A4D">
                  <w:rPr>
                    <w:rFonts w:ascii="Arial" w:hAnsi="Arial" w:cs="Arial"/>
                    <w:noProof/>
                    <w:webHidden/>
                    <w:szCs w:val="24"/>
                  </w:rPr>
                  <w:t>4</w:t>
                </w:r>
                <w:r w:rsidR="00CB7BFF" w:rsidRPr="00FE0A4D">
                  <w:rPr>
                    <w:rFonts w:ascii="Arial" w:hAnsi="Arial" w:cs="Arial"/>
                    <w:noProof/>
                    <w:webHidden/>
                    <w:szCs w:val="24"/>
                  </w:rPr>
                  <w:fldChar w:fldCharType="end"/>
                </w:r>
              </w:hyperlink>
            </w:p>
            <w:p w14:paraId="251B933D" w14:textId="77777777" w:rsidR="008F448E" w:rsidRPr="00FE0A4D" w:rsidRDefault="00685615" w:rsidP="00C8693C">
              <w:pPr>
                <w:pStyle w:val="TOC2"/>
                <w:tabs>
                  <w:tab w:val="right" w:leader="dot" w:pos="9016"/>
                </w:tabs>
                <w:jc w:val="both"/>
                <w:rPr>
                  <w:rFonts w:ascii="Arial" w:eastAsiaTheme="minorEastAsia" w:hAnsi="Arial" w:cs="Arial"/>
                  <w:noProof/>
                  <w:szCs w:val="24"/>
                  <w:lang w:eastAsia="en-GB"/>
                </w:rPr>
              </w:pPr>
              <w:hyperlink w:anchor="_Toc120286205" w:history="1">
                <w:r w:rsidR="008F448E" w:rsidRPr="00FE0A4D">
                  <w:rPr>
                    <w:rStyle w:val="Hyperlink"/>
                    <w:rFonts w:ascii="Arial" w:hAnsi="Arial" w:cs="Arial"/>
                    <w:noProof/>
                    <w:szCs w:val="24"/>
                  </w:rPr>
                  <w:t>Liquidity</w:t>
                </w:r>
                <w:r w:rsidR="008F448E" w:rsidRPr="00FE0A4D">
                  <w:rPr>
                    <w:rFonts w:ascii="Arial" w:hAnsi="Arial" w:cs="Arial"/>
                    <w:noProof/>
                    <w:webHidden/>
                    <w:szCs w:val="24"/>
                  </w:rPr>
                  <w:tab/>
                </w:r>
                <w:r w:rsidR="00CB7BFF" w:rsidRPr="00FE0A4D">
                  <w:rPr>
                    <w:rFonts w:ascii="Arial" w:hAnsi="Arial" w:cs="Arial"/>
                    <w:noProof/>
                    <w:webHidden/>
                    <w:szCs w:val="24"/>
                  </w:rPr>
                  <w:fldChar w:fldCharType="begin"/>
                </w:r>
                <w:r w:rsidR="008F448E" w:rsidRPr="00FE0A4D">
                  <w:rPr>
                    <w:rFonts w:ascii="Arial" w:hAnsi="Arial" w:cs="Arial"/>
                    <w:noProof/>
                    <w:webHidden/>
                    <w:szCs w:val="24"/>
                  </w:rPr>
                  <w:instrText xml:space="preserve"> PAGEREF _Toc120286205 \h </w:instrText>
                </w:r>
                <w:r w:rsidR="00CB7BFF" w:rsidRPr="00FE0A4D">
                  <w:rPr>
                    <w:rFonts w:ascii="Arial" w:hAnsi="Arial" w:cs="Arial"/>
                    <w:noProof/>
                    <w:webHidden/>
                    <w:szCs w:val="24"/>
                  </w:rPr>
                </w:r>
                <w:r w:rsidR="00CB7BFF" w:rsidRPr="00FE0A4D">
                  <w:rPr>
                    <w:rFonts w:ascii="Arial" w:hAnsi="Arial" w:cs="Arial"/>
                    <w:noProof/>
                    <w:webHidden/>
                    <w:szCs w:val="24"/>
                  </w:rPr>
                  <w:fldChar w:fldCharType="separate"/>
                </w:r>
                <w:r w:rsidR="008F448E" w:rsidRPr="00FE0A4D">
                  <w:rPr>
                    <w:rFonts w:ascii="Arial" w:hAnsi="Arial" w:cs="Arial"/>
                    <w:noProof/>
                    <w:webHidden/>
                    <w:szCs w:val="24"/>
                  </w:rPr>
                  <w:t>5</w:t>
                </w:r>
                <w:r w:rsidR="00CB7BFF" w:rsidRPr="00FE0A4D">
                  <w:rPr>
                    <w:rFonts w:ascii="Arial" w:hAnsi="Arial" w:cs="Arial"/>
                    <w:noProof/>
                    <w:webHidden/>
                    <w:szCs w:val="24"/>
                  </w:rPr>
                  <w:fldChar w:fldCharType="end"/>
                </w:r>
              </w:hyperlink>
            </w:p>
            <w:p w14:paraId="251B933E" w14:textId="77777777" w:rsidR="008F448E" w:rsidRPr="00FE0A4D" w:rsidRDefault="00685615" w:rsidP="00C8693C">
              <w:pPr>
                <w:pStyle w:val="TOC2"/>
                <w:tabs>
                  <w:tab w:val="right" w:leader="dot" w:pos="9016"/>
                </w:tabs>
                <w:jc w:val="both"/>
                <w:rPr>
                  <w:rFonts w:ascii="Arial" w:eastAsiaTheme="minorEastAsia" w:hAnsi="Arial" w:cs="Arial"/>
                  <w:noProof/>
                  <w:szCs w:val="24"/>
                  <w:lang w:eastAsia="en-GB"/>
                </w:rPr>
              </w:pPr>
              <w:hyperlink w:anchor="_Toc120286206" w:history="1">
                <w:r w:rsidR="008F448E" w:rsidRPr="00FE0A4D">
                  <w:rPr>
                    <w:rStyle w:val="Hyperlink"/>
                    <w:rFonts w:ascii="Arial" w:hAnsi="Arial" w:cs="Arial"/>
                    <w:noProof/>
                    <w:szCs w:val="24"/>
                  </w:rPr>
                  <w:t>Gearing</w:t>
                </w:r>
                <w:r w:rsidR="008F448E" w:rsidRPr="00FE0A4D">
                  <w:rPr>
                    <w:rFonts w:ascii="Arial" w:hAnsi="Arial" w:cs="Arial"/>
                    <w:noProof/>
                    <w:webHidden/>
                    <w:szCs w:val="24"/>
                  </w:rPr>
                  <w:tab/>
                </w:r>
                <w:r w:rsidR="00CB7BFF" w:rsidRPr="00FE0A4D">
                  <w:rPr>
                    <w:rFonts w:ascii="Arial" w:hAnsi="Arial" w:cs="Arial"/>
                    <w:noProof/>
                    <w:webHidden/>
                    <w:szCs w:val="24"/>
                  </w:rPr>
                  <w:fldChar w:fldCharType="begin"/>
                </w:r>
                <w:r w:rsidR="008F448E" w:rsidRPr="00FE0A4D">
                  <w:rPr>
                    <w:rFonts w:ascii="Arial" w:hAnsi="Arial" w:cs="Arial"/>
                    <w:noProof/>
                    <w:webHidden/>
                    <w:szCs w:val="24"/>
                  </w:rPr>
                  <w:instrText xml:space="preserve"> PAGEREF _Toc120286206 \h </w:instrText>
                </w:r>
                <w:r w:rsidR="00CB7BFF" w:rsidRPr="00FE0A4D">
                  <w:rPr>
                    <w:rFonts w:ascii="Arial" w:hAnsi="Arial" w:cs="Arial"/>
                    <w:noProof/>
                    <w:webHidden/>
                    <w:szCs w:val="24"/>
                  </w:rPr>
                </w:r>
                <w:r w:rsidR="00CB7BFF" w:rsidRPr="00FE0A4D">
                  <w:rPr>
                    <w:rFonts w:ascii="Arial" w:hAnsi="Arial" w:cs="Arial"/>
                    <w:noProof/>
                    <w:webHidden/>
                    <w:szCs w:val="24"/>
                  </w:rPr>
                  <w:fldChar w:fldCharType="separate"/>
                </w:r>
                <w:r w:rsidR="008F448E" w:rsidRPr="00FE0A4D">
                  <w:rPr>
                    <w:rFonts w:ascii="Arial" w:hAnsi="Arial" w:cs="Arial"/>
                    <w:noProof/>
                    <w:webHidden/>
                    <w:szCs w:val="24"/>
                  </w:rPr>
                  <w:t>6</w:t>
                </w:r>
                <w:r w:rsidR="00CB7BFF" w:rsidRPr="00FE0A4D">
                  <w:rPr>
                    <w:rFonts w:ascii="Arial" w:hAnsi="Arial" w:cs="Arial"/>
                    <w:noProof/>
                    <w:webHidden/>
                    <w:szCs w:val="24"/>
                  </w:rPr>
                  <w:fldChar w:fldCharType="end"/>
                </w:r>
              </w:hyperlink>
            </w:p>
            <w:p w14:paraId="251B933F" w14:textId="77777777" w:rsidR="008F448E" w:rsidRPr="00FE0A4D" w:rsidRDefault="00685615" w:rsidP="00C8693C">
              <w:pPr>
                <w:pStyle w:val="TOC1"/>
                <w:tabs>
                  <w:tab w:val="right" w:leader="dot" w:pos="9016"/>
                </w:tabs>
                <w:jc w:val="both"/>
                <w:rPr>
                  <w:rFonts w:ascii="Arial" w:eastAsiaTheme="minorEastAsia" w:hAnsi="Arial" w:cs="Arial"/>
                  <w:noProof/>
                  <w:szCs w:val="24"/>
                  <w:lang w:eastAsia="en-GB"/>
                </w:rPr>
              </w:pPr>
              <w:hyperlink w:anchor="_Toc120286207" w:history="1">
                <w:r w:rsidR="008F448E" w:rsidRPr="00FE0A4D">
                  <w:rPr>
                    <w:rStyle w:val="Hyperlink"/>
                    <w:rFonts w:ascii="Arial" w:hAnsi="Arial" w:cs="Arial"/>
                    <w:noProof/>
                    <w:szCs w:val="24"/>
                  </w:rPr>
                  <w:t>Knowledge from Ratio Analysis</w:t>
                </w:r>
                <w:r w:rsidR="008F448E" w:rsidRPr="00FE0A4D">
                  <w:rPr>
                    <w:rFonts w:ascii="Arial" w:hAnsi="Arial" w:cs="Arial"/>
                    <w:noProof/>
                    <w:webHidden/>
                    <w:szCs w:val="24"/>
                  </w:rPr>
                  <w:tab/>
                </w:r>
                <w:r w:rsidR="00CB7BFF" w:rsidRPr="00FE0A4D">
                  <w:rPr>
                    <w:rFonts w:ascii="Arial" w:hAnsi="Arial" w:cs="Arial"/>
                    <w:noProof/>
                    <w:webHidden/>
                    <w:szCs w:val="24"/>
                  </w:rPr>
                  <w:fldChar w:fldCharType="begin"/>
                </w:r>
                <w:r w:rsidR="008F448E" w:rsidRPr="00FE0A4D">
                  <w:rPr>
                    <w:rFonts w:ascii="Arial" w:hAnsi="Arial" w:cs="Arial"/>
                    <w:noProof/>
                    <w:webHidden/>
                    <w:szCs w:val="24"/>
                  </w:rPr>
                  <w:instrText xml:space="preserve"> PAGEREF _Toc120286207 \h </w:instrText>
                </w:r>
                <w:r w:rsidR="00CB7BFF" w:rsidRPr="00FE0A4D">
                  <w:rPr>
                    <w:rFonts w:ascii="Arial" w:hAnsi="Arial" w:cs="Arial"/>
                    <w:noProof/>
                    <w:webHidden/>
                    <w:szCs w:val="24"/>
                  </w:rPr>
                </w:r>
                <w:r w:rsidR="00CB7BFF" w:rsidRPr="00FE0A4D">
                  <w:rPr>
                    <w:rFonts w:ascii="Arial" w:hAnsi="Arial" w:cs="Arial"/>
                    <w:noProof/>
                    <w:webHidden/>
                    <w:szCs w:val="24"/>
                  </w:rPr>
                  <w:fldChar w:fldCharType="separate"/>
                </w:r>
                <w:r w:rsidR="008F448E" w:rsidRPr="00FE0A4D">
                  <w:rPr>
                    <w:rFonts w:ascii="Arial" w:hAnsi="Arial" w:cs="Arial"/>
                    <w:noProof/>
                    <w:webHidden/>
                    <w:szCs w:val="24"/>
                  </w:rPr>
                  <w:t>7</w:t>
                </w:r>
                <w:r w:rsidR="00CB7BFF" w:rsidRPr="00FE0A4D">
                  <w:rPr>
                    <w:rFonts w:ascii="Arial" w:hAnsi="Arial" w:cs="Arial"/>
                    <w:noProof/>
                    <w:webHidden/>
                    <w:szCs w:val="24"/>
                  </w:rPr>
                  <w:fldChar w:fldCharType="end"/>
                </w:r>
              </w:hyperlink>
            </w:p>
            <w:p w14:paraId="251B9340" w14:textId="77777777" w:rsidR="008F448E" w:rsidRPr="00FE0A4D" w:rsidRDefault="00685615" w:rsidP="00C8693C">
              <w:pPr>
                <w:pStyle w:val="TOC1"/>
                <w:tabs>
                  <w:tab w:val="right" w:leader="dot" w:pos="9016"/>
                </w:tabs>
                <w:jc w:val="both"/>
                <w:rPr>
                  <w:rFonts w:ascii="Arial" w:eastAsiaTheme="minorEastAsia" w:hAnsi="Arial" w:cs="Arial"/>
                  <w:noProof/>
                  <w:szCs w:val="24"/>
                  <w:lang w:eastAsia="en-GB"/>
                </w:rPr>
              </w:pPr>
              <w:hyperlink w:anchor="_Toc120286208" w:history="1">
                <w:r w:rsidR="008F448E" w:rsidRPr="00FE0A4D">
                  <w:rPr>
                    <w:rStyle w:val="Hyperlink"/>
                    <w:rFonts w:ascii="Arial" w:hAnsi="Arial" w:cs="Arial"/>
                    <w:noProof/>
                    <w:szCs w:val="24"/>
                  </w:rPr>
                  <w:t>Benefits and Limitations of Ratio Analysis</w:t>
                </w:r>
                <w:r w:rsidR="008F448E" w:rsidRPr="00FE0A4D">
                  <w:rPr>
                    <w:rFonts w:ascii="Arial" w:hAnsi="Arial" w:cs="Arial"/>
                    <w:noProof/>
                    <w:webHidden/>
                    <w:szCs w:val="24"/>
                  </w:rPr>
                  <w:tab/>
                </w:r>
                <w:r w:rsidR="00CB7BFF" w:rsidRPr="00FE0A4D">
                  <w:rPr>
                    <w:rFonts w:ascii="Arial" w:hAnsi="Arial" w:cs="Arial"/>
                    <w:noProof/>
                    <w:webHidden/>
                    <w:szCs w:val="24"/>
                  </w:rPr>
                  <w:fldChar w:fldCharType="begin"/>
                </w:r>
                <w:r w:rsidR="008F448E" w:rsidRPr="00FE0A4D">
                  <w:rPr>
                    <w:rFonts w:ascii="Arial" w:hAnsi="Arial" w:cs="Arial"/>
                    <w:noProof/>
                    <w:webHidden/>
                    <w:szCs w:val="24"/>
                  </w:rPr>
                  <w:instrText xml:space="preserve"> PAGEREF _Toc120286208 \h </w:instrText>
                </w:r>
                <w:r w:rsidR="00CB7BFF" w:rsidRPr="00FE0A4D">
                  <w:rPr>
                    <w:rFonts w:ascii="Arial" w:hAnsi="Arial" w:cs="Arial"/>
                    <w:noProof/>
                    <w:webHidden/>
                    <w:szCs w:val="24"/>
                  </w:rPr>
                </w:r>
                <w:r w:rsidR="00CB7BFF" w:rsidRPr="00FE0A4D">
                  <w:rPr>
                    <w:rFonts w:ascii="Arial" w:hAnsi="Arial" w:cs="Arial"/>
                    <w:noProof/>
                    <w:webHidden/>
                    <w:szCs w:val="24"/>
                  </w:rPr>
                  <w:fldChar w:fldCharType="separate"/>
                </w:r>
                <w:r w:rsidR="008F448E" w:rsidRPr="00FE0A4D">
                  <w:rPr>
                    <w:rFonts w:ascii="Arial" w:hAnsi="Arial" w:cs="Arial"/>
                    <w:noProof/>
                    <w:webHidden/>
                    <w:szCs w:val="24"/>
                  </w:rPr>
                  <w:t>8</w:t>
                </w:r>
                <w:r w:rsidR="00CB7BFF" w:rsidRPr="00FE0A4D">
                  <w:rPr>
                    <w:rFonts w:ascii="Arial" w:hAnsi="Arial" w:cs="Arial"/>
                    <w:noProof/>
                    <w:webHidden/>
                    <w:szCs w:val="24"/>
                  </w:rPr>
                  <w:fldChar w:fldCharType="end"/>
                </w:r>
              </w:hyperlink>
            </w:p>
            <w:p w14:paraId="251B9341" w14:textId="77777777" w:rsidR="008F448E" w:rsidRPr="00FE0A4D" w:rsidRDefault="00685615" w:rsidP="00C8693C">
              <w:pPr>
                <w:pStyle w:val="TOC1"/>
                <w:tabs>
                  <w:tab w:val="right" w:leader="dot" w:pos="9016"/>
                </w:tabs>
                <w:jc w:val="both"/>
                <w:rPr>
                  <w:rFonts w:ascii="Arial" w:eastAsiaTheme="minorEastAsia" w:hAnsi="Arial" w:cs="Arial"/>
                  <w:noProof/>
                  <w:szCs w:val="24"/>
                  <w:lang w:eastAsia="en-GB"/>
                </w:rPr>
              </w:pPr>
              <w:hyperlink w:anchor="_Toc120286209" w:history="1">
                <w:r w:rsidR="008F448E" w:rsidRPr="00FE0A4D">
                  <w:rPr>
                    <w:rStyle w:val="Hyperlink"/>
                    <w:rFonts w:ascii="Arial" w:hAnsi="Arial" w:cs="Arial"/>
                    <w:noProof/>
                    <w:szCs w:val="24"/>
                  </w:rPr>
                  <w:t>Conclusion</w:t>
                </w:r>
                <w:r w:rsidR="008F448E" w:rsidRPr="00FE0A4D">
                  <w:rPr>
                    <w:rFonts w:ascii="Arial" w:hAnsi="Arial" w:cs="Arial"/>
                    <w:noProof/>
                    <w:webHidden/>
                    <w:szCs w:val="24"/>
                  </w:rPr>
                  <w:tab/>
                </w:r>
                <w:r w:rsidR="00CB7BFF" w:rsidRPr="00FE0A4D">
                  <w:rPr>
                    <w:rFonts w:ascii="Arial" w:hAnsi="Arial" w:cs="Arial"/>
                    <w:noProof/>
                    <w:webHidden/>
                    <w:szCs w:val="24"/>
                  </w:rPr>
                  <w:fldChar w:fldCharType="begin"/>
                </w:r>
                <w:r w:rsidR="008F448E" w:rsidRPr="00FE0A4D">
                  <w:rPr>
                    <w:rFonts w:ascii="Arial" w:hAnsi="Arial" w:cs="Arial"/>
                    <w:noProof/>
                    <w:webHidden/>
                    <w:szCs w:val="24"/>
                  </w:rPr>
                  <w:instrText xml:space="preserve"> PAGEREF _Toc120286209 \h </w:instrText>
                </w:r>
                <w:r w:rsidR="00CB7BFF" w:rsidRPr="00FE0A4D">
                  <w:rPr>
                    <w:rFonts w:ascii="Arial" w:hAnsi="Arial" w:cs="Arial"/>
                    <w:noProof/>
                    <w:webHidden/>
                    <w:szCs w:val="24"/>
                  </w:rPr>
                </w:r>
                <w:r w:rsidR="00CB7BFF" w:rsidRPr="00FE0A4D">
                  <w:rPr>
                    <w:rFonts w:ascii="Arial" w:hAnsi="Arial" w:cs="Arial"/>
                    <w:noProof/>
                    <w:webHidden/>
                    <w:szCs w:val="24"/>
                  </w:rPr>
                  <w:fldChar w:fldCharType="separate"/>
                </w:r>
                <w:r w:rsidR="008F448E" w:rsidRPr="00FE0A4D">
                  <w:rPr>
                    <w:rFonts w:ascii="Arial" w:hAnsi="Arial" w:cs="Arial"/>
                    <w:noProof/>
                    <w:webHidden/>
                    <w:szCs w:val="24"/>
                  </w:rPr>
                  <w:t>10</w:t>
                </w:r>
                <w:r w:rsidR="00CB7BFF" w:rsidRPr="00FE0A4D">
                  <w:rPr>
                    <w:rFonts w:ascii="Arial" w:hAnsi="Arial" w:cs="Arial"/>
                    <w:noProof/>
                    <w:webHidden/>
                    <w:szCs w:val="24"/>
                  </w:rPr>
                  <w:fldChar w:fldCharType="end"/>
                </w:r>
              </w:hyperlink>
            </w:p>
            <w:p w14:paraId="251B9342" w14:textId="77777777" w:rsidR="008F448E" w:rsidRPr="00FE0A4D" w:rsidRDefault="00685615" w:rsidP="00C8693C">
              <w:pPr>
                <w:pStyle w:val="TOC1"/>
                <w:tabs>
                  <w:tab w:val="right" w:leader="dot" w:pos="9016"/>
                </w:tabs>
                <w:jc w:val="both"/>
                <w:rPr>
                  <w:rFonts w:ascii="Arial" w:eastAsiaTheme="minorEastAsia" w:hAnsi="Arial" w:cs="Arial"/>
                  <w:noProof/>
                  <w:szCs w:val="24"/>
                  <w:lang w:eastAsia="en-GB"/>
                </w:rPr>
              </w:pPr>
              <w:hyperlink w:anchor="_Toc120286210" w:history="1">
                <w:r w:rsidR="008F448E" w:rsidRPr="00FE0A4D">
                  <w:rPr>
                    <w:rStyle w:val="Hyperlink"/>
                    <w:rFonts w:ascii="Arial" w:hAnsi="Arial" w:cs="Arial"/>
                    <w:noProof/>
                    <w:szCs w:val="24"/>
                  </w:rPr>
                  <w:t>Bibliography</w:t>
                </w:r>
                <w:r w:rsidR="008F448E" w:rsidRPr="00FE0A4D">
                  <w:rPr>
                    <w:rFonts w:ascii="Arial" w:hAnsi="Arial" w:cs="Arial"/>
                    <w:noProof/>
                    <w:webHidden/>
                    <w:szCs w:val="24"/>
                  </w:rPr>
                  <w:tab/>
                </w:r>
                <w:r w:rsidR="00CB7BFF" w:rsidRPr="00FE0A4D">
                  <w:rPr>
                    <w:rFonts w:ascii="Arial" w:hAnsi="Arial" w:cs="Arial"/>
                    <w:noProof/>
                    <w:webHidden/>
                    <w:szCs w:val="24"/>
                  </w:rPr>
                  <w:fldChar w:fldCharType="begin"/>
                </w:r>
                <w:r w:rsidR="008F448E" w:rsidRPr="00FE0A4D">
                  <w:rPr>
                    <w:rFonts w:ascii="Arial" w:hAnsi="Arial" w:cs="Arial"/>
                    <w:noProof/>
                    <w:webHidden/>
                    <w:szCs w:val="24"/>
                  </w:rPr>
                  <w:instrText xml:space="preserve"> PAGEREF _Toc120286210 \h </w:instrText>
                </w:r>
                <w:r w:rsidR="00CB7BFF" w:rsidRPr="00FE0A4D">
                  <w:rPr>
                    <w:rFonts w:ascii="Arial" w:hAnsi="Arial" w:cs="Arial"/>
                    <w:noProof/>
                    <w:webHidden/>
                    <w:szCs w:val="24"/>
                  </w:rPr>
                </w:r>
                <w:r w:rsidR="00CB7BFF" w:rsidRPr="00FE0A4D">
                  <w:rPr>
                    <w:rFonts w:ascii="Arial" w:hAnsi="Arial" w:cs="Arial"/>
                    <w:noProof/>
                    <w:webHidden/>
                    <w:szCs w:val="24"/>
                  </w:rPr>
                  <w:fldChar w:fldCharType="separate"/>
                </w:r>
                <w:r w:rsidR="008F448E" w:rsidRPr="00FE0A4D">
                  <w:rPr>
                    <w:rFonts w:ascii="Arial" w:hAnsi="Arial" w:cs="Arial"/>
                    <w:noProof/>
                    <w:webHidden/>
                    <w:szCs w:val="24"/>
                  </w:rPr>
                  <w:t>11</w:t>
                </w:r>
                <w:r w:rsidR="00CB7BFF" w:rsidRPr="00FE0A4D">
                  <w:rPr>
                    <w:rFonts w:ascii="Arial" w:hAnsi="Arial" w:cs="Arial"/>
                    <w:noProof/>
                    <w:webHidden/>
                    <w:szCs w:val="24"/>
                  </w:rPr>
                  <w:fldChar w:fldCharType="end"/>
                </w:r>
              </w:hyperlink>
            </w:p>
            <w:p w14:paraId="251B9343" w14:textId="77777777" w:rsidR="007D1947" w:rsidRPr="00FE0A4D" w:rsidRDefault="00CB7BFF" w:rsidP="00C8693C">
              <w:pPr>
                <w:jc w:val="both"/>
                <w:rPr>
                  <w:rFonts w:ascii="Arial" w:hAnsi="Arial" w:cs="Arial"/>
                  <w:szCs w:val="24"/>
                </w:rPr>
              </w:pPr>
              <w:r w:rsidRPr="00FE0A4D">
                <w:rPr>
                  <w:rFonts w:ascii="Arial" w:hAnsi="Arial" w:cs="Arial"/>
                  <w:b/>
                  <w:bCs/>
                  <w:noProof/>
                  <w:szCs w:val="24"/>
                </w:rPr>
                <w:fldChar w:fldCharType="end"/>
              </w:r>
              <w:r w:rsidR="00B25038" w:rsidRPr="00FE0A4D">
                <w:rPr>
                  <w:rFonts w:ascii="Arial" w:hAnsi="Arial" w:cs="Arial"/>
                  <w:b/>
                  <w:bCs/>
                  <w:noProof/>
                  <w:szCs w:val="24"/>
                </w:rPr>
                <w:t xml:space="preserve"> </w:t>
              </w:r>
            </w:p>
          </w:sdtContent>
        </w:sdt>
        <w:p w14:paraId="251B9344" w14:textId="77777777" w:rsidR="007D1947" w:rsidRPr="00FE0A4D" w:rsidRDefault="007D1947" w:rsidP="00C8693C">
          <w:pPr>
            <w:jc w:val="both"/>
            <w:rPr>
              <w:rFonts w:ascii="Arial" w:hAnsi="Arial" w:cs="Arial"/>
              <w:szCs w:val="24"/>
            </w:rPr>
          </w:pPr>
        </w:p>
        <w:p w14:paraId="251B9345" w14:textId="77777777" w:rsidR="007D1947" w:rsidRPr="00FE0A4D" w:rsidRDefault="007D1947" w:rsidP="00C8693C">
          <w:pPr>
            <w:jc w:val="both"/>
            <w:rPr>
              <w:rFonts w:ascii="Arial" w:hAnsi="Arial" w:cs="Arial"/>
              <w:szCs w:val="24"/>
            </w:rPr>
          </w:pPr>
        </w:p>
        <w:p w14:paraId="251B9346" w14:textId="77777777" w:rsidR="007D1947" w:rsidRPr="00FE0A4D" w:rsidRDefault="007D1947" w:rsidP="00C8693C">
          <w:pPr>
            <w:jc w:val="both"/>
            <w:rPr>
              <w:rFonts w:ascii="Arial" w:hAnsi="Arial" w:cs="Arial"/>
              <w:szCs w:val="24"/>
            </w:rPr>
          </w:pPr>
        </w:p>
        <w:p w14:paraId="251B9347" w14:textId="77777777" w:rsidR="007D1947" w:rsidRPr="00FE0A4D" w:rsidRDefault="007D1947" w:rsidP="00C8693C">
          <w:pPr>
            <w:jc w:val="both"/>
            <w:rPr>
              <w:rFonts w:ascii="Arial" w:hAnsi="Arial" w:cs="Arial"/>
              <w:szCs w:val="24"/>
            </w:rPr>
          </w:pPr>
        </w:p>
        <w:p w14:paraId="251B9348" w14:textId="77777777" w:rsidR="007D1947" w:rsidRPr="00FE0A4D" w:rsidRDefault="007D1947" w:rsidP="00C8693C">
          <w:pPr>
            <w:jc w:val="both"/>
            <w:rPr>
              <w:rFonts w:ascii="Arial" w:hAnsi="Arial" w:cs="Arial"/>
              <w:szCs w:val="24"/>
            </w:rPr>
          </w:pPr>
        </w:p>
        <w:p w14:paraId="251B9349" w14:textId="77777777" w:rsidR="007D1947" w:rsidRPr="00FE0A4D" w:rsidRDefault="007D1947" w:rsidP="00C8693C">
          <w:pPr>
            <w:jc w:val="both"/>
            <w:rPr>
              <w:rFonts w:ascii="Arial" w:hAnsi="Arial" w:cs="Arial"/>
              <w:szCs w:val="24"/>
            </w:rPr>
          </w:pPr>
        </w:p>
        <w:p w14:paraId="251B934A" w14:textId="77777777" w:rsidR="007D1947" w:rsidRPr="00FE0A4D" w:rsidRDefault="007D1947" w:rsidP="00C8693C">
          <w:pPr>
            <w:jc w:val="both"/>
            <w:rPr>
              <w:rFonts w:ascii="Arial" w:hAnsi="Arial" w:cs="Arial"/>
              <w:szCs w:val="24"/>
            </w:rPr>
          </w:pPr>
        </w:p>
        <w:p w14:paraId="251B934B" w14:textId="77777777" w:rsidR="007D1947" w:rsidRPr="00FE0A4D" w:rsidRDefault="007D1947" w:rsidP="00C8693C">
          <w:pPr>
            <w:jc w:val="both"/>
            <w:rPr>
              <w:rFonts w:ascii="Arial" w:hAnsi="Arial" w:cs="Arial"/>
              <w:szCs w:val="24"/>
            </w:rPr>
          </w:pPr>
        </w:p>
        <w:p w14:paraId="251B934C" w14:textId="77777777" w:rsidR="007D1947" w:rsidRPr="00FE0A4D" w:rsidRDefault="007D1947" w:rsidP="00C8693C">
          <w:pPr>
            <w:jc w:val="both"/>
            <w:rPr>
              <w:rFonts w:ascii="Arial" w:hAnsi="Arial" w:cs="Arial"/>
              <w:szCs w:val="24"/>
            </w:rPr>
          </w:pPr>
        </w:p>
        <w:p w14:paraId="251B934D" w14:textId="77777777" w:rsidR="00D76D41" w:rsidRPr="00FE0A4D" w:rsidRDefault="00D76D41" w:rsidP="00C8693C">
          <w:pPr>
            <w:jc w:val="both"/>
            <w:rPr>
              <w:rFonts w:ascii="Arial" w:eastAsiaTheme="majorEastAsia" w:hAnsi="Arial" w:cs="Arial"/>
              <w:color w:val="2E74B5" w:themeColor="accent1" w:themeShade="BF"/>
              <w:szCs w:val="24"/>
            </w:rPr>
          </w:pPr>
          <w:bookmarkStart w:id="1" w:name="_Toc120286202"/>
          <w:r w:rsidRPr="00FE0A4D">
            <w:rPr>
              <w:rFonts w:ascii="Arial" w:hAnsi="Arial" w:cs="Arial"/>
              <w:szCs w:val="24"/>
            </w:rPr>
            <w:br w:type="page"/>
          </w:r>
        </w:p>
        <w:p w14:paraId="251B934E" w14:textId="77777777" w:rsidR="007D1947" w:rsidRPr="00FE0A4D" w:rsidRDefault="007D1947" w:rsidP="00C8693C">
          <w:pPr>
            <w:pStyle w:val="Heading1"/>
            <w:jc w:val="both"/>
            <w:rPr>
              <w:rFonts w:ascii="Arial" w:hAnsi="Arial" w:cs="Arial"/>
              <w:sz w:val="24"/>
              <w:szCs w:val="24"/>
            </w:rPr>
          </w:pPr>
          <w:r w:rsidRPr="00FE0A4D">
            <w:rPr>
              <w:rFonts w:ascii="Arial" w:hAnsi="Arial" w:cs="Arial"/>
              <w:sz w:val="24"/>
              <w:szCs w:val="24"/>
            </w:rPr>
            <w:lastRenderedPageBreak/>
            <w:t>Introduction</w:t>
          </w:r>
          <w:bookmarkEnd w:id="1"/>
        </w:p>
        <w:p w14:paraId="251B934F" w14:textId="77777777" w:rsidR="004A11F6" w:rsidRPr="00FE0A4D" w:rsidRDefault="00B25038" w:rsidP="00C8693C">
          <w:pPr>
            <w:jc w:val="both"/>
            <w:rPr>
              <w:rFonts w:ascii="Arial" w:hAnsi="Arial" w:cs="Arial"/>
              <w:szCs w:val="24"/>
            </w:rPr>
          </w:pPr>
          <w:r w:rsidRPr="00FE0A4D">
            <w:rPr>
              <w:rFonts w:ascii="Arial" w:hAnsi="Arial" w:cs="Arial"/>
              <w:szCs w:val="24"/>
              <w:lang w:val="en-IN"/>
            </w:rPr>
            <w:t>Financial management is an important element for all types of business organisations. A great importance of financial management can be determined in the hotel industry as well. The purpose of this study is to analyse the financial statements of the organisation Marriott International while showing an understanding of ratios, their importance and their importance. It also aims to discuss about why ratios and their fluctuations are important to consider for hotel management. Marriott International Inc., commonly called Marriott International, is an American multinational organisation, which operates, licenses and franchises lodging inclusive of residential, hotel and timeshare properties. This hotel organisation has a powerful portfolio of 30 brands and more than 8000 properties throughout 139 territories and countries (Marriott International, 2022). Founded in 1927, Marriott International is one of the largest organisations in the hotel industry. This study is going to discuss in detail the financial performance of this organisation while determining the importance of ratios for the organisation.</w:t>
          </w:r>
        </w:p>
        <w:p w14:paraId="251B9350" w14:textId="77777777" w:rsidR="0019003A" w:rsidRPr="00FE0A4D" w:rsidRDefault="0019003A" w:rsidP="00C8693C">
          <w:pPr>
            <w:spacing w:line="259" w:lineRule="auto"/>
            <w:jc w:val="both"/>
            <w:rPr>
              <w:rFonts w:ascii="Arial" w:eastAsiaTheme="majorEastAsia" w:hAnsi="Arial" w:cs="Arial"/>
              <w:color w:val="2E74B5" w:themeColor="accent1" w:themeShade="BF"/>
              <w:szCs w:val="24"/>
            </w:rPr>
          </w:pPr>
          <w:bookmarkStart w:id="2" w:name="_Toc120286203"/>
          <w:r w:rsidRPr="00FE0A4D">
            <w:rPr>
              <w:rFonts w:ascii="Arial" w:hAnsi="Arial" w:cs="Arial"/>
              <w:szCs w:val="24"/>
            </w:rPr>
            <w:br w:type="page"/>
          </w:r>
        </w:p>
        <w:p w14:paraId="251B9351" w14:textId="77777777" w:rsidR="00284F1F" w:rsidRPr="00FE0A4D" w:rsidRDefault="004D519C" w:rsidP="00C8693C">
          <w:pPr>
            <w:pStyle w:val="Heading1"/>
            <w:jc w:val="both"/>
            <w:rPr>
              <w:rFonts w:ascii="Arial" w:hAnsi="Arial" w:cs="Arial"/>
              <w:sz w:val="24"/>
              <w:szCs w:val="24"/>
            </w:rPr>
          </w:pPr>
          <w:r w:rsidRPr="00FE0A4D">
            <w:rPr>
              <w:rFonts w:ascii="Arial" w:hAnsi="Arial" w:cs="Arial"/>
              <w:sz w:val="24"/>
              <w:szCs w:val="24"/>
            </w:rPr>
            <w:lastRenderedPageBreak/>
            <w:t>Financial Analysis Trends</w:t>
          </w:r>
          <w:bookmarkEnd w:id="2"/>
        </w:p>
        <w:p w14:paraId="251B9352" w14:textId="77777777" w:rsidR="004D519C" w:rsidRPr="00FE0A4D" w:rsidRDefault="004D519C" w:rsidP="00C8693C">
          <w:pPr>
            <w:pStyle w:val="Heading2"/>
            <w:jc w:val="both"/>
            <w:rPr>
              <w:rFonts w:ascii="Arial" w:hAnsi="Arial" w:cs="Arial"/>
              <w:sz w:val="24"/>
              <w:szCs w:val="24"/>
            </w:rPr>
          </w:pPr>
          <w:bookmarkStart w:id="3" w:name="_Toc120286204"/>
          <w:r w:rsidRPr="00FE0A4D">
            <w:rPr>
              <w:rFonts w:ascii="Arial" w:hAnsi="Arial" w:cs="Arial"/>
              <w:sz w:val="24"/>
              <w:szCs w:val="24"/>
            </w:rPr>
            <w:t>Profitability</w:t>
          </w:r>
          <w:bookmarkEnd w:id="3"/>
        </w:p>
        <w:p w14:paraId="251B9353" w14:textId="77777777" w:rsidR="00B25038" w:rsidRPr="00FE0A4D" w:rsidRDefault="00B25038" w:rsidP="00C8693C">
          <w:pPr>
            <w:jc w:val="both"/>
            <w:rPr>
              <w:rFonts w:ascii="Arial" w:hAnsi="Arial" w:cs="Arial"/>
              <w:szCs w:val="24"/>
            </w:rPr>
          </w:pPr>
          <w:r w:rsidRPr="00FE0A4D">
            <w:rPr>
              <w:rFonts w:ascii="Arial" w:hAnsi="Arial" w:cs="Arial"/>
              <w:szCs w:val="24"/>
            </w:rPr>
            <w:t xml:space="preserve">Profitability ratios can be defined as the ratios that reflect the capacity of businesses to earn profits during an accounting period (Husain and </w:t>
          </w:r>
          <w:proofErr w:type="spellStart"/>
          <w:r w:rsidRPr="00FE0A4D">
            <w:rPr>
              <w:rFonts w:ascii="Arial" w:hAnsi="Arial" w:cs="Arial"/>
              <w:szCs w:val="24"/>
            </w:rPr>
            <w:t>Sunardi</w:t>
          </w:r>
          <w:proofErr w:type="spellEnd"/>
          <w:r w:rsidRPr="00FE0A4D">
            <w:rPr>
              <w:rFonts w:ascii="Arial" w:hAnsi="Arial" w:cs="Arial"/>
              <w:szCs w:val="24"/>
            </w:rPr>
            <w:t>, 2020). The following is the profitability ratios analysed for Marriott International for 2020 and 2021 –</w:t>
          </w:r>
        </w:p>
        <w:tbl>
          <w:tblPr>
            <w:tblStyle w:val="TableGrid"/>
            <w:tblW w:w="5000" w:type="pct"/>
            <w:tblLook w:val="04A0" w:firstRow="1" w:lastRow="0" w:firstColumn="1" w:lastColumn="0" w:noHBand="0" w:noVBand="1"/>
          </w:tblPr>
          <w:tblGrid>
            <w:gridCol w:w="5612"/>
            <w:gridCol w:w="1815"/>
            <w:gridCol w:w="1815"/>
          </w:tblGrid>
          <w:tr w:rsidR="00B25038" w:rsidRPr="00FE0A4D" w14:paraId="251B9357" w14:textId="77777777" w:rsidTr="0045404B">
            <w:trPr>
              <w:trHeight w:val="300"/>
            </w:trPr>
            <w:tc>
              <w:tcPr>
                <w:tcW w:w="3036" w:type="pct"/>
                <w:noWrap/>
                <w:hideMark/>
              </w:tcPr>
              <w:p w14:paraId="251B9354" w14:textId="77777777" w:rsidR="00B25038" w:rsidRPr="00FE0A4D" w:rsidRDefault="00B25038" w:rsidP="00C8693C">
                <w:pPr>
                  <w:jc w:val="both"/>
                  <w:rPr>
                    <w:rFonts w:ascii="Arial" w:hAnsi="Arial" w:cs="Arial"/>
                    <w:sz w:val="24"/>
                    <w:szCs w:val="24"/>
                  </w:rPr>
                </w:pPr>
                <w:r w:rsidRPr="00FE0A4D">
                  <w:rPr>
                    <w:rFonts w:ascii="Arial" w:hAnsi="Arial" w:cs="Arial"/>
                    <w:b/>
                    <w:bCs/>
                    <w:sz w:val="24"/>
                    <w:szCs w:val="24"/>
                  </w:rPr>
                  <w:t>Ratios</w:t>
                </w:r>
              </w:p>
            </w:tc>
            <w:tc>
              <w:tcPr>
                <w:tcW w:w="982" w:type="pct"/>
                <w:noWrap/>
                <w:hideMark/>
              </w:tcPr>
              <w:p w14:paraId="251B9355" w14:textId="77777777" w:rsidR="00B25038" w:rsidRPr="00FE0A4D" w:rsidRDefault="00B25038" w:rsidP="00C8693C">
                <w:pPr>
                  <w:jc w:val="both"/>
                  <w:rPr>
                    <w:rFonts w:ascii="Arial" w:hAnsi="Arial" w:cs="Arial"/>
                    <w:b/>
                    <w:bCs/>
                    <w:sz w:val="24"/>
                    <w:szCs w:val="24"/>
                  </w:rPr>
                </w:pPr>
                <w:r w:rsidRPr="00FE0A4D">
                  <w:rPr>
                    <w:rFonts w:ascii="Arial" w:hAnsi="Arial" w:cs="Arial"/>
                    <w:b/>
                    <w:bCs/>
                    <w:sz w:val="24"/>
                    <w:szCs w:val="24"/>
                  </w:rPr>
                  <w:t>2021</w:t>
                </w:r>
              </w:p>
            </w:tc>
            <w:tc>
              <w:tcPr>
                <w:tcW w:w="982" w:type="pct"/>
                <w:noWrap/>
                <w:hideMark/>
              </w:tcPr>
              <w:p w14:paraId="251B9356" w14:textId="77777777" w:rsidR="00B25038" w:rsidRPr="00FE0A4D" w:rsidRDefault="00B25038" w:rsidP="00C8693C">
                <w:pPr>
                  <w:jc w:val="both"/>
                  <w:rPr>
                    <w:rFonts w:ascii="Arial" w:hAnsi="Arial" w:cs="Arial"/>
                    <w:b/>
                    <w:bCs/>
                    <w:sz w:val="24"/>
                    <w:szCs w:val="24"/>
                  </w:rPr>
                </w:pPr>
                <w:r w:rsidRPr="00FE0A4D">
                  <w:rPr>
                    <w:rFonts w:ascii="Arial" w:hAnsi="Arial" w:cs="Arial"/>
                    <w:b/>
                    <w:bCs/>
                    <w:sz w:val="24"/>
                    <w:szCs w:val="24"/>
                  </w:rPr>
                  <w:t>2020</w:t>
                </w:r>
              </w:p>
            </w:tc>
          </w:tr>
          <w:tr w:rsidR="00B25038" w:rsidRPr="00FE0A4D" w14:paraId="251B935B" w14:textId="77777777" w:rsidTr="0045404B">
            <w:trPr>
              <w:trHeight w:val="300"/>
            </w:trPr>
            <w:tc>
              <w:tcPr>
                <w:tcW w:w="3036" w:type="pct"/>
                <w:noWrap/>
                <w:hideMark/>
              </w:tcPr>
              <w:p w14:paraId="251B9358"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Gross margin</w:t>
                </w:r>
              </w:p>
            </w:tc>
            <w:tc>
              <w:tcPr>
                <w:tcW w:w="982" w:type="pct"/>
                <w:noWrap/>
                <w:hideMark/>
              </w:tcPr>
              <w:p w14:paraId="251B9359"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20.2136</w:t>
                </w:r>
              </w:p>
            </w:tc>
            <w:tc>
              <w:tcPr>
                <w:tcW w:w="982" w:type="pct"/>
                <w:noWrap/>
                <w:hideMark/>
              </w:tcPr>
              <w:p w14:paraId="251B935A"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13.8019</w:t>
                </w:r>
              </w:p>
            </w:tc>
          </w:tr>
          <w:tr w:rsidR="00B25038" w:rsidRPr="00FE0A4D" w14:paraId="251B935F" w14:textId="77777777" w:rsidTr="0045404B">
            <w:trPr>
              <w:trHeight w:val="300"/>
            </w:trPr>
            <w:tc>
              <w:tcPr>
                <w:tcW w:w="3036" w:type="pct"/>
                <w:noWrap/>
                <w:hideMark/>
              </w:tcPr>
              <w:p w14:paraId="251B935C"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Operating margin</w:t>
                </w:r>
              </w:p>
            </w:tc>
            <w:tc>
              <w:tcPr>
                <w:tcW w:w="982" w:type="pct"/>
                <w:noWrap/>
                <w:hideMark/>
              </w:tcPr>
              <w:p w14:paraId="251B935D"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12.629</w:t>
                </w:r>
              </w:p>
            </w:tc>
            <w:tc>
              <w:tcPr>
                <w:tcW w:w="982" w:type="pct"/>
                <w:noWrap/>
                <w:hideMark/>
              </w:tcPr>
              <w:p w14:paraId="251B935E"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0.7946</w:t>
                </w:r>
              </w:p>
            </w:tc>
          </w:tr>
          <w:tr w:rsidR="00B25038" w:rsidRPr="00FE0A4D" w14:paraId="251B9363" w14:textId="77777777" w:rsidTr="0045404B">
            <w:trPr>
              <w:trHeight w:val="300"/>
            </w:trPr>
            <w:tc>
              <w:tcPr>
                <w:tcW w:w="3036" w:type="pct"/>
                <w:noWrap/>
                <w:hideMark/>
              </w:tcPr>
              <w:p w14:paraId="251B9360"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Net profit margin</w:t>
                </w:r>
              </w:p>
            </w:tc>
            <w:tc>
              <w:tcPr>
                <w:tcW w:w="982" w:type="pct"/>
                <w:noWrap/>
                <w:hideMark/>
              </w:tcPr>
              <w:p w14:paraId="251B9361"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7.931</w:t>
                </w:r>
              </w:p>
            </w:tc>
            <w:tc>
              <w:tcPr>
                <w:tcW w:w="982" w:type="pct"/>
                <w:noWrap/>
                <w:hideMark/>
              </w:tcPr>
              <w:p w14:paraId="251B9362"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- 2.5258</w:t>
                </w:r>
              </w:p>
            </w:tc>
          </w:tr>
        </w:tbl>
        <w:p w14:paraId="251B9364" w14:textId="77777777" w:rsidR="00B25038" w:rsidRPr="00FE0A4D" w:rsidRDefault="00B25038" w:rsidP="00C8693C">
          <w:pPr>
            <w:jc w:val="both"/>
            <w:rPr>
              <w:rFonts w:ascii="Arial" w:hAnsi="Arial" w:cs="Arial"/>
              <w:szCs w:val="24"/>
            </w:rPr>
          </w:pPr>
        </w:p>
        <w:p w14:paraId="251B9365" w14:textId="77777777" w:rsidR="00B25038" w:rsidRPr="00FE0A4D" w:rsidRDefault="00B25038" w:rsidP="00C8693C">
          <w:pPr>
            <w:jc w:val="both"/>
            <w:rPr>
              <w:rFonts w:ascii="Arial" w:hAnsi="Arial" w:cs="Arial"/>
              <w:szCs w:val="24"/>
            </w:rPr>
          </w:pPr>
          <w:r w:rsidRPr="00FE0A4D">
            <w:rPr>
              <w:rFonts w:ascii="Arial" w:hAnsi="Arial" w:cs="Arial"/>
              <w:noProof/>
              <w:szCs w:val="24"/>
              <w:lang w:val="en-US"/>
            </w:rPr>
            <w:drawing>
              <wp:inline distT="0" distB="0" distL="0" distR="0" wp14:anchorId="251B93E6" wp14:editId="251B93E7">
                <wp:extent cx="4572000" cy="27432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51B9366" w14:textId="77777777" w:rsidR="00B25038" w:rsidRPr="00FE0A4D" w:rsidRDefault="00B25038" w:rsidP="00C8693C">
          <w:pPr>
            <w:pStyle w:val="Caption"/>
            <w:jc w:val="both"/>
            <w:rPr>
              <w:rFonts w:ascii="Arial" w:hAnsi="Arial" w:cs="Arial"/>
              <w:szCs w:val="24"/>
            </w:rPr>
          </w:pPr>
          <w:r w:rsidRPr="00FE0A4D">
            <w:rPr>
              <w:rFonts w:ascii="Arial" w:hAnsi="Arial" w:cs="Arial"/>
              <w:szCs w:val="24"/>
            </w:rPr>
            <w:t xml:space="preserve">Figure </w:t>
          </w:r>
          <w:r w:rsidR="00CB7BFF" w:rsidRPr="00FE0A4D">
            <w:rPr>
              <w:rFonts w:ascii="Arial" w:hAnsi="Arial" w:cs="Arial"/>
              <w:szCs w:val="24"/>
            </w:rPr>
            <w:fldChar w:fldCharType="begin"/>
          </w:r>
          <w:r w:rsidRPr="00FE0A4D">
            <w:rPr>
              <w:rFonts w:ascii="Arial" w:hAnsi="Arial" w:cs="Arial"/>
              <w:szCs w:val="24"/>
            </w:rPr>
            <w:instrText xml:space="preserve"> SEQ Figure \* ARABIC </w:instrText>
          </w:r>
          <w:r w:rsidR="00CB7BFF" w:rsidRPr="00FE0A4D">
            <w:rPr>
              <w:rFonts w:ascii="Arial" w:hAnsi="Arial" w:cs="Arial"/>
              <w:szCs w:val="24"/>
            </w:rPr>
            <w:fldChar w:fldCharType="separate"/>
          </w:r>
          <w:r w:rsidRPr="00FE0A4D">
            <w:rPr>
              <w:rFonts w:ascii="Arial" w:hAnsi="Arial" w:cs="Arial"/>
              <w:noProof/>
              <w:szCs w:val="24"/>
            </w:rPr>
            <w:t>1</w:t>
          </w:r>
          <w:r w:rsidR="00CB7BFF" w:rsidRPr="00FE0A4D">
            <w:rPr>
              <w:rFonts w:ascii="Arial" w:hAnsi="Arial" w:cs="Arial"/>
              <w:szCs w:val="24"/>
            </w:rPr>
            <w:fldChar w:fldCharType="end"/>
          </w:r>
          <w:r w:rsidRPr="00FE0A4D">
            <w:rPr>
              <w:rFonts w:ascii="Arial" w:hAnsi="Arial" w:cs="Arial"/>
              <w:szCs w:val="24"/>
            </w:rPr>
            <w:t>: Gross margin, operating profit margin and net profit margin of Marriott International</w:t>
          </w:r>
        </w:p>
        <w:p w14:paraId="251B9367" w14:textId="77777777" w:rsidR="00B25038" w:rsidRPr="00FE0A4D" w:rsidRDefault="00B25038" w:rsidP="00C8693C">
          <w:pPr>
            <w:jc w:val="both"/>
            <w:rPr>
              <w:rFonts w:ascii="Arial" w:hAnsi="Arial" w:cs="Arial"/>
              <w:szCs w:val="24"/>
            </w:rPr>
          </w:pPr>
          <w:r w:rsidRPr="00FE0A4D">
            <w:rPr>
              <w:rFonts w:ascii="Arial" w:hAnsi="Arial" w:cs="Arial"/>
              <w:szCs w:val="24"/>
            </w:rPr>
            <w:t xml:space="preserve">The three above profitability ratios of Marriott International indicate that its gross margin, operating margin as well as the net profit margin have increased considerably from 2020 to 2021. In 2020, all these three ratios reflect an extremely poor performance. The net profit margin is in negative figure, which is an indication of net losses earned in the organisation in 2021. However, the gross margin, operating profit margin and net profit margin show increasing trends between 2020 and 2021, thereby reflecting adequacy in the profits earned in this hospitality </w:t>
          </w:r>
          <w:r w:rsidRPr="00FE0A4D">
            <w:rPr>
              <w:rFonts w:ascii="Arial" w:hAnsi="Arial" w:cs="Arial"/>
              <w:szCs w:val="24"/>
            </w:rPr>
            <w:lastRenderedPageBreak/>
            <w:t>organisation. An increasing trend can also be observed in the other profitability ratios of Marriott International, as analysed underneath –</w:t>
          </w:r>
        </w:p>
        <w:tbl>
          <w:tblPr>
            <w:tblStyle w:val="TableGrid"/>
            <w:tblW w:w="5000" w:type="pct"/>
            <w:tblLook w:val="04A0" w:firstRow="1" w:lastRow="0" w:firstColumn="1" w:lastColumn="0" w:noHBand="0" w:noVBand="1"/>
          </w:tblPr>
          <w:tblGrid>
            <w:gridCol w:w="5612"/>
            <w:gridCol w:w="1815"/>
            <w:gridCol w:w="1815"/>
          </w:tblGrid>
          <w:tr w:rsidR="00B25038" w:rsidRPr="00FE0A4D" w14:paraId="251B936B" w14:textId="77777777" w:rsidTr="0045404B">
            <w:trPr>
              <w:trHeight w:val="300"/>
            </w:trPr>
            <w:tc>
              <w:tcPr>
                <w:tcW w:w="3036" w:type="pct"/>
                <w:noWrap/>
                <w:hideMark/>
              </w:tcPr>
              <w:p w14:paraId="251B9368" w14:textId="77777777" w:rsidR="00B25038" w:rsidRPr="00FE0A4D" w:rsidRDefault="00B25038" w:rsidP="00C8693C">
                <w:pPr>
                  <w:jc w:val="both"/>
                  <w:rPr>
                    <w:rFonts w:ascii="Arial" w:hAnsi="Arial" w:cs="Arial"/>
                    <w:sz w:val="24"/>
                    <w:szCs w:val="24"/>
                  </w:rPr>
                </w:pPr>
                <w:r w:rsidRPr="00FE0A4D">
                  <w:rPr>
                    <w:rFonts w:ascii="Arial" w:hAnsi="Arial" w:cs="Arial"/>
                    <w:b/>
                    <w:bCs/>
                    <w:sz w:val="24"/>
                    <w:szCs w:val="24"/>
                  </w:rPr>
                  <w:t>Ratios</w:t>
                </w:r>
              </w:p>
            </w:tc>
            <w:tc>
              <w:tcPr>
                <w:tcW w:w="982" w:type="pct"/>
                <w:noWrap/>
                <w:hideMark/>
              </w:tcPr>
              <w:p w14:paraId="251B9369" w14:textId="77777777" w:rsidR="00B25038" w:rsidRPr="00FE0A4D" w:rsidRDefault="00B25038" w:rsidP="00C8693C">
                <w:pPr>
                  <w:jc w:val="both"/>
                  <w:rPr>
                    <w:rFonts w:ascii="Arial" w:hAnsi="Arial" w:cs="Arial"/>
                    <w:b/>
                    <w:bCs/>
                    <w:sz w:val="24"/>
                    <w:szCs w:val="24"/>
                  </w:rPr>
                </w:pPr>
                <w:r w:rsidRPr="00FE0A4D">
                  <w:rPr>
                    <w:rFonts w:ascii="Arial" w:hAnsi="Arial" w:cs="Arial"/>
                    <w:b/>
                    <w:bCs/>
                    <w:sz w:val="24"/>
                    <w:szCs w:val="24"/>
                  </w:rPr>
                  <w:t>2021</w:t>
                </w:r>
              </w:p>
            </w:tc>
            <w:tc>
              <w:tcPr>
                <w:tcW w:w="982" w:type="pct"/>
                <w:noWrap/>
                <w:hideMark/>
              </w:tcPr>
              <w:p w14:paraId="251B936A" w14:textId="77777777" w:rsidR="00B25038" w:rsidRPr="00FE0A4D" w:rsidRDefault="00B25038" w:rsidP="00C8693C">
                <w:pPr>
                  <w:jc w:val="both"/>
                  <w:rPr>
                    <w:rFonts w:ascii="Arial" w:hAnsi="Arial" w:cs="Arial"/>
                    <w:b/>
                    <w:bCs/>
                    <w:sz w:val="24"/>
                    <w:szCs w:val="24"/>
                  </w:rPr>
                </w:pPr>
                <w:r w:rsidRPr="00FE0A4D">
                  <w:rPr>
                    <w:rFonts w:ascii="Arial" w:hAnsi="Arial" w:cs="Arial"/>
                    <w:b/>
                    <w:bCs/>
                    <w:sz w:val="24"/>
                    <w:szCs w:val="24"/>
                  </w:rPr>
                  <w:t>2020</w:t>
                </w:r>
              </w:p>
            </w:tc>
          </w:tr>
          <w:tr w:rsidR="00B25038" w:rsidRPr="00FE0A4D" w14:paraId="251B936F" w14:textId="77777777" w:rsidTr="0045404B">
            <w:trPr>
              <w:trHeight w:val="300"/>
            </w:trPr>
            <w:tc>
              <w:tcPr>
                <w:tcW w:w="3036" w:type="pct"/>
                <w:noWrap/>
                <w:hideMark/>
              </w:tcPr>
              <w:p w14:paraId="251B936C"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Return on equity (ROE)</w:t>
                </w:r>
              </w:p>
            </w:tc>
            <w:tc>
              <w:tcPr>
                <w:tcW w:w="982" w:type="pct"/>
                <w:noWrap/>
                <w:hideMark/>
              </w:tcPr>
              <w:p w14:paraId="251B936D"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77.7228</w:t>
                </w:r>
              </w:p>
            </w:tc>
            <w:tc>
              <w:tcPr>
                <w:tcW w:w="982" w:type="pct"/>
                <w:noWrap/>
                <w:hideMark/>
              </w:tcPr>
              <w:p w14:paraId="251B936E"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- 62.093</w:t>
                </w:r>
              </w:p>
            </w:tc>
          </w:tr>
          <w:tr w:rsidR="00B25038" w:rsidRPr="00FE0A4D" w14:paraId="251B9373" w14:textId="77777777" w:rsidTr="0045404B">
            <w:trPr>
              <w:trHeight w:val="300"/>
            </w:trPr>
            <w:tc>
              <w:tcPr>
                <w:tcW w:w="3036" w:type="pct"/>
                <w:noWrap/>
                <w:hideMark/>
              </w:tcPr>
              <w:p w14:paraId="251B9370"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Return on assets (ROA)</w:t>
                </w:r>
              </w:p>
            </w:tc>
            <w:tc>
              <w:tcPr>
                <w:tcW w:w="982" w:type="pct"/>
                <w:noWrap/>
                <w:hideMark/>
              </w:tcPr>
              <w:p w14:paraId="251B9371"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4.3009</w:t>
                </w:r>
              </w:p>
            </w:tc>
            <w:tc>
              <w:tcPr>
                <w:tcW w:w="982" w:type="pct"/>
                <w:noWrap/>
                <w:hideMark/>
              </w:tcPr>
              <w:p w14:paraId="251B9372"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- 1.0809</w:t>
                </w:r>
              </w:p>
            </w:tc>
          </w:tr>
          <w:tr w:rsidR="00B25038" w:rsidRPr="00FE0A4D" w14:paraId="251B9377" w14:textId="77777777" w:rsidTr="0045404B">
            <w:trPr>
              <w:trHeight w:val="300"/>
            </w:trPr>
            <w:tc>
              <w:tcPr>
                <w:tcW w:w="3036" w:type="pct"/>
                <w:noWrap/>
                <w:hideMark/>
              </w:tcPr>
              <w:p w14:paraId="251B9374"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Return on investment (ROI)</w:t>
                </w:r>
              </w:p>
            </w:tc>
            <w:tc>
              <w:tcPr>
                <w:tcW w:w="982" w:type="pct"/>
                <w:noWrap/>
                <w:hideMark/>
              </w:tcPr>
              <w:p w14:paraId="251B9375"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10.2261</w:t>
                </w:r>
              </w:p>
            </w:tc>
            <w:tc>
              <w:tcPr>
                <w:tcW w:w="982" w:type="pct"/>
                <w:noWrap/>
                <w:hideMark/>
              </w:tcPr>
              <w:p w14:paraId="251B9376"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- 2.7717</w:t>
                </w:r>
              </w:p>
            </w:tc>
          </w:tr>
        </w:tbl>
        <w:p w14:paraId="251B9378" w14:textId="77777777" w:rsidR="00B25038" w:rsidRPr="00FE0A4D" w:rsidRDefault="00B25038" w:rsidP="00C8693C">
          <w:pPr>
            <w:jc w:val="both"/>
            <w:rPr>
              <w:rFonts w:ascii="Arial" w:hAnsi="Arial" w:cs="Arial"/>
              <w:szCs w:val="24"/>
            </w:rPr>
          </w:pPr>
        </w:p>
        <w:p w14:paraId="251B9379" w14:textId="77777777" w:rsidR="00B25038" w:rsidRPr="00FE0A4D" w:rsidRDefault="00B25038" w:rsidP="00C8693C">
          <w:pPr>
            <w:jc w:val="both"/>
            <w:rPr>
              <w:rFonts w:ascii="Arial" w:hAnsi="Arial" w:cs="Arial"/>
              <w:szCs w:val="24"/>
            </w:rPr>
          </w:pPr>
          <w:r w:rsidRPr="00FE0A4D">
            <w:rPr>
              <w:rFonts w:ascii="Arial" w:hAnsi="Arial" w:cs="Arial"/>
              <w:noProof/>
              <w:szCs w:val="24"/>
              <w:lang w:val="en-US"/>
            </w:rPr>
            <w:drawing>
              <wp:inline distT="0" distB="0" distL="0" distR="0" wp14:anchorId="251B93E8" wp14:editId="251B93E9">
                <wp:extent cx="4572000" cy="27432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51B937A" w14:textId="77777777" w:rsidR="00B25038" w:rsidRPr="00FE0A4D" w:rsidRDefault="00B25038" w:rsidP="00C8693C">
          <w:pPr>
            <w:pStyle w:val="Caption"/>
            <w:jc w:val="both"/>
            <w:rPr>
              <w:rFonts w:ascii="Arial" w:hAnsi="Arial" w:cs="Arial"/>
              <w:szCs w:val="24"/>
            </w:rPr>
          </w:pPr>
          <w:r w:rsidRPr="00FE0A4D">
            <w:rPr>
              <w:rFonts w:ascii="Arial" w:hAnsi="Arial" w:cs="Arial"/>
              <w:szCs w:val="24"/>
            </w:rPr>
            <w:t xml:space="preserve">Figure </w:t>
          </w:r>
          <w:r w:rsidR="00CB7BFF" w:rsidRPr="00FE0A4D">
            <w:rPr>
              <w:rFonts w:ascii="Arial" w:hAnsi="Arial" w:cs="Arial"/>
              <w:szCs w:val="24"/>
            </w:rPr>
            <w:fldChar w:fldCharType="begin"/>
          </w:r>
          <w:r w:rsidRPr="00FE0A4D">
            <w:rPr>
              <w:rFonts w:ascii="Arial" w:hAnsi="Arial" w:cs="Arial"/>
              <w:szCs w:val="24"/>
            </w:rPr>
            <w:instrText xml:space="preserve"> SEQ Figure \* ARABIC </w:instrText>
          </w:r>
          <w:r w:rsidR="00CB7BFF" w:rsidRPr="00FE0A4D">
            <w:rPr>
              <w:rFonts w:ascii="Arial" w:hAnsi="Arial" w:cs="Arial"/>
              <w:szCs w:val="24"/>
            </w:rPr>
            <w:fldChar w:fldCharType="separate"/>
          </w:r>
          <w:r w:rsidRPr="00FE0A4D">
            <w:rPr>
              <w:rFonts w:ascii="Arial" w:hAnsi="Arial" w:cs="Arial"/>
              <w:noProof/>
              <w:szCs w:val="24"/>
            </w:rPr>
            <w:t>2</w:t>
          </w:r>
          <w:r w:rsidR="00CB7BFF" w:rsidRPr="00FE0A4D">
            <w:rPr>
              <w:rFonts w:ascii="Arial" w:hAnsi="Arial" w:cs="Arial"/>
              <w:szCs w:val="24"/>
            </w:rPr>
            <w:fldChar w:fldCharType="end"/>
          </w:r>
          <w:r w:rsidRPr="00FE0A4D">
            <w:rPr>
              <w:rFonts w:ascii="Arial" w:hAnsi="Arial" w:cs="Arial"/>
              <w:szCs w:val="24"/>
            </w:rPr>
            <w:t>: ROE, ROA and ROI of Marriott International</w:t>
          </w:r>
        </w:p>
        <w:p w14:paraId="251B937B" w14:textId="77777777" w:rsidR="004D519C" w:rsidRPr="00FE0A4D" w:rsidRDefault="00B25038" w:rsidP="00C8693C">
          <w:pPr>
            <w:jc w:val="both"/>
            <w:rPr>
              <w:rFonts w:ascii="Arial" w:hAnsi="Arial" w:cs="Arial"/>
              <w:szCs w:val="24"/>
            </w:rPr>
          </w:pPr>
          <w:r w:rsidRPr="00FE0A4D">
            <w:rPr>
              <w:rFonts w:ascii="Arial" w:hAnsi="Arial" w:cs="Arial"/>
              <w:szCs w:val="24"/>
            </w:rPr>
            <w:t>The evaluation of the three above profitability ratios reflect that the ROE, ROA as well as its ROI were in negative figures in the year 2020. However, in the year 2021, all these three profitability ratios of Marriott International reflect considerable improvements. Hence, an increasing trend can also be observed in the ROE, ROA and ROI of this hospitality organisation, which indicates that losses earned from equity, assets and investments have turned to profits. Hence, the conclusions that can be drawn from the analysis of the trends of the profitability ratios are that huge losses have been earned in Marriott International in 2020. These losses have been earned in the organisation mainly because of the Covid-19 outbreak all over the world, closure of hotels for a long time for global lockdown and travel restrictions. However, the organisation has been successful in earning profits in 2021, which can be seen in the increasing trends of all the profitability ratios between 2020 and 2021.</w:t>
          </w:r>
        </w:p>
        <w:p w14:paraId="251B937C" w14:textId="77777777" w:rsidR="004D519C" w:rsidRPr="00FE0A4D" w:rsidRDefault="004D519C" w:rsidP="00C8693C">
          <w:pPr>
            <w:pStyle w:val="Heading2"/>
            <w:jc w:val="both"/>
            <w:rPr>
              <w:rFonts w:ascii="Arial" w:hAnsi="Arial" w:cs="Arial"/>
              <w:sz w:val="24"/>
              <w:szCs w:val="24"/>
            </w:rPr>
          </w:pPr>
          <w:bookmarkStart w:id="4" w:name="_Toc120286205"/>
          <w:r w:rsidRPr="00FE0A4D">
            <w:rPr>
              <w:rFonts w:ascii="Arial" w:hAnsi="Arial" w:cs="Arial"/>
              <w:sz w:val="24"/>
              <w:szCs w:val="24"/>
            </w:rPr>
            <w:lastRenderedPageBreak/>
            <w:t>Liquidity</w:t>
          </w:r>
          <w:bookmarkEnd w:id="4"/>
        </w:p>
        <w:p w14:paraId="251B937D" w14:textId="77777777" w:rsidR="00B25038" w:rsidRPr="00FE0A4D" w:rsidRDefault="00B25038" w:rsidP="00C8693C">
          <w:pPr>
            <w:jc w:val="both"/>
            <w:rPr>
              <w:rFonts w:ascii="Arial" w:hAnsi="Arial" w:cs="Arial"/>
              <w:szCs w:val="24"/>
            </w:rPr>
          </w:pPr>
          <w:r w:rsidRPr="00FE0A4D">
            <w:rPr>
              <w:rFonts w:ascii="Arial" w:hAnsi="Arial" w:cs="Arial"/>
              <w:szCs w:val="24"/>
            </w:rPr>
            <w:t xml:space="preserve">According to </w:t>
          </w:r>
          <w:proofErr w:type="spellStart"/>
          <w:r w:rsidRPr="00FE0A4D">
            <w:rPr>
              <w:rFonts w:ascii="Arial" w:hAnsi="Arial" w:cs="Arial"/>
              <w:szCs w:val="24"/>
            </w:rPr>
            <w:t>Kadim</w:t>
          </w:r>
          <w:proofErr w:type="spellEnd"/>
          <w:r w:rsidRPr="00FE0A4D">
            <w:rPr>
              <w:rFonts w:ascii="Arial" w:hAnsi="Arial" w:cs="Arial"/>
              <w:szCs w:val="24"/>
            </w:rPr>
            <w:t xml:space="preserve"> </w:t>
          </w:r>
          <w:r w:rsidRPr="00FE0A4D">
            <w:rPr>
              <w:rFonts w:ascii="Arial" w:hAnsi="Arial" w:cs="Arial"/>
              <w:i/>
              <w:iCs/>
              <w:szCs w:val="24"/>
            </w:rPr>
            <w:t>et al.</w:t>
          </w:r>
          <w:r w:rsidRPr="00FE0A4D">
            <w:rPr>
              <w:rFonts w:ascii="Arial" w:hAnsi="Arial" w:cs="Arial"/>
              <w:szCs w:val="24"/>
            </w:rPr>
            <w:t xml:space="preserve"> (2020), liquidity ratios can be defined as the group of financial ratios that reflect the capacity of a company to meet its current debts and financial obligations. The following is the liquidity ratios analysed for Marriott International for 2020 and 2021 –</w:t>
          </w:r>
        </w:p>
        <w:tbl>
          <w:tblPr>
            <w:tblStyle w:val="TableGrid"/>
            <w:tblW w:w="5000" w:type="pct"/>
            <w:tblLook w:val="04A0" w:firstRow="1" w:lastRow="0" w:firstColumn="1" w:lastColumn="0" w:noHBand="0" w:noVBand="1"/>
          </w:tblPr>
          <w:tblGrid>
            <w:gridCol w:w="5772"/>
            <w:gridCol w:w="1810"/>
            <w:gridCol w:w="1660"/>
          </w:tblGrid>
          <w:tr w:rsidR="00B25038" w:rsidRPr="00FE0A4D" w14:paraId="251B9381" w14:textId="77777777" w:rsidTr="0045404B">
            <w:trPr>
              <w:trHeight w:val="300"/>
            </w:trPr>
            <w:tc>
              <w:tcPr>
                <w:tcW w:w="3123" w:type="pct"/>
                <w:noWrap/>
                <w:hideMark/>
              </w:tcPr>
              <w:p w14:paraId="251B937E" w14:textId="77777777" w:rsidR="00B25038" w:rsidRPr="00FE0A4D" w:rsidRDefault="00B25038" w:rsidP="00C8693C">
                <w:pPr>
                  <w:jc w:val="both"/>
                  <w:rPr>
                    <w:rFonts w:ascii="Arial" w:hAnsi="Arial" w:cs="Arial"/>
                    <w:sz w:val="24"/>
                    <w:szCs w:val="24"/>
                  </w:rPr>
                </w:pPr>
                <w:r w:rsidRPr="00FE0A4D">
                  <w:rPr>
                    <w:rFonts w:ascii="Arial" w:hAnsi="Arial" w:cs="Arial"/>
                    <w:b/>
                    <w:bCs/>
                    <w:sz w:val="24"/>
                    <w:szCs w:val="24"/>
                  </w:rPr>
                  <w:t>Ratios</w:t>
                </w:r>
              </w:p>
            </w:tc>
            <w:tc>
              <w:tcPr>
                <w:tcW w:w="979" w:type="pct"/>
                <w:noWrap/>
                <w:hideMark/>
              </w:tcPr>
              <w:p w14:paraId="251B937F" w14:textId="77777777" w:rsidR="00B25038" w:rsidRPr="00FE0A4D" w:rsidRDefault="00B25038" w:rsidP="00C8693C">
                <w:pPr>
                  <w:jc w:val="both"/>
                  <w:rPr>
                    <w:rFonts w:ascii="Arial" w:hAnsi="Arial" w:cs="Arial"/>
                    <w:b/>
                    <w:bCs/>
                    <w:sz w:val="24"/>
                    <w:szCs w:val="24"/>
                  </w:rPr>
                </w:pPr>
                <w:r w:rsidRPr="00FE0A4D">
                  <w:rPr>
                    <w:rFonts w:ascii="Arial" w:hAnsi="Arial" w:cs="Arial"/>
                    <w:b/>
                    <w:bCs/>
                    <w:sz w:val="24"/>
                    <w:szCs w:val="24"/>
                  </w:rPr>
                  <w:t>2021</w:t>
                </w:r>
              </w:p>
            </w:tc>
            <w:tc>
              <w:tcPr>
                <w:tcW w:w="898" w:type="pct"/>
                <w:noWrap/>
                <w:hideMark/>
              </w:tcPr>
              <w:p w14:paraId="251B9380" w14:textId="77777777" w:rsidR="00B25038" w:rsidRPr="00FE0A4D" w:rsidRDefault="00B25038" w:rsidP="00C8693C">
                <w:pPr>
                  <w:jc w:val="both"/>
                  <w:rPr>
                    <w:rFonts w:ascii="Arial" w:hAnsi="Arial" w:cs="Arial"/>
                    <w:b/>
                    <w:bCs/>
                    <w:sz w:val="24"/>
                    <w:szCs w:val="24"/>
                  </w:rPr>
                </w:pPr>
                <w:r w:rsidRPr="00FE0A4D">
                  <w:rPr>
                    <w:rFonts w:ascii="Arial" w:hAnsi="Arial" w:cs="Arial"/>
                    <w:b/>
                    <w:bCs/>
                    <w:sz w:val="24"/>
                    <w:szCs w:val="24"/>
                  </w:rPr>
                  <w:t>2020</w:t>
                </w:r>
              </w:p>
            </w:tc>
          </w:tr>
          <w:tr w:rsidR="00B25038" w:rsidRPr="00FE0A4D" w14:paraId="251B9385" w14:textId="77777777" w:rsidTr="0045404B">
            <w:trPr>
              <w:trHeight w:val="300"/>
            </w:trPr>
            <w:tc>
              <w:tcPr>
                <w:tcW w:w="3123" w:type="pct"/>
                <w:noWrap/>
                <w:hideMark/>
              </w:tcPr>
              <w:p w14:paraId="251B9382"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Current ratio</w:t>
                </w:r>
              </w:p>
            </w:tc>
            <w:tc>
              <w:tcPr>
                <w:tcW w:w="979" w:type="pct"/>
                <w:noWrap/>
                <w:hideMark/>
              </w:tcPr>
              <w:p w14:paraId="251B9383"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0.5659</w:t>
                </w:r>
              </w:p>
            </w:tc>
            <w:tc>
              <w:tcPr>
                <w:tcW w:w="898" w:type="pct"/>
                <w:noWrap/>
                <w:hideMark/>
              </w:tcPr>
              <w:p w14:paraId="251B9384"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0.4911</w:t>
                </w:r>
              </w:p>
            </w:tc>
          </w:tr>
          <w:tr w:rsidR="00B25038" w:rsidRPr="00FE0A4D" w14:paraId="251B9389" w14:textId="77777777" w:rsidTr="0045404B">
            <w:trPr>
              <w:trHeight w:val="300"/>
            </w:trPr>
            <w:tc>
              <w:tcPr>
                <w:tcW w:w="3123" w:type="pct"/>
                <w:noWrap/>
                <w:hideMark/>
              </w:tcPr>
              <w:p w14:paraId="251B9386"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Operating cash flow per share</w:t>
                </w:r>
              </w:p>
            </w:tc>
            <w:tc>
              <w:tcPr>
                <w:tcW w:w="979" w:type="pct"/>
                <w:noWrap/>
                <w:hideMark/>
              </w:tcPr>
              <w:p w14:paraId="251B9387"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- 1.4565</w:t>
                </w:r>
              </w:p>
            </w:tc>
            <w:tc>
              <w:tcPr>
                <w:tcW w:w="898" w:type="pct"/>
                <w:noWrap/>
                <w:hideMark/>
              </w:tcPr>
              <w:p w14:paraId="251B9388"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0.0083</w:t>
                </w:r>
              </w:p>
            </w:tc>
          </w:tr>
          <w:tr w:rsidR="00B25038" w:rsidRPr="00FE0A4D" w14:paraId="251B938D" w14:textId="77777777" w:rsidTr="0045404B">
            <w:trPr>
              <w:trHeight w:val="300"/>
            </w:trPr>
            <w:tc>
              <w:tcPr>
                <w:tcW w:w="3123" w:type="pct"/>
                <w:noWrap/>
                <w:hideMark/>
              </w:tcPr>
              <w:p w14:paraId="251B938A"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Free cash flow per share</w:t>
                </w:r>
              </w:p>
            </w:tc>
            <w:tc>
              <w:tcPr>
                <w:tcW w:w="979" w:type="pct"/>
                <w:noWrap/>
                <w:hideMark/>
              </w:tcPr>
              <w:p w14:paraId="251B938B"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- 2.3594</w:t>
                </w:r>
              </w:p>
            </w:tc>
            <w:tc>
              <w:tcPr>
                <w:tcW w:w="898" w:type="pct"/>
                <w:noWrap/>
                <w:hideMark/>
              </w:tcPr>
              <w:p w14:paraId="251B938C"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1.161</w:t>
                </w:r>
              </w:p>
            </w:tc>
          </w:tr>
        </w:tbl>
        <w:p w14:paraId="251B938E" w14:textId="77777777" w:rsidR="00B25038" w:rsidRPr="00FE0A4D" w:rsidRDefault="00B25038" w:rsidP="00C8693C">
          <w:pPr>
            <w:jc w:val="both"/>
            <w:rPr>
              <w:rFonts w:ascii="Arial" w:hAnsi="Arial" w:cs="Arial"/>
              <w:szCs w:val="24"/>
            </w:rPr>
          </w:pPr>
        </w:p>
        <w:p w14:paraId="251B938F" w14:textId="77777777" w:rsidR="00B25038" w:rsidRPr="00FE0A4D" w:rsidRDefault="00B25038" w:rsidP="00C8693C">
          <w:pPr>
            <w:jc w:val="both"/>
            <w:rPr>
              <w:rFonts w:ascii="Arial" w:hAnsi="Arial" w:cs="Arial"/>
              <w:szCs w:val="24"/>
            </w:rPr>
          </w:pPr>
          <w:r w:rsidRPr="00FE0A4D">
            <w:rPr>
              <w:rFonts w:ascii="Arial" w:hAnsi="Arial" w:cs="Arial"/>
              <w:noProof/>
              <w:szCs w:val="24"/>
              <w:lang w:val="en-US"/>
            </w:rPr>
            <w:drawing>
              <wp:inline distT="0" distB="0" distL="0" distR="0" wp14:anchorId="251B93EA" wp14:editId="251B93EB">
                <wp:extent cx="4572000" cy="27432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51B9390" w14:textId="77777777" w:rsidR="00B25038" w:rsidRPr="00FE0A4D" w:rsidRDefault="00B25038" w:rsidP="00C8693C">
          <w:pPr>
            <w:pStyle w:val="Caption"/>
            <w:jc w:val="both"/>
            <w:rPr>
              <w:rFonts w:ascii="Arial" w:hAnsi="Arial" w:cs="Arial"/>
              <w:szCs w:val="24"/>
            </w:rPr>
          </w:pPr>
          <w:r w:rsidRPr="00FE0A4D">
            <w:rPr>
              <w:rFonts w:ascii="Arial" w:hAnsi="Arial" w:cs="Arial"/>
              <w:szCs w:val="24"/>
            </w:rPr>
            <w:t xml:space="preserve">Figure </w:t>
          </w:r>
          <w:r w:rsidR="00CB7BFF" w:rsidRPr="00FE0A4D">
            <w:rPr>
              <w:rFonts w:ascii="Arial" w:hAnsi="Arial" w:cs="Arial"/>
              <w:szCs w:val="24"/>
            </w:rPr>
            <w:fldChar w:fldCharType="begin"/>
          </w:r>
          <w:r w:rsidRPr="00FE0A4D">
            <w:rPr>
              <w:rFonts w:ascii="Arial" w:hAnsi="Arial" w:cs="Arial"/>
              <w:szCs w:val="24"/>
            </w:rPr>
            <w:instrText xml:space="preserve"> SEQ Figure \* ARABIC </w:instrText>
          </w:r>
          <w:r w:rsidR="00CB7BFF" w:rsidRPr="00FE0A4D">
            <w:rPr>
              <w:rFonts w:ascii="Arial" w:hAnsi="Arial" w:cs="Arial"/>
              <w:szCs w:val="24"/>
            </w:rPr>
            <w:fldChar w:fldCharType="separate"/>
          </w:r>
          <w:r w:rsidRPr="00FE0A4D">
            <w:rPr>
              <w:rFonts w:ascii="Arial" w:hAnsi="Arial" w:cs="Arial"/>
              <w:noProof/>
              <w:szCs w:val="24"/>
            </w:rPr>
            <w:t>3</w:t>
          </w:r>
          <w:r w:rsidR="00CB7BFF" w:rsidRPr="00FE0A4D">
            <w:rPr>
              <w:rFonts w:ascii="Arial" w:hAnsi="Arial" w:cs="Arial"/>
              <w:szCs w:val="24"/>
            </w:rPr>
            <w:fldChar w:fldCharType="end"/>
          </w:r>
          <w:r w:rsidRPr="00FE0A4D">
            <w:rPr>
              <w:rFonts w:ascii="Arial" w:hAnsi="Arial" w:cs="Arial"/>
              <w:szCs w:val="24"/>
            </w:rPr>
            <w:t>: Liquidity ratios of Marriott International</w:t>
          </w:r>
        </w:p>
        <w:p w14:paraId="251B9391" w14:textId="77777777" w:rsidR="004D519C" w:rsidRPr="00FE0A4D" w:rsidRDefault="00B25038" w:rsidP="00C8693C">
          <w:pPr>
            <w:jc w:val="both"/>
            <w:rPr>
              <w:rFonts w:ascii="Arial" w:hAnsi="Arial" w:cs="Arial"/>
              <w:szCs w:val="24"/>
            </w:rPr>
          </w:pPr>
          <w:r w:rsidRPr="00FE0A4D">
            <w:rPr>
              <w:rFonts w:ascii="Arial" w:hAnsi="Arial" w:cs="Arial"/>
              <w:szCs w:val="24"/>
            </w:rPr>
            <w:t>The evaluation of the liquidity ratios of Marriott International reflects that the current ratio of the organisation has increased from 2020 to 2021. As a result, an increasing trend can be seen in this liquidity ratio of the organisation. However, the operating cash flow per share as well as the free cash flow per share reflects a decreasing trend. In the year 2020, both these ratios had positive figures, which have changed to negative figures in the year 2021. Accordingly, it can be observed that huge decreases have occurred in the liquid position of Marriott International. Hence, the conclusions that can be drawn from the trends in liquidity ratios is that the liquid position of this hospitality organisation is extremely poor and immediate improvements are needed.</w:t>
          </w:r>
        </w:p>
        <w:p w14:paraId="251B9392" w14:textId="77777777" w:rsidR="004D519C" w:rsidRPr="00FE0A4D" w:rsidRDefault="004D519C" w:rsidP="00C8693C">
          <w:pPr>
            <w:pStyle w:val="Heading2"/>
            <w:jc w:val="both"/>
            <w:rPr>
              <w:rFonts w:ascii="Arial" w:hAnsi="Arial" w:cs="Arial"/>
              <w:sz w:val="24"/>
              <w:szCs w:val="24"/>
            </w:rPr>
          </w:pPr>
          <w:bookmarkStart w:id="5" w:name="_Toc120286206"/>
          <w:r w:rsidRPr="00FE0A4D">
            <w:rPr>
              <w:rFonts w:ascii="Arial" w:hAnsi="Arial" w:cs="Arial"/>
              <w:sz w:val="24"/>
              <w:szCs w:val="24"/>
            </w:rPr>
            <w:lastRenderedPageBreak/>
            <w:t>Gearing</w:t>
          </w:r>
          <w:bookmarkEnd w:id="5"/>
        </w:p>
        <w:p w14:paraId="251B9393" w14:textId="77777777" w:rsidR="00B25038" w:rsidRPr="00FE0A4D" w:rsidRDefault="00B25038" w:rsidP="00C8693C">
          <w:pPr>
            <w:jc w:val="both"/>
            <w:rPr>
              <w:rFonts w:ascii="Arial" w:hAnsi="Arial" w:cs="Arial"/>
              <w:szCs w:val="24"/>
            </w:rPr>
          </w:pPr>
          <w:r w:rsidRPr="00FE0A4D">
            <w:rPr>
              <w:rFonts w:ascii="Arial" w:hAnsi="Arial" w:cs="Arial"/>
              <w:szCs w:val="24"/>
            </w:rPr>
            <w:t>Gearing ratios are referred to as the financial ratios, which indicate the financial leverage of a company (</w:t>
          </w:r>
          <w:proofErr w:type="spellStart"/>
          <w:r w:rsidRPr="00FE0A4D">
            <w:rPr>
              <w:rFonts w:ascii="Arial" w:hAnsi="Arial" w:cs="Arial"/>
              <w:szCs w:val="24"/>
            </w:rPr>
            <w:t>Kariyawasam</w:t>
          </w:r>
          <w:proofErr w:type="spellEnd"/>
          <w:r w:rsidRPr="00FE0A4D">
            <w:rPr>
              <w:rFonts w:ascii="Arial" w:hAnsi="Arial" w:cs="Arial"/>
              <w:szCs w:val="24"/>
            </w:rPr>
            <w:t>, 2019). It shows how the operations of a company are financed by its debts and equity while reflecting its capital structure. The following is the gearing ratios analysed for Marriott International for 2020 and 2021 –</w:t>
          </w:r>
        </w:p>
        <w:tbl>
          <w:tblPr>
            <w:tblStyle w:val="TableGrid"/>
            <w:tblW w:w="5000" w:type="pct"/>
            <w:tblLook w:val="04A0" w:firstRow="1" w:lastRow="0" w:firstColumn="1" w:lastColumn="0" w:noHBand="0" w:noVBand="1"/>
          </w:tblPr>
          <w:tblGrid>
            <w:gridCol w:w="5294"/>
            <w:gridCol w:w="1850"/>
            <w:gridCol w:w="2098"/>
          </w:tblGrid>
          <w:tr w:rsidR="00B25038" w:rsidRPr="00FE0A4D" w14:paraId="251B9397" w14:textId="77777777" w:rsidTr="0045404B">
            <w:trPr>
              <w:trHeight w:val="300"/>
            </w:trPr>
            <w:tc>
              <w:tcPr>
                <w:tcW w:w="2864" w:type="pct"/>
                <w:noWrap/>
                <w:hideMark/>
              </w:tcPr>
              <w:p w14:paraId="251B9394" w14:textId="77777777" w:rsidR="00B25038" w:rsidRPr="00FE0A4D" w:rsidRDefault="00B25038" w:rsidP="00C8693C">
                <w:pPr>
                  <w:jc w:val="both"/>
                  <w:rPr>
                    <w:rFonts w:ascii="Arial" w:hAnsi="Arial" w:cs="Arial"/>
                    <w:b/>
                    <w:bCs/>
                    <w:sz w:val="24"/>
                    <w:szCs w:val="24"/>
                  </w:rPr>
                </w:pPr>
                <w:r w:rsidRPr="00FE0A4D">
                  <w:rPr>
                    <w:rFonts w:ascii="Arial" w:hAnsi="Arial" w:cs="Arial"/>
                    <w:b/>
                    <w:bCs/>
                    <w:sz w:val="24"/>
                    <w:szCs w:val="24"/>
                  </w:rPr>
                  <w:t>Ratios</w:t>
                </w:r>
              </w:p>
            </w:tc>
            <w:tc>
              <w:tcPr>
                <w:tcW w:w="1001" w:type="pct"/>
                <w:noWrap/>
                <w:hideMark/>
              </w:tcPr>
              <w:p w14:paraId="251B9395" w14:textId="77777777" w:rsidR="00B25038" w:rsidRPr="00FE0A4D" w:rsidRDefault="00B25038" w:rsidP="00C8693C">
                <w:pPr>
                  <w:jc w:val="both"/>
                  <w:rPr>
                    <w:rFonts w:ascii="Arial" w:hAnsi="Arial" w:cs="Arial"/>
                    <w:b/>
                    <w:bCs/>
                    <w:sz w:val="24"/>
                    <w:szCs w:val="24"/>
                  </w:rPr>
                </w:pPr>
                <w:r w:rsidRPr="00FE0A4D">
                  <w:rPr>
                    <w:rFonts w:ascii="Arial" w:hAnsi="Arial" w:cs="Arial"/>
                    <w:b/>
                    <w:bCs/>
                    <w:sz w:val="24"/>
                    <w:szCs w:val="24"/>
                  </w:rPr>
                  <w:t>2021</w:t>
                </w:r>
              </w:p>
            </w:tc>
            <w:tc>
              <w:tcPr>
                <w:tcW w:w="1135" w:type="pct"/>
                <w:noWrap/>
                <w:hideMark/>
              </w:tcPr>
              <w:p w14:paraId="251B9396" w14:textId="77777777" w:rsidR="00B25038" w:rsidRPr="00FE0A4D" w:rsidRDefault="00B25038" w:rsidP="00C8693C">
                <w:pPr>
                  <w:jc w:val="both"/>
                  <w:rPr>
                    <w:rFonts w:ascii="Arial" w:hAnsi="Arial" w:cs="Arial"/>
                    <w:b/>
                    <w:bCs/>
                    <w:sz w:val="24"/>
                    <w:szCs w:val="24"/>
                  </w:rPr>
                </w:pPr>
                <w:r w:rsidRPr="00FE0A4D">
                  <w:rPr>
                    <w:rFonts w:ascii="Arial" w:hAnsi="Arial" w:cs="Arial"/>
                    <w:b/>
                    <w:bCs/>
                    <w:sz w:val="24"/>
                    <w:szCs w:val="24"/>
                  </w:rPr>
                  <w:t>2020</w:t>
                </w:r>
              </w:p>
            </w:tc>
          </w:tr>
          <w:tr w:rsidR="00B25038" w:rsidRPr="00FE0A4D" w14:paraId="251B939B" w14:textId="77777777" w:rsidTr="0045404B">
            <w:trPr>
              <w:trHeight w:val="300"/>
            </w:trPr>
            <w:tc>
              <w:tcPr>
                <w:tcW w:w="2864" w:type="pct"/>
                <w:noWrap/>
                <w:hideMark/>
              </w:tcPr>
              <w:p w14:paraId="251B9398"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Long- term debt / capital</w:t>
                </w:r>
              </w:p>
            </w:tc>
            <w:tc>
              <w:tcPr>
                <w:tcW w:w="1001" w:type="pct"/>
                <w:noWrap/>
                <w:hideMark/>
              </w:tcPr>
              <w:p w14:paraId="251B9399"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0.8684</w:t>
                </w:r>
              </w:p>
            </w:tc>
            <w:tc>
              <w:tcPr>
                <w:tcW w:w="1135" w:type="pct"/>
                <w:noWrap/>
                <w:hideMark/>
              </w:tcPr>
              <w:p w14:paraId="251B939A"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0.9554</w:t>
                </w:r>
              </w:p>
            </w:tc>
          </w:tr>
          <w:tr w:rsidR="00B25038" w:rsidRPr="00FE0A4D" w14:paraId="251B939F" w14:textId="77777777" w:rsidTr="0045404B">
            <w:trPr>
              <w:trHeight w:val="300"/>
            </w:trPr>
            <w:tc>
              <w:tcPr>
                <w:tcW w:w="2864" w:type="pct"/>
                <w:noWrap/>
                <w:hideMark/>
              </w:tcPr>
              <w:p w14:paraId="251B939C"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Debt / equity ratio</w:t>
                </w:r>
              </w:p>
            </w:tc>
            <w:tc>
              <w:tcPr>
                <w:tcW w:w="1001" w:type="pct"/>
                <w:noWrap/>
                <w:hideMark/>
              </w:tcPr>
              <w:p w14:paraId="251B939D"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7.1697</w:t>
                </w:r>
              </w:p>
            </w:tc>
            <w:tc>
              <w:tcPr>
                <w:tcW w:w="1135" w:type="pct"/>
                <w:noWrap/>
                <w:hideMark/>
              </w:tcPr>
              <w:p w14:paraId="251B939E" w14:textId="77777777" w:rsidR="00B25038" w:rsidRPr="00FE0A4D" w:rsidRDefault="00B25038" w:rsidP="00C8693C">
                <w:pPr>
                  <w:jc w:val="both"/>
                  <w:rPr>
                    <w:rFonts w:ascii="Arial" w:hAnsi="Arial" w:cs="Arial"/>
                    <w:sz w:val="24"/>
                    <w:szCs w:val="24"/>
                  </w:rPr>
                </w:pPr>
                <w:r w:rsidRPr="00FE0A4D">
                  <w:rPr>
                    <w:rFonts w:ascii="Arial" w:hAnsi="Arial" w:cs="Arial"/>
                    <w:sz w:val="24"/>
                    <w:szCs w:val="24"/>
                  </w:rPr>
                  <w:t>24.1302</w:t>
                </w:r>
              </w:p>
            </w:tc>
          </w:tr>
        </w:tbl>
        <w:p w14:paraId="251B93A0" w14:textId="77777777" w:rsidR="00B25038" w:rsidRPr="00FE0A4D" w:rsidRDefault="00B25038" w:rsidP="00C8693C">
          <w:pPr>
            <w:jc w:val="both"/>
            <w:rPr>
              <w:rFonts w:ascii="Arial" w:hAnsi="Arial" w:cs="Arial"/>
              <w:szCs w:val="24"/>
            </w:rPr>
          </w:pPr>
        </w:p>
        <w:p w14:paraId="251B93A1" w14:textId="77777777" w:rsidR="00B25038" w:rsidRPr="00FE0A4D" w:rsidRDefault="00B25038" w:rsidP="00C8693C">
          <w:pPr>
            <w:jc w:val="both"/>
            <w:rPr>
              <w:rFonts w:ascii="Arial" w:hAnsi="Arial" w:cs="Arial"/>
              <w:szCs w:val="24"/>
            </w:rPr>
          </w:pPr>
          <w:r w:rsidRPr="00FE0A4D">
            <w:rPr>
              <w:rFonts w:ascii="Arial" w:hAnsi="Arial" w:cs="Arial"/>
              <w:noProof/>
              <w:szCs w:val="24"/>
              <w:lang w:val="en-US"/>
            </w:rPr>
            <w:drawing>
              <wp:inline distT="0" distB="0" distL="0" distR="0" wp14:anchorId="251B93EC" wp14:editId="251B93ED">
                <wp:extent cx="4572000" cy="2743200"/>
                <wp:effectExtent l="19050" t="0" r="1905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51B93A2" w14:textId="77777777" w:rsidR="00B25038" w:rsidRPr="00FE0A4D" w:rsidRDefault="00B25038" w:rsidP="00C8693C">
          <w:pPr>
            <w:pStyle w:val="Caption"/>
            <w:jc w:val="both"/>
            <w:rPr>
              <w:rFonts w:ascii="Arial" w:hAnsi="Arial" w:cs="Arial"/>
              <w:szCs w:val="24"/>
            </w:rPr>
          </w:pPr>
          <w:r w:rsidRPr="00FE0A4D">
            <w:rPr>
              <w:rFonts w:ascii="Arial" w:hAnsi="Arial" w:cs="Arial"/>
              <w:szCs w:val="24"/>
            </w:rPr>
            <w:t xml:space="preserve">Figure </w:t>
          </w:r>
          <w:r w:rsidR="00CB7BFF" w:rsidRPr="00FE0A4D">
            <w:rPr>
              <w:rFonts w:ascii="Arial" w:hAnsi="Arial" w:cs="Arial"/>
              <w:szCs w:val="24"/>
            </w:rPr>
            <w:fldChar w:fldCharType="begin"/>
          </w:r>
          <w:r w:rsidRPr="00FE0A4D">
            <w:rPr>
              <w:rFonts w:ascii="Arial" w:hAnsi="Arial" w:cs="Arial"/>
              <w:szCs w:val="24"/>
            </w:rPr>
            <w:instrText xml:space="preserve"> SEQ Figure \* ARABIC </w:instrText>
          </w:r>
          <w:r w:rsidR="00CB7BFF" w:rsidRPr="00FE0A4D">
            <w:rPr>
              <w:rFonts w:ascii="Arial" w:hAnsi="Arial" w:cs="Arial"/>
              <w:szCs w:val="24"/>
            </w:rPr>
            <w:fldChar w:fldCharType="separate"/>
          </w:r>
          <w:r w:rsidRPr="00FE0A4D">
            <w:rPr>
              <w:rFonts w:ascii="Arial" w:hAnsi="Arial" w:cs="Arial"/>
              <w:noProof/>
              <w:szCs w:val="24"/>
            </w:rPr>
            <w:t>4</w:t>
          </w:r>
          <w:r w:rsidR="00CB7BFF" w:rsidRPr="00FE0A4D">
            <w:rPr>
              <w:rFonts w:ascii="Arial" w:hAnsi="Arial" w:cs="Arial"/>
              <w:szCs w:val="24"/>
            </w:rPr>
            <w:fldChar w:fldCharType="end"/>
          </w:r>
          <w:r w:rsidRPr="00FE0A4D">
            <w:rPr>
              <w:rFonts w:ascii="Arial" w:hAnsi="Arial" w:cs="Arial"/>
              <w:szCs w:val="24"/>
            </w:rPr>
            <w:t>: Gearing ratios of Marriott International</w:t>
          </w:r>
        </w:p>
        <w:p w14:paraId="251B93A3" w14:textId="77777777" w:rsidR="00B25038" w:rsidRPr="00FE0A4D" w:rsidRDefault="00B25038" w:rsidP="00C8693C">
          <w:pPr>
            <w:jc w:val="both"/>
            <w:rPr>
              <w:rFonts w:ascii="Arial" w:hAnsi="Arial" w:cs="Arial"/>
              <w:szCs w:val="24"/>
            </w:rPr>
          </w:pPr>
          <w:r w:rsidRPr="00FE0A4D">
            <w:rPr>
              <w:rFonts w:ascii="Arial" w:hAnsi="Arial" w:cs="Arial"/>
              <w:szCs w:val="24"/>
            </w:rPr>
            <w:t>The evaluation of the gearing ratios of Marriott International reflects that the both the long-term debt / capital and debt / equity ratio of the organisation have decreased from 2020 to 2021. These decreases indicate a decreasing trend in the gearing ratios of the organisation. However, this decreasing trend is an indicator of the improvement of the financial leverage and solvency of Marriott International. This is because the lower the gearing ratios of an organisation, the better is its solvency. As a result, it can be concluded that the gearing ratios of this hospitality organisation actually reflect increasing trends, thereby indicating improvements in its gearing between 2020 and 2021.</w:t>
          </w:r>
        </w:p>
        <w:p w14:paraId="251B93A4" w14:textId="77777777" w:rsidR="004D519C" w:rsidRPr="00FE0A4D" w:rsidRDefault="00B25038" w:rsidP="00A42906">
          <w:pPr>
            <w:jc w:val="both"/>
            <w:rPr>
              <w:rFonts w:ascii="Arial" w:hAnsi="Arial" w:cs="Arial"/>
              <w:szCs w:val="24"/>
            </w:rPr>
          </w:pPr>
          <w:r w:rsidRPr="00FE0A4D">
            <w:rPr>
              <w:rFonts w:ascii="Arial" w:hAnsi="Arial" w:cs="Arial"/>
              <w:szCs w:val="24"/>
            </w:rPr>
            <w:lastRenderedPageBreak/>
            <w:t>Based on the above discussions, it can be stated that the profitability, as well as the liquidity of Marriott International, have improved considerably from 2020 to 2021. The improvements in these ratios have been substantial improvements can be noticed in the performance of this hospitality organisation. However, extremely poor and deteriorating trends can be seen in the liquid position of Marriott International. Immediate improvements need to be made in its liquid position. To recommend its liquid position, the organisation is recommended to cut back on its costs, manage its payables and receivables efficiently and use long-term financing instead of short-term financing. Controlling overheads, selling off unnecessary assets and automation of credit control are a few other recommendations for improving the liquid position of Marriott International.</w:t>
          </w:r>
        </w:p>
        <w:p w14:paraId="251B93A5" w14:textId="77777777" w:rsidR="00AA2A91" w:rsidRPr="00FE0A4D" w:rsidRDefault="00AA2A91" w:rsidP="00C8693C">
          <w:pPr>
            <w:pStyle w:val="Heading1"/>
            <w:jc w:val="both"/>
            <w:rPr>
              <w:rFonts w:ascii="Arial" w:hAnsi="Arial" w:cs="Arial"/>
              <w:sz w:val="24"/>
              <w:szCs w:val="24"/>
            </w:rPr>
          </w:pPr>
          <w:bookmarkStart w:id="6" w:name="_Toc120286207"/>
          <w:r w:rsidRPr="00FE0A4D">
            <w:rPr>
              <w:rFonts w:ascii="Arial" w:hAnsi="Arial" w:cs="Arial"/>
              <w:sz w:val="24"/>
              <w:szCs w:val="24"/>
            </w:rPr>
            <w:t>Knowledge from Ratio Analysis</w:t>
          </w:r>
          <w:bookmarkEnd w:id="6"/>
        </w:p>
        <w:p w14:paraId="251B93A6" w14:textId="77777777" w:rsidR="00B25038" w:rsidRPr="00FE0A4D" w:rsidRDefault="00B25038" w:rsidP="00C8693C">
          <w:pPr>
            <w:jc w:val="both"/>
            <w:rPr>
              <w:rFonts w:ascii="Arial" w:hAnsi="Arial" w:cs="Arial"/>
              <w:szCs w:val="24"/>
            </w:rPr>
          </w:pPr>
          <w:r w:rsidRPr="00FE0A4D">
            <w:rPr>
              <w:rFonts w:ascii="Arial" w:hAnsi="Arial" w:cs="Arial"/>
              <w:szCs w:val="24"/>
            </w:rPr>
            <w:t>Ratios have several types of advantages (</w:t>
          </w:r>
          <w:proofErr w:type="spellStart"/>
          <w:r w:rsidRPr="00FE0A4D">
            <w:rPr>
              <w:rFonts w:ascii="Arial" w:hAnsi="Arial" w:cs="Arial"/>
              <w:szCs w:val="24"/>
            </w:rPr>
            <w:t>Sunardi</w:t>
          </w:r>
          <w:proofErr w:type="spellEnd"/>
          <w:r w:rsidRPr="00FE0A4D">
            <w:rPr>
              <w:rFonts w:ascii="Arial" w:hAnsi="Arial" w:cs="Arial"/>
              <w:szCs w:val="24"/>
            </w:rPr>
            <w:t xml:space="preserve"> </w:t>
          </w:r>
          <w:r w:rsidRPr="00FE0A4D">
            <w:rPr>
              <w:rFonts w:ascii="Arial" w:hAnsi="Arial" w:cs="Arial"/>
              <w:i/>
              <w:iCs/>
              <w:szCs w:val="24"/>
            </w:rPr>
            <w:t>et al</w:t>
          </w:r>
          <w:r w:rsidRPr="00FE0A4D">
            <w:rPr>
              <w:rFonts w:ascii="Arial" w:hAnsi="Arial" w:cs="Arial"/>
              <w:szCs w:val="24"/>
            </w:rPr>
            <w:t>., 2020). They help organisations in different ways. As discussed above, it can be determined that ratios help largely in hotel management. However, there is a range of limitations present in ratios. The following is a detailed discussion on the limitations of ratio analysis –</w:t>
          </w:r>
        </w:p>
        <w:p w14:paraId="251B93A7" w14:textId="77777777" w:rsidR="00B25038" w:rsidRPr="00FE0A4D" w:rsidRDefault="00B25038" w:rsidP="00C8693C">
          <w:pPr>
            <w:pStyle w:val="ListParagraph"/>
            <w:numPr>
              <w:ilvl w:val="0"/>
              <w:numId w:val="1"/>
            </w:numPr>
            <w:jc w:val="both"/>
            <w:rPr>
              <w:rFonts w:ascii="Arial" w:hAnsi="Arial" w:cs="Arial"/>
              <w:szCs w:val="24"/>
            </w:rPr>
          </w:pPr>
          <w:r w:rsidRPr="00FE0A4D">
            <w:rPr>
              <w:rFonts w:ascii="Arial" w:hAnsi="Arial" w:cs="Arial"/>
              <w:b/>
              <w:bCs/>
              <w:i/>
              <w:iCs/>
              <w:szCs w:val="24"/>
            </w:rPr>
            <w:t>Inflation effects</w:t>
          </w:r>
          <w:r w:rsidRPr="00FE0A4D">
            <w:rPr>
              <w:rFonts w:ascii="Arial" w:hAnsi="Arial" w:cs="Arial"/>
              <w:szCs w:val="24"/>
            </w:rPr>
            <w:t xml:space="preserve"> – All financial statements are released periodically due to which there are time differences amongst all releases (CFI, 2022). If inflation occurs between these periods, financial statements fail to reflect real prices. Due to this, the numbers in different periods are not comparable, which makes ratio analysis incorrect in various instances.</w:t>
          </w:r>
        </w:p>
        <w:p w14:paraId="251B93A8" w14:textId="77777777" w:rsidR="00B25038" w:rsidRPr="00FE0A4D" w:rsidRDefault="00B25038" w:rsidP="00C8693C">
          <w:pPr>
            <w:pStyle w:val="ListParagraph"/>
            <w:numPr>
              <w:ilvl w:val="0"/>
              <w:numId w:val="1"/>
            </w:numPr>
            <w:jc w:val="both"/>
            <w:rPr>
              <w:rFonts w:ascii="Arial" w:hAnsi="Arial" w:cs="Arial"/>
              <w:szCs w:val="24"/>
            </w:rPr>
          </w:pPr>
          <w:r w:rsidRPr="00FE0A4D">
            <w:rPr>
              <w:rFonts w:ascii="Arial" w:hAnsi="Arial" w:cs="Arial"/>
              <w:b/>
              <w:bCs/>
              <w:i/>
              <w:iCs/>
              <w:szCs w:val="24"/>
            </w:rPr>
            <w:t>Non-financial performance</w:t>
          </w:r>
          <w:r w:rsidRPr="00FE0A4D">
            <w:rPr>
              <w:rFonts w:ascii="Arial" w:hAnsi="Arial" w:cs="Arial"/>
              <w:szCs w:val="24"/>
            </w:rPr>
            <w:t xml:space="preserve"> – The ratios calculated and analysed for companies have the ability of reflecting only their financial performance. They are unable to examine the non-financial performance of companies. However, the non-financial performance has several effects on the success of companies, which ratios fail to evaluate.</w:t>
          </w:r>
        </w:p>
        <w:p w14:paraId="251B93A9" w14:textId="77777777" w:rsidR="00B25038" w:rsidRPr="00FE0A4D" w:rsidRDefault="00B25038" w:rsidP="00C8693C">
          <w:pPr>
            <w:pStyle w:val="ListParagraph"/>
            <w:numPr>
              <w:ilvl w:val="0"/>
              <w:numId w:val="1"/>
            </w:numPr>
            <w:jc w:val="both"/>
            <w:rPr>
              <w:rFonts w:ascii="Arial" w:hAnsi="Arial" w:cs="Arial"/>
              <w:szCs w:val="24"/>
            </w:rPr>
          </w:pPr>
          <w:r w:rsidRPr="00FE0A4D">
            <w:rPr>
              <w:rFonts w:ascii="Arial" w:hAnsi="Arial" w:cs="Arial"/>
              <w:b/>
              <w:bCs/>
              <w:i/>
              <w:iCs/>
              <w:szCs w:val="24"/>
            </w:rPr>
            <w:t>Manipulation of financial statements</w:t>
          </w:r>
          <w:r w:rsidRPr="00FE0A4D">
            <w:rPr>
              <w:rFonts w:ascii="Arial" w:hAnsi="Arial" w:cs="Arial"/>
              <w:szCs w:val="24"/>
            </w:rPr>
            <w:t xml:space="preserve"> – All ratios are calculated and interpreted based on the financial statements of a company (</w:t>
          </w:r>
          <w:proofErr w:type="spellStart"/>
          <w:r w:rsidRPr="00FE0A4D">
            <w:rPr>
              <w:rFonts w:ascii="Arial" w:hAnsi="Arial" w:cs="Arial"/>
              <w:szCs w:val="24"/>
            </w:rPr>
            <w:t>Svabova</w:t>
          </w:r>
          <w:proofErr w:type="spellEnd"/>
          <w:r w:rsidRPr="00FE0A4D">
            <w:rPr>
              <w:rFonts w:ascii="Arial" w:hAnsi="Arial" w:cs="Arial"/>
              <w:szCs w:val="24"/>
            </w:rPr>
            <w:t xml:space="preserve"> </w:t>
          </w:r>
          <w:r w:rsidRPr="00FE0A4D">
            <w:rPr>
              <w:rFonts w:ascii="Arial" w:hAnsi="Arial" w:cs="Arial"/>
              <w:i/>
              <w:iCs/>
              <w:szCs w:val="24"/>
            </w:rPr>
            <w:t>et al</w:t>
          </w:r>
          <w:r w:rsidRPr="00FE0A4D">
            <w:rPr>
              <w:rFonts w:ascii="Arial" w:hAnsi="Arial" w:cs="Arial"/>
              <w:szCs w:val="24"/>
            </w:rPr>
            <w:t>., 2020). However, financial statements are usually subject to manipulation, as the managers of a company often change financial statement figures for their own benefits, thereby making ratio analysis inefficient.</w:t>
          </w:r>
        </w:p>
        <w:p w14:paraId="251B93AA" w14:textId="77777777" w:rsidR="00B25038" w:rsidRPr="00FE0A4D" w:rsidRDefault="00B25038" w:rsidP="00C8693C">
          <w:pPr>
            <w:pStyle w:val="ListParagraph"/>
            <w:numPr>
              <w:ilvl w:val="0"/>
              <w:numId w:val="1"/>
            </w:numPr>
            <w:jc w:val="both"/>
            <w:rPr>
              <w:rFonts w:ascii="Arial" w:hAnsi="Arial" w:cs="Arial"/>
              <w:szCs w:val="24"/>
            </w:rPr>
          </w:pPr>
          <w:r w:rsidRPr="00FE0A4D">
            <w:rPr>
              <w:rFonts w:ascii="Arial" w:hAnsi="Arial" w:cs="Arial"/>
              <w:b/>
              <w:bCs/>
              <w:i/>
              <w:iCs/>
              <w:szCs w:val="24"/>
            </w:rPr>
            <w:lastRenderedPageBreak/>
            <w:t>Historical information</w:t>
          </w:r>
          <w:r w:rsidRPr="00FE0A4D">
            <w:rPr>
              <w:rFonts w:ascii="Arial" w:hAnsi="Arial" w:cs="Arial"/>
              <w:szCs w:val="24"/>
            </w:rPr>
            <w:t xml:space="preserve"> – The information provided by ratio analysis depends on the actual past results that a company releases. As a result, ratios do not necessarily reflect the future performance of a company.</w:t>
          </w:r>
        </w:p>
        <w:p w14:paraId="251B93AB" w14:textId="77777777" w:rsidR="00B25038" w:rsidRPr="00FE0A4D" w:rsidRDefault="00B25038" w:rsidP="00C8693C">
          <w:pPr>
            <w:jc w:val="both"/>
            <w:rPr>
              <w:rFonts w:ascii="Arial" w:hAnsi="Arial" w:cs="Arial"/>
              <w:szCs w:val="24"/>
            </w:rPr>
          </w:pPr>
          <w:r w:rsidRPr="00FE0A4D">
            <w:rPr>
              <w:rFonts w:ascii="Arial" w:hAnsi="Arial" w:cs="Arial"/>
              <w:szCs w:val="24"/>
            </w:rPr>
            <w:t xml:space="preserve">The managers of Marriott International must consider all these limitations related to ratio analysis when using ratio analysis for financial management purposes. In case if these limitations are not considered, they can make several incorrect analysis and decisions, thereby affecting the organisation’s financial management. The understanding of ratios as well as their fluctuations is important for all organisations (Robinson, 2022). An importance of this understanding is important for hotel management as well. This is because an understanding of ratios and the fluctuations of ratios is important for the analysis of the information that is present in the financial statements of hotels. For example, an understanding of ratios and the fluctuations of ratios of Marriott International helps its managers in analysing all the figures recorded in its income statements, balance sheets and cash flow statements. </w:t>
          </w:r>
        </w:p>
        <w:p w14:paraId="251B93AC" w14:textId="77777777" w:rsidR="00B25038" w:rsidRPr="00FE0A4D" w:rsidRDefault="00B25038" w:rsidP="00C8693C">
          <w:pPr>
            <w:jc w:val="both"/>
            <w:rPr>
              <w:rFonts w:ascii="Arial" w:hAnsi="Arial" w:cs="Arial"/>
              <w:szCs w:val="24"/>
            </w:rPr>
          </w:pPr>
          <w:r w:rsidRPr="00FE0A4D">
            <w:rPr>
              <w:rFonts w:ascii="Arial" w:hAnsi="Arial" w:cs="Arial"/>
              <w:szCs w:val="24"/>
            </w:rPr>
            <w:t>Accordingly, the managers of the hospitality organisation can evaluate its profitability, liquidity, gearing and other aspects of financial performance and position. The improvements or deteriorations in the organisation’s financial performance and position can be identified while necessary steps and measures can be adopted for improvements. Similarly, the fluctuations in ratios help the managers of hospitality organisations to examine the efficiency of their decisions and strategies previously made and adopted. Deteriorating trends show poor decisions while improving trends show efficient decisions. If poor decisions are identified, further decisions are made to improve the hospitality organisation’s performance. In this manner, an understanding of ratios and the fluctuations of ratios help in ensuring good hotel management.</w:t>
          </w:r>
        </w:p>
        <w:p w14:paraId="251B93AD" w14:textId="77777777" w:rsidR="00AA2A91" w:rsidRPr="00FE0A4D" w:rsidRDefault="00284F1F" w:rsidP="00C8693C">
          <w:pPr>
            <w:jc w:val="both"/>
            <w:rPr>
              <w:rFonts w:ascii="Arial" w:hAnsi="Arial" w:cs="Arial"/>
              <w:szCs w:val="24"/>
            </w:rPr>
          </w:pPr>
          <w:r w:rsidRPr="00FE0A4D">
            <w:rPr>
              <w:rFonts w:ascii="Arial" w:hAnsi="Arial" w:cs="Arial"/>
              <w:szCs w:val="24"/>
            </w:rPr>
            <w:t xml:space="preserve"> </w:t>
          </w:r>
        </w:p>
        <w:p w14:paraId="251B93AE" w14:textId="77777777" w:rsidR="00AA2A91" w:rsidRPr="00FE0A4D" w:rsidRDefault="00AA2A91" w:rsidP="00C8693C">
          <w:pPr>
            <w:pStyle w:val="Heading1"/>
            <w:jc w:val="both"/>
            <w:rPr>
              <w:rFonts w:ascii="Arial" w:hAnsi="Arial" w:cs="Arial"/>
              <w:sz w:val="24"/>
              <w:szCs w:val="24"/>
            </w:rPr>
          </w:pPr>
          <w:bookmarkStart w:id="7" w:name="_Toc120286208"/>
          <w:r w:rsidRPr="00FE0A4D">
            <w:rPr>
              <w:rFonts w:ascii="Arial" w:hAnsi="Arial" w:cs="Arial"/>
              <w:sz w:val="24"/>
              <w:szCs w:val="24"/>
            </w:rPr>
            <w:t>Benefits and Limitations of Ratio Analysis</w:t>
          </w:r>
          <w:bookmarkEnd w:id="7"/>
        </w:p>
        <w:p w14:paraId="251B93AF" w14:textId="77777777" w:rsidR="00B25038" w:rsidRPr="00FE0A4D" w:rsidRDefault="00B25038" w:rsidP="00C8693C">
          <w:pPr>
            <w:jc w:val="both"/>
            <w:rPr>
              <w:rFonts w:ascii="Arial" w:hAnsi="Arial" w:cs="Arial"/>
              <w:szCs w:val="24"/>
            </w:rPr>
          </w:pPr>
          <w:r w:rsidRPr="00FE0A4D">
            <w:rPr>
              <w:rFonts w:ascii="Arial" w:hAnsi="Arial" w:cs="Arial"/>
              <w:szCs w:val="24"/>
            </w:rPr>
            <w:t xml:space="preserve">According to CFI (2022), ratios are the metrics, which measure the relationship that is existent between two or more than two components present in the financial statements of a company. They are calculated solely based on the financial statements of a company for gaining meaningful information. Based on ratios, the managers of a company and a range of its stakeholders can be examining its </w:t>
          </w:r>
          <w:r w:rsidRPr="00FE0A4D">
            <w:rPr>
              <w:rFonts w:ascii="Arial" w:hAnsi="Arial" w:cs="Arial"/>
              <w:szCs w:val="24"/>
            </w:rPr>
            <w:lastRenderedPageBreak/>
            <w:t>leverage, growth, liquidity, profitability, valuation, margins and rates of returns. Ratios can be divided into various types, which include profitability ratios, efficiency ratios, leverage ratios, liquidity ratios and market values. Out of these ratios, profitability, liquidity and gearing are the three most important indicators of the financial performance and position of a company. The calculation and analysis of ratios are beneficial for the evaluation of the strengths as well as weaknesses of a company’s performance. They also help in predicting the future performance of a company.</w:t>
          </w:r>
        </w:p>
        <w:p w14:paraId="251B93B0" w14:textId="77777777" w:rsidR="00B25038" w:rsidRPr="00FE0A4D" w:rsidRDefault="00B25038" w:rsidP="00C8693C">
          <w:pPr>
            <w:jc w:val="both"/>
            <w:rPr>
              <w:rFonts w:ascii="Arial" w:hAnsi="Arial" w:cs="Arial"/>
              <w:szCs w:val="24"/>
            </w:rPr>
          </w:pPr>
          <w:r w:rsidRPr="00FE0A4D">
            <w:rPr>
              <w:rFonts w:ascii="Arial" w:hAnsi="Arial" w:cs="Arial"/>
              <w:szCs w:val="24"/>
            </w:rPr>
            <w:t>The discussions made in the previous section helped in determining the limitations of ratio analysis. However, there are several benefits and importance of ratio analysis as well (</w:t>
          </w:r>
          <w:proofErr w:type="spellStart"/>
          <w:r w:rsidRPr="00FE0A4D">
            <w:rPr>
              <w:rFonts w:ascii="Arial" w:hAnsi="Arial" w:cs="Arial"/>
              <w:szCs w:val="24"/>
            </w:rPr>
            <w:t>Laitinen</w:t>
          </w:r>
          <w:proofErr w:type="spellEnd"/>
          <w:r w:rsidRPr="00FE0A4D">
            <w:rPr>
              <w:rFonts w:ascii="Arial" w:hAnsi="Arial" w:cs="Arial"/>
              <w:szCs w:val="24"/>
            </w:rPr>
            <w:t xml:space="preserve">, 2018). For example, ratios are beneficial for the validation and disapproval of the investment, financing and operational decisions of a company. They help in summarising the financial statements of a company into comparative figures. This in turn assists the management of a company in evaluating and comparing its financial performance and position. Based on this evaluation, the managers of a company validate and disapprove various types of investment, financing and operational decisions. </w:t>
          </w:r>
        </w:p>
        <w:p w14:paraId="251B93B1" w14:textId="77777777" w:rsidR="004D519C" w:rsidRPr="00FE0A4D" w:rsidRDefault="00B25038" w:rsidP="00C8693C">
          <w:pPr>
            <w:jc w:val="both"/>
            <w:rPr>
              <w:rFonts w:ascii="Arial" w:hAnsi="Arial" w:cs="Arial"/>
              <w:szCs w:val="24"/>
            </w:rPr>
          </w:pPr>
          <w:r w:rsidRPr="00FE0A4D">
            <w:rPr>
              <w:rFonts w:ascii="Arial" w:hAnsi="Arial" w:cs="Arial"/>
              <w:szCs w:val="24"/>
            </w:rPr>
            <w:t>Moreover, ratios help the managers of a company in the identification of its problem areas (</w:t>
          </w:r>
          <w:proofErr w:type="spellStart"/>
          <w:r w:rsidRPr="00FE0A4D">
            <w:rPr>
              <w:rFonts w:ascii="Arial" w:hAnsi="Arial" w:cs="Arial"/>
              <w:szCs w:val="24"/>
            </w:rPr>
            <w:t>Kliestik</w:t>
          </w:r>
          <w:proofErr w:type="spellEnd"/>
          <w:r w:rsidRPr="00FE0A4D">
            <w:rPr>
              <w:rFonts w:ascii="Arial" w:hAnsi="Arial" w:cs="Arial"/>
              <w:szCs w:val="24"/>
            </w:rPr>
            <w:t xml:space="preserve"> </w:t>
          </w:r>
          <w:r w:rsidRPr="00FE0A4D">
            <w:rPr>
              <w:rFonts w:ascii="Arial" w:hAnsi="Arial" w:cs="Arial"/>
              <w:i/>
              <w:iCs/>
              <w:szCs w:val="24"/>
            </w:rPr>
            <w:t>et al</w:t>
          </w:r>
          <w:r w:rsidRPr="00FE0A4D">
            <w:rPr>
              <w:rFonts w:ascii="Arial" w:hAnsi="Arial" w:cs="Arial"/>
              <w:szCs w:val="24"/>
            </w:rPr>
            <w:t>., 2020). The pinpoint of such problem areas help the managers in making decisions through which these problems can be resolved and improvement can be ensured in a company’s performance. Ratios also allow the managers of a company to compare the performance of a company with other companies in the industry and industry standards or benchmarks. Based on these comparisons, the managers of a company make decisions about changing its business strategy or adopting new initiatives so that a competitive edge can be achieved. This in turn can lead to the overall improvement of the financial performance of a company. Hence, ratios have great importance in decision-making.</w:t>
          </w:r>
        </w:p>
        <w:p w14:paraId="251B93B2" w14:textId="77777777" w:rsidR="00AA2A91" w:rsidRPr="00FE0A4D" w:rsidRDefault="00AA2A91" w:rsidP="00C8693C">
          <w:pPr>
            <w:jc w:val="both"/>
            <w:rPr>
              <w:rFonts w:ascii="Arial" w:hAnsi="Arial" w:cs="Arial"/>
              <w:szCs w:val="24"/>
            </w:rPr>
          </w:pPr>
        </w:p>
        <w:p w14:paraId="251B93B3" w14:textId="77777777" w:rsidR="00AA2A91" w:rsidRPr="00FE0A4D" w:rsidRDefault="00AA2A91" w:rsidP="00C8693C">
          <w:pPr>
            <w:jc w:val="both"/>
            <w:rPr>
              <w:rFonts w:ascii="Arial" w:hAnsi="Arial" w:cs="Arial"/>
              <w:szCs w:val="24"/>
            </w:rPr>
          </w:pPr>
        </w:p>
        <w:p w14:paraId="251B93B4" w14:textId="77777777" w:rsidR="00AA2A91" w:rsidRPr="00FE0A4D" w:rsidRDefault="00AA2A91" w:rsidP="00C8693C">
          <w:pPr>
            <w:jc w:val="both"/>
            <w:rPr>
              <w:rFonts w:ascii="Arial" w:hAnsi="Arial" w:cs="Arial"/>
              <w:szCs w:val="24"/>
            </w:rPr>
          </w:pPr>
        </w:p>
        <w:p w14:paraId="251B93BF" w14:textId="77777777" w:rsidR="00AA2A91" w:rsidRPr="00FE0A4D" w:rsidRDefault="00AA2A91" w:rsidP="00C8693C">
          <w:pPr>
            <w:jc w:val="both"/>
            <w:rPr>
              <w:rFonts w:ascii="Arial" w:hAnsi="Arial" w:cs="Arial"/>
              <w:szCs w:val="24"/>
            </w:rPr>
          </w:pPr>
        </w:p>
        <w:p w14:paraId="251B93C0" w14:textId="77777777" w:rsidR="00AA2A91" w:rsidRPr="00C8693C" w:rsidRDefault="00AA2A91" w:rsidP="00C8693C">
          <w:pPr>
            <w:pStyle w:val="Heading1"/>
            <w:jc w:val="both"/>
            <w:rPr>
              <w:rFonts w:ascii="Arial" w:hAnsi="Arial" w:cs="Arial"/>
              <w:sz w:val="28"/>
              <w:szCs w:val="28"/>
            </w:rPr>
          </w:pPr>
          <w:bookmarkStart w:id="8" w:name="_Toc120286209"/>
          <w:r w:rsidRPr="00C8693C">
            <w:rPr>
              <w:rFonts w:ascii="Arial" w:hAnsi="Arial" w:cs="Arial"/>
              <w:sz w:val="28"/>
              <w:szCs w:val="28"/>
            </w:rPr>
            <w:lastRenderedPageBreak/>
            <w:t>Conclusion</w:t>
          </w:r>
          <w:bookmarkEnd w:id="8"/>
        </w:p>
        <w:p w14:paraId="251B93C1" w14:textId="77777777" w:rsidR="00AA2A91" w:rsidRPr="00FE0A4D" w:rsidRDefault="00B25038" w:rsidP="00C8693C">
          <w:pPr>
            <w:jc w:val="both"/>
            <w:rPr>
              <w:rFonts w:ascii="Arial" w:hAnsi="Arial" w:cs="Arial"/>
              <w:szCs w:val="24"/>
            </w:rPr>
          </w:pPr>
          <w:r w:rsidRPr="00FE0A4D">
            <w:rPr>
              <w:rFonts w:ascii="Arial" w:hAnsi="Arial" w:cs="Arial"/>
              <w:szCs w:val="24"/>
            </w:rPr>
            <w:t>Therefore, from the findings of the assignment, it can be concluded that similar to all other industries, financial management is important in the hotel industry. The findings also reflect that the analysis of the financial statements of a hotel organisation is one of the best ways in which organisations in the hotel industry can ensure their financial management. Moreover, the interpretation of the ratios of Marriott International for the years 2020 and 2021 reflected that the organisation had a poor performance in 2020. Considerable improvements can be noticed in the profitability and gearing ratios of the organisation 2021. However, the liquidity of the organisation is still quite poor with further deteriorations in 2021, which needs to be improved. The ratio analysis also helped in understanding how ratios help in hotel management through making decisions on improving future performance and others. On the contrary, the limitations of ratio analysis, for example, the failure of considering inflation, inability of considering non-financial performance and others could be determined. The importance that ratios hold in decision-making could be analysed as well.</w:t>
          </w:r>
        </w:p>
        <w:p w14:paraId="251B93C2" w14:textId="77777777" w:rsidR="00AA2A91" w:rsidRPr="00FE0A4D" w:rsidRDefault="00AA2A91" w:rsidP="00C8693C">
          <w:pPr>
            <w:jc w:val="both"/>
            <w:rPr>
              <w:rFonts w:ascii="Arial" w:hAnsi="Arial" w:cs="Arial"/>
              <w:szCs w:val="24"/>
            </w:rPr>
          </w:pPr>
        </w:p>
        <w:p w14:paraId="251B93C3" w14:textId="77777777" w:rsidR="00AA2A91" w:rsidRPr="00FE0A4D" w:rsidRDefault="00AA2A91" w:rsidP="00C8693C">
          <w:pPr>
            <w:jc w:val="both"/>
            <w:rPr>
              <w:rFonts w:ascii="Arial" w:hAnsi="Arial" w:cs="Arial"/>
              <w:szCs w:val="24"/>
            </w:rPr>
          </w:pPr>
        </w:p>
        <w:p w14:paraId="251B93C4" w14:textId="77777777" w:rsidR="00AA2A91" w:rsidRPr="00FE0A4D" w:rsidRDefault="00AA2A91" w:rsidP="00C8693C">
          <w:pPr>
            <w:jc w:val="both"/>
            <w:rPr>
              <w:rFonts w:ascii="Arial" w:hAnsi="Arial" w:cs="Arial"/>
              <w:szCs w:val="24"/>
            </w:rPr>
          </w:pPr>
        </w:p>
        <w:p w14:paraId="251B93C5" w14:textId="77777777" w:rsidR="00AA2A91" w:rsidRPr="00FE0A4D" w:rsidRDefault="00AA2A91" w:rsidP="00C8693C">
          <w:pPr>
            <w:jc w:val="both"/>
            <w:rPr>
              <w:rFonts w:ascii="Arial" w:hAnsi="Arial" w:cs="Arial"/>
              <w:szCs w:val="24"/>
            </w:rPr>
          </w:pPr>
        </w:p>
        <w:p w14:paraId="251B93C6" w14:textId="77777777" w:rsidR="00AA2A91" w:rsidRPr="00FE0A4D" w:rsidRDefault="00AA2A91" w:rsidP="00C8693C">
          <w:pPr>
            <w:jc w:val="both"/>
            <w:rPr>
              <w:rFonts w:ascii="Arial" w:hAnsi="Arial" w:cs="Arial"/>
              <w:szCs w:val="24"/>
            </w:rPr>
          </w:pPr>
        </w:p>
        <w:p w14:paraId="251B93C7" w14:textId="77777777" w:rsidR="00AA2A91" w:rsidRPr="00FE0A4D" w:rsidRDefault="00AA2A91" w:rsidP="00C8693C">
          <w:pPr>
            <w:jc w:val="both"/>
            <w:rPr>
              <w:rFonts w:ascii="Arial" w:hAnsi="Arial" w:cs="Arial"/>
              <w:szCs w:val="24"/>
            </w:rPr>
          </w:pPr>
        </w:p>
        <w:p w14:paraId="251B93C8" w14:textId="77777777" w:rsidR="00AA2A91" w:rsidRPr="00FE0A4D" w:rsidRDefault="00AA2A91" w:rsidP="00C8693C">
          <w:pPr>
            <w:jc w:val="both"/>
            <w:rPr>
              <w:rFonts w:ascii="Arial" w:hAnsi="Arial" w:cs="Arial"/>
              <w:szCs w:val="24"/>
            </w:rPr>
          </w:pPr>
        </w:p>
        <w:p w14:paraId="251B93C9" w14:textId="77777777" w:rsidR="00AA2A91" w:rsidRPr="00FE0A4D" w:rsidRDefault="00AA2A91" w:rsidP="00C8693C">
          <w:pPr>
            <w:jc w:val="both"/>
            <w:rPr>
              <w:rFonts w:ascii="Arial" w:hAnsi="Arial" w:cs="Arial"/>
              <w:szCs w:val="24"/>
            </w:rPr>
          </w:pPr>
        </w:p>
        <w:p w14:paraId="251B93CA" w14:textId="77777777" w:rsidR="00AA2A91" w:rsidRPr="00FE0A4D" w:rsidRDefault="00AA2A91" w:rsidP="00C8693C">
          <w:pPr>
            <w:jc w:val="both"/>
            <w:rPr>
              <w:rFonts w:ascii="Arial" w:hAnsi="Arial" w:cs="Arial"/>
              <w:szCs w:val="24"/>
            </w:rPr>
          </w:pPr>
        </w:p>
        <w:p w14:paraId="251B93CB" w14:textId="77777777" w:rsidR="00AA2A91" w:rsidRPr="00FE0A4D" w:rsidRDefault="00AA2A91" w:rsidP="00C8693C">
          <w:pPr>
            <w:jc w:val="both"/>
            <w:rPr>
              <w:rFonts w:ascii="Arial" w:hAnsi="Arial" w:cs="Arial"/>
              <w:szCs w:val="24"/>
            </w:rPr>
          </w:pPr>
        </w:p>
        <w:p w14:paraId="251B93CF" w14:textId="77777777" w:rsidR="00AA2A91" w:rsidRPr="00FE0A4D" w:rsidRDefault="00AA2A91" w:rsidP="00C8693C">
          <w:pPr>
            <w:jc w:val="both"/>
            <w:rPr>
              <w:rFonts w:ascii="Arial" w:hAnsi="Arial" w:cs="Arial"/>
              <w:szCs w:val="24"/>
            </w:rPr>
          </w:pPr>
        </w:p>
        <w:p w14:paraId="251B93D0" w14:textId="77777777" w:rsidR="00AA2A91" w:rsidRPr="00A42906" w:rsidRDefault="00AA2A91" w:rsidP="00C8693C">
          <w:pPr>
            <w:pStyle w:val="Heading1"/>
            <w:jc w:val="both"/>
            <w:rPr>
              <w:rFonts w:ascii="Arial" w:hAnsi="Arial" w:cs="Arial"/>
              <w:sz w:val="28"/>
              <w:szCs w:val="28"/>
            </w:rPr>
          </w:pPr>
          <w:bookmarkStart w:id="9" w:name="_Toc120286210"/>
          <w:r w:rsidRPr="00A42906">
            <w:rPr>
              <w:rFonts w:ascii="Arial" w:hAnsi="Arial" w:cs="Arial"/>
              <w:sz w:val="28"/>
              <w:szCs w:val="28"/>
            </w:rPr>
            <w:lastRenderedPageBreak/>
            <w:t>Bibliography</w:t>
          </w:r>
          <w:bookmarkEnd w:id="9"/>
        </w:p>
        <w:p w14:paraId="251B93D1" w14:textId="77777777" w:rsidR="00B25038" w:rsidRPr="00FE0A4D" w:rsidRDefault="00B25038" w:rsidP="00C8693C">
          <w:pPr>
            <w:jc w:val="both"/>
            <w:rPr>
              <w:rFonts w:ascii="Arial" w:hAnsi="Arial" w:cs="Arial"/>
              <w:szCs w:val="24"/>
            </w:rPr>
          </w:pPr>
          <w:r w:rsidRPr="00FE0A4D">
            <w:rPr>
              <w:rFonts w:ascii="Arial" w:hAnsi="Arial" w:cs="Arial"/>
              <w:szCs w:val="24"/>
            </w:rPr>
            <w:t>Al-</w:t>
          </w:r>
          <w:proofErr w:type="spellStart"/>
          <w:r w:rsidRPr="00FE0A4D">
            <w:rPr>
              <w:rFonts w:ascii="Arial" w:hAnsi="Arial" w:cs="Arial"/>
              <w:szCs w:val="24"/>
            </w:rPr>
            <w:t>Wattar</w:t>
          </w:r>
          <w:proofErr w:type="spellEnd"/>
          <w:r w:rsidRPr="00FE0A4D">
            <w:rPr>
              <w:rFonts w:ascii="Arial" w:hAnsi="Arial" w:cs="Arial"/>
              <w:szCs w:val="24"/>
            </w:rPr>
            <w:t xml:space="preserve">, Y.M.A., </w:t>
          </w:r>
          <w:proofErr w:type="spellStart"/>
          <w:r w:rsidRPr="00FE0A4D">
            <w:rPr>
              <w:rFonts w:ascii="Arial" w:hAnsi="Arial" w:cs="Arial"/>
              <w:szCs w:val="24"/>
            </w:rPr>
            <w:t>Almagtome</w:t>
          </w:r>
          <w:proofErr w:type="spellEnd"/>
          <w:r w:rsidRPr="00FE0A4D">
            <w:rPr>
              <w:rFonts w:ascii="Arial" w:hAnsi="Arial" w:cs="Arial"/>
              <w:szCs w:val="24"/>
            </w:rPr>
            <w:t>, A.H. and Al-</w:t>
          </w:r>
          <w:proofErr w:type="spellStart"/>
          <w:r w:rsidRPr="00FE0A4D">
            <w:rPr>
              <w:rFonts w:ascii="Arial" w:hAnsi="Arial" w:cs="Arial"/>
              <w:szCs w:val="24"/>
            </w:rPr>
            <w:t>Shafeay</w:t>
          </w:r>
          <w:proofErr w:type="spellEnd"/>
          <w:r w:rsidRPr="00FE0A4D">
            <w:rPr>
              <w:rFonts w:ascii="Arial" w:hAnsi="Arial" w:cs="Arial"/>
              <w:szCs w:val="24"/>
            </w:rPr>
            <w:t>, K.M. (2019) The role of integrating hotel sustainability reporting practices into an Accounting Information System to enhance Hotel Financial Performance: Evidence from Iraq. </w:t>
          </w:r>
          <w:r w:rsidRPr="00FE0A4D">
            <w:rPr>
              <w:rFonts w:ascii="Arial" w:hAnsi="Arial" w:cs="Arial"/>
              <w:i/>
              <w:iCs/>
              <w:szCs w:val="24"/>
            </w:rPr>
            <w:t>African Journal of Hospitality, Tourism and Leisure</w:t>
          </w:r>
          <w:r w:rsidRPr="00FE0A4D">
            <w:rPr>
              <w:rFonts w:ascii="Arial" w:hAnsi="Arial" w:cs="Arial"/>
              <w:szCs w:val="24"/>
            </w:rPr>
            <w:t>, </w:t>
          </w:r>
          <w:r w:rsidRPr="00FE0A4D">
            <w:rPr>
              <w:rFonts w:ascii="Arial" w:hAnsi="Arial" w:cs="Arial"/>
              <w:i/>
              <w:iCs/>
              <w:szCs w:val="24"/>
            </w:rPr>
            <w:t>8</w:t>
          </w:r>
          <w:r w:rsidRPr="00FE0A4D">
            <w:rPr>
              <w:rFonts w:ascii="Arial" w:hAnsi="Arial" w:cs="Arial"/>
              <w:szCs w:val="24"/>
            </w:rPr>
            <w:t>(5), pp.1-16.</w:t>
          </w:r>
        </w:p>
        <w:p w14:paraId="251B93D2" w14:textId="77777777" w:rsidR="00B25038" w:rsidRPr="00FE0A4D" w:rsidRDefault="00B25038" w:rsidP="00C8693C">
          <w:pPr>
            <w:jc w:val="both"/>
            <w:rPr>
              <w:rFonts w:ascii="Arial" w:hAnsi="Arial" w:cs="Arial"/>
              <w:szCs w:val="24"/>
            </w:rPr>
          </w:pPr>
          <w:r w:rsidRPr="00FE0A4D">
            <w:rPr>
              <w:rFonts w:ascii="Arial" w:hAnsi="Arial" w:cs="Arial"/>
              <w:szCs w:val="24"/>
            </w:rPr>
            <w:t xml:space="preserve">CFI (2022) </w:t>
          </w:r>
          <w:r w:rsidRPr="00FE0A4D">
            <w:rPr>
              <w:rFonts w:ascii="Arial" w:hAnsi="Arial" w:cs="Arial"/>
              <w:i/>
              <w:iCs/>
              <w:szCs w:val="24"/>
            </w:rPr>
            <w:t>Financial ratios</w:t>
          </w:r>
          <w:r w:rsidRPr="00FE0A4D">
            <w:rPr>
              <w:rFonts w:ascii="Arial" w:hAnsi="Arial" w:cs="Arial"/>
              <w:szCs w:val="24"/>
            </w:rPr>
            <w:t xml:space="preserve">, </w:t>
          </w:r>
          <w:r w:rsidRPr="00FE0A4D">
            <w:rPr>
              <w:rFonts w:ascii="Arial" w:hAnsi="Arial" w:cs="Arial"/>
              <w:i/>
              <w:iCs/>
              <w:szCs w:val="24"/>
            </w:rPr>
            <w:t>Corporate Finance Institute</w:t>
          </w:r>
          <w:r w:rsidRPr="00FE0A4D">
            <w:rPr>
              <w:rFonts w:ascii="Arial" w:hAnsi="Arial" w:cs="Arial"/>
              <w:szCs w:val="24"/>
            </w:rPr>
            <w:t xml:space="preserve">. Available at: https://corporatefinanceinstitute.com/resources/accounting/financial-ratios/ (Accessed: November 25, 2022). </w:t>
          </w:r>
        </w:p>
        <w:p w14:paraId="251B93D3" w14:textId="77777777" w:rsidR="00B25038" w:rsidRPr="00FE0A4D" w:rsidRDefault="00B25038" w:rsidP="00C8693C">
          <w:pPr>
            <w:jc w:val="both"/>
            <w:rPr>
              <w:rFonts w:ascii="Arial" w:hAnsi="Arial" w:cs="Arial"/>
              <w:szCs w:val="24"/>
            </w:rPr>
          </w:pPr>
          <w:r w:rsidRPr="00FE0A4D">
            <w:rPr>
              <w:rFonts w:ascii="Arial" w:hAnsi="Arial" w:cs="Arial"/>
              <w:szCs w:val="24"/>
            </w:rPr>
            <w:t xml:space="preserve">CFI (2022) </w:t>
          </w:r>
          <w:r w:rsidRPr="00FE0A4D">
            <w:rPr>
              <w:rFonts w:ascii="Arial" w:hAnsi="Arial" w:cs="Arial"/>
              <w:i/>
              <w:iCs/>
              <w:szCs w:val="24"/>
            </w:rPr>
            <w:t>Limitations of ratio analysis</w:t>
          </w:r>
          <w:r w:rsidRPr="00FE0A4D">
            <w:rPr>
              <w:rFonts w:ascii="Arial" w:hAnsi="Arial" w:cs="Arial"/>
              <w:szCs w:val="24"/>
            </w:rPr>
            <w:t xml:space="preserve">, </w:t>
          </w:r>
          <w:r w:rsidRPr="00FE0A4D">
            <w:rPr>
              <w:rFonts w:ascii="Arial" w:hAnsi="Arial" w:cs="Arial"/>
              <w:i/>
              <w:iCs/>
              <w:szCs w:val="24"/>
            </w:rPr>
            <w:t>Corporate Finance Institute</w:t>
          </w:r>
          <w:r w:rsidRPr="00FE0A4D">
            <w:rPr>
              <w:rFonts w:ascii="Arial" w:hAnsi="Arial" w:cs="Arial"/>
              <w:szCs w:val="24"/>
            </w:rPr>
            <w:t xml:space="preserve">. Available at: https://corporatefinanceinstitute.com/resources/accounting/limitations-ratio-analysis/ (Accessed: November 25, 2022). </w:t>
          </w:r>
        </w:p>
        <w:p w14:paraId="251B93D4" w14:textId="77777777" w:rsidR="00B25038" w:rsidRPr="00FE0A4D" w:rsidRDefault="00B25038" w:rsidP="00C8693C">
          <w:pPr>
            <w:jc w:val="both"/>
            <w:rPr>
              <w:rFonts w:ascii="Arial" w:hAnsi="Arial" w:cs="Arial"/>
              <w:szCs w:val="24"/>
            </w:rPr>
          </w:pPr>
          <w:r w:rsidRPr="00FE0A4D">
            <w:rPr>
              <w:rFonts w:ascii="Arial" w:hAnsi="Arial" w:cs="Arial"/>
              <w:szCs w:val="24"/>
            </w:rPr>
            <w:t xml:space="preserve">Husain, T. and </w:t>
          </w:r>
          <w:proofErr w:type="spellStart"/>
          <w:r w:rsidRPr="00FE0A4D">
            <w:rPr>
              <w:rFonts w:ascii="Arial" w:hAnsi="Arial" w:cs="Arial"/>
              <w:szCs w:val="24"/>
            </w:rPr>
            <w:t>Sunardi</w:t>
          </w:r>
          <w:proofErr w:type="spellEnd"/>
          <w:r w:rsidRPr="00FE0A4D">
            <w:rPr>
              <w:rFonts w:ascii="Arial" w:hAnsi="Arial" w:cs="Arial"/>
              <w:szCs w:val="24"/>
            </w:rPr>
            <w:t>, N. (2020) Firm's Value Prediction Based on Profitability Ratios and Dividend Policy. </w:t>
          </w:r>
          <w:r w:rsidRPr="00FE0A4D">
            <w:rPr>
              <w:rFonts w:ascii="Arial" w:hAnsi="Arial" w:cs="Arial"/>
              <w:i/>
              <w:iCs/>
              <w:szCs w:val="24"/>
            </w:rPr>
            <w:t>Finance &amp; Economics Review</w:t>
          </w:r>
          <w:r w:rsidRPr="00FE0A4D">
            <w:rPr>
              <w:rFonts w:ascii="Arial" w:hAnsi="Arial" w:cs="Arial"/>
              <w:szCs w:val="24"/>
            </w:rPr>
            <w:t>, </w:t>
          </w:r>
          <w:r w:rsidRPr="00FE0A4D">
            <w:rPr>
              <w:rFonts w:ascii="Arial" w:hAnsi="Arial" w:cs="Arial"/>
              <w:i/>
              <w:iCs/>
              <w:szCs w:val="24"/>
            </w:rPr>
            <w:t>2</w:t>
          </w:r>
          <w:r w:rsidRPr="00FE0A4D">
            <w:rPr>
              <w:rFonts w:ascii="Arial" w:hAnsi="Arial" w:cs="Arial"/>
              <w:szCs w:val="24"/>
            </w:rPr>
            <w:t>(2), pp.13-26.</w:t>
          </w:r>
        </w:p>
        <w:p w14:paraId="251B93D5" w14:textId="77777777" w:rsidR="00B25038" w:rsidRPr="00FE0A4D" w:rsidRDefault="00B25038" w:rsidP="00C8693C">
          <w:pPr>
            <w:jc w:val="both"/>
            <w:rPr>
              <w:rFonts w:ascii="Arial" w:hAnsi="Arial" w:cs="Arial"/>
              <w:szCs w:val="24"/>
            </w:rPr>
          </w:pPr>
          <w:proofErr w:type="spellStart"/>
          <w:r w:rsidRPr="00FE0A4D">
            <w:rPr>
              <w:rFonts w:ascii="Arial" w:hAnsi="Arial" w:cs="Arial"/>
              <w:szCs w:val="24"/>
            </w:rPr>
            <w:t>Kadim</w:t>
          </w:r>
          <w:proofErr w:type="spellEnd"/>
          <w:r w:rsidRPr="00FE0A4D">
            <w:rPr>
              <w:rFonts w:ascii="Arial" w:hAnsi="Arial" w:cs="Arial"/>
              <w:szCs w:val="24"/>
            </w:rPr>
            <w:t xml:space="preserve">, A., </w:t>
          </w:r>
          <w:proofErr w:type="spellStart"/>
          <w:r w:rsidRPr="00FE0A4D">
            <w:rPr>
              <w:rFonts w:ascii="Arial" w:hAnsi="Arial" w:cs="Arial"/>
              <w:szCs w:val="24"/>
            </w:rPr>
            <w:t>Sunardi</w:t>
          </w:r>
          <w:proofErr w:type="spellEnd"/>
          <w:r w:rsidRPr="00FE0A4D">
            <w:rPr>
              <w:rFonts w:ascii="Arial" w:hAnsi="Arial" w:cs="Arial"/>
              <w:szCs w:val="24"/>
            </w:rPr>
            <w:t xml:space="preserve">, N. and Husain, T. (2020) The </w:t>
          </w:r>
          <w:proofErr w:type="spellStart"/>
          <w:r w:rsidRPr="00FE0A4D">
            <w:rPr>
              <w:rFonts w:ascii="Arial" w:hAnsi="Arial" w:cs="Arial"/>
              <w:szCs w:val="24"/>
            </w:rPr>
            <w:t>modeling</w:t>
          </w:r>
          <w:proofErr w:type="spellEnd"/>
          <w:r w:rsidRPr="00FE0A4D">
            <w:rPr>
              <w:rFonts w:ascii="Arial" w:hAnsi="Arial" w:cs="Arial"/>
              <w:szCs w:val="24"/>
            </w:rPr>
            <w:t xml:space="preserve"> firm's value based on financial ratios, intellectual capital and dividend policy. </w:t>
          </w:r>
          <w:r w:rsidRPr="00FE0A4D">
            <w:rPr>
              <w:rFonts w:ascii="Arial" w:hAnsi="Arial" w:cs="Arial"/>
              <w:i/>
              <w:iCs/>
              <w:szCs w:val="24"/>
            </w:rPr>
            <w:t>Accounting</w:t>
          </w:r>
          <w:r w:rsidRPr="00FE0A4D">
            <w:rPr>
              <w:rFonts w:ascii="Arial" w:hAnsi="Arial" w:cs="Arial"/>
              <w:szCs w:val="24"/>
            </w:rPr>
            <w:t>, </w:t>
          </w:r>
          <w:r w:rsidRPr="00FE0A4D">
            <w:rPr>
              <w:rFonts w:ascii="Arial" w:hAnsi="Arial" w:cs="Arial"/>
              <w:i/>
              <w:iCs/>
              <w:szCs w:val="24"/>
            </w:rPr>
            <w:t>6</w:t>
          </w:r>
          <w:r w:rsidRPr="00FE0A4D">
            <w:rPr>
              <w:rFonts w:ascii="Arial" w:hAnsi="Arial" w:cs="Arial"/>
              <w:szCs w:val="24"/>
            </w:rPr>
            <w:t>(5), pp.859-870.</w:t>
          </w:r>
        </w:p>
        <w:p w14:paraId="251B93D6" w14:textId="77777777" w:rsidR="00B25038" w:rsidRPr="00FE0A4D" w:rsidRDefault="00B25038" w:rsidP="00C8693C">
          <w:pPr>
            <w:jc w:val="both"/>
            <w:rPr>
              <w:rFonts w:ascii="Arial" w:hAnsi="Arial" w:cs="Arial"/>
              <w:szCs w:val="24"/>
            </w:rPr>
          </w:pPr>
          <w:proofErr w:type="spellStart"/>
          <w:r w:rsidRPr="00FE0A4D">
            <w:rPr>
              <w:rFonts w:ascii="Arial" w:hAnsi="Arial" w:cs="Arial"/>
              <w:szCs w:val="24"/>
            </w:rPr>
            <w:t>Kariyawasam</w:t>
          </w:r>
          <w:proofErr w:type="spellEnd"/>
          <w:r w:rsidRPr="00FE0A4D">
            <w:rPr>
              <w:rFonts w:ascii="Arial" w:hAnsi="Arial" w:cs="Arial"/>
              <w:szCs w:val="24"/>
            </w:rPr>
            <w:t>, H.N. (2019) Analysing the impact of financial ratios on a company’s financial performance. </w:t>
          </w:r>
          <w:r w:rsidRPr="00FE0A4D">
            <w:rPr>
              <w:rFonts w:ascii="Arial" w:hAnsi="Arial" w:cs="Arial"/>
              <w:i/>
              <w:iCs/>
              <w:szCs w:val="24"/>
            </w:rPr>
            <w:t>International Journal of Management Excellence</w:t>
          </w:r>
          <w:r w:rsidRPr="00FE0A4D">
            <w:rPr>
              <w:rFonts w:ascii="Arial" w:hAnsi="Arial" w:cs="Arial"/>
              <w:szCs w:val="24"/>
            </w:rPr>
            <w:t>, </w:t>
          </w:r>
          <w:r w:rsidRPr="00FE0A4D">
            <w:rPr>
              <w:rFonts w:ascii="Arial" w:hAnsi="Arial" w:cs="Arial"/>
              <w:i/>
              <w:iCs/>
              <w:szCs w:val="24"/>
            </w:rPr>
            <w:t>13</w:t>
          </w:r>
          <w:r w:rsidRPr="00FE0A4D">
            <w:rPr>
              <w:rFonts w:ascii="Arial" w:hAnsi="Arial" w:cs="Arial"/>
              <w:szCs w:val="24"/>
            </w:rPr>
            <w:t>(1), pp.1898-1903.</w:t>
          </w:r>
        </w:p>
        <w:p w14:paraId="251B93D7" w14:textId="77777777" w:rsidR="00B25038" w:rsidRPr="00FE0A4D" w:rsidRDefault="00B25038" w:rsidP="00C8693C">
          <w:pPr>
            <w:jc w:val="both"/>
            <w:rPr>
              <w:rFonts w:ascii="Arial" w:hAnsi="Arial" w:cs="Arial"/>
              <w:szCs w:val="24"/>
            </w:rPr>
          </w:pPr>
          <w:proofErr w:type="spellStart"/>
          <w:r w:rsidRPr="00FE0A4D">
            <w:rPr>
              <w:rFonts w:ascii="Arial" w:hAnsi="Arial" w:cs="Arial"/>
              <w:szCs w:val="24"/>
            </w:rPr>
            <w:t>Kliestik</w:t>
          </w:r>
          <w:proofErr w:type="spellEnd"/>
          <w:r w:rsidRPr="00FE0A4D">
            <w:rPr>
              <w:rFonts w:ascii="Arial" w:hAnsi="Arial" w:cs="Arial"/>
              <w:szCs w:val="24"/>
            </w:rPr>
            <w:t xml:space="preserve">, T., </w:t>
          </w:r>
          <w:proofErr w:type="spellStart"/>
          <w:r w:rsidRPr="00FE0A4D">
            <w:rPr>
              <w:rFonts w:ascii="Arial" w:hAnsi="Arial" w:cs="Arial"/>
              <w:szCs w:val="24"/>
            </w:rPr>
            <w:t>Valaskova</w:t>
          </w:r>
          <w:proofErr w:type="spellEnd"/>
          <w:r w:rsidRPr="00FE0A4D">
            <w:rPr>
              <w:rFonts w:ascii="Arial" w:hAnsi="Arial" w:cs="Arial"/>
              <w:szCs w:val="24"/>
            </w:rPr>
            <w:t xml:space="preserve">, K., </w:t>
          </w:r>
          <w:proofErr w:type="spellStart"/>
          <w:r w:rsidRPr="00FE0A4D">
            <w:rPr>
              <w:rFonts w:ascii="Arial" w:hAnsi="Arial" w:cs="Arial"/>
              <w:szCs w:val="24"/>
            </w:rPr>
            <w:t>Lazaroiu</w:t>
          </w:r>
          <w:proofErr w:type="spellEnd"/>
          <w:r w:rsidRPr="00FE0A4D">
            <w:rPr>
              <w:rFonts w:ascii="Arial" w:hAnsi="Arial" w:cs="Arial"/>
              <w:szCs w:val="24"/>
            </w:rPr>
            <w:t xml:space="preserve">, G., </w:t>
          </w:r>
          <w:proofErr w:type="spellStart"/>
          <w:r w:rsidRPr="00FE0A4D">
            <w:rPr>
              <w:rFonts w:ascii="Arial" w:hAnsi="Arial" w:cs="Arial"/>
              <w:szCs w:val="24"/>
            </w:rPr>
            <w:t>Kovacova</w:t>
          </w:r>
          <w:proofErr w:type="spellEnd"/>
          <w:r w:rsidRPr="00FE0A4D">
            <w:rPr>
              <w:rFonts w:ascii="Arial" w:hAnsi="Arial" w:cs="Arial"/>
              <w:szCs w:val="24"/>
            </w:rPr>
            <w:t xml:space="preserve">, M. and </w:t>
          </w:r>
          <w:proofErr w:type="spellStart"/>
          <w:r w:rsidRPr="00FE0A4D">
            <w:rPr>
              <w:rFonts w:ascii="Arial" w:hAnsi="Arial" w:cs="Arial"/>
              <w:szCs w:val="24"/>
            </w:rPr>
            <w:t>Vrbka</w:t>
          </w:r>
          <w:proofErr w:type="spellEnd"/>
          <w:r w:rsidRPr="00FE0A4D">
            <w:rPr>
              <w:rFonts w:ascii="Arial" w:hAnsi="Arial" w:cs="Arial"/>
              <w:szCs w:val="24"/>
            </w:rPr>
            <w:t>, J. (2020) Remaining financially healthy and competitive: The role of financial predictors. </w:t>
          </w:r>
          <w:r w:rsidRPr="00FE0A4D">
            <w:rPr>
              <w:rFonts w:ascii="Arial" w:hAnsi="Arial" w:cs="Arial"/>
              <w:i/>
              <w:iCs/>
              <w:szCs w:val="24"/>
            </w:rPr>
            <w:t>Journal of Competitiveness</w:t>
          </w:r>
          <w:r w:rsidRPr="00FE0A4D">
            <w:rPr>
              <w:rFonts w:ascii="Arial" w:hAnsi="Arial" w:cs="Arial"/>
              <w:szCs w:val="24"/>
            </w:rPr>
            <w:t>, </w:t>
          </w:r>
          <w:r w:rsidRPr="00FE0A4D">
            <w:rPr>
              <w:rFonts w:ascii="Arial" w:hAnsi="Arial" w:cs="Arial"/>
              <w:i/>
              <w:iCs/>
              <w:szCs w:val="24"/>
            </w:rPr>
            <w:t>12</w:t>
          </w:r>
          <w:r w:rsidRPr="00FE0A4D">
            <w:rPr>
              <w:rFonts w:ascii="Arial" w:hAnsi="Arial" w:cs="Arial"/>
              <w:szCs w:val="24"/>
            </w:rPr>
            <w:t>(1), p.74.</w:t>
          </w:r>
        </w:p>
        <w:p w14:paraId="251B93D8" w14:textId="77777777" w:rsidR="00B25038" w:rsidRPr="00FE0A4D" w:rsidRDefault="00B25038" w:rsidP="00C8693C">
          <w:pPr>
            <w:jc w:val="both"/>
            <w:rPr>
              <w:rFonts w:ascii="Arial" w:hAnsi="Arial" w:cs="Arial"/>
              <w:szCs w:val="24"/>
            </w:rPr>
          </w:pPr>
          <w:proofErr w:type="spellStart"/>
          <w:r w:rsidRPr="00FE0A4D">
            <w:rPr>
              <w:rFonts w:ascii="Arial" w:hAnsi="Arial" w:cs="Arial"/>
              <w:szCs w:val="24"/>
            </w:rPr>
            <w:t>Laitinen</w:t>
          </w:r>
          <w:proofErr w:type="spellEnd"/>
          <w:r w:rsidRPr="00FE0A4D">
            <w:rPr>
              <w:rFonts w:ascii="Arial" w:hAnsi="Arial" w:cs="Arial"/>
              <w:szCs w:val="24"/>
            </w:rPr>
            <w:t>, E.K. (2018) Financial reporting: Long-term change of financial ratios.</w:t>
          </w:r>
        </w:p>
        <w:p w14:paraId="251B93D9" w14:textId="77777777" w:rsidR="00B25038" w:rsidRPr="00FE0A4D" w:rsidRDefault="00B25038" w:rsidP="00C8693C">
          <w:pPr>
            <w:jc w:val="both"/>
            <w:rPr>
              <w:rFonts w:ascii="Arial" w:hAnsi="Arial" w:cs="Arial"/>
              <w:szCs w:val="24"/>
            </w:rPr>
          </w:pPr>
          <w:r w:rsidRPr="00FE0A4D">
            <w:rPr>
              <w:rFonts w:ascii="Arial" w:hAnsi="Arial" w:cs="Arial"/>
              <w:szCs w:val="24"/>
            </w:rPr>
            <w:t xml:space="preserve">Macrotrends (2022) </w:t>
          </w:r>
          <w:r w:rsidRPr="00FE0A4D">
            <w:rPr>
              <w:rFonts w:ascii="Arial" w:hAnsi="Arial" w:cs="Arial"/>
              <w:i/>
              <w:iCs/>
              <w:szCs w:val="24"/>
            </w:rPr>
            <w:t>Marriott financial ratios for analysis 2009-2022: Mar</w:t>
          </w:r>
          <w:r w:rsidRPr="00FE0A4D">
            <w:rPr>
              <w:rFonts w:ascii="Arial" w:hAnsi="Arial" w:cs="Arial"/>
              <w:szCs w:val="24"/>
            </w:rPr>
            <w:t xml:space="preserve">, </w:t>
          </w:r>
          <w:r w:rsidRPr="00FE0A4D">
            <w:rPr>
              <w:rFonts w:ascii="Arial" w:hAnsi="Arial" w:cs="Arial"/>
              <w:i/>
              <w:iCs/>
              <w:szCs w:val="24"/>
            </w:rPr>
            <w:t>Macrotrends</w:t>
          </w:r>
          <w:r w:rsidRPr="00FE0A4D">
            <w:rPr>
              <w:rFonts w:ascii="Arial" w:hAnsi="Arial" w:cs="Arial"/>
              <w:szCs w:val="24"/>
            </w:rPr>
            <w:t xml:space="preserve">. Available at: https://www.macrotrends.net/stocks/charts/MAR/marriott/financial-ratios (Accessed: November 24, 2022). </w:t>
          </w:r>
        </w:p>
        <w:p w14:paraId="251B93DA" w14:textId="77777777" w:rsidR="00B25038" w:rsidRPr="00FE0A4D" w:rsidRDefault="00B25038" w:rsidP="00C8693C">
          <w:pPr>
            <w:jc w:val="both"/>
            <w:rPr>
              <w:rFonts w:ascii="Arial" w:hAnsi="Arial" w:cs="Arial"/>
              <w:szCs w:val="24"/>
            </w:rPr>
          </w:pPr>
          <w:r w:rsidRPr="00FE0A4D">
            <w:rPr>
              <w:rFonts w:ascii="Arial" w:hAnsi="Arial" w:cs="Arial"/>
              <w:szCs w:val="24"/>
            </w:rPr>
            <w:t xml:space="preserve">Marriott International (2022) </w:t>
          </w:r>
          <w:r w:rsidRPr="00FE0A4D">
            <w:rPr>
              <w:rFonts w:ascii="Arial" w:hAnsi="Arial" w:cs="Arial"/>
              <w:i/>
              <w:iCs/>
              <w:szCs w:val="24"/>
            </w:rPr>
            <w:t>Marriott International, inc..</w:t>
          </w:r>
          <w:r w:rsidRPr="00FE0A4D">
            <w:rPr>
              <w:rFonts w:ascii="Arial" w:hAnsi="Arial" w:cs="Arial"/>
              <w:szCs w:val="24"/>
            </w:rPr>
            <w:t xml:space="preserve">, </w:t>
          </w:r>
          <w:r w:rsidRPr="00FE0A4D">
            <w:rPr>
              <w:rFonts w:ascii="Arial" w:hAnsi="Arial" w:cs="Arial"/>
              <w:i/>
              <w:iCs/>
              <w:szCs w:val="24"/>
            </w:rPr>
            <w:t>Marriott International</w:t>
          </w:r>
          <w:r w:rsidRPr="00FE0A4D">
            <w:rPr>
              <w:rFonts w:ascii="Arial" w:hAnsi="Arial" w:cs="Arial"/>
              <w:szCs w:val="24"/>
            </w:rPr>
            <w:t xml:space="preserve">. Available at: https://www.marriott.com/marriott/aboutmarriott.mi (Accessed: November 24, 2022). </w:t>
          </w:r>
        </w:p>
        <w:p w14:paraId="251B93DB" w14:textId="77777777" w:rsidR="00B25038" w:rsidRPr="00FE0A4D" w:rsidRDefault="00B25038" w:rsidP="00C8693C">
          <w:pPr>
            <w:jc w:val="both"/>
            <w:rPr>
              <w:rFonts w:ascii="Arial" w:hAnsi="Arial" w:cs="Arial"/>
              <w:szCs w:val="24"/>
            </w:rPr>
          </w:pPr>
          <w:r w:rsidRPr="00FE0A4D">
            <w:rPr>
              <w:rFonts w:ascii="Arial" w:hAnsi="Arial" w:cs="Arial"/>
              <w:szCs w:val="24"/>
            </w:rPr>
            <w:t>Robinson, T.R. (2020) </w:t>
          </w:r>
          <w:r w:rsidRPr="00FE0A4D">
            <w:rPr>
              <w:rFonts w:ascii="Arial" w:hAnsi="Arial" w:cs="Arial"/>
              <w:i/>
              <w:iCs/>
              <w:szCs w:val="24"/>
            </w:rPr>
            <w:t>International financial statement analysis</w:t>
          </w:r>
          <w:r w:rsidRPr="00FE0A4D">
            <w:rPr>
              <w:rFonts w:ascii="Arial" w:hAnsi="Arial" w:cs="Arial"/>
              <w:szCs w:val="24"/>
            </w:rPr>
            <w:t>. John Wiley &amp; Sons.</w:t>
          </w:r>
        </w:p>
        <w:p w14:paraId="251B93DC" w14:textId="77777777" w:rsidR="00B25038" w:rsidRPr="00FE0A4D" w:rsidRDefault="00B25038" w:rsidP="00C8693C">
          <w:pPr>
            <w:jc w:val="both"/>
            <w:rPr>
              <w:rFonts w:ascii="Arial" w:hAnsi="Arial" w:cs="Arial"/>
              <w:szCs w:val="24"/>
            </w:rPr>
          </w:pPr>
          <w:r w:rsidRPr="00FE0A4D">
            <w:rPr>
              <w:rFonts w:ascii="Arial" w:hAnsi="Arial" w:cs="Arial"/>
              <w:szCs w:val="24"/>
            </w:rPr>
            <w:lastRenderedPageBreak/>
            <w:t xml:space="preserve">Rosario, S. and </w:t>
          </w:r>
          <w:proofErr w:type="spellStart"/>
          <w:r w:rsidRPr="00FE0A4D">
            <w:rPr>
              <w:rFonts w:ascii="Arial" w:hAnsi="Arial" w:cs="Arial"/>
              <w:szCs w:val="24"/>
            </w:rPr>
            <w:t>Chavali</w:t>
          </w:r>
          <w:proofErr w:type="spellEnd"/>
          <w:r w:rsidRPr="00FE0A4D">
            <w:rPr>
              <w:rFonts w:ascii="Arial" w:hAnsi="Arial" w:cs="Arial"/>
              <w:szCs w:val="24"/>
            </w:rPr>
            <w:t>, K. (2019) Capital Structure and its impact on Profitability-A study of Indian Hotel Industry. </w:t>
          </w:r>
          <w:r w:rsidRPr="00FE0A4D">
            <w:rPr>
              <w:rFonts w:ascii="Arial" w:hAnsi="Arial" w:cs="Arial"/>
              <w:i/>
              <w:iCs/>
              <w:szCs w:val="24"/>
            </w:rPr>
            <w:t>International Journal of Business and Administration Research Review</w:t>
          </w:r>
          <w:r w:rsidRPr="00FE0A4D">
            <w:rPr>
              <w:rFonts w:ascii="Arial" w:hAnsi="Arial" w:cs="Arial"/>
              <w:szCs w:val="24"/>
            </w:rPr>
            <w:t>, </w:t>
          </w:r>
          <w:r w:rsidRPr="00FE0A4D">
            <w:rPr>
              <w:rFonts w:ascii="Arial" w:hAnsi="Arial" w:cs="Arial"/>
              <w:i/>
              <w:iCs/>
              <w:szCs w:val="24"/>
            </w:rPr>
            <w:t>6</w:t>
          </w:r>
          <w:r w:rsidRPr="00FE0A4D">
            <w:rPr>
              <w:rFonts w:ascii="Arial" w:hAnsi="Arial" w:cs="Arial"/>
              <w:szCs w:val="24"/>
            </w:rPr>
            <w:t>(1), pp.67-72.</w:t>
          </w:r>
        </w:p>
        <w:p w14:paraId="251B93DD" w14:textId="77777777" w:rsidR="00B25038" w:rsidRPr="00FE0A4D" w:rsidRDefault="00B25038" w:rsidP="00C8693C">
          <w:pPr>
            <w:jc w:val="both"/>
            <w:rPr>
              <w:rFonts w:ascii="Arial" w:hAnsi="Arial" w:cs="Arial"/>
              <w:szCs w:val="24"/>
            </w:rPr>
          </w:pPr>
          <w:proofErr w:type="spellStart"/>
          <w:r w:rsidRPr="00FE0A4D">
            <w:rPr>
              <w:rFonts w:ascii="Arial" w:hAnsi="Arial" w:cs="Arial"/>
              <w:szCs w:val="24"/>
            </w:rPr>
            <w:t>Sunardi</w:t>
          </w:r>
          <w:proofErr w:type="spellEnd"/>
          <w:r w:rsidRPr="00FE0A4D">
            <w:rPr>
              <w:rFonts w:ascii="Arial" w:hAnsi="Arial" w:cs="Arial"/>
              <w:szCs w:val="24"/>
            </w:rPr>
            <w:t xml:space="preserve">, N., Husain, T. and </w:t>
          </w:r>
          <w:proofErr w:type="spellStart"/>
          <w:r w:rsidRPr="00FE0A4D">
            <w:rPr>
              <w:rFonts w:ascii="Arial" w:hAnsi="Arial" w:cs="Arial"/>
              <w:szCs w:val="24"/>
            </w:rPr>
            <w:t>Kadim</w:t>
          </w:r>
          <w:proofErr w:type="spellEnd"/>
          <w:r w:rsidRPr="00FE0A4D">
            <w:rPr>
              <w:rFonts w:ascii="Arial" w:hAnsi="Arial" w:cs="Arial"/>
              <w:szCs w:val="24"/>
            </w:rPr>
            <w:t>, A. (2020) Determinants of Debt Policy and Company’s Performance. </w:t>
          </w:r>
          <w:r w:rsidRPr="00FE0A4D">
            <w:rPr>
              <w:rFonts w:ascii="Arial" w:hAnsi="Arial" w:cs="Arial"/>
              <w:i/>
              <w:iCs/>
              <w:szCs w:val="24"/>
            </w:rPr>
            <w:t>International Journal of Economics and Business Administration</w:t>
          </w:r>
          <w:r w:rsidRPr="00FE0A4D">
            <w:rPr>
              <w:rFonts w:ascii="Arial" w:hAnsi="Arial" w:cs="Arial"/>
              <w:szCs w:val="24"/>
            </w:rPr>
            <w:t>, </w:t>
          </w:r>
          <w:r w:rsidRPr="00FE0A4D">
            <w:rPr>
              <w:rFonts w:ascii="Arial" w:hAnsi="Arial" w:cs="Arial"/>
              <w:i/>
              <w:iCs/>
              <w:szCs w:val="24"/>
            </w:rPr>
            <w:t>8</w:t>
          </w:r>
          <w:r w:rsidRPr="00FE0A4D">
            <w:rPr>
              <w:rFonts w:ascii="Arial" w:hAnsi="Arial" w:cs="Arial"/>
              <w:szCs w:val="24"/>
            </w:rPr>
            <w:t>(4), pp.204-213.</w:t>
          </w:r>
        </w:p>
        <w:p w14:paraId="251B93DE" w14:textId="77777777" w:rsidR="004A11F6" w:rsidRPr="00FE0A4D" w:rsidRDefault="00B25038" w:rsidP="00C8693C">
          <w:pPr>
            <w:jc w:val="both"/>
            <w:rPr>
              <w:rFonts w:ascii="Arial" w:hAnsi="Arial" w:cs="Arial"/>
              <w:szCs w:val="24"/>
            </w:rPr>
          </w:pPr>
          <w:proofErr w:type="spellStart"/>
          <w:r w:rsidRPr="00FE0A4D">
            <w:rPr>
              <w:rFonts w:ascii="Arial" w:hAnsi="Arial" w:cs="Arial"/>
              <w:szCs w:val="24"/>
            </w:rPr>
            <w:t>Svabova</w:t>
          </w:r>
          <w:proofErr w:type="spellEnd"/>
          <w:r w:rsidRPr="00FE0A4D">
            <w:rPr>
              <w:rFonts w:ascii="Arial" w:hAnsi="Arial" w:cs="Arial"/>
              <w:szCs w:val="24"/>
            </w:rPr>
            <w:t xml:space="preserve">, L., </w:t>
          </w:r>
          <w:proofErr w:type="spellStart"/>
          <w:r w:rsidRPr="00FE0A4D">
            <w:rPr>
              <w:rFonts w:ascii="Arial" w:hAnsi="Arial" w:cs="Arial"/>
              <w:szCs w:val="24"/>
            </w:rPr>
            <w:t>Kramarova</w:t>
          </w:r>
          <w:proofErr w:type="spellEnd"/>
          <w:r w:rsidRPr="00FE0A4D">
            <w:rPr>
              <w:rFonts w:ascii="Arial" w:hAnsi="Arial" w:cs="Arial"/>
              <w:szCs w:val="24"/>
            </w:rPr>
            <w:t xml:space="preserve">, K., </w:t>
          </w:r>
          <w:proofErr w:type="spellStart"/>
          <w:r w:rsidRPr="00FE0A4D">
            <w:rPr>
              <w:rFonts w:ascii="Arial" w:hAnsi="Arial" w:cs="Arial"/>
              <w:szCs w:val="24"/>
            </w:rPr>
            <w:t>Chutka</w:t>
          </w:r>
          <w:proofErr w:type="spellEnd"/>
          <w:r w:rsidRPr="00FE0A4D">
            <w:rPr>
              <w:rFonts w:ascii="Arial" w:hAnsi="Arial" w:cs="Arial"/>
              <w:szCs w:val="24"/>
            </w:rPr>
            <w:t xml:space="preserve">, J. and </w:t>
          </w:r>
          <w:proofErr w:type="spellStart"/>
          <w:r w:rsidRPr="00FE0A4D">
            <w:rPr>
              <w:rFonts w:ascii="Arial" w:hAnsi="Arial" w:cs="Arial"/>
              <w:szCs w:val="24"/>
            </w:rPr>
            <w:t>Strakova</w:t>
          </w:r>
          <w:proofErr w:type="spellEnd"/>
          <w:r w:rsidRPr="00FE0A4D">
            <w:rPr>
              <w:rFonts w:ascii="Arial" w:hAnsi="Arial" w:cs="Arial"/>
              <w:szCs w:val="24"/>
            </w:rPr>
            <w:t>, L. (2020) Detecting earnings manipulation and fraudulent financial reporting in Slovakia. </w:t>
          </w:r>
          <w:proofErr w:type="spellStart"/>
          <w:r w:rsidRPr="00FE0A4D">
            <w:rPr>
              <w:rFonts w:ascii="Arial" w:hAnsi="Arial" w:cs="Arial"/>
              <w:i/>
              <w:iCs/>
              <w:szCs w:val="24"/>
            </w:rPr>
            <w:t>Oeconomia</w:t>
          </w:r>
          <w:proofErr w:type="spellEnd"/>
          <w:r w:rsidRPr="00FE0A4D">
            <w:rPr>
              <w:rFonts w:ascii="Arial" w:hAnsi="Arial" w:cs="Arial"/>
              <w:i/>
              <w:iCs/>
              <w:szCs w:val="24"/>
            </w:rPr>
            <w:t xml:space="preserve"> </w:t>
          </w:r>
          <w:proofErr w:type="spellStart"/>
          <w:r w:rsidRPr="00FE0A4D">
            <w:rPr>
              <w:rFonts w:ascii="Arial" w:hAnsi="Arial" w:cs="Arial"/>
              <w:i/>
              <w:iCs/>
              <w:szCs w:val="24"/>
            </w:rPr>
            <w:t>Copernicana</w:t>
          </w:r>
          <w:proofErr w:type="spellEnd"/>
          <w:r w:rsidRPr="00FE0A4D">
            <w:rPr>
              <w:rFonts w:ascii="Arial" w:hAnsi="Arial" w:cs="Arial"/>
              <w:szCs w:val="24"/>
            </w:rPr>
            <w:t>, </w:t>
          </w:r>
          <w:r w:rsidRPr="00FE0A4D">
            <w:rPr>
              <w:rFonts w:ascii="Arial" w:hAnsi="Arial" w:cs="Arial"/>
              <w:i/>
              <w:iCs/>
              <w:szCs w:val="24"/>
            </w:rPr>
            <w:t>11</w:t>
          </w:r>
          <w:r w:rsidRPr="00FE0A4D">
            <w:rPr>
              <w:rFonts w:ascii="Arial" w:hAnsi="Arial" w:cs="Arial"/>
              <w:szCs w:val="24"/>
            </w:rPr>
            <w:t>(3), pp.485-508.</w:t>
          </w:r>
        </w:p>
        <w:p w14:paraId="251B93DF" w14:textId="77777777" w:rsidR="00CA09F3" w:rsidRPr="00FE0A4D" w:rsidRDefault="00685615" w:rsidP="00C8693C">
          <w:pPr>
            <w:jc w:val="both"/>
            <w:rPr>
              <w:rFonts w:ascii="Arial" w:hAnsi="Arial" w:cs="Arial"/>
              <w:szCs w:val="24"/>
            </w:rPr>
          </w:pPr>
        </w:p>
      </w:sdtContent>
    </w:sdt>
    <w:sectPr w:rsidR="00CA09F3" w:rsidRPr="00FE0A4D"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9D72E0"/>
    <w:multiLevelType w:val="hybridMultilevel"/>
    <w:tmpl w:val="712E654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1208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D1947"/>
    <w:rsid w:val="000523DC"/>
    <w:rsid w:val="000A4309"/>
    <w:rsid w:val="000A652B"/>
    <w:rsid w:val="000C70EC"/>
    <w:rsid w:val="00115B96"/>
    <w:rsid w:val="0019003A"/>
    <w:rsid w:val="00220263"/>
    <w:rsid w:val="00284F1F"/>
    <w:rsid w:val="002C0F6B"/>
    <w:rsid w:val="00324CCD"/>
    <w:rsid w:val="003C6C22"/>
    <w:rsid w:val="00431546"/>
    <w:rsid w:val="00463D2D"/>
    <w:rsid w:val="004A11F6"/>
    <w:rsid w:val="004A7C90"/>
    <w:rsid w:val="004D519C"/>
    <w:rsid w:val="004E5F56"/>
    <w:rsid w:val="004F45A5"/>
    <w:rsid w:val="00520B12"/>
    <w:rsid w:val="005B4B03"/>
    <w:rsid w:val="00685615"/>
    <w:rsid w:val="006C589D"/>
    <w:rsid w:val="006E5025"/>
    <w:rsid w:val="0074557A"/>
    <w:rsid w:val="007D1947"/>
    <w:rsid w:val="007F63D7"/>
    <w:rsid w:val="008350A4"/>
    <w:rsid w:val="008F448E"/>
    <w:rsid w:val="00920EB5"/>
    <w:rsid w:val="00934594"/>
    <w:rsid w:val="00980B34"/>
    <w:rsid w:val="009B169F"/>
    <w:rsid w:val="00A13D66"/>
    <w:rsid w:val="00A42906"/>
    <w:rsid w:val="00AA263A"/>
    <w:rsid w:val="00AA2A91"/>
    <w:rsid w:val="00AD3E53"/>
    <w:rsid w:val="00B25038"/>
    <w:rsid w:val="00C71FB5"/>
    <w:rsid w:val="00C8693C"/>
    <w:rsid w:val="00CA09F3"/>
    <w:rsid w:val="00CB7BFF"/>
    <w:rsid w:val="00CF64A0"/>
    <w:rsid w:val="00D76D41"/>
    <w:rsid w:val="00D815A1"/>
    <w:rsid w:val="00D854A5"/>
    <w:rsid w:val="00E26C90"/>
    <w:rsid w:val="00F431BA"/>
    <w:rsid w:val="00F60C08"/>
    <w:rsid w:val="00FE0A4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51B9321"/>
  <w15:docId w15:val="{ADEAFB45-38A7-49D5-89D2-A675DB8C8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4B03"/>
    <w:pPr>
      <w:spacing w:line="360" w:lineRule="auto"/>
    </w:pPr>
    <w:rPr>
      <w:rFonts w:asciiTheme="majorBidi" w:hAnsiTheme="majorBidi"/>
      <w:sz w:val="24"/>
    </w:rPr>
  </w:style>
  <w:style w:type="paragraph" w:styleId="Heading1">
    <w:name w:val="heading 1"/>
    <w:basedOn w:val="Normal"/>
    <w:next w:val="Normal"/>
    <w:link w:val="Heading1Char"/>
    <w:uiPriority w:val="9"/>
    <w:qFormat/>
    <w:rsid w:val="00D76D41"/>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26C90"/>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D76D41"/>
    <w:rPr>
      <w:rFonts w:asciiTheme="majorBidi" w:eastAsiaTheme="majorEastAsia" w:hAnsiTheme="majorBid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E26C90"/>
    <w:rPr>
      <w:rFonts w:asciiTheme="majorBidi" w:eastAsiaTheme="majorEastAsia" w:hAnsiTheme="majorBid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980B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0B34"/>
    <w:rPr>
      <w:rFonts w:ascii="Tahoma" w:hAnsi="Tahoma" w:cs="Tahoma"/>
      <w:sz w:val="16"/>
      <w:szCs w:val="16"/>
    </w:rPr>
  </w:style>
  <w:style w:type="paragraph" w:styleId="Caption">
    <w:name w:val="caption"/>
    <w:basedOn w:val="Normal"/>
    <w:next w:val="Normal"/>
    <w:uiPriority w:val="35"/>
    <w:unhideWhenUsed/>
    <w:qFormat/>
    <w:rsid w:val="00B25038"/>
    <w:pPr>
      <w:spacing w:after="200"/>
    </w:pPr>
    <w:rPr>
      <w:b/>
      <w:bCs/>
      <w:szCs w:val="18"/>
    </w:rPr>
  </w:style>
  <w:style w:type="table" w:styleId="TableGrid">
    <w:name w:val="Table Grid"/>
    <w:basedOn w:val="TableNormal"/>
    <w:uiPriority w:val="59"/>
    <w:rsid w:val="00B2503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B25038"/>
    <w:pPr>
      <w:spacing w:after="200"/>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mm081\Desktop\locus%20rags-%20work%20from%20home\Permanent%20work%20from%20home\2022\November\24th%20Nov\FINANCIAL%20MANAGEMENT%20FOR%20THE%20HOTEL%20INDUSTRY%20A2\Book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mm081\Desktop\locus%20rags-%20work%20from%20home\Permanent%20work%20from%20home\2022\November\24th%20Nov\FINANCIAL%20MANAGEMENT%20FOR%20THE%20HOTEL%20INDUSTRY%20A2\Book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mm081\Desktop\locus%20rags-%20work%20from%20home\Permanent%20work%20from%20home\2022\November\24th%20Nov\FINANCIAL%20MANAGEMENT%20FOR%20THE%20HOTEL%20INDUSTRY%20A2\Book1.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mm081\Desktop\locus%20rags-%20work%20from%20home\Permanent%20work%20from%20home\2022\November\24th%20Nov\FINANCIAL%20MANAGEMENT%20FOR%20THE%20HOTEL%20INDUSTRY%20A2\Book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Sheet1!$B$3</c:f>
              <c:strCache>
                <c:ptCount val="1"/>
                <c:pt idx="0">
                  <c:v>2021</c:v>
                </c:pt>
              </c:strCache>
            </c:strRef>
          </c:tx>
          <c:invertIfNegative val="0"/>
          <c:cat>
            <c:strRef>
              <c:f>Sheet1!$A$4:$A$6</c:f>
              <c:strCache>
                <c:ptCount val="3"/>
                <c:pt idx="0">
                  <c:v>Gross margin</c:v>
                </c:pt>
                <c:pt idx="1">
                  <c:v>Operating margin</c:v>
                </c:pt>
                <c:pt idx="2">
                  <c:v>Net profit margin</c:v>
                </c:pt>
              </c:strCache>
            </c:strRef>
          </c:cat>
          <c:val>
            <c:numRef>
              <c:f>Sheet1!$B$4:$B$6</c:f>
              <c:numCache>
                <c:formatCode>General</c:formatCode>
                <c:ptCount val="3"/>
                <c:pt idx="0">
                  <c:v>20.2136</c:v>
                </c:pt>
                <c:pt idx="1">
                  <c:v>12.629</c:v>
                </c:pt>
                <c:pt idx="2">
                  <c:v>7.9310000000000072</c:v>
                </c:pt>
              </c:numCache>
            </c:numRef>
          </c:val>
          <c:extLst>
            <c:ext xmlns:c16="http://schemas.microsoft.com/office/drawing/2014/chart" uri="{C3380CC4-5D6E-409C-BE32-E72D297353CC}">
              <c16:uniqueId val="{00000000-0175-4595-8103-E498D3775314}"/>
            </c:ext>
          </c:extLst>
        </c:ser>
        <c:ser>
          <c:idx val="1"/>
          <c:order val="1"/>
          <c:tx>
            <c:strRef>
              <c:f>Sheet1!$C$3</c:f>
              <c:strCache>
                <c:ptCount val="1"/>
                <c:pt idx="0">
                  <c:v>2020</c:v>
                </c:pt>
              </c:strCache>
            </c:strRef>
          </c:tx>
          <c:invertIfNegative val="0"/>
          <c:cat>
            <c:strRef>
              <c:f>Sheet1!$A$4:$A$6</c:f>
              <c:strCache>
                <c:ptCount val="3"/>
                <c:pt idx="0">
                  <c:v>Gross margin</c:v>
                </c:pt>
                <c:pt idx="1">
                  <c:v>Operating margin</c:v>
                </c:pt>
                <c:pt idx="2">
                  <c:v>Net profit margin</c:v>
                </c:pt>
              </c:strCache>
            </c:strRef>
          </c:cat>
          <c:val>
            <c:numRef>
              <c:f>Sheet1!$C$4:$C$6</c:f>
              <c:numCache>
                <c:formatCode>General</c:formatCode>
                <c:ptCount val="3"/>
                <c:pt idx="0">
                  <c:v>13.8019</c:v>
                </c:pt>
                <c:pt idx="1">
                  <c:v>0.79459999999999997</c:v>
                </c:pt>
                <c:pt idx="2">
                  <c:v>-2.5257999999999998</c:v>
                </c:pt>
              </c:numCache>
            </c:numRef>
          </c:val>
          <c:extLst>
            <c:ext xmlns:c16="http://schemas.microsoft.com/office/drawing/2014/chart" uri="{C3380CC4-5D6E-409C-BE32-E72D297353CC}">
              <c16:uniqueId val="{00000001-0175-4595-8103-E498D3775314}"/>
            </c:ext>
          </c:extLst>
        </c:ser>
        <c:dLbls>
          <c:showLegendKey val="0"/>
          <c:showVal val="0"/>
          <c:showCatName val="0"/>
          <c:showSerName val="0"/>
          <c:showPercent val="0"/>
          <c:showBubbleSize val="0"/>
        </c:dLbls>
        <c:gapWidth val="150"/>
        <c:shape val="box"/>
        <c:axId val="95046272"/>
        <c:axId val="95052160"/>
        <c:axId val="0"/>
      </c:bar3DChart>
      <c:catAx>
        <c:axId val="95046272"/>
        <c:scaling>
          <c:orientation val="minMax"/>
        </c:scaling>
        <c:delete val="0"/>
        <c:axPos val="b"/>
        <c:numFmt formatCode="General" sourceLinked="0"/>
        <c:majorTickMark val="out"/>
        <c:minorTickMark val="none"/>
        <c:tickLblPos val="nextTo"/>
        <c:crossAx val="95052160"/>
        <c:crosses val="autoZero"/>
        <c:auto val="1"/>
        <c:lblAlgn val="ctr"/>
        <c:lblOffset val="100"/>
        <c:noMultiLvlLbl val="0"/>
      </c:catAx>
      <c:valAx>
        <c:axId val="95052160"/>
        <c:scaling>
          <c:orientation val="minMax"/>
        </c:scaling>
        <c:delete val="0"/>
        <c:axPos val="l"/>
        <c:numFmt formatCode="General" sourceLinked="1"/>
        <c:majorTickMark val="out"/>
        <c:minorTickMark val="none"/>
        <c:tickLblPos val="nextTo"/>
        <c:crossAx val="95046272"/>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Sheet1!$B$3</c:f>
              <c:strCache>
                <c:ptCount val="1"/>
                <c:pt idx="0">
                  <c:v>2021</c:v>
                </c:pt>
              </c:strCache>
            </c:strRef>
          </c:tx>
          <c:invertIfNegative val="0"/>
          <c:cat>
            <c:strRef>
              <c:f>Sheet1!$A$7:$A$9</c:f>
              <c:strCache>
                <c:ptCount val="3"/>
                <c:pt idx="0">
                  <c:v>Return on equity (ROE)</c:v>
                </c:pt>
                <c:pt idx="1">
                  <c:v>Return on assets (ROA)</c:v>
                </c:pt>
                <c:pt idx="2">
                  <c:v>Return on investment (ROI)</c:v>
                </c:pt>
              </c:strCache>
            </c:strRef>
          </c:cat>
          <c:val>
            <c:numRef>
              <c:f>Sheet1!$B$7:$B$9</c:f>
              <c:numCache>
                <c:formatCode>General</c:formatCode>
                <c:ptCount val="3"/>
                <c:pt idx="0">
                  <c:v>77.722799999999978</c:v>
                </c:pt>
                <c:pt idx="1">
                  <c:v>4.3008999999999995</c:v>
                </c:pt>
                <c:pt idx="2">
                  <c:v>10.226100000000001</c:v>
                </c:pt>
              </c:numCache>
            </c:numRef>
          </c:val>
          <c:extLst>
            <c:ext xmlns:c16="http://schemas.microsoft.com/office/drawing/2014/chart" uri="{C3380CC4-5D6E-409C-BE32-E72D297353CC}">
              <c16:uniqueId val="{00000000-A5A0-4BD3-8A77-584431301250}"/>
            </c:ext>
          </c:extLst>
        </c:ser>
        <c:ser>
          <c:idx val="1"/>
          <c:order val="1"/>
          <c:tx>
            <c:strRef>
              <c:f>Sheet1!$C$3</c:f>
              <c:strCache>
                <c:ptCount val="1"/>
                <c:pt idx="0">
                  <c:v>2020</c:v>
                </c:pt>
              </c:strCache>
            </c:strRef>
          </c:tx>
          <c:invertIfNegative val="0"/>
          <c:cat>
            <c:strRef>
              <c:f>Sheet1!$A$7:$A$9</c:f>
              <c:strCache>
                <c:ptCount val="3"/>
                <c:pt idx="0">
                  <c:v>Return on equity (ROE)</c:v>
                </c:pt>
                <c:pt idx="1">
                  <c:v>Return on assets (ROA)</c:v>
                </c:pt>
                <c:pt idx="2">
                  <c:v>Return on investment (ROI)</c:v>
                </c:pt>
              </c:strCache>
            </c:strRef>
          </c:cat>
          <c:val>
            <c:numRef>
              <c:f>Sheet1!$C$7:$C$9</c:f>
              <c:numCache>
                <c:formatCode>General</c:formatCode>
                <c:ptCount val="3"/>
                <c:pt idx="0">
                  <c:v>-62.093000000000011</c:v>
                </c:pt>
                <c:pt idx="1">
                  <c:v>-1.0809</c:v>
                </c:pt>
                <c:pt idx="2">
                  <c:v>-2.7717000000000001</c:v>
                </c:pt>
              </c:numCache>
            </c:numRef>
          </c:val>
          <c:extLst>
            <c:ext xmlns:c16="http://schemas.microsoft.com/office/drawing/2014/chart" uri="{C3380CC4-5D6E-409C-BE32-E72D297353CC}">
              <c16:uniqueId val="{00000001-A5A0-4BD3-8A77-584431301250}"/>
            </c:ext>
          </c:extLst>
        </c:ser>
        <c:dLbls>
          <c:showLegendKey val="0"/>
          <c:showVal val="0"/>
          <c:showCatName val="0"/>
          <c:showSerName val="0"/>
          <c:showPercent val="0"/>
          <c:showBubbleSize val="0"/>
        </c:dLbls>
        <c:gapWidth val="150"/>
        <c:shape val="box"/>
        <c:axId val="95089024"/>
        <c:axId val="95090560"/>
        <c:axId val="0"/>
      </c:bar3DChart>
      <c:catAx>
        <c:axId val="95089024"/>
        <c:scaling>
          <c:orientation val="minMax"/>
        </c:scaling>
        <c:delete val="0"/>
        <c:axPos val="b"/>
        <c:numFmt formatCode="General" sourceLinked="0"/>
        <c:majorTickMark val="out"/>
        <c:minorTickMark val="none"/>
        <c:tickLblPos val="nextTo"/>
        <c:crossAx val="95090560"/>
        <c:crosses val="autoZero"/>
        <c:auto val="1"/>
        <c:lblAlgn val="ctr"/>
        <c:lblOffset val="100"/>
        <c:noMultiLvlLbl val="0"/>
      </c:catAx>
      <c:valAx>
        <c:axId val="95090560"/>
        <c:scaling>
          <c:orientation val="minMax"/>
        </c:scaling>
        <c:delete val="0"/>
        <c:axPos val="l"/>
        <c:numFmt formatCode="General" sourceLinked="1"/>
        <c:majorTickMark val="out"/>
        <c:minorTickMark val="none"/>
        <c:tickLblPos val="nextTo"/>
        <c:crossAx val="95089024"/>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Sheet1!$B$12</c:f>
              <c:strCache>
                <c:ptCount val="1"/>
                <c:pt idx="0">
                  <c:v>2021</c:v>
                </c:pt>
              </c:strCache>
            </c:strRef>
          </c:tx>
          <c:invertIfNegative val="0"/>
          <c:cat>
            <c:strRef>
              <c:f>Sheet1!$A$13:$A$15</c:f>
              <c:strCache>
                <c:ptCount val="3"/>
                <c:pt idx="0">
                  <c:v>Current ratio</c:v>
                </c:pt>
                <c:pt idx="1">
                  <c:v>Operating cash flow per share</c:v>
                </c:pt>
                <c:pt idx="2">
                  <c:v>Free cash flow per share</c:v>
                </c:pt>
              </c:strCache>
            </c:strRef>
          </c:cat>
          <c:val>
            <c:numRef>
              <c:f>Sheet1!$B$13:$B$15</c:f>
              <c:numCache>
                <c:formatCode>General</c:formatCode>
                <c:ptCount val="3"/>
                <c:pt idx="0">
                  <c:v>0.56590000000000062</c:v>
                </c:pt>
                <c:pt idx="1">
                  <c:v>-1.4564999999999984</c:v>
                </c:pt>
                <c:pt idx="2">
                  <c:v>-2.3593999999999977</c:v>
                </c:pt>
              </c:numCache>
            </c:numRef>
          </c:val>
          <c:extLst>
            <c:ext xmlns:c16="http://schemas.microsoft.com/office/drawing/2014/chart" uri="{C3380CC4-5D6E-409C-BE32-E72D297353CC}">
              <c16:uniqueId val="{00000000-D782-415A-9E34-A51BB93A11A5}"/>
            </c:ext>
          </c:extLst>
        </c:ser>
        <c:ser>
          <c:idx val="1"/>
          <c:order val="1"/>
          <c:tx>
            <c:strRef>
              <c:f>Sheet1!$C$12</c:f>
              <c:strCache>
                <c:ptCount val="1"/>
                <c:pt idx="0">
                  <c:v>2020</c:v>
                </c:pt>
              </c:strCache>
            </c:strRef>
          </c:tx>
          <c:invertIfNegative val="0"/>
          <c:cat>
            <c:strRef>
              <c:f>Sheet1!$A$13:$A$15</c:f>
              <c:strCache>
                <c:ptCount val="3"/>
                <c:pt idx="0">
                  <c:v>Current ratio</c:v>
                </c:pt>
                <c:pt idx="1">
                  <c:v>Operating cash flow per share</c:v>
                </c:pt>
                <c:pt idx="2">
                  <c:v>Free cash flow per share</c:v>
                </c:pt>
              </c:strCache>
            </c:strRef>
          </c:cat>
          <c:val>
            <c:numRef>
              <c:f>Sheet1!$C$13:$C$15</c:f>
              <c:numCache>
                <c:formatCode>General</c:formatCode>
                <c:ptCount val="3"/>
                <c:pt idx="0">
                  <c:v>0.49110000000000031</c:v>
                </c:pt>
                <c:pt idx="1">
                  <c:v>8.3000000000000122E-3</c:v>
                </c:pt>
                <c:pt idx="2">
                  <c:v>1.161</c:v>
                </c:pt>
              </c:numCache>
            </c:numRef>
          </c:val>
          <c:extLst>
            <c:ext xmlns:c16="http://schemas.microsoft.com/office/drawing/2014/chart" uri="{C3380CC4-5D6E-409C-BE32-E72D297353CC}">
              <c16:uniqueId val="{00000001-D782-415A-9E34-A51BB93A11A5}"/>
            </c:ext>
          </c:extLst>
        </c:ser>
        <c:dLbls>
          <c:showLegendKey val="0"/>
          <c:showVal val="0"/>
          <c:showCatName val="0"/>
          <c:showSerName val="0"/>
          <c:showPercent val="0"/>
          <c:showBubbleSize val="0"/>
        </c:dLbls>
        <c:gapWidth val="150"/>
        <c:shape val="box"/>
        <c:axId val="95197440"/>
        <c:axId val="95223808"/>
        <c:axId val="0"/>
      </c:bar3DChart>
      <c:catAx>
        <c:axId val="95197440"/>
        <c:scaling>
          <c:orientation val="minMax"/>
        </c:scaling>
        <c:delete val="0"/>
        <c:axPos val="b"/>
        <c:numFmt formatCode="General" sourceLinked="0"/>
        <c:majorTickMark val="out"/>
        <c:minorTickMark val="none"/>
        <c:tickLblPos val="nextTo"/>
        <c:crossAx val="95223808"/>
        <c:crosses val="autoZero"/>
        <c:auto val="1"/>
        <c:lblAlgn val="ctr"/>
        <c:lblOffset val="100"/>
        <c:noMultiLvlLbl val="0"/>
      </c:catAx>
      <c:valAx>
        <c:axId val="95223808"/>
        <c:scaling>
          <c:orientation val="minMax"/>
        </c:scaling>
        <c:delete val="0"/>
        <c:axPos val="l"/>
        <c:numFmt formatCode="General" sourceLinked="1"/>
        <c:majorTickMark val="out"/>
        <c:minorTickMark val="none"/>
        <c:tickLblPos val="nextTo"/>
        <c:crossAx val="95197440"/>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Sheet1!$A$19</c:f>
              <c:strCache>
                <c:ptCount val="1"/>
                <c:pt idx="0">
                  <c:v>Long-term debt / capital</c:v>
                </c:pt>
              </c:strCache>
            </c:strRef>
          </c:tx>
          <c:invertIfNegative val="0"/>
          <c:cat>
            <c:numRef>
              <c:f>Sheet1!$B$18:$C$18</c:f>
              <c:numCache>
                <c:formatCode>General</c:formatCode>
                <c:ptCount val="2"/>
                <c:pt idx="0">
                  <c:v>2021</c:v>
                </c:pt>
                <c:pt idx="1">
                  <c:v>2020</c:v>
                </c:pt>
              </c:numCache>
            </c:numRef>
          </c:cat>
          <c:val>
            <c:numRef>
              <c:f>Sheet1!$B$19:$C$19</c:f>
              <c:numCache>
                <c:formatCode>General</c:formatCode>
                <c:ptCount val="2"/>
                <c:pt idx="0">
                  <c:v>0.86839999999999995</c:v>
                </c:pt>
                <c:pt idx="1">
                  <c:v>0.95540000000000003</c:v>
                </c:pt>
              </c:numCache>
            </c:numRef>
          </c:val>
          <c:extLst>
            <c:ext xmlns:c16="http://schemas.microsoft.com/office/drawing/2014/chart" uri="{C3380CC4-5D6E-409C-BE32-E72D297353CC}">
              <c16:uniqueId val="{00000000-16DC-4F02-8AB7-0228F362B635}"/>
            </c:ext>
          </c:extLst>
        </c:ser>
        <c:ser>
          <c:idx val="1"/>
          <c:order val="1"/>
          <c:tx>
            <c:strRef>
              <c:f>Sheet1!$A$20</c:f>
              <c:strCache>
                <c:ptCount val="1"/>
                <c:pt idx="0">
                  <c:v>Debt / equity ratio</c:v>
                </c:pt>
              </c:strCache>
            </c:strRef>
          </c:tx>
          <c:invertIfNegative val="0"/>
          <c:cat>
            <c:numRef>
              <c:f>Sheet1!$B$18:$C$18</c:f>
              <c:numCache>
                <c:formatCode>General</c:formatCode>
                <c:ptCount val="2"/>
                <c:pt idx="0">
                  <c:v>2021</c:v>
                </c:pt>
                <c:pt idx="1">
                  <c:v>2020</c:v>
                </c:pt>
              </c:numCache>
            </c:numRef>
          </c:cat>
          <c:val>
            <c:numRef>
              <c:f>Sheet1!$B$20:$C$20</c:f>
              <c:numCache>
                <c:formatCode>General</c:formatCode>
                <c:ptCount val="2"/>
                <c:pt idx="0">
                  <c:v>7.1696999999999997</c:v>
                </c:pt>
                <c:pt idx="1">
                  <c:v>24.130199999999999</c:v>
                </c:pt>
              </c:numCache>
            </c:numRef>
          </c:val>
          <c:extLst>
            <c:ext xmlns:c16="http://schemas.microsoft.com/office/drawing/2014/chart" uri="{C3380CC4-5D6E-409C-BE32-E72D297353CC}">
              <c16:uniqueId val="{00000001-16DC-4F02-8AB7-0228F362B635}"/>
            </c:ext>
          </c:extLst>
        </c:ser>
        <c:dLbls>
          <c:showLegendKey val="0"/>
          <c:showVal val="0"/>
          <c:showCatName val="0"/>
          <c:showSerName val="0"/>
          <c:showPercent val="0"/>
          <c:showBubbleSize val="0"/>
        </c:dLbls>
        <c:gapWidth val="150"/>
        <c:shape val="box"/>
        <c:axId val="95256960"/>
        <c:axId val="95258496"/>
        <c:axId val="0"/>
      </c:bar3DChart>
      <c:catAx>
        <c:axId val="95256960"/>
        <c:scaling>
          <c:orientation val="minMax"/>
        </c:scaling>
        <c:delete val="0"/>
        <c:axPos val="b"/>
        <c:numFmt formatCode="General" sourceLinked="1"/>
        <c:majorTickMark val="out"/>
        <c:minorTickMark val="none"/>
        <c:tickLblPos val="nextTo"/>
        <c:crossAx val="95258496"/>
        <c:crosses val="autoZero"/>
        <c:auto val="1"/>
        <c:lblAlgn val="ctr"/>
        <c:lblOffset val="100"/>
        <c:noMultiLvlLbl val="0"/>
      </c:catAx>
      <c:valAx>
        <c:axId val="95258496"/>
        <c:scaling>
          <c:orientation val="minMax"/>
        </c:scaling>
        <c:delete val="0"/>
        <c:axPos val="l"/>
        <c:numFmt formatCode="General" sourceLinked="1"/>
        <c:majorTickMark val="out"/>
        <c:minorTickMark val="none"/>
        <c:tickLblPos val="nextTo"/>
        <c:crossAx val="95256960"/>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D2F4F2A-CF7C-401C-BB08-257D9F0C0488}">
  <ds:schemaRefs>
    <ds:schemaRef ds:uri="http://schemas.microsoft.com/sharepoint/v3/contenttype/forms"/>
  </ds:schemaRefs>
</ds:datastoreItem>
</file>

<file path=customXml/itemProps3.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1AEECE9-3FE0-4B24-AA9B-EA7D4FB74C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2745</Words>
  <Characters>15648</Characters>
  <Application>Microsoft Office Word</Application>
  <DocSecurity>0</DocSecurity>
  <Lines>130</Lines>
  <Paragraphs>36</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name of the assignment</vt:lpstr>
      <vt:lpstr>Executive Summary</vt:lpstr>
      <vt:lpstr>Introduction</vt:lpstr>
      <vt:lpstr>Financial Analysis Trends</vt:lpstr>
      <vt:lpstr>    Profitability</vt:lpstr>
      <vt:lpstr>    Liquidity</vt:lpstr>
      <vt:lpstr>    Gearing</vt:lpstr>
      <vt:lpstr>Knowledge from Ratio Analysis</vt:lpstr>
      <vt:lpstr>Benefits and Limitations of Ratio Analysis</vt:lpstr>
      <vt:lpstr>Conclusion (average of 10% of word count)</vt:lpstr>
      <vt:lpstr>Bibliography</vt:lpstr>
    </vt:vector>
  </TitlesOfParts>
  <Company>University of Wales Trinity Saint David</Company>
  <LinksUpToDate>false</LinksUpToDate>
  <CharactersWithSpaces>18357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Marriott International</dc:title>
  <dc:subject>Financial Management for the Hotel Industry</dc:subject>
  <cp:lastModifiedBy>filis_laris@yahoo.com</cp:lastModifiedBy>
  <cp:revision>43</cp:revision>
  <dcterms:created xsi:type="dcterms:W3CDTF">2022-11-25T11:02:00Z</dcterms:created>
  <dcterms:modified xsi:type="dcterms:W3CDTF">2022-12-07T17:08:00Z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