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83119424"/>
        <w:docPartObj>
          <w:docPartGallery w:val="Cover Pages"/>
          <w:docPartUnique/>
        </w:docPartObj>
      </w:sdtPr>
      <w:sdtEndPr>
        <w:rPr>
          <w:rFonts w:cstheme="minorHAnsi"/>
          <w:b/>
          <w:bCs/>
          <w:sz w:val="36"/>
          <w:szCs w:val="36"/>
        </w:rPr>
      </w:sdtEndPr>
      <w:sdtContent>
        <w:p w14:paraId="67BE37D3" w14:textId="78336149" w:rsidR="000C6BFD" w:rsidRPr="00267217" w:rsidRDefault="0030484F">
          <w:r w:rsidRPr="0030484F">
            <w:rPr>
              <w:rFonts w:cstheme="minorHAnsi"/>
              <w:b/>
              <w:bCs/>
              <w:noProof/>
              <w:sz w:val="36"/>
              <w:szCs w:val="36"/>
            </w:rPr>
            <mc:AlternateContent>
              <mc:Choice Requires="wpg">
                <w:drawing>
                  <wp:anchor distT="0" distB="0" distL="228600" distR="228600" simplePos="0" relativeHeight="251661312" behindDoc="0" locked="0" layoutInCell="1" allowOverlap="1" wp14:anchorId="6C3D5C7F" wp14:editId="4CFBFABB">
                    <wp:simplePos x="0" y="0"/>
                    <wp:positionH relativeFrom="page">
                      <wp:posOffset>313151</wp:posOffset>
                    </wp:positionH>
                    <wp:positionV relativeFrom="page">
                      <wp:posOffset>162838</wp:posOffset>
                    </wp:positionV>
                    <wp:extent cx="2705621" cy="9432099"/>
                    <wp:effectExtent l="0" t="0" r="0" b="0"/>
                    <wp:wrapSquare wrapText="bothSides"/>
                    <wp:docPr id="50" name="Group 5"/>
                    <wp:cNvGraphicFramePr/>
                    <a:graphic xmlns:a="http://schemas.openxmlformats.org/drawingml/2006/main">
                      <a:graphicData uri="http://schemas.microsoft.com/office/word/2010/wordprocessingGroup">
                        <wpg:wgp>
                          <wpg:cNvGrpSpPr/>
                          <wpg:grpSpPr>
                            <a:xfrm>
                              <a:off x="0" y="0"/>
                              <a:ext cx="2705621" cy="9432099"/>
                              <a:chOff x="0" y="-79711"/>
                              <a:chExt cx="2762928" cy="8309311"/>
                            </a:xfrm>
                          </wpg:grpSpPr>
                          <wps:wsp>
                            <wps:cNvPr id="51" name="Text Box 51"/>
                            <wps:cNvSpPr txBox="1"/>
                            <wps:spPr>
                              <a:xfrm>
                                <a:off x="190410" y="-79711"/>
                                <a:ext cx="2572518" cy="5516582"/>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7C8E2276" w14:textId="36E3608E" w:rsidR="0030484F" w:rsidRDefault="0030484F" w:rsidP="0030484F">
                                  <w:pPr>
                                    <w:rPr>
                                      <w:rFonts w:ascii="Arial" w:hAnsi="Arial" w:cs="Arial"/>
                                      <w:color w:val="595959" w:themeColor="text1" w:themeTint="A6"/>
                                      <w:sz w:val="24"/>
                                      <w:szCs w:val="24"/>
                                    </w:rPr>
                                  </w:pPr>
                                </w:p>
                                <w:p w14:paraId="1F05F64E" w14:textId="7A712568"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Name: Yanislav Georgiev</w:t>
                                  </w:r>
                                </w:p>
                                <w:p w14:paraId="758CA950" w14:textId="36A9628D"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Student ID: 2219323</w:t>
                                  </w:r>
                                </w:p>
                                <w:p w14:paraId="151BB9DA" w14:textId="00440DF4"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Module Code: LCBB5000</w:t>
                                  </w:r>
                                </w:p>
                                <w:p w14:paraId="7249F73E" w14:textId="7B89D5EF"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 xml:space="preserve">Lecturer: Xavier </w:t>
                                  </w:r>
                                  <w:proofErr w:type="spellStart"/>
                                  <w:r>
                                    <w:rPr>
                                      <w:rFonts w:ascii="Arial" w:hAnsi="Arial" w:cs="Arial"/>
                                      <w:b/>
                                      <w:bCs/>
                                      <w:color w:val="595959" w:themeColor="text1" w:themeTint="A6"/>
                                      <w:sz w:val="24"/>
                                      <w:szCs w:val="24"/>
                                    </w:rPr>
                                    <w:t>Matieni</w:t>
                                  </w:r>
                                  <w:proofErr w:type="spellEnd"/>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323850"/>
                                <a:ext cx="2466504" cy="38480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637246" w14:textId="4CB21FB2" w:rsidR="0030484F" w:rsidRPr="0030484F" w:rsidRDefault="0030484F">
                                  <w:pPr>
                                    <w:pStyle w:val="NoSpacing"/>
                                    <w:rPr>
                                      <w:rFonts w:ascii="Arial" w:eastAsiaTheme="majorEastAsia" w:hAnsi="Arial" w:cs="Arial"/>
                                      <w:color w:val="FFFFFF" w:themeColor="background1"/>
                                      <w:sz w:val="36"/>
                                      <w:szCs w:val="36"/>
                                    </w:rPr>
                                  </w:pPr>
                                  <w:r w:rsidRPr="0030484F">
                                    <w:rPr>
                                      <w:rFonts w:ascii="Arial" w:eastAsiaTheme="majorEastAsia" w:hAnsi="Arial" w:cs="Arial"/>
                                      <w:color w:val="FFFFFF" w:themeColor="background1"/>
                                      <w:sz w:val="36"/>
                                      <w:szCs w:val="36"/>
                                    </w:rPr>
                                    <w:t>UWTSD</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C3D5C7F" id="Group 5" o:spid="_x0000_s1026" style="position:absolute;margin-left:24.65pt;margin-top:12.8pt;width:213.05pt;height:742.7pt;z-index:251661312;mso-wrap-distance-left:18pt;mso-wrap-distance-right:18pt;mso-position-horizontal-relative:page;mso-position-vertical-relative:page" coordorigin=",-797" coordsize="27629,830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">
                    <v:shapetype id="_x0000_t202" coordsize="21600,21600" o:spt="202" path="m,l,21600r21600,l21600,xe">
                      <v:stroke joinstyle="miter"/>
                      <v:path gradientshapeok="t" o:connecttype="rect"/>
                    </v:shapetype>
                    <v:shape id="Text Box 51" o:spid="_x0000_s1027" type="#_x0000_t202" style="position:absolute;left:1904;top:-797;width:25725;height:55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fede3 [2899]" stroked="f" strokeweight=".5pt">
                      <v:fill color2="#eae7d9 [3139]" rotate="t" focusposition=".5,.5" focussize="-.5,-.5" focus="100%" type="gradientRadial"/>
                      <v:textbox inset="14.4pt,1in,14.4pt,14.4pt">
                        <w:txbxContent>
                          <w:p w14:paraId="7C8E2276" w14:textId="36E3608E" w:rsidR="0030484F" w:rsidRDefault="0030484F" w:rsidP="0030484F">
                            <w:pPr>
                              <w:rPr>
                                <w:rFonts w:ascii="Arial" w:hAnsi="Arial" w:cs="Arial"/>
                                <w:color w:val="595959" w:themeColor="text1" w:themeTint="A6"/>
                                <w:sz w:val="24"/>
                                <w:szCs w:val="24"/>
                              </w:rPr>
                            </w:pPr>
                          </w:p>
                          <w:p w14:paraId="1F05F64E" w14:textId="7A712568"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Name: Yanislav Georgiev</w:t>
                            </w:r>
                          </w:p>
                          <w:p w14:paraId="758CA950" w14:textId="36A9628D"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Student ID: 2219323</w:t>
                            </w:r>
                          </w:p>
                          <w:p w14:paraId="151BB9DA" w14:textId="00440DF4"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Module Code: LCBB5000</w:t>
                            </w:r>
                          </w:p>
                          <w:p w14:paraId="7249F73E" w14:textId="7B89D5EF" w:rsidR="0030484F" w:rsidRPr="0030484F" w:rsidRDefault="0030484F" w:rsidP="0030484F">
                            <w:pPr>
                              <w:rPr>
                                <w:rFonts w:ascii="Arial" w:hAnsi="Arial" w:cs="Arial"/>
                                <w:b/>
                                <w:bCs/>
                                <w:color w:val="595959" w:themeColor="text1" w:themeTint="A6"/>
                                <w:sz w:val="24"/>
                                <w:szCs w:val="24"/>
                              </w:rPr>
                            </w:pPr>
                            <w:r w:rsidRPr="0030484F">
                              <w:rPr>
                                <w:rFonts w:ascii="Arial" w:hAnsi="Arial" w:cs="Arial"/>
                                <w:b/>
                                <w:bCs/>
                                <w:color w:val="595959" w:themeColor="text1" w:themeTint="A6"/>
                                <w:sz w:val="24"/>
                                <w:szCs w:val="24"/>
                              </w:rPr>
                              <w:t xml:space="preserve">Lecturer: Xavier </w:t>
                            </w:r>
                            <w:proofErr w:type="spellStart"/>
                            <w:r>
                              <w:rPr>
                                <w:rFonts w:ascii="Arial" w:hAnsi="Arial" w:cs="Arial"/>
                                <w:b/>
                                <w:bCs/>
                                <w:color w:val="595959" w:themeColor="text1" w:themeTint="A6"/>
                                <w:sz w:val="24"/>
                                <w:szCs w:val="24"/>
                              </w:rPr>
                              <w:t>Matieni</w:t>
                            </w:r>
                            <w:proofErr w:type="spellEnd"/>
                          </w:p>
                        </w:txbxContent>
                      </v:textbox>
                    </v:shape>
                    <v:rect id="Rectangle 3" o:spid="_x0000_s1028"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" adj="19915" fillcolor="#4f81bd [3204]" stroked="f" strokeweight="2pt">
                      <v:textbox inset="28.8pt,0,14.4pt,0">
                        <w:txbxContent>
                          <w:p w14:paraId="17637246" w14:textId="4CB21FB2" w:rsidR="0030484F" w:rsidRPr="0030484F" w:rsidRDefault="0030484F">
                            <w:pPr>
                              <w:pStyle w:val="NoSpacing"/>
                              <w:rPr>
                                <w:rFonts w:ascii="Arial" w:eastAsiaTheme="majorEastAsia" w:hAnsi="Arial" w:cs="Arial"/>
                                <w:color w:val="FFFFFF" w:themeColor="background1"/>
                                <w:sz w:val="36"/>
                                <w:szCs w:val="36"/>
                              </w:rPr>
                            </w:pPr>
                            <w:r w:rsidRPr="0030484F">
                              <w:rPr>
                                <w:rFonts w:ascii="Arial" w:eastAsiaTheme="majorEastAsia" w:hAnsi="Arial" w:cs="Arial"/>
                                <w:color w:val="FFFFFF" w:themeColor="background1"/>
                                <w:sz w:val="36"/>
                                <w:szCs w:val="36"/>
                              </w:rPr>
                              <w:t>UWTSD</w:t>
                            </w:r>
                          </w:p>
                        </w:txbxContent>
                      </v:textbox>
                    </v:shape>
                    <w10:wrap type="square" anchorx="page" anchory="page"/>
                  </v:group>
                </w:pict>
              </mc:Fallback>
            </mc:AlternateContent>
          </w:r>
          <w:r w:rsidR="000C6BFD" w:rsidRPr="00267217">
            <w:rPr>
              <w:noProof/>
            </w:rPr>
            <mc:AlternateContent>
              <mc:Choice Requires="wps">
                <w:drawing>
                  <wp:anchor distT="0" distB="0" distL="114300" distR="114300" simplePos="0" relativeHeight="251659264" behindDoc="1" locked="0" layoutInCell="1" allowOverlap="0" wp14:anchorId="07709297" wp14:editId="04B464C7">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F65E9" w14:paraId="12813B97" w14:textId="77777777">
                                  <w:trPr>
                                    <w:trHeight w:hRule="exact" w:val="9360"/>
                                  </w:trPr>
                                  <w:tc>
                                    <w:tcPr>
                                      <w:tcW w:w="9350" w:type="dxa"/>
                                    </w:tcPr>
                                    <w:p w14:paraId="08507ABC" w14:textId="77777777" w:rsidR="009F65E9" w:rsidRDefault="009F65E9">
                                      <w:r>
                                        <w:rPr>
                                          <w:noProof/>
                                        </w:rPr>
                                        <w:drawing>
                                          <wp:inline distT="0" distB="0" distL="0" distR="0" wp14:anchorId="7060CA1D" wp14:editId="747D6B17">
                                            <wp:extent cx="6858000" cy="5961888"/>
                                            <wp:effectExtent l="0" t="0" r="0" b="1270"/>
                                            <wp:docPr id="1012640774"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9F65E9" w14:paraId="1FD4EF09" w14:textId="77777777">
                                  <w:trPr>
                                    <w:trHeight w:hRule="exact" w:val="4320"/>
                                  </w:trPr>
                                  <w:tc>
                                    <w:tcPr>
                                      <w:tcW w:w="9350" w:type="dxa"/>
                                      <w:shd w:val="clear" w:color="auto" w:fill="1F497D" w:themeFill="text2"/>
                                      <w:vAlign w:val="center"/>
                                    </w:tcPr>
                                    <w:p w14:paraId="02D7D9AA" w14:textId="058DE631" w:rsidR="009F65E9" w:rsidRDefault="00000000" w:rsidP="00267217">
                                      <w:pPr>
                                        <w:pStyle w:val="NoSpacing"/>
                                        <w:spacing w:before="200" w:line="216" w:lineRule="auto"/>
                                        <w:ind w:left="720" w:right="720"/>
                                        <w:rPr>
                                          <w:rFonts w:asciiTheme="majorHAnsi" w:hAnsiTheme="majorHAnsi"/>
                                          <w:color w:val="FFFFFF" w:themeColor="background1"/>
                                          <w:sz w:val="96"/>
                                          <w:szCs w:val="96"/>
                                        </w:rPr>
                                      </w:pPr>
                                      <w:sdt>
                                        <w:sdtPr>
                                          <w:rPr>
                                            <w:rFonts w:ascii="Arial" w:eastAsia="Times New Roman" w:hAnsi="Arial" w:cs="Arial"/>
                                            <w:b/>
                                            <w:bCs/>
                                            <w:color w:val="1D2125"/>
                                            <w:kern w:val="36"/>
                                            <w:sz w:val="48"/>
                                            <w:szCs w:val="48"/>
                                          </w:rPr>
                                          <w:alias w:val="Title"/>
                                          <w:tag w:val=""/>
                                          <w:id w:val="739824258"/>
                                          <w:placeholder>
                                            <w:docPart w:val="93AD6B6023D04B7AAB5AAB7532AFE3E6"/>
                                          </w:placeholder>
                                          <w:dataBinding w:prefixMappings="xmlns:ns0='http://purl.org/dc/elements/1.1/' xmlns:ns1='http://schemas.openxmlformats.org/package/2006/metadata/core-properties' " w:xpath="/ns1:coreProperties[1]/ns0:title[1]" w:storeItemID="{6C3C8BC8-F283-45AE-878A-BAB7291924A1}"/>
                                          <w:text/>
                                        </w:sdtPr>
                                        <w:sdtContent>
                                          <w:r w:rsidR="0030484F" w:rsidRPr="0030484F">
                                            <w:rPr>
                                              <w:rFonts w:ascii="Arial" w:eastAsia="Times New Roman" w:hAnsi="Arial" w:cs="Arial"/>
                                              <w:b/>
                                              <w:bCs/>
                                              <w:color w:val="1D2125"/>
                                              <w:kern w:val="36"/>
                                              <w:sz w:val="48"/>
                                              <w:szCs w:val="48"/>
                                            </w:rPr>
                                            <w:t>Data Handling &amp; Business Intelligence</w:t>
                                          </w:r>
                                        </w:sdtContent>
                                      </w:sdt>
                                    </w:p>
                                    <w:p w14:paraId="2DC5FF03" w14:textId="06446B82" w:rsidR="009F65E9" w:rsidRDefault="00000000">
                                      <w:pPr>
                                        <w:pStyle w:val="NoSpacing"/>
                                        <w:spacing w:before="240"/>
                                        <w:ind w:left="720" w:right="720"/>
                                        <w:rPr>
                                          <w:color w:val="FFFFFF" w:themeColor="background1"/>
                                          <w:sz w:val="32"/>
                                          <w:szCs w:val="32"/>
                                        </w:rPr>
                                      </w:pPr>
                                      <w:sdt>
                                        <w:sdtPr>
                                          <w:rPr>
                                            <w:rFonts w:ascii="Arial" w:hAnsi="Arial" w:cs="Arial"/>
                                            <w:b/>
                                            <w:bCs/>
                                            <w:color w:val="auto"/>
                                            <w:sz w:val="36"/>
                                            <w:szCs w:val="36"/>
                                          </w:rPr>
                                          <w:alias w:val="Subtitle"/>
                                          <w:tag w:val=""/>
                                          <w:id w:val="1143089448"/>
                                          <w:placeholder>
                                            <w:docPart w:val="B712419D01B24D5B8F2399736C855A13"/>
                                          </w:placeholder>
                                          <w:dataBinding w:prefixMappings="xmlns:ns0='http://purl.org/dc/elements/1.1/' xmlns:ns1='http://schemas.openxmlformats.org/package/2006/metadata/core-properties' " w:xpath="/ns1:coreProperties[1]/ns0:subject[1]" w:storeItemID="{6C3C8BC8-F283-45AE-878A-BAB7291924A1}"/>
                                          <w:text/>
                                        </w:sdtPr>
                                        <w:sdtContent>
                                          <w:r w:rsidR="0030484F" w:rsidRPr="0030484F">
                                            <w:rPr>
                                              <w:rFonts w:ascii="Arial" w:hAnsi="Arial" w:cs="Arial"/>
                                              <w:b/>
                                              <w:bCs/>
                                              <w:color w:val="auto"/>
                                              <w:sz w:val="36"/>
                                              <w:szCs w:val="36"/>
                                            </w:rPr>
                                            <w:t>Assignment 2</w:t>
                                          </w:r>
                                        </w:sdtContent>
                                      </w:sdt>
                                    </w:p>
                                  </w:tc>
                                </w:tr>
                                <w:tr w:rsidR="009F65E9" w14:paraId="26DF10EA"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10239"/>
                                        <w:gridCol w:w="283"/>
                                        <w:gridCol w:w="283"/>
                                      </w:tblGrid>
                                      <w:tr w:rsidR="00C46C45" w14:paraId="336F07D3" w14:textId="77777777">
                                        <w:trPr>
                                          <w:trHeight w:hRule="exact" w:val="720"/>
                                        </w:trPr>
                                        <w:tc>
                                          <w:tcPr>
                                            <w:tcW w:w="3590" w:type="dxa"/>
                                            <w:vAlign w:val="center"/>
                                          </w:tcPr>
                                          <w:p w14:paraId="46E2E7B0" w14:textId="7C5AE0F9" w:rsidR="009F65E9" w:rsidRDefault="00C46C45">
                                            <w:pPr>
                                              <w:pStyle w:val="NoSpacing"/>
                                              <w:ind w:left="720" w:right="144"/>
                                              <w:rPr>
                                                <w:color w:val="FFFFFF" w:themeColor="background1"/>
                                              </w:rPr>
                                            </w:pPr>
                                            <w:r>
                                              <w:rPr>
                                                <w:noProof/>
                                                <w:color w:val="FFFFFF" w:themeColor="background1"/>
                                              </w:rPr>
                                              <w:drawing>
                                                <wp:inline distT="0" distB="0" distL="0" distR="0" wp14:anchorId="0B0B9247" wp14:editId="72F7A742">
                                                  <wp:extent cx="5953328" cy="544188"/>
                                                  <wp:effectExtent l="0" t="0" r="0" b="8890"/>
                                                  <wp:docPr id="64421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6457" cy="553615"/>
                                                          </a:xfrm>
                                                          <a:prstGeom prst="rect">
                                                            <a:avLst/>
                                                          </a:prstGeom>
                                                          <a:noFill/>
                                                          <a:ln>
                                                            <a:noFill/>
                                                          </a:ln>
                                                        </pic:spPr>
                                                      </pic:pic>
                                                    </a:graphicData>
                                                  </a:graphic>
                                                </wp:inline>
                                              </w:drawing>
                                            </w:r>
                                          </w:p>
                                        </w:tc>
                                        <w:tc>
                                          <w:tcPr>
                                            <w:tcW w:w="3591" w:type="dxa"/>
                                            <w:vAlign w:val="center"/>
                                          </w:tcPr>
                                          <w:p w14:paraId="09DF265B" w14:textId="5267E59B" w:rsidR="009F65E9" w:rsidRDefault="009F65E9">
                                            <w:pPr>
                                              <w:pStyle w:val="NoSpacing"/>
                                              <w:ind w:left="144" w:right="144"/>
                                              <w:jc w:val="center"/>
                                              <w:rPr>
                                                <w:color w:val="FFFFFF" w:themeColor="background1"/>
                                              </w:rPr>
                                            </w:pPr>
                                          </w:p>
                                        </w:tc>
                                        <w:tc>
                                          <w:tcPr>
                                            <w:tcW w:w="3591" w:type="dxa"/>
                                            <w:vAlign w:val="center"/>
                                          </w:tcPr>
                                          <w:p w14:paraId="50CF1540" w14:textId="502250E3" w:rsidR="009F65E9" w:rsidRDefault="009F65E9">
                                            <w:pPr>
                                              <w:pStyle w:val="NoSpacing"/>
                                              <w:ind w:left="144" w:right="720"/>
                                              <w:jc w:val="right"/>
                                              <w:rPr>
                                                <w:color w:val="FFFFFF" w:themeColor="background1"/>
                                              </w:rPr>
                                            </w:pPr>
                                          </w:p>
                                        </w:tc>
                                      </w:tr>
                                    </w:tbl>
                                    <w:p w14:paraId="458BFFBF" w14:textId="77777777" w:rsidR="009F65E9" w:rsidRDefault="009F65E9"/>
                                  </w:tc>
                                </w:tr>
                              </w:tbl>
                              <w:p w14:paraId="5698A245" w14:textId="77777777" w:rsidR="009F65E9" w:rsidRDefault="009F65E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709297" id="Text Box 1" o:spid="_x0000_s1030"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F65E9" w14:paraId="12813B97" w14:textId="77777777">
                            <w:trPr>
                              <w:trHeight w:hRule="exact" w:val="9360"/>
                            </w:trPr>
                            <w:tc>
                              <w:tcPr>
                                <w:tcW w:w="9350" w:type="dxa"/>
                              </w:tcPr>
                              <w:p w14:paraId="08507ABC" w14:textId="77777777" w:rsidR="009F65E9" w:rsidRDefault="009F65E9">
                                <w:r>
                                  <w:rPr>
                                    <w:noProof/>
                                  </w:rPr>
                                  <w:drawing>
                                    <wp:inline distT="0" distB="0" distL="0" distR="0" wp14:anchorId="7060CA1D" wp14:editId="747D6B17">
                                      <wp:extent cx="6858000" cy="5961888"/>
                                      <wp:effectExtent l="0" t="0" r="0" b="1270"/>
                                      <wp:docPr id="1012640774"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9F65E9" w14:paraId="1FD4EF09" w14:textId="77777777">
                            <w:trPr>
                              <w:trHeight w:hRule="exact" w:val="4320"/>
                            </w:trPr>
                            <w:tc>
                              <w:tcPr>
                                <w:tcW w:w="9350" w:type="dxa"/>
                                <w:shd w:val="clear" w:color="auto" w:fill="1F497D" w:themeFill="text2"/>
                                <w:vAlign w:val="center"/>
                              </w:tcPr>
                              <w:p w14:paraId="02D7D9AA" w14:textId="058DE631" w:rsidR="009F65E9" w:rsidRDefault="00000000" w:rsidP="00267217">
                                <w:pPr>
                                  <w:pStyle w:val="NoSpacing"/>
                                  <w:spacing w:before="200" w:line="216" w:lineRule="auto"/>
                                  <w:ind w:left="720" w:right="720"/>
                                  <w:rPr>
                                    <w:rFonts w:asciiTheme="majorHAnsi" w:hAnsiTheme="majorHAnsi"/>
                                    <w:color w:val="FFFFFF" w:themeColor="background1"/>
                                    <w:sz w:val="96"/>
                                    <w:szCs w:val="96"/>
                                  </w:rPr>
                                </w:pPr>
                                <w:sdt>
                                  <w:sdtPr>
                                    <w:rPr>
                                      <w:rFonts w:ascii="Arial" w:eastAsia="Times New Roman" w:hAnsi="Arial" w:cs="Arial"/>
                                      <w:b/>
                                      <w:bCs/>
                                      <w:color w:val="1D2125"/>
                                      <w:kern w:val="36"/>
                                      <w:sz w:val="48"/>
                                      <w:szCs w:val="48"/>
                                    </w:rPr>
                                    <w:alias w:val="Title"/>
                                    <w:tag w:val=""/>
                                    <w:id w:val="739824258"/>
                                    <w:placeholder>
                                      <w:docPart w:val="93AD6B6023D04B7AAB5AAB7532AFE3E6"/>
                                    </w:placeholder>
                                    <w:dataBinding w:prefixMappings="xmlns:ns0='http://purl.org/dc/elements/1.1/' xmlns:ns1='http://schemas.openxmlformats.org/package/2006/metadata/core-properties' " w:xpath="/ns1:coreProperties[1]/ns0:title[1]" w:storeItemID="{6C3C8BC8-F283-45AE-878A-BAB7291924A1}"/>
                                    <w:text/>
                                  </w:sdtPr>
                                  <w:sdtContent>
                                    <w:r w:rsidR="0030484F" w:rsidRPr="0030484F">
                                      <w:rPr>
                                        <w:rFonts w:ascii="Arial" w:eastAsia="Times New Roman" w:hAnsi="Arial" w:cs="Arial"/>
                                        <w:b/>
                                        <w:bCs/>
                                        <w:color w:val="1D2125"/>
                                        <w:kern w:val="36"/>
                                        <w:sz w:val="48"/>
                                        <w:szCs w:val="48"/>
                                      </w:rPr>
                                      <w:t>Data Handling &amp; Business Intelligence</w:t>
                                    </w:r>
                                  </w:sdtContent>
                                </w:sdt>
                              </w:p>
                              <w:p w14:paraId="2DC5FF03" w14:textId="06446B82" w:rsidR="009F65E9" w:rsidRDefault="00000000">
                                <w:pPr>
                                  <w:pStyle w:val="NoSpacing"/>
                                  <w:spacing w:before="240"/>
                                  <w:ind w:left="720" w:right="720"/>
                                  <w:rPr>
                                    <w:color w:val="FFFFFF" w:themeColor="background1"/>
                                    <w:sz w:val="32"/>
                                    <w:szCs w:val="32"/>
                                  </w:rPr>
                                </w:pPr>
                                <w:sdt>
                                  <w:sdtPr>
                                    <w:rPr>
                                      <w:rFonts w:ascii="Arial" w:hAnsi="Arial" w:cs="Arial"/>
                                      <w:b/>
                                      <w:bCs/>
                                      <w:color w:val="auto"/>
                                      <w:sz w:val="36"/>
                                      <w:szCs w:val="36"/>
                                    </w:rPr>
                                    <w:alias w:val="Subtitle"/>
                                    <w:tag w:val=""/>
                                    <w:id w:val="1143089448"/>
                                    <w:placeholder>
                                      <w:docPart w:val="B712419D01B24D5B8F2399736C855A13"/>
                                    </w:placeholder>
                                    <w:dataBinding w:prefixMappings="xmlns:ns0='http://purl.org/dc/elements/1.1/' xmlns:ns1='http://schemas.openxmlformats.org/package/2006/metadata/core-properties' " w:xpath="/ns1:coreProperties[1]/ns0:subject[1]" w:storeItemID="{6C3C8BC8-F283-45AE-878A-BAB7291924A1}"/>
                                    <w:text/>
                                  </w:sdtPr>
                                  <w:sdtContent>
                                    <w:r w:rsidR="0030484F" w:rsidRPr="0030484F">
                                      <w:rPr>
                                        <w:rFonts w:ascii="Arial" w:hAnsi="Arial" w:cs="Arial"/>
                                        <w:b/>
                                        <w:bCs/>
                                        <w:color w:val="auto"/>
                                        <w:sz w:val="36"/>
                                        <w:szCs w:val="36"/>
                                      </w:rPr>
                                      <w:t>Assignment 2</w:t>
                                    </w:r>
                                  </w:sdtContent>
                                </w:sdt>
                              </w:p>
                            </w:tc>
                          </w:tr>
                          <w:tr w:rsidR="009F65E9" w14:paraId="26DF10EA"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10239"/>
                                  <w:gridCol w:w="283"/>
                                  <w:gridCol w:w="283"/>
                                </w:tblGrid>
                                <w:tr w:rsidR="00C46C45" w14:paraId="336F07D3" w14:textId="77777777">
                                  <w:trPr>
                                    <w:trHeight w:hRule="exact" w:val="720"/>
                                  </w:trPr>
                                  <w:tc>
                                    <w:tcPr>
                                      <w:tcW w:w="3590" w:type="dxa"/>
                                      <w:vAlign w:val="center"/>
                                    </w:tcPr>
                                    <w:p w14:paraId="46E2E7B0" w14:textId="7C5AE0F9" w:rsidR="009F65E9" w:rsidRDefault="00C46C45">
                                      <w:pPr>
                                        <w:pStyle w:val="NoSpacing"/>
                                        <w:ind w:left="720" w:right="144"/>
                                        <w:rPr>
                                          <w:color w:val="FFFFFF" w:themeColor="background1"/>
                                        </w:rPr>
                                      </w:pPr>
                                      <w:r>
                                        <w:rPr>
                                          <w:noProof/>
                                          <w:color w:val="FFFFFF" w:themeColor="background1"/>
                                        </w:rPr>
                                        <w:drawing>
                                          <wp:inline distT="0" distB="0" distL="0" distR="0" wp14:anchorId="0B0B9247" wp14:editId="72F7A742">
                                            <wp:extent cx="5953328" cy="544188"/>
                                            <wp:effectExtent l="0" t="0" r="0" b="8890"/>
                                            <wp:docPr id="64421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6457" cy="553615"/>
                                                    </a:xfrm>
                                                    <a:prstGeom prst="rect">
                                                      <a:avLst/>
                                                    </a:prstGeom>
                                                    <a:noFill/>
                                                    <a:ln>
                                                      <a:noFill/>
                                                    </a:ln>
                                                  </pic:spPr>
                                                </pic:pic>
                                              </a:graphicData>
                                            </a:graphic>
                                          </wp:inline>
                                        </w:drawing>
                                      </w:r>
                                    </w:p>
                                  </w:tc>
                                  <w:tc>
                                    <w:tcPr>
                                      <w:tcW w:w="3591" w:type="dxa"/>
                                      <w:vAlign w:val="center"/>
                                    </w:tcPr>
                                    <w:p w14:paraId="09DF265B" w14:textId="5267E59B" w:rsidR="009F65E9" w:rsidRDefault="009F65E9">
                                      <w:pPr>
                                        <w:pStyle w:val="NoSpacing"/>
                                        <w:ind w:left="144" w:right="144"/>
                                        <w:jc w:val="center"/>
                                        <w:rPr>
                                          <w:color w:val="FFFFFF" w:themeColor="background1"/>
                                        </w:rPr>
                                      </w:pPr>
                                    </w:p>
                                  </w:tc>
                                  <w:tc>
                                    <w:tcPr>
                                      <w:tcW w:w="3591" w:type="dxa"/>
                                      <w:vAlign w:val="center"/>
                                    </w:tcPr>
                                    <w:p w14:paraId="50CF1540" w14:textId="502250E3" w:rsidR="009F65E9" w:rsidRDefault="009F65E9">
                                      <w:pPr>
                                        <w:pStyle w:val="NoSpacing"/>
                                        <w:ind w:left="144" w:right="720"/>
                                        <w:jc w:val="right"/>
                                        <w:rPr>
                                          <w:color w:val="FFFFFF" w:themeColor="background1"/>
                                        </w:rPr>
                                      </w:pPr>
                                    </w:p>
                                  </w:tc>
                                </w:tr>
                              </w:tbl>
                              <w:p w14:paraId="458BFFBF" w14:textId="77777777" w:rsidR="009F65E9" w:rsidRDefault="009F65E9"/>
                            </w:tc>
                          </w:tr>
                        </w:tbl>
                        <w:p w14:paraId="5698A245" w14:textId="77777777" w:rsidR="009F65E9" w:rsidRDefault="009F65E9"/>
                      </w:txbxContent>
                    </v:textbox>
                    <w10:wrap anchorx="page" anchory="page"/>
                  </v:shape>
                </w:pict>
              </mc:Fallback>
            </mc:AlternateContent>
          </w:r>
        </w:p>
        <w:p w14:paraId="467D5EEB" w14:textId="6C28E703" w:rsidR="00435E72" w:rsidRPr="00267217" w:rsidRDefault="000C6BFD" w:rsidP="00435E72">
          <w:pPr>
            <w:rPr>
              <w:rFonts w:cstheme="minorHAnsi"/>
              <w:b/>
              <w:bCs/>
              <w:sz w:val="36"/>
              <w:szCs w:val="36"/>
            </w:rPr>
          </w:pPr>
          <w:r w:rsidRPr="00267217">
            <w:rPr>
              <w:rFonts w:cstheme="minorHAnsi"/>
              <w:b/>
              <w:bCs/>
              <w:sz w:val="36"/>
              <w:szCs w:val="36"/>
            </w:rPr>
            <w:br w:type="page"/>
          </w:r>
        </w:p>
      </w:sdtContent>
    </w:sdt>
    <w:p w14:paraId="6CC03532" w14:textId="77777777" w:rsidR="00267217" w:rsidRDefault="00267217" w:rsidP="00A336AB">
      <w:pPr>
        <w:pStyle w:val="Heading1"/>
        <w:jc w:val="both"/>
        <w:rPr>
          <w:rFonts w:ascii="Arial" w:hAnsi="Arial" w:cs="Arial"/>
          <w:b/>
          <w:lang w:val="en-GB"/>
        </w:rPr>
      </w:pPr>
    </w:p>
    <w:sdt>
      <w:sdtPr>
        <w:rPr>
          <w:rFonts w:asciiTheme="minorHAnsi" w:eastAsiaTheme="minorHAnsi" w:hAnsiTheme="minorHAnsi" w:cstheme="minorBidi"/>
          <w:color w:val="auto"/>
          <w:sz w:val="22"/>
          <w:szCs w:val="22"/>
          <w:lang w:val="en-GB"/>
        </w:rPr>
        <w:id w:val="523375328"/>
        <w:docPartObj>
          <w:docPartGallery w:val="Table of Contents"/>
          <w:docPartUnique/>
        </w:docPartObj>
      </w:sdtPr>
      <w:sdtEndPr>
        <w:rPr>
          <w:b/>
          <w:bCs/>
          <w:noProof/>
        </w:rPr>
      </w:sdtEndPr>
      <w:sdtContent>
        <w:p w14:paraId="3778863E" w14:textId="3B0A7691" w:rsidR="00267217" w:rsidRPr="00267217" w:rsidRDefault="00267217" w:rsidP="00267217">
          <w:pPr>
            <w:pStyle w:val="TOCHeading"/>
            <w:jc w:val="both"/>
            <w:rPr>
              <w:b/>
            </w:rPr>
          </w:pPr>
          <w:r w:rsidRPr="00267217">
            <w:rPr>
              <w:b/>
            </w:rPr>
            <w:t>Table of Contents</w:t>
          </w:r>
        </w:p>
        <w:p w14:paraId="684A0DD0" w14:textId="70B38C1E" w:rsidR="00B04021" w:rsidRDefault="00267217">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65631028" w:history="1">
            <w:r w:rsidR="00B04021" w:rsidRPr="00FF394E">
              <w:rPr>
                <w:rStyle w:val="Hyperlink"/>
                <w:rFonts w:ascii="Arial" w:hAnsi="Arial" w:cs="Arial"/>
                <w:b/>
                <w:noProof/>
              </w:rPr>
              <w:t>Introduction</w:t>
            </w:r>
            <w:r w:rsidR="00B04021">
              <w:rPr>
                <w:noProof/>
                <w:webHidden/>
              </w:rPr>
              <w:tab/>
            </w:r>
            <w:r w:rsidR="00B04021">
              <w:rPr>
                <w:noProof/>
                <w:webHidden/>
              </w:rPr>
              <w:fldChar w:fldCharType="begin"/>
            </w:r>
            <w:r w:rsidR="00B04021">
              <w:rPr>
                <w:noProof/>
                <w:webHidden/>
              </w:rPr>
              <w:instrText xml:space="preserve"> PAGEREF _Toc165631028 \h </w:instrText>
            </w:r>
            <w:r w:rsidR="00B04021">
              <w:rPr>
                <w:noProof/>
                <w:webHidden/>
              </w:rPr>
            </w:r>
            <w:r w:rsidR="00B04021">
              <w:rPr>
                <w:noProof/>
                <w:webHidden/>
              </w:rPr>
              <w:fldChar w:fldCharType="separate"/>
            </w:r>
            <w:r w:rsidR="00C46C45">
              <w:rPr>
                <w:noProof/>
                <w:webHidden/>
              </w:rPr>
              <w:t>2</w:t>
            </w:r>
            <w:r w:rsidR="00B04021">
              <w:rPr>
                <w:noProof/>
                <w:webHidden/>
              </w:rPr>
              <w:fldChar w:fldCharType="end"/>
            </w:r>
          </w:hyperlink>
        </w:p>
        <w:p w14:paraId="7C00D0C1" w14:textId="0611236C" w:rsidR="00B04021" w:rsidRDefault="00000000">
          <w:pPr>
            <w:pStyle w:val="TOC1"/>
            <w:tabs>
              <w:tab w:val="right" w:leader="dot" w:pos="9350"/>
            </w:tabs>
            <w:rPr>
              <w:rFonts w:eastAsiaTheme="minorEastAsia"/>
              <w:noProof/>
              <w:lang w:eastAsia="en-GB"/>
            </w:rPr>
          </w:pPr>
          <w:hyperlink w:anchor="_Toc165631029" w:history="1">
            <w:r w:rsidR="00B04021" w:rsidRPr="00FF394E">
              <w:rPr>
                <w:rStyle w:val="Hyperlink"/>
                <w:rFonts w:ascii="Arial" w:hAnsi="Arial" w:cs="Arial"/>
                <w:b/>
                <w:noProof/>
              </w:rPr>
              <w:t>Part 1: E-commerce Data Analysis</w:t>
            </w:r>
            <w:r w:rsidR="00B04021">
              <w:rPr>
                <w:noProof/>
                <w:webHidden/>
              </w:rPr>
              <w:tab/>
            </w:r>
            <w:r w:rsidR="00B04021">
              <w:rPr>
                <w:noProof/>
                <w:webHidden/>
              </w:rPr>
              <w:fldChar w:fldCharType="begin"/>
            </w:r>
            <w:r w:rsidR="00B04021">
              <w:rPr>
                <w:noProof/>
                <w:webHidden/>
              </w:rPr>
              <w:instrText xml:space="preserve"> PAGEREF _Toc165631029 \h </w:instrText>
            </w:r>
            <w:r w:rsidR="00B04021">
              <w:rPr>
                <w:noProof/>
                <w:webHidden/>
              </w:rPr>
            </w:r>
            <w:r w:rsidR="00B04021">
              <w:rPr>
                <w:noProof/>
                <w:webHidden/>
              </w:rPr>
              <w:fldChar w:fldCharType="separate"/>
            </w:r>
            <w:r w:rsidR="00C46C45">
              <w:rPr>
                <w:noProof/>
                <w:webHidden/>
              </w:rPr>
              <w:t>3</w:t>
            </w:r>
            <w:r w:rsidR="00B04021">
              <w:rPr>
                <w:noProof/>
                <w:webHidden/>
              </w:rPr>
              <w:fldChar w:fldCharType="end"/>
            </w:r>
          </w:hyperlink>
        </w:p>
        <w:p w14:paraId="46558768" w14:textId="480FEF2C" w:rsidR="00B04021" w:rsidRDefault="00000000">
          <w:pPr>
            <w:pStyle w:val="TOC1"/>
            <w:tabs>
              <w:tab w:val="right" w:leader="dot" w:pos="9350"/>
            </w:tabs>
            <w:rPr>
              <w:rFonts w:eastAsiaTheme="minorEastAsia"/>
              <w:noProof/>
              <w:lang w:eastAsia="en-GB"/>
            </w:rPr>
          </w:pPr>
          <w:hyperlink w:anchor="_Toc165631030" w:history="1">
            <w:r w:rsidR="00B04021" w:rsidRPr="00FF394E">
              <w:rPr>
                <w:rStyle w:val="Hyperlink"/>
                <w:rFonts w:ascii="Arial" w:hAnsi="Arial" w:cs="Arial"/>
                <w:b/>
                <w:noProof/>
              </w:rPr>
              <w:t>Section 1: Dataset Overview and Pre-processing</w:t>
            </w:r>
            <w:r w:rsidR="00B04021">
              <w:rPr>
                <w:noProof/>
                <w:webHidden/>
              </w:rPr>
              <w:tab/>
            </w:r>
            <w:r w:rsidR="00B04021">
              <w:rPr>
                <w:noProof/>
                <w:webHidden/>
              </w:rPr>
              <w:fldChar w:fldCharType="begin"/>
            </w:r>
            <w:r w:rsidR="00B04021">
              <w:rPr>
                <w:noProof/>
                <w:webHidden/>
              </w:rPr>
              <w:instrText xml:space="preserve"> PAGEREF _Toc165631030 \h </w:instrText>
            </w:r>
            <w:r w:rsidR="00B04021">
              <w:rPr>
                <w:noProof/>
                <w:webHidden/>
              </w:rPr>
            </w:r>
            <w:r w:rsidR="00B04021">
              <w:rPr>
                <w:noProof/>
                <w:webHidden/>
              </w:rPr>
              <w:fldChar w:fldCharType="separate"/>
            </w:r>
            <w:r w:rsidR="00C46C45">
              <w:rPr>
                <w:noProof/>
                <w:webHidden/>
              </w:rPr>
              <w:t>3</w:t>
            </w:r>
            <w:r w:rsidR="00B04021">
              <w:rPr>
                <w:noProof/>
                <w:webHidden/>
              </w:rPr>
              <w:fldChar w:fldCharType="end"/>
            </w:r>
          </w:hyperlink>
        </w:p>
        <w:p w14:paraId="5A386E08" w14:textId="7F342A96" w:rsidR="00B04021" w:rsidRDefault="00000000">
          <w:pPr>
            <w:pStyle w:val="TOC1"/>
            <w:tabs>
              <w:tab w:val="right" w:leader="dot" w:pos="9350"/>
            </w:tabs>
            <w:rPr>
              <w:rFonts w:eastAsiaTheme="minorEastAsia"/>
              <w:noProof/>
              <w:lang w:eastAsia="en-GB"/>
            </w:rPr>
          </w:pPr>
          <w:hyperlink w:anchor="_Toc165631031" w:history="1">
            <w:r w:rsidR="00B04021" w:rsidRPr="00FF394E">
              <w:rPr>
                <w:rStyle w:val="Hyperlink"/>
                <w:rFonts w:ascii="Arial" w:hAnsi="Arial" w:cs="Arial"/>
                <w:b/>
                <w:noProof/>
              </w:rPr>
              <w:t>Section 2: Data Analysis Using Excel</w:t>
            </w:r>
            <w:r w:rsidR="00B04021">
              <w:rPr>
                <w:noProof/>
                <w:webHidden/>
              </w:rPr>
              <w:tab/>
            </w:r>
            <w:r w:rsidR="00B04021">
              <w:rPr>
                <w:noProof/>
                <w:webHidden/>
              </w:rPr>
              <w:fldChar w:fldCharType="begin"/>
            </w:r>
            <w:r w:rsidR="00B04021">
              <w:rPr>
                <w:noProof/>
                <w:webHidden/>
              </w:rPr>
              <w:instrText xml:space="preserve"> PAGEREF _Toc165631031 \h </w:instrText>
            </w:r>
            <w:r w:rsidR="00B04021">
              <w:rPr>
                <w:noProof/>
                <w:webHidden/>
              </w:rPr>
            </w:r>
            <w:r w:rsidR="00B04021">
              <w:rPr>
                <w:noProof/>
                <w:webHidden/>
              </w:rPr>
              <w:fldChar w:fldCharType="separate"/>
            </w:r>
            <w:r w:rsidR="00C46C45">
              <w:rPr>
                <w:noProof/>
                <w:webHidden/>
              </w:rPr>
              <w:t>5</w:t>
            </w:r>
            <w:r w:rsidR="00B04021">
              <w:rPr>
                <w:noProof/>
                <w:webHidden/>
              </w:rPr>
              <w:fldChar w:fldCharType="end"/>
            </w:r>
          </w:hyperlink>
        </w:p>
        <w:p w14:paraId="41E20D29" w14:textId="71E1C412" w:rsidR="00B04021" w:rsidRDefault="00000000">
          <w:pPr>
            <w:pStyle w:val="TOC2"/>
            <w:tabs>
              <w:tab w:val="right" w:leader="dot" w:pos="9350"/>
            </w:tabs>
            <w:rPr>
              <w:rFonts w:eastAsiaTheme="minorEastAsia"/>
              <w:noProof/>
              <w:lang w:eastAsia="en-GB"/>
            </w:rPr>
          </w:pPr>
          <w:hyperlink w:anchor="_Toc165631032" w:history="1">
            <w:r w:rsidR="00B04021" w:rsidRPr="00FF394E">
              <w:rPr>
                <w:rStyle w:val="Hyperlink"/>
                <w:rFonts w:ascii="Arial" w:hAnsi="Arial" w:cs="Arial"/>
                <w:b/>
                <w:noProof/>
              </w:rPr>
              <w:t>1: Sales Trend Analysis</w:t>
            </w:r>
            <w:r w:rsidR="00B04021">
              <w:rPr>
                <w:noProof/>
                <w:webHidden/>
              </w:rPr>
              <w:tab/>
            </w:r>
            <w:r w:rsidR="00B04021">
              <w:rPr>
                <w:noProof/>
                <w:webHidden/>
              </w:rPr>
              <w:fldChar w:fldCharType="begin"/>
            </w:r>
            <w:r w:rsidR="00B04021">
              <w:rPr>
                <w:noProof/>
                <w:webHidden/>
              </w:rPr>
              <w:instrText xml:space="preserve"> PAGEREF _Toc165631032 \h </w:instrText>
            </w:r>
            <w:r w:rsidR="00B04021">
              <w:rPr>
                <w:noProof/>
                <w:webHidden/>
              </w:rPr>
            </w:r>
            <w:r w:rsidR="00B04021">
              <w:rPr>
                <w:noProof/>
                <w:webHidden/>
              </w:rPr>
              <w:fldChar w:fldCharType="separate"/>
            </w:r>
            <w:r w:rsidR="00C46C45">
              <w:rPr>
                <w:noProof/>
                <w:webHidden/>
              </w:rPr>
              <w:t>5</w:t>
            </w:r>
            <w:r w:rsidR="00B04021">
              <w:rPr>
                <w:noProof/>
                <w:webHidden/>
              </w:rPr>
              <w:fldChar w:fldCharType="end"/>
            </w:r>
          </w:hyperlink>
        </w:p>
        <w:p w14:paraId="181FB916" w14:textId="1499A2E1" w:rsidR="00B04021" w:rsidRDefault="00000000">
          <w:pPr>
            <w:pStyle w:val="TOC2"/>
            <w:tabs>
              <w:tab w:val="right" w:leader="dot" w:pos="9350"/>
            </w:tabs>
            <w:rPr>
              <w:rFonts w:eastAsiaTheme="minorEastAsia"/>
              <w:noProof/>
              <w:lang w:eastAsia="en-GB"/>
            </w:rPr>
          </w:pPr>
          <w:hyperlink w:anchor="_Toc165631033" w:history="1">
            <w:r w:rsidR="00B04021" w:rsidRPr="00FF394E">
              <w:rPr>
                <w:rStyle w:val="Hyperlink"/>
                <w:rFonts w:ascii="Arial" w:hAnsi="Arial" w:cs="Arial"/>
                <w:b/>
                <w:noProof/>
              </w:rPr>
              <w:t>2: Product Analysis</w:t>
            </w:r>
            <w:r w:rsidR="00B04021">
              <w:rPr>
                <w:noProof/>
                <w:webHidden/>
              </w:rPr>
              <w:tab/>
            </w:r>
            <w:r w:rsidR="00B04021">
              <w:rPr>
                <w:noProof/>
                <w:webHidden/>
              </w:rPr>
              <w:fldChar w:fldCharType="begin"/>
            </w:r>
            <w:r w:rsidR="00B04021">
              <w:rPr>
                <w:noProof/>
                <w:webHidden/>
              </w:rPr>
              <w:instrText xml:space="preserve"> PAGEREF _Toc165631033 \h </w:instrText>
            </w:r>
            <w:r w:rsidR="00B04021">
              <w:rPr>
                <w:noProof/>
                <w:webHidden/>
              </w:rPr>
            </w:r>
            <w:r w:rsidR="00B04021">
              <w:rPr>
                <w:noProof/>
                <w:webHidden/>
              </w:rPr>
              <w:fldChar w:fldCharType="separate"/>
            </w:r>
            <w:r w:rsidR="00C46C45">
              <w:rPr>
                <w:noProof/>
                <w:webHidden/>
              </w:rPr>
              <w:t>7</w:t>
            </w:r>
            <w:r w:rsidR="00B04021">
              <w:rPr>
                <w:noProof/>
                <w:webHidden/>
              </w:rPr>
              <w:fldChar w:fldCharType="end"/>
            </w:r>
          </w:hyperlink>
        </w:p>
        <w:p w14:paraId="140C36A5" w14:textId="57950F10" w:rsidR="00B04021" w:rsidRDefault="00000000">
          <w:pPr>
            <w:pStyle w:val="TOC2"/>
            <w:tabs>
              <w:tab w:val="right" w:leader="dot" w:pos="9350"/>
            </w:tabs>
            <w:rPr>
              <w:rFonts w:eastAsiaTheme="minorEastAsia"/>
              <w:noProof/>
              <w:lang w:eastAsia="en-GB"/>
            </w:rPr>
          </w:pPr>
          <w:hyperlink w:anchor="_Toc165631034" w:history="1">
            <w:r w:rsidR="00B04021" w:rsidRPr="00FF394E">
              <w:rPr>
                <w:rStyle w:val="Hyperlink"/>
                <w:rFonts w:ascii="Arial" w:hAnsi="Arial" w:cs="Arial"/>
                <w:b/>
                <w:noProof/>
              </w:rPr>
              <w:t>3: Transaction Analysis</w:t>
            </w:r>
            <w:r w:rsidR="00B04021">
              <w:rPr>
                <w:noProof/>
                <w:webHidden/>
              </w:rPr>
              <w:tab/>
            </w:r>
            <w:r w:rsidR="00B04021">
              <w:rPr>
                <w:noProof/>
                <w:webHidden/>
              </w:rPr>
              <w:fldChar w:fldCharType="begin"/>
            </w:r>
            <w:r w:rsidR="00B04021">
              <w:rPr>
                <w:noProof/>
                <w:webHidden/>
              </w:rPr>
              <w:instrText xml:space="preserve"> PAGEREF _Toc165631034 \h </w:instrText>
            </w:r>
            <w:r w:rsidR="00B04021">
              <w:rPr>
                <w:noProof/>
                <w:webHidden/>
              </w:rPr>
            </w:r>
            <w:r w:rsidR="00B04021">
              <w:rPr>
                <w:noProof/>
                <w:webHidden/>
              </w:rPr>
              <w:fldChar w:fldCharType="separate"/>
            </w:r>
            <w:r w:rsidR="00C46C45">
              <w:rPr>
                <w:noProof/>
                <w:webHidden/>
              </w:rPr>
              <w:t>9</w:t>
            </w:r>
            <w:r w:rsidR="00B04021">
              <w:rPr>
                <w:noProof/>
                <w:webHidden/>
              </w:rPr>
              <w:fldChar w:fldCharType="end"/>
            </w:r>
          </w:hyperlink>
        </w:p>
        <w:p w14:paraId="33990D84" w14:textId="36532940" w:rsidR="00B04021" w:rsidRDefault="00000000">
          <w:pPr>
            <w:pStyle w:val="TOC2"/>
            <w:tabs>
              <w:tab w:val="right" w:leader="dot" w:pos="9350"/>
            </w:tabs>
            <w:rPr>
              <w:rFonts w:eastAsiaTheme="minorEastAsia"/>
              <w:noProof/>
              <w:lang w:eastAsia="en-GB"/>
            </w:rPr>
          </w:pPr>
          <w:hyperlink w:anchor="_Toc165631035" w:history="1">
            <w:r w:rsidR="00B04021" w:rsidRPr="00FF394E">
              <w:rPr>
                <w:rStyle w:val="Hyperlink"/>
                <w:rFonts w:ascii="Arial" w:hAnsi="Arial" w:cs="Arial"/>
                <w:b/>
                <w:noProof/>
              </w:rPr>
              <w:t>4: Customer Segment Profitability</w:t>
            </w:r>
            <w:r w:rsidR="00B04021">
              <w:rPr>
                <w:noProof/>
                <w:webHidden/>
              </w:rPr>
              <w:tab/>
            </w:r>
            <w:r w:rsidR="00B04021">
              <w:rPr>
                <w:noProof/>
                <w:webHidden/>
              </w:rPr>
              <w:fldChar w:fldCharType="begin"/>
            </w:r>
            <w:r w:rsidR="00B04021">
              <w:rPr>
                <w:noProof/>
                <w:webHidden/>
              </w:rPr>
              <w:instrText xml:space="preserve"> PAGEREF _Toc165631035 \h </w:instrText>
            </w:r>
            <w:r w:rsidR="00B04021">
              <w:rPr>
                <w:noProof/>
                <w:webHidden/>
              </w:rPr>
            </w:r>
            <w:r w:rsidR="00B04021">
              <w:rPr>
                <w:noProof/>
                <w:webHidden/>
              </w:rPr>
              <w:fldChar w:fldCharType="separate"/>
            </w:r>
            <w:r w:rsidR="00C46C45">
              <w:rPr>
                <w:noProof/>
                <w:webHidden/>
              </w:rPr>
              <w:t>11</w:t>
            </w:r>
            <w:r w:rsidR="00B04021">
              <w:rPr>
                <w:noProof/>
                <w:webHidden/>
              </w:rPr>
              <w:fldChar w:fldCharType="end"/>
            </w:r>
          </w:hyperlink>
        </w:p>
        <w:p w14:paraId="11A855ED" w14:textId="6B67F832" w:rsidR="00B04021" w:rsidRDefault="00000000">
          <w:pPr>
            <w:pStyle w:val="TOC1"/>
            <w:tabs>
              <w:tab w:val="right" w:leader="dot" w:pos="9350"/>
            </w:tabs>
            <w:rPr>
              <w:rFonts w:eastAsiaTheme="minorEastAsia"/>
              <w:noProof/>
              <w:lang w:eastAsia="en-GB"/>
            </w:rPr>
          </w:pPr>
          <w:hyperlink w:anchor="_Toc165631036" w:history="1">
            <w:r w:rsidR="00B04021" w:rsidRPr="00FF394E">
              <w:rPr>
                <w:rStyle w:val="Hyperlink"/>
                <w:rFonts w:ascii="Arial" w:hAnsi="Arial" w:cs="Arial"/>
                <w:b/>
                <w:noProof/>
              </w:rPr>
              <w:t>Section 3: Strategic Recommendations</w:t>
            </w:r>
            <w:r w:rsidR="00B04021">
              <w:rPr>
                <w:noProof/>
                <w:webHidden/>
              </w:rPr>
              <w:tab/>
            </w:r>
            <w:r w:rsidR="00B04021">
              <w:rPr>
                <w:noProof/>
                <w:webHidden/>
              </w:rPr>
              <w:fldChar w:fldCharType="begin"/>
            </w:r>
            <w:r w:rsidR="00B04021">
              <w:rPr>
                <w:noProof/>
                <w:webHidden/>
              </w:rPr>
              <w:instrText xml:space="preserve"> PAGEREF _Toc165631036 \h </w:instrText>
            </w:r>
            <w:r w:rsidR="00B04021">
              <w:rPr>
                <w:noProof/>
                <w:webHidden/>
              </w:rPr>
            </w:r>
            <w:r w:rsidR="00B04021">
              <w:rPr>
                <w:noProof/>
                <w:webHidden/>
              </w:rPr>
              <w:fldChar w:fldCharType="separate"/>
            </w:r>
            <w:r w:rsidR="00C46C45">
              <w:rPr>
                <w:noProof/>
                <w:webHidden/>
              </w:rPr>
              <w:t>13</w:t>
            </w:r>
            <w:r w:rsidR="00B04021">
              <w:rPr>
                <w:noProof/>
                <w:webHidden/>
              </w:rPr>
              <w:fldChar w:fldCharType="end"/>
            </w:r>
          </w:hyperlink>
        </w:p>
        <w:p w14:paraId="01F517D4" w14:textId="19F7B18A" w:rsidR="00B04021" w:rsidRDefault="00000000">
          <w:pPr>
            <w:pStyle w:val="TOC1"/>
            <w:tabs>
              <w:tab w:val="right" w:leader="dot" w:pos="9350"/>
            </w:tabs>
            <w:rPr>
              <w:rFonts w:eastAsiaTheme="minorEastAsia"/>
              <w:noProof/>
              <w:lang w:eastAsia="en-GB"/>
            </w:rPr>
          </w:pPr>
          <w:hyperlink w:anchor="_Toc165631037" w:history="1">
            <w:r w:rsidR="00B04021" w:rsidRPr="00FF394E">
              <w:rPr>
                <w:rStyle w:val="Hyperlink"/>
                <w:rFonts w:ascii="Arial" w:hAnsi="Arial" w:cs="Arial"/>
                <w:b/>
                <w:noProof/>
              </w:rPr>
              <w:t>Part 2: Educational Data Analysis</w:t>
            </w:r>
            <w:r w:rsidR="00B04021">
              <w:rPr>
                <w:noProof/>
                <w:webHidden/>
              </w:rPr>
              <w:tab/>
            </w:r>
            <w:r w:rsidR="00B04021">
              <w:rPr>
                <w:noProof/>
                <w:webHidden/>
              </w:rPr>
              <w:fldChar w:fldCharType="begin"/>
            </w:r>
            <w:r w:rsidR="00B04021">
              <w:rPr>
                <w:noProof/>
                <w:webHidden/>
              </w:rPr>
              <w:instrText xml:space="preserve"> PAGEREF _Toc165631037 \h </w:instrText>
            </w:r>
            <w:r w:rsidR="00B04021">
              <w:rPr>
                <w:noProof/>
                <w:webHidden/>
              </w:rPr>
            </w:r>
            <w:r w:rsidR="00B04021">
              <w:rPr>
                <w:noProof/>
                <w:webHidden/>
              </w:rPr>
              <w:fldChar w:fldCharType="separate"/>
            </w:r>
            <w:r w:rsidR="00C46C45">
              <w:rPr>
                <w:noProof/>
                <w:webHidden/>
              </w:rPr>
              <w:t>15</w:t>
            </w:r>
            <w:r w:rsidR="00B04021">
              <w:rPr>
                <w:noProof/>
                <w:webHidden/>
              </w:rPr>
              <w:fldChar w:fldCharType="end"/>
            </w:r>
          </w:hyperlink>
        </w:p>
        <w:p w14:paraId="329FD25E" w14:textId="39E2D314" w:rsidR="00B04021" w:rsidRDefault="00000000">
          <w:pPr>
            <w:pStyle w:val="TOC1"/>
            <w:tabs>
              <w:tab w:val="right" w:leader="dot" w:pos="9350"/>
            </w:tabs>
            <w:rPr>
              <w:rFonts w:eastAsiaTheme="minorEastAsia"/>
              <w:noProof/>
              <w:lang w:eastAsia="en-GB"/>
            </w:rPr>
          </w:pPr>
          <w:hyperlink w:anchor="_Toc165631038" w:history="1">
            <w:r w:rsidR="00B04021" w:rsidRPr="00FF394E">
              <w:rPr>
                <w:rStyle w:val="Hyperlink"/>
                <w:rFonts w:ascii="Arial" w:hAnsi="Arial" w:cs="Arial"/>
                <w:b/>
                <w:noProof/>
              </w:rPr>
              <w:t>Section 1: Overview and Pre-processing in SPSS</w:t>
            </w:r>
            <w:r w:rsidR="00B04021">
              <w:rPr>
                <w:noProof/>
                <w:webHidden/>
              </w:rPr>
              <w:tab/>
            </w:r>
            <w:r w:rsidR="00B04021">
              <w:rPr>
                <w:noProof/>
                <w:webHidden/>
              </w:rPr>
              <w:fldChar w:fldCharType="begin"/>
            </w:r>
            <w:r w:rsidR="00B04021">
              <w:rPr>
                <w:noProof/>
                <w:webHidden/>
              </w:rPr>
              <w:instrText xml:space="preserve"> PAGEREF _Toc165631038 \h </w:instrText>
            </w:r>
            <w:r w:rsidR="00B04021">
              <w:rPr>
                <w:noProof/>
                <w:webHidden/>
              </w:rPr>
            </w:r>
            <w:r w:rsidR="00B04021">
              <w:rPr>
                <w:noProof/>
                <w:webHidden/>
              </w:rPr>
              <w:fldChar w:fldCharType="separate"/>
            </w:r>
            <w:r w:rsidR="00C46C45">
              <w:rPr>
                <w:noProof/>
                <w:webHidden/>
              </w:rPr>
              <w:t>15</w:t>
            </w:r>
            <w:r w:rsidR="00B04021">
              <w:rPr>
                <w:noProof/>
                <w:webHidden/>
              </w:rPr>
              <w:fldChar w:fldCharType="end"/>
            </w:r>
          </w:hyperlink>
        </w:p>
        <w:p w14:paraId="38563C63" w14:textId="1F5A83D2" w:rsidR="00B04021" w:rsidRDefault="00000000">
          <w:pPr>
            <w:pStyle w:val="TOC1"/>
            <w:tabs>
              <w:tab w:val="right" w:leader="dot" w:pos="9350"/>
            </w:tabs>
            <w:rPr>
              <w:rFonts w:eastAsiaTheme="minorEastAsia"/>
              <w:noProof/>
              <w:lang w:eastAsia="en-GB"/>
            </w:rPr>
          </w:pPr>
          <w:hyperlink w:anchor="_Toc165631039" w:history="1">
            <w:r w:rsidR="00B04021" w:rsidRPr="00FF394E">
              <w:rPr>
                <w:rStyle w:val="Hyperlink"/>
                <w:rFonts w:ascii="Arial" w:hAnsi="Arial" w:cs="Arial"/>
                <w:b/>
                <w:noProof/>
              </w:rPr>
              <w:t>Section 2: Data Analysis Using SPSS</w:t>
            </w:r>
            <w:r w:rsidR="00B04021">
              <w:rPr>
                <w:noProof/>
                <w:webHidden/>
              </w:rPr>
              <w:tab/>
            </w:r>
            <w:r w:rsidR="00B04021">
              <w:rPr>
                <w:noProof/>
                <w:webHidden/>
              </w:rPr>
              <w:fldChar w:fldCharType="begin"/>
            </w:r>
            <w:r w:rsidR="00B04021">
              <w:rPr>
                <w:noProof/>
                <w:webHidden/>
              </w:rPr>
              <w:instrText xml:space="preserve"> PAGEREF _Toc165631039 \h </w:instrText>
            </w:r>
            <w:r w:rsidR="00B04021">
              <w:rPr>
                <w:noProof/>
                <w:webHidden/>
              </w:rPr>
            </w:r>
            <w:r w:rsidR="00B04021">
              <w:rPr>
                <w:noProof/>
                <w:webHidden/>
              </w:rPr>
              <w:fldChar w:fldCharType="separate"/>
            </w:r>
            <w:r w:rsidR="00C46C45">
              <w:rPr>
                <w:noProof/>
                <w:webHidden/>
              </w:rPr>
              <w:t>16</w:t>
            </w:r>
            <w:r w:rsidR="00B04021">
              <w:rPr>
                <w:noProof/>
                <w:webHidden/>
              </w:rPr>
              <w:fldChar w:fldCharType="end"/>
            </w:r>
          </w:hyperlink>
        </w:p>
        <w:p w14:paraId="5F578372" w14:textId="37D27A31" w:rsidR="00B04021" w:rsidRDefault="00000000">
          <w:pPr>
            <w:pStyle w:val="TOC2"/>
            <w:tabs>
              <w:tab w:val="right" w:leader="dot" w:pos="9350"/>
            </w:tabs>
            <w:rPr>
              <w:rFonts w:eastAsiaTheme="minorEastAsia"/>
              <w:noProof/>
              <w:lang w:eastAsia="en-GB"/>
            </w:rPr>
          </w:pPr>
          <w:hyperlink w:anchor="_Toc165631040" w:history="1">
            <w:r w:rsidR="00B04021" w:rsidRPr="00FF394E">
              <w:rPr>
                <w:rStyle w:val="Hyperlink"/>
                <w:rFonts w:ascii="Arial" w:hAnsi="Arial" w:cs="Arial"/>
                <w:b/>
                <w:noProof/>
              </w:rPr>
              <w:t>1: Demographic Analysis</w:t>
            </w:r>
            <w:r w:rsidR="00B04021">
              <w:rPr>
                <w:noProof/>
                <w:webHidden/>
              </w:rPr>
              <w:tab/>
            </w:r>
            <w:r w:rsidR="00B04021">
              <w:rPr>
                <w:noProof/>
                <w:webHidden/>
              </w:rPr>
              <w:fldChar w:fldCharType="begin"/>
            </w:r>
            <w:r w:rsidR="00B04021">
              <w:rPr>
                <w:noProof/>
                <w:webHidden/>
              </w:rPr>
              <w:instrText xml:space="preserve"> PAGEREF _Toc165631040 \h </w:instrText>
            </w:r>
            <w:r w:rsidR="00B04021">
              <w:rPr>
                <w:noProof/>
                <w:webHidden/>
              </w:rPr>
            </w:r>
            <w:r w:rsidR="00B04021">
              <w:rPr>
                <w:noProof/>
                <w:webHidden/>
              </w:rPr>
              <w:fldChar w:fldCharType="separate"/>
            </w:r>
            <w:r w:rsidR="00C46C45">
              <w:rPr>
                <w:noProof/>
                <w:webHidden/>
              </w:rPr>
              <w:t>16</w:t>
            </w:r>
            <w:r w:rsidR="00B04021">
              <w:rPr>
                <w:noProof/>
                <w:webHidden/>
              </w:rPr>
              <w:fldChar w:fldCharType="end"/>
            </w:r>
          </w:hyperlink>
        </w:p>
        <w:p w14:paraId="3B5A9251" w14:textId="2FD87375" w:rsidR="00B04021" w:rsidRDefault="00000000">
          <w:pPr>
            <w:pStyle w:val="TOC2"/>
            <w:tabs>
              <w:tab w:val="right" w:leader="dot" w:pos="9350"/>
            </w:tabs>
            <w:rPr>
              <w:rFonts w:eastAsiaTheme="minorEastAsia"/>
              <w:noProof/>
              <w:lang w:eastAsia="en-GB"/>
            </w:rPr>
          </w:pPr>
          <w:hyperlink w:anchor="_Toc165631041" w:history="1">
            <w:r w:rsidR="00B04021" w:rsidRPr="00FF394E">
              <w:rPr>
                <w:rStyle w:val="Hyperlink"/>
                <w:rFonts w:ascii="Arial" w:hAnsi="Arial" w:cs="Arial"/>
                <w:b/>
                <w:noProof/>
              </w:rPr>
              <w:t>2: Performance Analysis</w:t>
            </w:r>
            <w:r w:rsidR="00B04021">
              <w:rPr>
                <w:noProof/>
                <w:webHidden/>
              </w:rPr>
              <w:tab/>
            </w:r>
            <w:r w:rsidR="00B04021">
              <w:rPr>
                <w:noProof/>
                <w:webHidden/>
              </w:rPr>
              <w:fldChar w:fldCharType="begin"/>
            </w:r>
            <w:r w:rsidR="00B04021">
              <w:rPr>
                <w:noProof/>
                <w:webHidden/>
              </w:rPr>
              <w:instrText xml:space="preserve"> PAGEREF _Toc165631041 \h </w:instrText>
            </w:r>
            <w:r w:rsidR="00B04021">
              <w:rPr>
                <w:noProof/>
                <w:webHidden/>
              </w:rPr>
            </w:r>
            <w:r w:rsidR="00B04021">
              <w:rPr>
                <w:noProof/>
                <w:webHidden/>
              </w:rPr>
              <w:fldChar w:fldCharType="separate"/>
            </w:r>
            <w:r w:rsidR="00C46C45">
              <w:rPr>
                <w:noProof/>
                <w:webHidden/>
              </w:rPr>
              <w:t>18</w:t>
            </w:r>
            <w:r w:rsidR="00B04021">
              <w:rPr>
                <w:noProof/>
                <w:webHidden/>
              </w:rPr>
              <w:fldChar w:fldCharType="end"/>
            </w:r>
          </w:hyperlink>
        </w:p>
        <w:p w14:paraId="1CAC0877" w14:textId="20B73B98" w:rsidR="00B04021" w:rsidRDefault="00000000">
          <w:pPr>
            <w:pStyle w:val="TOC2"/>
            <w:tabs>
              <w:tab w:val="right" w:leader="dot" w:pos="9350"/>
            </w:tabs>
            <w:rPr>
              <w:rFonts w:eastAsiaTheme="minorEastAsia"/>
              <w:noProof/>
              <w:lang w:eastAsia="en-GB"/>
            </w:rPr>
          </w:pPr>
          <w:hyperlink w:anchor="_Toc165631042" w:history="1">
            <w:r w:rsidR="00B04021" w:rsidRPr="00FF394E">
              <w:rPr>
                <w:rStyle w:val="Hyperlink"/>
                <w:rFonts w:ascii="Arial" w:hAnsi="Arial" w:cs="Arial"/>
                <w:b/>
                <w:noProof/>
              </w:rPr>
              <w:t>3: Clustering Example</w:t>
            </w:r>
            <w:r w:rsidR="00B04021">
              <w:rPr>
                <w:noProof/>
                <w:webHidden/>
              </w:rPr>
              <w:tab/>
            </w:r>
            <w:r w:rsidR="00B04021">
              <w:rPr>
                <w:noProof/>
                <w:webHidden/>
              </w:rPr>
              <w:fldChar w:fldCharType="begin"/>
            </w:r>
            <w:r w:rsidR="00B04021">
              <w:rPr>
                <w:noProof/>
                <w:webHidden/>
              </w:rPr>
              <w:instrText xml:space="preserve"> PAGEREF _Toc165631042 \h </w:instrText>
            </w:r>
            <w:r w:rsidR="00B04021">
              <w:rPr>
                <w:noProof/>
                <w:webHidden/>
              </w:rPr>
            </w:r>
            <w:r w:rsidR="00B04021">
              <w:rPr>
                <w:noProof/>
                <w:webHidden/>
              </w:rPr>
              <w:fldChar w:fldCharType="separate"/>
            </w:r>
            <w:r w:rsidR="00C46C45">
              <w:rPr>
                <w:noProof/>
                <w:webHidden/>
              </w:rPr>
              <w:t>19</w:t>
            </w:r>
            <w:r w:rsidR="00B04021">
              <w:rPr>
                <w:noProof/>
                <w:webHidden/>
              </w:rPr>
              <w:fldChar w:fldCharType="end"/>
            </w:r>
          </w:hyperlink>
        </w:p>
        <w:p w14:paraId="0ECD8B4F" w14:textId="38D20979" w:rsidR="00B04021" w:rsidRDefault="00000000">
          <w:pPr>
            <w:pStyle w:val="TOC1"/>
            <w:tabs>
              <w:tab w:val="right" w:leader="dot" w:pos="9350"/>
            </w:tabs>
            <w:rPr>
              <w:rFonts w:eastAsiaTheme="minorEastAsia"/>
              <w:noProof/>
              <w:lang w:eastAsia="en-GB"/>
            </w:rPr>
          </w:pPr>
          <w:hyperlink w:anchor="_Toc165631043" w:history="1">
            <w:r w:rsidR="00B04021" w:rsidRPr="00FF394E">
              <w:rPr>
                <w:rStyle w:val="Hyperlink"/>
                <w:rFonts w:ascii="Arial" w:hAnsi="Arial" w:cs="Arial"/>
                <w:b/>
                <w:noProof/>
              </w:rPr>
              <w:t>Section 3: Tool Evaluation</w:t>
            </w:r>
            <w:r w:rsidR="00B04021">
              <w:rPr>
                <w:noProof/>
                <w:webHidden/>
              </w:rPr>
              <w:tab/>
            </w:r>
            <w:r w:rsidR="00B04021">
              <w:rPr>
                <w:noProof/>
                <w:webHidden/>
              </w:rPr>
              <w:fldChar w:fldCharType="begin"/>
            </w:r>
            <w:r w:rsidR="00B04021">
              <w:rPr>
                <w:noProof/>
                <w:webHidden/>
              </w:rPr>
              <w:instrText xml:space="preserve"> PAGEREF _Toc165631043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7E661383" w14:textId="706284A1" w:rsidR="00B04021" w:rsidRDefault="00000000">
          <w:pPr>
            <w:pStyle w:val="TOC3"/>
            <w:tabs>
              <w:tab w:val="right" w:leader="dot" w:pos="9350"/>
            </w:tabs>
            <w:rPr>
              <w:rFonts w:eastAsiaTheme="minorEastAsia"/>
              <w:noProof/>
              <w:lang w:eastAsia="en-GB"/>
            </w:rPr>
          </w:pPr>
          <w:hyperlink w:anchor="_Toc165631044" w:history="1">
            <w:r w:rsidR="00B04021" w:rsidRPr="00FF394E">
              <w:rPr>
                <w:rStyle w:val="Hyperlink"/>
                <w:rFonts w:ascii="Arial" w:hAnsi="Arial" w:cs="Arial"/>
                <w:b/>
                <w:noProof/>
              </w:rPr>
              <w:t>Comparison of Tools: SPSS vs. Excel</w:t>
            </w:r>
            <w:r w:rsidR="00B04021">
              <w:rPr>
                <w:noProof/>
                <w:webHidden/>
              </w:rPr>
              <w:tab/>
            </w:r>
            <w:r w:rsidR="00B04021">
              <w:rPr>
                <w:noProof/>
                <w:webHidden/>
              </w:rPr>
              <w:fldChar w:fldCharType="begin"/>
            </w:r>
            <w:r w:rsidR="00B04021">
              <w:rPr>
                <w:noProof/>
                <w:webHidden/>
              </w:rPr>
              <w:instrText xml:space="preserve"> PAGEREF _Toc165631044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2D07832D" w14:textId="6B044C28" w:rsidR="00B04021" w:rsidRDefault="00000000">
          <w:pPr>
            <w:pStyle w:val="TOC3"/>
            <w:tabs>
              <w:tab w:val="right" w:leader="dot" w:pos="9350"/>
            </w:tabs>
            <w:rPr>
              <w:rFonts w:eastAsiaTheme="minorEastAsia"/>
              <w:noProof/>
              <w:lang w:eastAsia="en-GB"/>
            </w:rPr>
          </w:pPr>
          <w:hyperlink w:anchor="_Toc165631045" w:history="1">
            <w:r w:rsidR="00B04021" w:rsidRPr="00FF394E">
              <w:rPr>
                <w:rStyle w:val="Hyperlink"/>
                <w:rFonts w:ascii="Arial" w:hAnsi="Arial" w:cs="Arial"/>
                <w:b/>
                <w:noProof/>
              </w:rPr>
              <w:t>Advantages of SPSS:</w:t>
            </w:r>
            <w:r w:rsidR="00B04021">
              <w:rPr>
                <w:noProof/>
                <w:webHidden/>
              </w:rPr>
              <w:tab/>
            </w:r>
            <w:r w:rsidR="00B04021">
              <w:rPr>
                <w:noProof/>
                <w:webHidden/>
              </w:rPr>
              <w:fldChar w:fldCharType="begin"/>
            </w:r>
            <w:r w:rsidR="00B04021">
              <w:rPr>
                <w:noProof/>
                <w:webHidden/>
              </w:rPr>
              <w:instrText xml:space="preserve"> PAGEREF _Toc165631045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14400F1F" w14:textId="243FC9AC" w:rsidR="00B04021" w:rsidRDefault="00000000">
          <w:pPr>
            <w:pStyle w:val="TOC3"/>
            <w:tabs>
              <w:tab w:val="right" w:leader="dot" w:pos="9350"/>
            </w:tabs>
            <w:rPr>
              <w:rFonts w:eastAsiaTheme="minorEastAsia"/>
              <w:noProof/>
              <w:lang w:eastAsia="en-GB"/>
            </w:rPr>
          </w:pPr>
          <w:hyperlink w:anchor="_Toc165631046" w:history="1">
            <w:r w:rsidR="00B04021" w:rsidRPr="00FF394E">
              <w:rPr>
                <w:rStyle w:val="Hyperlink"/>
                <w:rFonts w:ascii="Arial" w:hAnsi="Arial" w:cs="Arial"/>
                <w:b/>
                <w:noProof/>
              </w:rPr>
              <w:t>Disadvantages of SPSS:</w:t>
            </w:r>
            <w:r w:rsidR="00B04021">
              <w:rPr>
                <w:noProof/>
                <w:webHidden/>
              </w:rPr>
              <w:tab/>
            </w:r>
            <w:r w:rsidR="00B04021">
              <w:rPr>
                <w:noProof/>
                <w:webHidden/>
              </w:rPr>
              <w:fldChar w:fldCharType="begin"/>
            </w:r>
            <w:r w:rsidR="00B04021">
              <w:rPr>
                <w:noProof/>
                <w:webHidden/>
              </w:rPr>
              <w:instrText xml:space="preserve"> PAGEREF _Toc165631046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7890CD75" w14:textId="337E8AD3" w:rsidR="00B04021" w:rsidRDefault="00000000">
          <w:pPr>
            <w:pStyle w:val="TOC3"/>
            <w:tabs>
              <w:tab w:val="right" w:leader="dot" w:pos="9350"/>
            </w:tabs>
            <w:rPr>
              <w:rFonts w:eastAsiaTheme="minorEastAsia"/>
              <w:noProof/>
              <w:lang w:eastAsia="en-GB"/>
            </w:rPr>
          </w:pPr>
          <w:hyperlink w:anchor="_Toc165631047" w:history="1">
            <w:r w:rsidR="00B04021" w:rsidRPr="00FF394E">
              <w:rPr>
                <w:rStyle w:val="Hyperlink"/>
                <w:rFonts w:ascii="Arial" w:hAnsi="Arial" w:cs="Arial"/>
                <w:b/>
                <w:noProof/>
              </w:rPr>
              <w:t>Advantages of Excel:</w:t>
            </w:r>
            <w:r w:rsidR="00B04021">
              <w:rPr>
                <w:noProof/>
                <w:webHidden/>
              </w:rPr>
              <w:tab/>
            </w:r>
            <w:r w:rsidR="00B04021">
              <w:rPr>
                <w:noProof/>
                <w:webHidden/>
              </w:rPr>
              <w:fldChar w:fldCharType="begin"/>
            </w:r>
            <w:r w:rsidR="00B04021">
              <w:rPr>
                <w:noProof/>
                <w:webHidden/>
              </w:rPr>
              <w:instrText xml:space="preserve"> PAGEREF _Toc165631047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6627005B" w14:textId="6176A66C" w:rsidR="00B04021" w:rsidRDefault="00000000">
          <w:pPr>
            <w:pStyle w:val="TOC3"/>
            <w:tabs>
              <w:tab w:val="right" w:leader="dot" w:pos="9350"/>
            </w:tabs>
            <w:rPr>
              <w:rFonts w:eastAsiaTheme="minorEastAsia"/>
              <w:noProof/>
              <w:lang w:eastAsia="en-GB"/>
            </w:rPr>
          </w:pPr>
          <w:hyperlink w:anchor="_Toc165631048" w:history="1">
            <w:r w:rsidR="00B04021" w:rsidRPr="00FF394E">
              <w:rPr>
                <w:rStyle w:val="Hyperlink"/>
                <w:rFonts w:ascii="Arial" w:hAnsi="Arial" w:cs="Arial"/>
                <w:b/>
                <w:noProof/>
              </w:rPr>
              <w:t>Disadvantages of Excel:</w:t>
            </w:r>
            <w:r w:rsidR="00B04021">
              <w:rPr>
                <w:noProof/>
                <w:webHidden/>
              </w:rPr>
              <w:tab/>
            </w:r>
            <w:r w:rsidR="00B04021">
              <w:rPr>
                <w:noProof/>
                <w:webHidden/>
              </w:rPr>
              <w:fldChar w:fldCharType="begin"/>
            </w:r>
            <w:r w:rsidR="00B04021">
              <w:rPr>
                <w:noProof/>
                <w:webHidden/>
              </w:rPr>
              <w:instrText xml:space="preserve"> PAGEREF _Toc165631048 \h </w:instrText>
            </w:r>
            <w:r w:rsidR="00B04021">
              <w:rPr>
                <w:noProof/>
                <w:webHidden/>
              </w:rPr>
            </w:r>
            <w:r w:rsidR="00B04021">
              <w:rPr>
                <w:noProof/>
                <w:webHidden/>
              </w:rPr>
              <w:fldChar w:fldCharType="separate"/>
            </w:r>
            <w:r w:rsidR="00C46C45">
              <w:rPr>
                <w:noProof/>
                <w:webHidden/>
              </w:rPr>
              <w:t>22</w:t>
            </w:r>
            <w:r w:rsidR="00B04021">
              <w:rPr>
                <w:noProof/>
                <w:webHidden/>
              </w:rPr>
              <w:fldChar w:fldCharType="end"/>
            </w:r>
          </w:hyperlink>
        </w:p>
        <w:p w14:paraId="014590D5" w14:textId="3ED8CC5B" w:rsidR="00B04021" w:rsidRDefault="00000000">
          <w:pPr>
            <w:pStyle w:val="TOC3"/>
            <w:tabs>
              <w:tab w:val="right" w:leader="dot" w:pos="9350"/>
            </w:tabs>
            <w:rPr>
              <w:rFonts w:eastAsiaTheme="minorEastAsia"/>
              <w:noProof/>
              <w:lang w:eastAsia="en-GB"/>
            </w:rPr>
          </w:pPr>
          <w:hyperlink w:anchor="_Toc165631049" w:history="1">
            <w:r w:rsidR="00B04021" w:rsidRPr="00FF394E">
              <w:rPr>
                <w:rStyle w:val="Hyperlink"/>
                <w:rFonts w:ascii="Arial" w:hAnsi="Arial" w:cs="Arial"/>
                <w:b/>
                <w:noProof/>
              </w:rPr>
              <w:t>Comparative Table</w:t>
            </w:r>
            <w:r w:rsidR="00B04021">
              <w:rPr>
                <w:noProof/>
                <w:webHidden/>
              </w:rPr>
              <w:tab/>
            </w:r>
            <w:r w:rsidR="00B04021">
              <w:rPr>
                <w:noProof/>
                <w:webHidden/>
              </w:rPr>
              <w:fldChar w:fldCharType="begin"/>
            </w:r>
            <w:r w:rsidR="00B04021">
              <w:rPr>
                <w:noProof/>
                <w:webHidden/>
              </w:rPr>
              <w:instrText xml:space="preserve"> PAGEREF _Toc165631049 \h </w:instrText>
            </w:r>
            <w:r w:rsidR="00B04021">
              <w:rPr>
                <w:noProof/>
                <w:webHidden/>
              </w:rPr>
            </w:r>
            <w:r w:rsidR="00B04021">
              <w:rPr>
                <w:noProof/>
                <w:webHidden/>
              </w:rPr>
              <w:fldChar w:fldCharType="separate"/>
            </w:r>
            <w:r w:rsidR="00C46C45">
              <w:rPr>
                <w:noProof/>
                <w:webHidden/>
              </w:rPr>
              <w:t>23</w:t>
            </w:r>
            <w:r w:rsidR="00B04021">
              <w:rPr>
                <w:noProof/>
                <w:webHidden/>
              </w:rPr>
              <w:fldChar w:fldCharType="end"/>
            </w:r>
          </w:hyperlink>
        </w:p>
        <w:p w14:paraId="64D1F2D3" w14:textId="7D46DE82" w:rsidR="00B04021" w:rsidRDefault="00000000">
          <w:pPr>
            <w:pStyle w:val="TOC1"/>
            <w:tabs>
              <w:tab w:val="right" w:leader="dot" w:pos="9350"/>
            </w:tabs>
            <w:rPr>
              <w:rFonts w:eastAsiaTheme="minorEastAsia"/>
              <w:noProof/>
              <w:lang w:eastAsia="en-GB"/>
            </w:rPr>
          </w:pPr>
          <w:hyperlink w:anchor="_Toc165631050" w:history="1">
            <w:r w:rsidR="00B04021" w:rsidRPr="00FF394E">
              <w:rPr>
                <w:rStyle w:val="Hyperlink"/>
                <w:rFonts w:ascii="Arial" w:hAnsi="Arial" w:cs="Arial"/>
                <w:b/>
                <w:noProof/>
              </w:rPr>
              <w:t>Conclusion</w:t>
            </w:r>
            <w:r w:rsidR="00B04021">
              <w:rPr>
                <w:noProof/>
                <w:webHidden/>
              </w:rPr>
              <w:tab/>
            </w:r>
            <w:r w:rsidR="00B04021">
              <w:rPr>
                <w:noProof/>
                <w:webHidden/>
              </w:rPr>
              <w:fldChar w:fldCharType="begin"/>
            </w:r>
            <w:r w:rsidR="00B04021">
              <w:rPr>
                <w:noProof/>
                <w:webHidden/>
              </w:rPr>
              <w:instrText xml:space="preserve"> PAGEREF _Toc165631050 \h </w:instrText>
            </w:r>
            <w:r w:rsidR="00B04021">
              <w:rPr>
                <w:noProof/>
                <w:webHidden/>
              </w:rPr>
            </w:r>
            <w:r w:rsidR="00B04021">
              <w:rPr>
                <w:noProof/>
                <w:webHidden/>
              </w:rPr>
              <w:fldChar w:fldCharType="separate"/>
            </w:r>
            <w:r w:rsidR="00C46C45">
              <w:rPr>
                <w:noProof/>
                <w:webHidden/>
              </w:rPr>
              <w:t>24</w:t>
            </w:r>
            <w:r w:rsidR="00B04021">
              <w:rPr>
                <w:noProof/>
                <w:webHidden/>
              </w:rPr>
              <w:fldChar w:fldCharType="end"/>
            </w:r>
          </w:hyperlink>
        </w:p>
        <w:p w14:paraId="655D7260" w14:textId="172C7C81" w:rsidR="00B04021" w:rsidRDefault="00000000">
          <w:pPr>
            <w:pStyle w:val="TOC1"/>
            <w:tabs>
              <w:tab w:val="right" w:leader="dot" w:pos="9350"/>
            </w:tabs>
            <w:rPr>
              <w:rFonts w:eastAsiaTheme="minorEastAsia"/>
              <w:noProof/>
              <w:lang w:eastAsia="en-GB"/>
            </w:rPr>
          </w:pPr>
          <w:hyperlink w:anchor="_Toc165631051" w:history="1">
            <w:r w:rsidR="00B04021" w:rsidRPr="00FF394E">
              <w:rPr>
                <w:rStyle w:val="Hyperlink"/>
                <w:rFonts w:ascii="Arial" w:hAnsi="Arial" w:cs="Arial"/>
                <w:b/>
                <w:noProof/>
              </w:rPr>
              <w:t>References:</w:t>
            </w:r>
            <w:r w:rsidR="00B04021">
              <w:rPr>
                <w:noProof/>
                <w:webHidden/>
              </w:rPr>
              <w:tab/>
            </w:r>
            <w:r w:rsidR="00B04021">
              <w:rPr>
                <w:noProof/>
                <w:webHidden/>
              </w:rPr>
              <w:fldChar w:fldCharType="begin"/>
            </w:r>
            <w:r w:rsidR="00B04021">
              <w:rPr>
                <w:noProof/>
                <w:webHidden/>
              </w:rPr>
              <w:instrText xml:space="preserve"> PAGEREF _Toc165631051 \h </w:instrText>
            </w:r>
            <w:r w:rsidR="00B04021">
              <w:rPr>
                <w:noProof/>
                <w:webHidden/>
              </w:rPr>
            </w:r>
            <w:r w:rsidR="00B04021">
              <w:rPr>
                <w:noProof/>
                <w:webHidden/>
              </w:rPr>
              <w:fldChar w:fldCharType="separate"/>
            </w:r>
            <w:r w:rsidR="00C46C45">
              <w:rPr>
                <w:noProof/>
                <w:webHidden/>
              </w:rPr>
              <w:t>25</w:t>
            </w:r>
            <w:r w:rsidR="00B04021">
              <w:rPr>
                <w:noProof/>
                <w:webHidden/>
              </w:rPr>
              <w:fldChar w:fldCharType="end"/>
            </w:r>
          </w:hyperlink>
        </w:p>
        <w:p w14:paraId="7E1AD98A" w14:textId="4A48DCC3" w:rsidR="00267217" w:rsidRDefault="00267217" w:rsidP="00267217">
          <w:pPr>
            <w:rPr>
              <w:b/>
              <w:bCs/>
              <w:noProof/>
            </w:rPr>
          </w:pPr>
          <w:r>
            <w:rPr>
              <w:b/>
              <w:bCs/>
              <w:noProof/>
            </w:rPr>
            <w:fldChar w:fldCharType="end"/>
          </w:r>
        </w:p>
        <w:p w14:paraId="5045BE57" w14:textId="620893CC" w:rsidR="00267217" w:rsidRPr="00267217" w:rsidRDefault="00000000" w:rsidP="00267217"/>
      </w:sdtContent>
    </w:sdt>
    <w:p w14:paraId="39EB5388" w14:textId="35A32EC3" w:rsidR="000A6FAF" w:rsidRPr="00267217" w:rsidRDefault="000A6FAF" w:rsidP="00A336AB">
      <w:pPr>
        <w:pStyle w:val="Heading1"/>
        <w:jc w:val="both"/>
        <w:rPr>
          <w:rFonts w:ascii="Arial" w:hAnsi="Arial" w:cs="Arial"/>
          <w:b/>
          <w:sz w:val="36"/>
          <w:szCs w:val="36"/>
          <w:lang w:val="en-GB"/>
        </w:rPr>
      </w:pPr>
      <w:bookmarkStart w:id="0" w:name="_Toc165631028"/>
      <w:r w:rsidRPr="00267217">
        <w:rPr>
          <w:rFonts w:ascii="Arial" w:hAnsi="Arial" w:cs="Arial"/>
          <w:b/>
          <w:lang w:val="en-GB"/>
        </w:rPr>
        <w:lastRenderedPageBreak/>
        <w:t>Introduction</w:t>
      </w:r>
      <w:bookmarkEnd w:id="0"/>
    </w:p>
    <w:p w14:paraId="36C65A02" w14:textId="0F16179E" w:rsidR="00A861F6" w:rsidRPr="00267217" w:rsidRDefault="00A861F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Information analysis continues to be a crucial component of business intelligence in the modern economy, aiding numerous firms in their strategic decision-making. Data-driven solutions, according to Laudon and Traver (2021), increase e-commerce customer satisfaction and retention while boosting operational effectiveness. According to a 2020 study by Brown et al., targeted interventions based on data analysis can identify educational gaps and improve student performance. </w:t>
      </w:r>
    </w:p>
    <w:p w14:paraId="1FDF03B8" w14:textId="77777777" w:rsidR="00A861F6" w:rsidRPr="00267217" w:rsidRDefault="00A861F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This study offers student accomplishment data from a nearby school and examines sales data from an internet company situated in the United Kingdom. This study's dual focus demonstrates how data analysis techniques can help these companies' strategic planning and performance. </w:t>
      </w:r>
    </w:p>
    <w:p w14:paraId="16EA3E93" w14:textId="7DACDC92" w:rsidR="000A6FAF" w:rsidRPr="00267217" w:rsidRDefault="00A861F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This essay utilises of robust data processing and analysis programs like SPSS and Excel. E-commerce sales data will be prepared, </w:t>
      </w:r>
      <w:proofErr w:type="spellStart"/>
      <w:r w:rsidRPr="00267217">
        <w:rPr>
          <w:rFonts w:ascii="Arial" w:eastAsia="Times New Roman" w:hAnsi="Arial" w:cs="Arial"/>
          <w:sz w:val="24"/>
          <w:szCs w:val="24"/>
        </w:rPr>
        <w:t>analyzed</w:t>
      </w:r>
      <w:proofErr w:type="spellEnd"/>
      <w:r w:rsidRPr="00267217">
        <w:rPr>
          <w:rFonts w:ascii="Arial" w:eastAsia="Times New Roman" w:hAnsi="Arial" w:cs="Arial"/>
          <w:sz w:val="24"/>
          <w:szCs w:val="24"/>
        </w:rPr>
        <w:t xml:space="preserve">, and displayed using Microsoft Excel. Frye (2018) claims that sales trends and client </w:t>
      </w:r>
      <w:proofErr w:type="spellStart"/>
      <w:r w:rsidRPr="00267217">
        <w:rPr>
          <w:rFonts w:ascii="Arial" w:eastAsia="Times New Roman" w:hAnsi="Arial" w:cs="Arial"/>
          <w:sz w:val="24"/>
          <w:szCs w:val="24"/>
        </w:rPr>
        <w:t>behavior</w:t>
      </w:r>
      <w:proofErr w:type="spellEnd"/>
      <w:r w:rsidRPr="00267217">
        <w:rPr>
          <w:rFonts w:ascii="Arial" w:eastAsia="Times New Roman" w:hAnsi="Arial" w:cs="Arial"/>
          <w:sz w:val="24"/>
          <w:szCs w:val="24"/>
        </w:rPr>
        <w:t xml:space="preserve"> will be simpler to comprehend. Use SPSS to arrange and examine educational data. According to George and Mallery (2019), in order for student performance data to be helpful, more sophisticated statistical analysis is necessary. They believe it will be required. Their selection demonstrates the wide range of applications for these technologies in data processing. </w:t>
      </w:r>
    </w:p>
    <w:p w14:paraId="1A21A600" w14:textId="77777777" w:rsidR="00F738B4" w:rsidRPr="00267217" w:rsidRDefault="00F738B4" w:rsidP="00B97F33">
      <w:pPr>
        <w:spacing w:after="240" w:line="360" w:lineRule="auto"/>
        <w:jc w:val="both"/>
        <w:rPr>
          <w:rFonts w:eastAsia="Times New Roman" w:cstheme="minorHAnsi"/>
          <w:sz w:val="24"/>
          <w:szCs w:val="24"/>
        </w:rPr>
      </w:pPr>
    </w:p>
    <w:p w14:paraId="0686DFA9" w14:textId="77777777" w:rsidR="00F738B4" w:rsidRPr="00267217" w:rsidRDefault="00F738B4" w:rsidP="00B97F33">
      <w:pPr>
        <w:spacing w:after="240" w:line="360" w:lineRule="auto"/>
        <w:jc w:val="both"/>
        <w:rPr>
          <w:rFonts w:eastAsia="Times New Roman" w:cstheme="minorHAnsi"/>
          <w:sz w:val="24"/>
          <w:szCs w:val="24"/>
        </w:rPr>
      </w:pPr>
    </w:p>
    <w:p w14:paraId="317B9566" w14:textId="77777777" w:rsidR="00F738B4" w:rsidRPr="00267217" w:rsidRDefault="00F738B4" w:rsidP="00B97F33">
      <w:pPr>
        <w:spacing w:after="240" w:line="360" w:lineRule="auto"/>
        <w:jc w:val="both"/>
        <w:rPr>
          <w:rFonts w:eastAsia="Times New Roman" w:cstheme="minorHAnsi"/>
          <w:sz w:val="24"/>
          <w:szCs w:val="24"/>
        </w:rPr>
      </w:pPr>
    </w:p>
    <w:p w14:paraId="62404816" w14:textId="77777777" w:rsidR="00F738B4" w:rsidRPr="00267217" w:rsidRDefault="00F738B4" w:rsidP="00B97F33">
      <w:pPr>
        <w:spacing w:after="240" w:line="360" w:lineRule="auto"/>
        <w:jc w:val="both"/>
        <w:rPr>
          <w:rFonts w:eastAsia="Times New Roman" w:cstheme="minorHAnsi"/>
          <w:sz w:val="24"/>
          <w:szCs w:val="24"/>
        </w:rPr>
      </w:pPr>
    </w:p>
    <w:p w14:paraId="2BC900C5" w14:textId="77777777" w:rsidR="00F738B4" w:rsidRPr="00267217" w:rsidRDefault="00F738B4" w:rsidP="00B97F33">
      <w:pPr>
        <w:spacing w:after="240" w:line="360" w:lineRule="auto"/>
        <w:jc w:val="both"/>
        <w:rPr>
          <w:rFonts w:eastAsia="Times New Roman" w:cstheme="minorHAnsi"/>
          <w:sz w:val="24"/>
          <w:szCs w:val="24"/>
        </w:rPr>
      </w:pPr>
    </w:p>
    <w:p w14:paraId="07DF3C4E" w14:textId="77777777" w:rsidR="00F738B4" w:rsidRPr="00267217" w:rsidRDefault="00F738B4" w:rsidP="00B97F33">
      <w:pPr>
        <w:spacing w:after="240" w:line="360" w:lineRule="auto"/>
        <w:jc w:val="both"/>
        <w:rPr>
          <w:rFonts w:eastAsia="Times New Roman" w:cstheme="minorHAnsi"/>
          <w:sz w:val="24"/>
          <w:szCs w:val="24"/>
        </w:rPr>
      </w:pPr>
    </w:p>
    <w:p w14:paraId="336F4706" w14:textId="281AE994" w:rsidR="000A6FAF" w:rsidRPr="00267217" w:rsidRDefault="000A6FAF" w:rsidP="00A336AB">
      <w:pPr>
        <w:pStyle w:val="Heading1"/>
        <w:jc w:val="both"/>
        <w:rPr>
          <w:rFonts w:ascii="Arial" w:hAnsi="Arial" w:cs="Arial"/>
          <w:b/>
          <w:lang w:val="en-GB"/>
        </w:rPr>
      </w:pPr>
      <w:bookmarkStart w:id="1" w:name="_Toc165631029"/>
      <w:r w:rsidRPr="00267217">
        <w:rPr>
          <w:rFonts w:ascii="Arial" w:hAnsi="Arial" w:cs="Arial"/>
          <w:b/>
          <w:lang w:val="en-GB"/>
        </w:rPr>
        <w:lastRenderedPageBreak/>
        <w:t>Part 1: E-commerce Data Analysis</w:t>
      </w:r>
      <w:bookmarkEnd w:id="1"/>
    </w:p>
    <w:p w14:paraId="4F047ECE" w14:textId="3261EF62" w:rsidR="000A6FAF" w:rsidRPr="00267217" w:rsidRDefault="000A6FAF" w:rsidP="00A336AB">
      <w:pPr>
        <w:pStyle w:val="Heading1"/>
        <w:jc w:val="both"/>
        <w:rPr>
          <w:rFonts w:ascii="Arial" w:hAnsi="Arial" w:cs="Arial"/>
          <w:b/>
          <w:lang w:val="en-GB"/>
        </w:rPr>
      </w:pPr>
      <w:bookmarkStart w:id="2" w:name="_Toc165631030"/>
      <w:r w:rsidRPr="00267217">
        <w:rPr>
          <w:rFonts w:ascii="Arial" w:hAnsi="Arial" w:cs="Arial"/>
          <w:b/>
          <w:lang w:val="en-GB"/>
        </w:rPr>
        <w:t xml:space="preserve">Section 1: Dataset Overview and </w:t>
      </w:r>
      <w:r w:rsidR="00A336AB" w:rsidRPr="00267217">
        <w:rPr>
          <w:rFonts w:ascii="Arial" w:hAnsi="Arial" w:cs="Arial"/>
          <w:b/>
          <w:lang w:val="en-GB"/>
        </w:rPr>
        <w:t>Pre-processing</w:t>
      </w:r>
      <w:bookmarkEnd w:id="2"/>
    </w:p>
    <w:p w14:paraId="72295326" w14:textId="77777777" w:rsidR="00A336AB" w:rsidRPr="00267217" w:rsidRDefault="00A336AB" w:rsidP="00A336AB"/>
    <w:p w14:paraId="7A818591"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Dataset Description</w:t>
      </w:r>
    </w:p>
    <w:p w14:paraId="2567C9CC" w14:textId="11B31F83" w:rsidR="000A6FAF" w:rsidRPr="00267217" w:rsidRDefault="00A0053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An online retailer in the United Kingdom that sells gifts and home products is the source of the dataset. The dataset contains the transactions that took place on the platform. There are eight columns in this document: </w:t>
      </w:r>
      <w:r w:rsidR="00A04210" w:rsidRPr="00267217">
        <w:rPr>
          <w:rFonts w:ascii="Arial" w:eastAsia="Times New Roman" w:hAnsi="Arial" w:cs="Arial"/>
          <w:sz w:val="24"/>
          <w:szCs w:val="24"/>
        </w:rPr>
        <w:t>Transaction No</w:t>
      </w:r>
      <w:r w:rsidRPr="00267217">
        <w:rPr>
          <w:rFonts w:ascii="Arial" w:eastAsia="Times New Roman" w:hAnsi="Arial" w:cs="Arial"/>
          <w:sz w:val="24"/>
          <w:szCs w:val="24"/>
        </w:rPr>
        <w:t xml:space="preserve">, Date, </w:t>
      </w:r>
      <w:r w:rsidR="00A04210" w:rsidRPr="00267217">
        <w:rPr>
          <w:rFonts w:ascii="Arial" w:eastAsia="Times New Roman" w:hAnsi="Arial" w:cs="Arial"/>
          <w:sz w:val="24"/>
          <w:szCs w:val="24"/>
        </w:rPr>
        <w:t>Product No</w:t>
      </w:r>
      <w:r w:rsidRPr="00267217">
        <w:rPr>
          <w:rFonts w:ascii="Arial" w:eastAsia="Times New Roman" w:hAnsi="Arial" w:cs="Arial"/>
          <w:sz w:val="24"/>
          <w:szCs w:val="24"/>
        </w:rPr>
        <w:t xml:space="preserve">, ProductName, Price, Quantity, </w:t>
      </w:r>
      <w:r w:rsidR="00A04210" w:rsidRPr="00267217">
        <w:rPr>
          <w:rFonts w:ascii="Arial" w:eastAsia="Times New Roman" w:hAnsi="Arial" w:cs="Arial"/>
          <w:sz w:val="24"/>
          <w:szCs w:val="24"/>
        </w:rPr>
        <w:t>Customer No</w:t>
      </w:r>
      <w:r w:rsidRPr="00267217">
        <w:rPr>
          <w:rFonts w:ascii="Arial" w:eastAsia="Times New Roman" w:hAnsi="Arial" w:cs="Arial"/>
          <w:sz w:val="24"/>
          <w:szCs w:val="24"/>
        </w:rPr>
        <w:t xml:space="preserve">, and Country. Each column has a different information. A total of 65,535 rows may be found in this file. Transaction counts, product data, client profiles, and financial information are all recorded in these regions for each and every sale that takes place. The business's running statistics for the entire year are displayed here for your perusal. </w:t>
      </w:r>
    </w:p>
    <w:p w14:paraId="19B56F61" w14:textId="72689D28" w:rsidR="000A6FAF" w:rsidRPr="00267217" w:rsidRDefault="00A336AB" w:rsidP="00B97F33">
      <w:pPr>
        <w:autoSpaceDE w:val="0"/>
        <w:autoSpaceDN w:val="0"/>
        <w:adjustRightInd w:val="0"/>
        <w:spacing w:line="360" w:lineRule="auto"/>
        <w:jc w:val="both"/>
        <w:rPr>
          <w:rFonts w:ascii="Arial" w:hAnsi="Arial" w:cs="Arial"/>
          <w:b/>
          <w:bCs/>
          <w:sz w:val="28"/>
          <w:szCs w:val="28"/>
        </w:rPr>
      </w:pPr>
      <w:r w:rsidRPr="00267217">
        <w:rPr>
          <w:rFonts w:ascii="Arial" w:hAnsi="Arial" w:cs="Arial"/>
          <w:b/>
          <w:bCs/>
          <w:sz w:val="28"/>
          <w:szCs w:val="28"/>
        </w:rPr>
        <w:t>Pre-processing</w:t>
      </w:r>
      <w:r w:rsidR="000A6FAF" w:rsidRPr="00267217">
        <w:rPr>
          <w:rFonts w:ascii="Arial" w:hAnsi="Arial" w:cs="Arial"/>
          <w:b/>
          <w:bCs/>
          <w:sz w:val="28"/>
          <w:szCs w:val="28"/>
        </w:rPr>
        <w:t xml:space="preserve"> Tasks</w:t>
      </w:r>
    </w:p>
    <w:p w14:paraId="6862DF7E" w14:textId="389F601D" w:rsidR="00A0053F" w:rsidRPr="00267217" w:rsidRDefault="00A0053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Several crucial steps must be taken in order to prepare this dataset in Microsoft Excel. Data verification procedures are used for analysis. These steps are essential to preserving data integrity and usability (Frye, 2018). </w:t>
      </w:r>
    </w:p>
    <w:p w14:paraId="4DFCB416"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Removing Duplicate Entries:</w:t>
      </w:r>
    </w:p>
    <w:p w14:paraId="22FECFEE" w14:textId="4905A881" w:rsidR="00A0053F" w:rsidRPr="00267217" w:rsidRDefault="000A6FAF" w:rsidP="00B97F33">
      <w:pPr>
        <w:pStyle w:val="ListParagraph"/>
        <w:numPr>
          <w:ilvl w:val="0"/>
          <w:numId w:val="1"/>
        </w:numPr>
        <w:spacing w:after="240" w:line="360" w:lineRule="auto"/>
        <w:jc w:val="both"/>
        <w:rPr>
          <w:rFonts w:ascii="Arial" w:eastAsia="Times New Roman" w:hAnsi="Arial" w:cs="Arial"/>
          <w:sz w:val="24"/>
          <w:szCs w:val="24"/>
        </w:rPr>
      </w:pPr>
      <w:r w:rsidRPr="00267217">
        <w:rPr>
          <w:rFonts w:ascii="Arial" w:hAnsi="Arial" w:cs="Arial"/>
          <w:b/>
          <w:bCs/>
          <w:sz w:val="24"/>
          <w:szCs w:val="24"/>
        </w:rPr>
        <w:t>Action:</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used the Remove Duplicates tool in Excel to get rid of duplicates in the dataset. </w:t>
      </w:r>
    </w:p>
    <w:p w14:paraId="2DD4BEAE" w14:textId="3DA40C69" w:rsidR="00A0053F" w:rsidRPr="00267217" w:rsidRDefault="000A6FAF" w:rsidP="00B97F33">
      <w:pPr>
        <w:pStyle w:val="ListParagraph"/>
        <w:numPr>
          <w:ilvl w:val="0"/>
          <w:numId w:val="1"/>
        </w:numPr>
        <w:spacing w:after="240" w:line="360" w:lineRule="auto"/>
        <w:jc w:val="both"/>
        <w:rPr>
          <w:rFonts w:ascii="Arial" w:eastAsia="Times New Roman" w:hAnsi="Arial" w:cs="Arial"/>
          <w:sz w:val="24"/>
          <w:szCs w:val="24"/>
        </w:rPr>
      </w:pPr>
      <w:r w:rsidRPr="00267217">
        <w:rPr>
          <w:rFonts w:ascii="Arial" w:hAnsi="Arial" w:cs="Arial"/>
          <w:b/>
          <w:bCs/>
          <w:sz w:val="24"/>
          <w:szCs w:val="24"/>
        </w:rPr>
        <w:t>Result:</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To properly represent each transaction, 64,765 entries were made instead of 65,535 entries. </w:t>
      </w:r>
    </w:p>
    <w:p w14:paraId="422226C6" w14:textId="55A3F512"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Handling Missing Values:</w:t>
      </w:r>
    </w:p>
    <w:p w14:paraId="59BF7513" w14:textId="2D0D4F94" w:rsidR="00A0053F" w:rsidRPr="00267217" w:rsidRDefault="000A6FAF" w:rsidP="00B97F33">
      <w:pPr>
        <w:pStyle w:val="ListParagraph"/>
        <w:numPr>
          <w:ilvl w:val="0"/>
          <w:numId w:val="2"/>
        </w:numPr>
        <w:spacing w:after="240" w:line="360" w:lineRule="auto"/>
        <w:jc w:val="both"/>
        <w:rPr>
          <w:rFonts w:ascii="Arial" w:eastAsia="Times New Roman" w:hAnsi="Arial" w:cs="Arial"/>
          <w:sz w:val="24"/>
          <w:szCs w:val="24"/>
        </w:rPr>
      </w:pPr>
      <w:r w:rsidRPr="00267217">
        <w:rPr>
          <w:rFonts w:ascii="Arial" w:hAnsi="Arial" w:cs="Arial"/>
          <w:b/>
          <w:bCs/>
          <w:sz w:val="24"/>
          <w:szCs w:val="24"/>
        </w:rPr>
        <w:t>Action:</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Customer-number-free data was examined. These records were eliminated from the dataset due to their association with cancellations (i.e., they had a </w:t>
      </w:r>
      <w:proofErr w:type="spellStart"/>
      <w:r w:rsidR="00A0053F" w:rsidRPr="00267217">
        <w:rPr>
          <w:rFonts w:ascii="Arial" w:eastAsia="Times New Roman" w:hAnsi="Arial" w:cs="Arial"/>
          <w:sz w:val="24"/>
          <w:szCs w:val="24"/>
        </w:rPr>
        <w:t>TransactionNo</w:t>
      </w:r>
      <w:proofErr w:type="spellEnd"/>
      <w:r w:rsidR="00A0053F" w:rsidRPr="00267217">
        <w:rPr>
          <w:rFonts w:ascii="Arial" w:eastAsia="Times New Roman" w:hAnsi="Arial" w:cs="Arial"/>
          <w:sz w:val="24"/>
          <w:szCs w:val="24"/>
        </w:rPr>
        <w:t xml:space="preserve"> that began with "C" and a negative quantity).</w:t>
      </w:r>
    </w:p>
    <w:p w14:paraId="0EDF68B6" w14:textId="6BFC4961" w:rsidR="00A0053F" w:rsidRPr="00267217" w:rsidRDefault="000A6FAF" w:rsidP="00B97F33">
      <w:pPr>
        <w:pStyle w:val="ListParagraph"/>
        <w:numPr>
          <w:ilvl w:val="0"/>
          <w:numId w:val="2"/>
        </w:numPr>
        <w:spacing w:after="240" w:line="360" w:lineRule="auto"/>
        <w:jc w:val="both"/>
        <w:rPr>
          <w:rFonts w:ascii="Arial" w:eastAsia="Times New Roman" w:hAnsi="Arial" w:cs="Arial"/>
          <w:sz w:val="24"/>
          <w:szCs w:val="24"/>
        </w:rPr>
      </w:pPr>
      <w:r w:rsidRPr="00267217">
        <w:rPr>
          <w:rFonts w:ascii="Arial" w:hAnsi="Arial" w:cs="Arial"/>
          <w:b/>
          <w:bCs/>
          <w:sz w:val="24"/>
          <w:szCs w:val="24"/>
        </w:rPr>
        <w:lastRenderedPageBreak/>
        <w:t>Result:</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The dataset was reduced to 64,763 pieces as a result of this phase, all of which included the data needed for exact analysis. </w:t>
      </w:r>
    </w:p>
    <w:p w14:paraId="6EB54A8B" w14:textId="2BC0D6CD"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Identifying and Managing Outliers:</w:t>
      </w:r>
    </w:p>
    <w:p w14:paraId="22954404" w14:textId="4C4EC584" w:rsidR="00A0053F" w:rsidRPr="00267217" w:rsidRDefault="000A6FAF" w:rsidP="00B97F33">
      <w:pPr>
        <w:pStyle w:val="ListParagraph"/>
        <w:numPr>
          <w:ilvl w:val="0"/>
          <w:numId w:val="3"/>
        </w:numPr>
        <w:spacing w:after="240" w:line="360" w:lineRule="auto"/>
        <w:jc w:val="both"/>
        <w:rPr>
          <w:rFonts w:ascii="Arial" w:eastAsia="Times New Roman" w:hAnsi="Arial" w:cs="Arial"/>
          <w:sz w:val="24"/>
          <w:szCs w:val="24"/>
        </w:rPr>
      </w:pPr>
      <w:r w:rsidRPr="00267217">
        <w:rPr>
          <w:rFonts w:ascii="Arial" w:hAnsi="Arial" w:cs="Arial"/>
          <w:b/>
          <w:bCs/>
          <w:sz w:val="24"/>
          <w:szCs w:val="24"/>
        </w:rPr>
        <w:t>Action:</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Outliers in Price and Quantity were found using conditional formatting. This was accomplished by highlighting values that deviated significantly from the norm. </w:t>
      </w:r>
    </w:p>
    <w:p w14:paraId="452DB5A6" w14:textId="02A61A84" w:rsidR="00A0053F" w:rsidRPr="00267217" w:rsidRDefault="000A6FAF" w:rsidP="00B97F33">
      <w:pPr>
        <w:pStyle w:val="ListParagraph"/>
        <w:numPr>
          <w:ilvl w:val="0"/>
          <w:numId w:val="3"/>
        </w:numPr>
        <w:spacing w:after="240" w:line="360" w:lineRule="auto"/>
        <w:jc w:val="both"/>
        <w:rPr>
          <w:rFonts w:ascii="Arial" w:eastAsia="Times New Roman" w:hAnsi="Arial" w:cs="Arial"/>
          <w:sz w:val="24"/>
          <w:szCs w:val="24"/>
        </w:rPr>
      </w:pPr>
      <w:r w:rsidRPr="00267217">
        <w:rPr>
          <w:rFonts w:ascii="Arial" w:hAnsi="Arial" w:cs="Arial"/>
          <w:b/>
          <w:bCs/>
          <w:sz w:val="24"/>
          <w:szCs w:val="24"/>
        </w:rPr>
        <w:t>Result:</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Further research was necessary to determine whether the numerous variations were the result of transactions or data input errors. </w:t>
      </w:r>
    </w:p>
    <w:p w14:paraId="07817460" w14:textId="059E6E8F"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Identifying Order Cancellations:</w:t>
      </w:r>
    </w:p>
    <w:p w14:paraId="70D062EC" w14:textId="6E805E04" w:rsidR="00A0053F" w:rsidRPr="00267217" w:rsidRDefault="000A6FAF" w:rsidP="00B97F33">
      <w:pPr>
        <w:pStyle w:val="ListParagraph"/>
        <w:numPr>
          <w:ilvl w:val="0"/>
          <w:numId w:val="4"/>
        </w:numPr>
        <w:spacing w:after="240" w:line="360" w:lineRule="auto"/>
        <w:jc w:val="both"/>
        <w:rPr>
          <w:rFonts w:ascii="Arial" w:hAnsi="Arial" w:cs="Arial"/>
          <w:sz w:val="24"/>
          <w:szCs w:val="24"/>
        </w:rPr>
      </w:pPr>
      <w:r w:rsidRPr="00267217">
        <w:rPr>
          <w:rFonts w:ascii="Arial" w:hAnsi="Arial" w:cs="Arial"/>
          <w:b/>
          <w:bCs/>
          <w:sz w:val="24"/>
          <w:szCs w:val="24"/>
        </w:rPr>
        <w:t>Action</w:t>
      </w:r>
      <w:r w:rsidR="00495DAD" w:rsidRPr="00267217">
        <w:rPr>
          <w:rFonts w:ascii="Arial" w:hAnsi="Arial" w:cs="Arial"/>
          <w:b/>
          <w:bCs/>
          <w:sz w:val="24"/>
          <w:szCs w:val="24"/>
        </w:rPr>
        <w:t>:</w:t>
      </w:r>
      <w:r w:rsidR="00495DAD" w:rsidRPr="00267217">
        <w:rPr>
          <w:rFonts w:ascii="Arial" w:hAnsi="Arial" w:cs="Arial"/>
          <w:sz w:val="24"/>
          <w:szCs w:val="24"/>
        </w:rPr>
        <w:t xml:space="preserve"> </w:t>
      </w:r>
      <w:r w:rsidR="00A0053F" w:rsidRPr="00267217">
        <w:rPr>
          <w:rFonts w:ascii="Arial" w:eastAsia="Times New Roman" w:hAnsi="Arial" w:cs="Arial"/>
          <w:sz w:val="24"/>
          <w:szCs w:val="24"/>
        </w:rPr>
        <w:t xml:space="preserve">For transactions that are cancelled, a 'C' prefix is present on the </w:t>
      </w:r>
      <w:proofErr w:type="spellStart"/>
      <w:r w:rsidR="00A0053F" w:rsidRPr="00267217">
        <w:rPr>
          <w:rFonts w:ascii="Arial" w:eastAsia="Times New Roman" w:hAnsi="Arial" w:cs="Arial"/>
          <w:sz w:val="24"/>
          <w:szCs w:val="24"/>
        </w:rPr>
        <w:t>TransactionNo</w:t>
      </w:r>
      <w:proofErr w:type="spellEnd"/>
      <w:r w:rsidR="00A0053F" w:rsidRPr="00267217">
        <w:rPr>
          <w:rFonts w:ascii="Arial" w:eastAsia="Times New Roman" w:hAnsi="Arial" w:cs="Arial"/>
          <w:sz w:val="24"/>
          <w:szCs w:val="24"/>
        </w:rPr>
        <w:t xml:space="preserve">. The column was initially changed to string format to facilitate this operation. </w:t>
      </w:r>
    </w:p>
    <w:p w14:paraId="61FD232D" w14:textId="77777777" w:rsidR="00A0053F" w:rsidRPr="00267217" w:rsidRDefault="000A6FAF" w:rsidP="00B97F33">
      <w:pPr>
        <w:pStyle w:val="ListParagraph"/>
        <w:numPr>
          <w:ilvl w:val="0"/>
          <w:numId w:val="4"/>
        </w:numPr>
        <w:spacing w:after="240" w:line="360" w:lineRule="auto"/>
        <w:jc w:val="both"/>
        <w:rPr>
          <w:rFonts w:ascii="Arial" w:eastAsia="Times New Roman" w:hAnsi="Arial" w:cs="Arial"/>
          <w:sz w:val="24"/>
          <w:szCs w:val="24"/>
        </w:rPr>
      </w:pPr>
      <w:r w:rsidRPr="00267217">
        <w:rPr>
          <w:rFonts w:ascii="Arial" w:hAnsi="Arial" w:cs="Arial"/>
          <w:b/>
          <w:bCs/>
          <w:sz w:val="24"/>
          <w:szCs w:val="24"/>
        </w:rPr>
        <w:t>Result:</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After separating 763 cancellation transactions, they were deleted from sales analysis to avoid data skewing. </w:t>
      </w:r>
    </w:p>
    <w:p w14:paraId="39B40C0A" w14:textId="473B5B8D"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Converting Data Types:</w:t>
      </w:r>
    </w:p>
    <w:p w14:paraId="44D3498E" w14:textId="36D1022E" w:rsidR="00A0053F" w:rsidRPr="00267217" w:rsidRDefault="000A6FAF" w:rsidP="00B97F33">
      <w:pPr>
        <w:pStyle w:val="ListParagraph"/>
        <w:numPr>
          <w:ilvl w:val="0"/>
          <w:numId w:val="5"/>
        </w:numPr>
        <w:spacing w:after="240" w:line="360" w:lineRule="auto"/>
        <w:jc w:val="both"/>
        <w:rPr>
          <w:rFonts w:ascii="Arial" w:eastAsia="Times New Roman" w:hAnsi="Arial" w:cs="Arial"/>
          <w:sz w:val="24"/>
          <w:szCs w:val="24"/>
        </w:rPr>
      </w:pPr>
      <w:r w:rsidRPr="00267217">
        <w:rPr>
          <w:rFonts w:ascii="Arial" w:hAnsi="Arial" w:cs="Arial"/>
          <w:b/>
          <w:bCs/>
          <w:sz w:val="24"/>
          <w:szCs w:val="24"/>
        </w:rPr>
        <w:t>Action:</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To enable more efficient sorting and analysis by date, the Date column's style was modified from a string to a datetime. </w:t>
      </w:r>
    </w:p>
    <w:p w14:paraId="6754C404" w14:textId="0BC311BC" w:rsidR="00A0053F" w:rsidRPr="00267217" w:rsidRDefault="000A6FAF" w:rsidP="00B97F33">
      <w:pPr>
        <w:pStyle w:val="ListParagraph"/>
        <w:numPr>
          <w:ilvl w:val="0"/>
          <w:numId w:val="5"/>
        </w:numPr>
        <w:spacing w:after="240" w:line="360" w:lineRule="auto"/>
        <w:jc w:val="both"/>
        <w:rPr>
          <w:rFonts w:ascii="Arial" w:eastAsia="Times New Roman" w:hAnsi="Arial" w:cs="Arial"/>
          <w:sz w:val="24"/>
          <w:szCs w:val="24"/>
        </w:rPr>
      </w:pPr>
      <w:r w:rsidRPr="00267217">
        <w:rPr>
          <w:rFonts w:ascii="Arial" w:hAnsi="Arial" w:cs="Arial"/>
          <w:b/>
          <w:bCs/>
          <w:sz w:val="24"/>
          <w:szCs w:val="24"/>
        </w:rPr>
        <w:t>Result:</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This conversion allowed all data types to be matched to their appropriate analytical roles. </w:t>
      </w:r>
    </w:p>
    <w:p w14:paraId="0DF8D93A" w14:textId="39F0C26B"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Creating a Structured Table:</w:t>
      </w:r>
    </w:p>
    <w:p w14:paraId="5A83D60B" w14:textId="0EEB5AB6" w:rsidR="00A0053F" w:rsidRPr="00267217" w:rsidRDefault="000A6FAF" w:rsidP="00B97F33">
      <w:pPr>
        <w:pStyle w:val="ListParagraph"/>
        <w:numPr>
          <w:ilvl w:val="0"/>
          <w:numId w:val="6"/>
        </w:numPr>
        <w:spacing w:after="240" w:line="360" w:lineRule="auto"/>
        <w:jc w:val="both"/>
        <w:rPr>
          <w:rFonts w:ascii="Arial" w:eastAsia="Times New Roman" w:hAnsi="Arial" w:cs="Arial"/>
          <w:sz w:val="24"/>
          <w:szCs w:val="24"/>
        </w:rPr>
      </w:pPr>
      <w:r w:rsidRPr="00267217">
        <w:rPr>
          <w:rFonts w:ascii="Arial" w:hAnsi="Arial" w:cs="Arial"/>
          <w:b/>
          <w:bCs/>
          <w:sz w:val="24"/>
          <w:szCs w:val="24"/>
        </w:rPr>
        <w:t>Action:</w:t>
      </w:r>
      <w:r w:rsidRPr="00267217">
        <w:rPr>
          <w:rFonts w:ascii="Arial" w:hAnsi="Arial" w:cs="Arial"/>
          <w:sz w:val="24"/>
          <w:szCs w:val="24"/>
        </w:rPr>
        <w:t xml:space="preserve"> </w:t>
      </w:r>
      <w:r w:rsidR="00A0053F" w:rsidRPr="00267217">
        <w:rPr>
          <w:rFonts w:ascii="Arial" w:eastAsia="Times New Roman" w:hAnsi="Arial" w:cs="Arial"/>
          <w:sz w:val="24"/>
          <w:szCs w:val="24"/>
        </w:rPr>
        <w:t xml:space="preserve">To facilitate improved data management and analysis, the cleaned data was arranged into an Excel table. </w:t>
      </w:r>
    </w:p>
    <w:p w14:paraId="34EF31B3" w14:textId="7820E3C9" w:rsidR="000A6FAF" w:rsidRPr="00267217" w:rsidRDefault="000A6FAF" w:rsidP="00B97F33">
      <w:pPr>
        <w:pStyle w:val="ListParagraph"/>
        <w:numPr>
          <w:ilvl w:val="0"/>
          <w:numId w:val="6"/>
        </w:numPr>
        <w:spacing w:after="240" w:line="360" w:lineRule="auto"/>
        <w:jc w:val="both"/>
        <w:rPr>
          <w:rFonts w:ascii="Arial" w:eastAsia="Times New Roman" w:hAnsi="Arial" w:cs="Arial"/>
          <w:sz w:val="24"/>
          <w:szCs w:val="24"/>
        </w:rPr>
      </w:pPr>
      <w:r w:rsidRPr="00267217">
        <w:rPr>
          <w:rFonts w:ascii="Arial" w:hAnsi="Arial" w:cs="Arial"/>
          <w:b/>
          <w:bCs/>
          <w:sz w:val="24"/>
          <w:szCs w:val="24"/>
        </w:rPr>
        <w:t>Result</w:t>
      </w:r>
      <w:r w:rsidRPr="00267217">
        <w:rPr>
          <w:rFonts w:ascii="Arial" w:hAnsi="Arial" w:cs="Arial"/>
          <w:sz w:val="24"/>
          <w:szCs w:val="24"/>
        </w:rPr>
        <w:t xml:space="preserve">: </w:t>
      </w:r>
      <w:r w:rsidR="00A0053F" w:rsidRPr="00267217">
        <w:rPr>
          <w:rFonts w:ascii="Arial" w:eastAsia="Times New Roman" w:hAnsi="Arial" w:cs="Arial"/>
          <w:sz w:val="24"/>
          <w:szCs w:val="24"/>
        </w:rPr>
        <w:t>Excel manipulation and analysis are easier with this framework, enabling dynamic data interaction.</w:t>
      </w:r>
    </w:p>
    <w:p w14:paraId="5DF9CC22" w14:textId="77777777" w:rsidR="00854D15" w:rsidRDefault="00854D15" w:rsidP="00A336AB">
      <w:pPr>
        <w:pStyle w:val="Heading1"/>
        <w:jc w:val="both"/>
        <w:rPr>
          <w:rFonts w:ascii="Arial" w:hAnsi="Arial" w:cs="Arial"/>
          <w:b/>
          <w:lang w:val="en-GB"/>
        </w:rPr>
      </w:pPr>
      <w:bookmarkStart w:id="3" w:name="_Toc165631031"/>
    </w:p>
    <w:p w14:paraId="2CFEE0BE" w14:textId="237516D6" w:rsidR="000A6FAF" w:rsidRPr="00267217" w:rsidRDefault="000A6FAF" w:rsidP="00A336AB">
      <w:pPr>
        <w:pStyle w:val="Heading1"/>
        <w:jc w:val="both"/>
        <w:rPr>
          <w:rFonts w:ascii="Arial" w:hAnsi="Arial" w:cs="Arial"/>
          <w:b/>
          <w:lang w:val="en-GB"/>
        </w:rPr>
      </w:pPr>
      <w:r w:rsidRPr="00267217">
        <w:rPr>
          <w:rFonts w:ascii="Arial" w:hAnsi="Arial" w:cs="Arial"/>
          <w:b/>
          <w:lang w:val="en-GB"/>
        </w:rPr>
        <w:t>Section 2: Data Analysis Using Excel</w:t>
      </w:r>
      <w:bookmarkEnd w:id="3"/>
    </w:p>
    <w:p w14:paraId="45663868" w14:textId="77777777" w:rsidR="00A336AB" w:rsidRPr="00267217" w:rsidRDefault="00A336AB" w:rsidP="00A336AB"/>
    <w:p w14:paraId="4900B69C" w14:textId="001F6BF8" w:rsidR="000A6FAF" w:rsidRPr="00267217" w:rsidRDefault="000A6FAF" w:rsidP="00A336AB">
      <w:pPr>
        <w:pStyle w:val="Heading2"/>
        <w:jc w:val="both"/>
        <w:rPr>
          <w:rFonts w:ascii="Arial" w:hAnsi="Arial" w:cs="Arial"/>
          <w:b/>
          <w:color w:val="auto"/>
        </w:rPr>
      </w:pPr>
      <w:bookmarkStart w:id="4" w:name="_Toc165631032"/>
      <w:r w:rsidRPr="00267217">
        <w:rPr>
          <w:rFonts w:ascii="Arial" w:hAnsi="Arial" w:cs="Arial"/>
          <w:b/>
          <w:color w:val="auto"/>
        </w:rPr>
        <w:t>1: Sales Trend Analysis</w:t>
      </w:r>
      <w:bookmarkEnd w:id="4"/>
    </w:p>
    <w:p w14:paraId="7911D3EC" w14:textId="4F9189E1" w:rsidR="000A6FAF"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Microsoft Excel was used to analyse the UK e-commerce company's monthly sales patterns to better understand performance.  </w:t>
      </w:r>
      <w:r w:rsidR="000A6FAF" w:rsidRPr="00267217">
        <w:rPr>
          <w:rFonts w:ascii="Arial" w:hAnsi="Arial" w:cs="Arial"/>
          <w:sz w:val="24"/>
          <w:szCs w:val="24"/>
        </w:rPr>
        <w:t>The analysis followed these steps:</w:t>
      </w:r>
    </w:p>
    <w:p w14:paraId="3BFC0C0E"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 Preparation:</w:t>
      </w:r>
    </w:p>
    <w:p w14:paraId="625B8603" w14:textId="226494B0"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time series data was represented by changing the date to datetime. </w:t>
      </w:r>
    </w:p>
    <w:p w14:paraId="4645A4F1" w14:textId="0686348F"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To assist in calculating transaction sales, the format of the Price and Quantity fields is verified. </w:t>
      </w:r>
    </w:p>
    <w:p w14:paraId="4DA36B55"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Calculating Monthly Sales:</w:t>
      </w:r>
    </w:p>
    <w:p w14:paraId="58F04AFA" w14:textId="2B6A6078"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Price multiplied by quantity creates a new column called total sales. </w:t>
      </w:r>
    </w:p>
    <w:p w14:paraId="4ACFF4E5" w14:textId="2B03ACD1"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To aggregate daily transactions into monthly totals, =TEXT (Date, "mmm-</w:t>
      </w:r>
      <w:proofErr w:type="spellStart"/>
      <w:r w:rsidRPr="00267217">
        <w:rPr>
          <w:rFonts w:ascii="Arial" w:eastAsia="Times New Roman" w:hAnsi="Arial" w:cs="Arial"/>
          <w:sz w:val="24"/>
          <w:szCs w:val="24"/>
        </w:rPr>
        <w:t>yyyy</w:t>
      </w:r>
      <w:proofErr w:type="spellEnd"/>
      <w:r w:rsidRPr="00267217">
        <w:rPr>
          <w:rFonts w:ascii="Arial" w:eastAsia="Times New Roman" w:hAnsi="Arial" w:cs="Arial"/>
          <w:sz w:val="24"/>
          <w:szCs w:val="24"/>
        </w:rPr>
        <w:t xml:space="preserve">") was used to produce the Month-Year column.  </w:t>
      </w:r>
    </w:p>
    <w:p w14:paraId="59A2582B"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Pivot Table Creation:</w:t>
      </w:r>
    </w:p>
    <w:p w14:paraId="7079D19F" w14:textId="2E820E7D" w:rsidR="00AD41AE" w:rsidRPr="009B5215" w:rsidRDefault="00003608" w:rsidP="009B5215">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For the purpose of aggregating the monthly data, a pivot table was utilised. In order to determine the total and average sales for each month, the Month-Year data that was organised in rows was utilised. Both the sum and the average were used to summarise the sales. </w:t>
      </w:r>
      <w:r w:rsidR="00AD41AE" w:rsidRPr="00267217">
        <w:rPr>
          <w:rFonts w:ascii="Arial" w:hAnsi="Arial" w:cs="Arial"/>
          <w:b/>
          <w:bCs/>
          <w:sz w:val="24"/>
          <w:szCs w:val="24"/>
        </w:rPr>
        <w:t>Table 1: Sales Trends Analysis Summary</w:t>
      </w:r>
    </w:p>
    <w:tbl>
      <w:tblPr>
        <w:tblW w:w="5500" w:type="dxa"/>
        <w:tblInd w:w="108" w:type="dxa"/>
        <w:tblLook w:val="04A0" w:firstRow="1" w:lastRow="0" w:firstColumn="1" w:lastColumn="0" w:noHBand="0" w:noVBand="1"/>
      </w:tblPr>
      <w:tblGrid>
        <w:gridCol w:w="1380"/>
        <w:gridCol w:w="1820"/>
        <w:gridCol w:w="2300"/>
      </w:tblGrid>
      <w:tr w:rsidR="00AD41AE" w:rsidRPr="00267217" w14:paraId="13CB3328" w14:textId="77777777" w:rsidTr="00AD41AE">
        <w:trPr>
          <w:trHeight w:val="300"/>
        </w:trPr>
        <w:tc>
          <w:tcPr>
            <w:tcW w:w="1380" w:type="dxa"/>
            <w:tcBorders>
              <w:top w:val="nil"/>
              <w:left w:val="nil"/>
              <w:bottom w:val="nil"/>
              <w:right w:val="nil"/>
            </w:tcBorders>
            <w:shd w:val="clear" w:color="auto" w:fill="auto"/>
            <w:noWrap/>
            <w:vAlign w:val="bottom"/>
            <w:hideMark/>
          </w:tcPr>
          <w:p w14:paraId="1B570807" w14:textId="77777777" w:rsidR="00AD41AE" w:rsidRPr="00267217" w:rsidRDefault="00AD41AE" w:rsidP="00AD41AE">
            <w:pPr>
              <w:spacing w:after="0" w:line="240" w:lineRule="auto"/>
              <w:rPr>
                <w:rFonts w:ascii="Times New Roman" w:eastAsia="Times New Roman" w:hAnsi="Times New Roman" w:cs="Times New Roman"/>
                <w:sz w:val="24"/>
                <w:szCs w:val="24"/>
              </w:rPr>
            </w:pPr>
          </w:p>
        </w:tc>
        <w:tc>
          <w:tcPr>
            <w:tcW w:w="1820" w:type="dxa"/>
            <w:tcBorders>
              <w:top w:val="nil"/>
              <w:left w:val="nil"/>
              <w:bottom w:val="nil"/>
              <w:right w:val="nil"/>
            </w:tcBorders>
            <w:shd w:val="clear" w:color="auto" w:fill="auto"/>
            <w:noWrap/>
            <w:vAlign w:val="bottom"/>
            <w:hideMark/>
          </w:tcPr>
          <w:p w14:paraId="74DBC816" w14:textId="77777777" w:rsidR="00AD41AE" w:rsidRPr="00267217" w:rsidRDefault="00AD41AE" w:rsidP="00AD41AE">
            <w:pPr>
              <w:spacing w:after="0" w:line="240" w:lineRule="auto"/>
              <w:rPr>
                <w:rFonts w:ascii="Times New Roman" w:eastAsia="Times New Roman" w:hAnsi="Times New Roman" w:cs="Times New Roman"/>
                <w:sz w:val="20"/>
                <w:szCs w:val="20"/>
              </w:rPr>
            </w:pPr>
          </w:p>
        </w:tc>
        <w:tc>
          <w:tcPr>
            <w:tcW w:w="2300" w:type="dxa"/>
            <w:tcBorders>
              <w:top w:val="nil"/>
              <w:left w:val="nil"/>
              <w:bottom w:val="nil"/>
              <w:right w:val="nil"/>
            </w:tcBorders>
            <w:shd w:val="clear" w:color="auto" w:fill="auto"/>
            <w:noWrap/>
            <w:vAlign w:val="bottom"/>
            <w:hideMark/>
          </w:tcPr>
          <w:p w14:paraId="2E97E223" w14:textId="77777777" w:rsidR="00AD41AE" w:rsidRPr="00267217" w:rsidRDefault="00AD41AE" w:rsidP="00AD41AE">
            <w:pPr>
              <w:spacing w:after="0" w:line="240" w:lineRule="auto"/>
              <w:rPr>
                <w:rFonts w:ascii="Times New Roman" w:eastAsia="Times New Roman" w:hAnsi="Times New Roman" w:cs="Times New Roman"/>
                <w:sz w:val="20"/>
                <w:szCs w:val="20"/>
              </w:rPr>
            </w:pPr>
          </w:p>
        </w:tc>
      </w:tr>
      <w:tr w:rsidR="00AD41AE" w:rsidRPr="00267217" w14:paraId="28595174" w14:textId="77777777" w:rsidTr="00AD41AE">
        <w:trPr>
          <w:trHeight w:val="300"/>
        </w:trPr>
        <w:tc>
          <w:tcPr>
            <w:tcW w:w="1380" w:type="dxa"/>
            <w:tcBorders>
              <w:top w:val="nil"/>
              <w:left w:val="nil"/>
              <w:bottom w:val="single" w:sz="4" w:space="0" w:color="95B3D7"/>
              <w:right w:val="nil"/>
            </w:tcBorders>
            <w:shd w:val="clear" w:color="DCE6F1" w:fill="DCE6F1"/>
            <w:noWrap/>
            <w:vAlign w:val="bottom"/>
            <w:hideMark/>
          </w:tcPr>
          <w:p w14:paraId="75764238" w14:textId="17E286F4"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Month-Year</w:t>
            </w:r>
          </w:p>
        </w:tc>
        <w:tc>
          <w:tcPr>
            <w:tcW w:w="1820" w:type="dxa"/>
            <w:tcBorders>
              <w:top w:val="nil"/>
              <w:left w:val="nil"/>
              <w:bottom w:val="single" w:sz="4" w:space="0" w:color="95B3D7"/>
              <w:right w:val="nil"/>
            </w:tcBorders>
            <w:shd w:val="clear" w:color="DCE6F1" w:fill="DCE6F1"/>
            <w:noWrap/>
            <w:vAlign w:val="bottom"/>
            <w:hideMark/>
          </w:tcPr>
          <w:p w14:paraId="54D7637E" w14:textId="77777777"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Sum of Total Sales</w:t>
            </w:r>
          </w:p>
        </w:tc>
        <w:tc>
          <w:tcPr>
            <w:tcW w:w="2300" w:type="dxa"/>
            <w:tcBorders>
              <w:top w:val="nil"/>
              <w:left w:val="nil"/>
              <w:bottom w:val="single" w:sz="4" w:space="0" w:color="95B3D7"/>
              <w:right w:val="nil"/>
            </w:tcBorders>
            <w:shd w:val="clear" w:color="DCE6F1" w:fill="DCE6F1"/>
            <w:noWrap/>
            <w:vAlign w:val="bottom"/>
            <w:hideMark/>
          </w:tcPr>
          <w:p w14:paraId="6610AA12" w14:textId="5F07435F"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 xml:space="preserve">       Average of Total     Sales2</w:t>
            </w:r>
          </w:p>
        </w:tc>
      </w:tr>
      <w:tr w:rsidR="00AD41AE" w:rsidRPr="00267217" w14:paraId="2428D118" w14:textId="77777777" w:rsidTr="00AD41AE">
        <w:trPr>
          <w:trHeight w:val="300"/>
        </w:trPr>
        <w:tc>
          <w:tcPr>
            <w:tcW w:w="1380" w:type="dxa"/>
            <w:tcBorders>
              <w:top w:val="nil"/>
              <w:left w:val="nil"/>
              <w:bottom w:val="nil"/>
              <w:right w:val="nil"/>
            </w:tcBorders>
            <w:shd w:val="clear" w:color="auto" w:fill="auto"/>
            <w:noWrap/>
            <w:vAlign w:val="bottom"/>
            <w:hideMark/>
          </w:tcPr>
          <w:p w14:paraId="05968B9D"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Dec-2019</w:t>
            </w:r>
          </w:p>
        </w:tc>
        <w:tc>
          <w:tcPr>
            <w:tcW w:w="1820" w:type="dxa"/>
            <w:tcBorders>
              <w:top w:val="nil"/>
              <w:left w:val="nil"/>
              <w:bottom w:val="nil"/>
              <w:right w:val="nil"/>
            </w:tcBorders>
            <w:shd w:val="clear" w:color="auto" w:fill="auto"/>
            <w:noWrap/>
            <w:vAlign w:val="bottom"/>
            <w:hideMark/>
          </w:tcPr>
          <w:p w14:paraId="7B76A98C"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1994715.74</w:t>
            </w:r>
          </w:p>
        </w:tc>
        <w:tc>
          <w:tcPr>
            <w:tcW w:w="2300" w:type="dxa"/>
            <w:tcBorders>
              <w:top w:val="nil"/>
              <w:left w:val="nil"/>
              <w:bottom w:val="nil"/>
              <w:right w:val="nil"/>
            </w:tcBorders>
            <w:shd w:val="clear" w:color="auto" w:fill="auto"/>
            <w:noWrap/>
            <w:vAlign w:val="bottom"/>
            <w:hideMark/>
          </w:tcPr>
          <w:p w14:paraId="125363D0"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79.27492807</w:t>
            </w:r>
          </w:p>
        </w:tc>
      </w:tr>
      <w:tr w:rsidR="00AD41AE" w:rsidRPr="00267217" w14:paraId="14918C83" w14:textId="77777777" w:rsidTr="00AD41AE">
        <w:trPr>
          <w:trHeight w:val="300"/>
        </w:trPr>
        <w:tc>
          <w:tcPr>
            <w:tcW w:w="1380" w:type="dxa"/>
            <w:tcBorders>
              <w:top w:val="nil"/>
              <w:left w:val="nil"/>
              <w:bottom w:val="nil"/>
              <w:right w:val="nil"/>
            </w:tcBorders>
            <w:shd w:val="clear" w:color="auto" w:fill="auto"/>
            <w:noWrap/>
            <w:vAlign w:val="bottom"/>
            <w:hideMark/>
          </w:tcPr>
          <w:p w14:paraId="4CEA57D7"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Nov-2019</w:t>
            </w:r>
          </w:p>
        </w:tc>
        <w:tc>
          <w:tcPr>
            <w:tcW w:w="1820" w:type="dxa"/>
            <w:tcBorders>
              <w:top w:val="nil"/>
              <w:left w:val="nil"/>
              <w:bottom w:val="nil"/>
              <w:right w:val="nil"/>
            </w:tcBorders>
            <w:shd w:val="clear" w:color="auto" w:fill="auto"/>
            <w:noWrap/>
            <w:vAlign w:val="bottom"/>
            <w:hideMark/>
          </w:tcPr>
          <w:p w14:paraId="5538AFF1"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2727862.41</w:t>
            </w:r>
          </w:p>
        </w:tc>
        <w:tc>
          <w:tcPr>
            <w:tcW w:w="2300" w:type="dxa"/>
            <w:tcBorders>
              <w:top w:val="nil"/>
              <w:left w:val="nil"/>
              <w:bottom w:val="nil"/>
              <w:right w:val="nil"/>
            </w:tcBorders>
            <w:shd w:val="clear" w:color="auto" w:fill="auto"/>
            <w:noWrap/>
            <w:vAlign w:val="bottom"/>
            <w:hideMark/>
          </w:tcPr>
          <w:p w14:paraId="7AC28C69"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68.88367491</w:t>
            </w:r>
          </w:p>
        </w:tc>
      </w:tr>
      <w:tr w:rsidR="00AD41AE" w:rsidRPr="00267217" w14:paraId="7B24E242" w14:textId="77777777" w:rsidTr="00AD41AE">
        <w:trPr>
          <w:trHeight w:val="300"/>
        </w:trPr>
        <w:tc>
          <w:tcPr>
            <w:tcW w:w="1380" w:type="dxa"/>
            <w:tcBorders>
              <w:top w:val="single" w:sz="4" w:space="0" w:color="95B3D7"/>
              <w:left w:val="nil"/>
              <w:bottom w:val="nil"/>
              <w:right w:val="nil"/>
            </w:tcBorders>
            <w:shd w:val="clear" w:color="DCE6F1" w:fill="DCE6F1"/>
            <w:noWrap/>
            <w:vAlign w:val="bottom"/>
            <w:hideMark/>
          </w:tcPr>
          <w:p w14:paraId="2EC83483" w14:textId="77777777"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Grand Total</w:t>
            </w:r>
          </w:p>
        </w:tc>
        <w:tc>
          <w:tcPr>
            <w:tcW w:w="1820" w:type="dxa"/>
            <w:tcBorders>
              <w:top w:val="single" w:sz="4" w:space="0" w:color="95B3D7"/>
              <w:left w:val="nil"/>
              <w:bottom w:val="nil"/>
              <w:right w:val="nil"/>
            </w:tcBorders>
            <w:shd w:val="clear" w:color="DCE6F1" w:fill="DCE6F1"/>
            <w:noWrap/>
            <w:vAlign w:val="bottom"/>
            <w:hideMark/>
          </w:tcPr>
          <w:p w14:paraId="519364E6" w14:textId="77777777" w:rsidR="00AD41AE" w:rsidRPr="00267217" w:rsidRDefault="00AD41AE" w:rsidP="00AD41AE">
            <w:pPr>
              <w:spacing w:after="0" w:line="240" w:lineRule="auto"/>
              <w:jc w:val="right"/>
              <w:rPr>
                <w:rFonts w:ascii="Calibri" w:eastAsia="Times New Roman" w:hAnsi="Calibri" w:cs="Calibri"/>
                <w:b/>
                <w:bCs/>
                <w:color w:val="000000"/>
              </w:rPr>
            </w:pPr>
            <w:r w:rsidRPr="00267217">
              <w:rPr>
                <w:rFonts w:ascii="Calibri" w:eastAsia="Times New Roman" w:hAnsi="Calibri" w:cs="Calibri"/>
                <w:b/>
                <w:bCs/>
                <w:color w:val="000000"/>
              </w:rPr>
              <w:t>4722578.15</w:t>
            </w:r>
          </w:p>
        </w:tc>
        <w:tc>
          <w:tcPr>
            <w:tcW w:w="2300" w:type="dxa"/>
            <w:tcBorders>
              <w:top w:val="single" w:sz="4" w:space="0" w:color="95B3D7"/>
              <w:left w:val="nil"/>
              <w:bottom w:val="nil"/>
              <w:right w:val="nil"/>
            </w:tcBorders>
            <w:shd w:val="clear" w:color="DCE6F1" w:fill="DCE6F1"/>
            <w:noWrap/>
            <w:vAlign w:val="bottom"/>
            <w:hideMark/>
          </w:tcPr>
          <w:p w14:paraId="1E92A732" w14:textId="77777777" w:rsidR="00AD41AE" w:rsidRPr="00267217" w:rsidRDefault="00AD41AE" w:rsidP="00AD41AE">
            <w:pPr>
              <w:spacing w:after="0" w:line="240" w:lineRule="auto"/>
              <w:jc w:val="right"/>
              <w:rPr>
                <w:rFonts w:ascii="Calibri" w:eastAsia="Times New Roman" w:hAnsi="Calibri" w:cs="Calibri"/>
                <w:b/>
                <w:bCs/>
                <w:color w:val="000000"/>
              </w:rPr>
            </w:pPr>
            <w:r w:rsidRPr="00267217">
              <w:rPr>
                <w:rFonts w:ascii="Calibri" w:eastAsia="Times New Roman" w:hAnsi="Calibri" w:cs="Calibri"/>
                <w:b/>
                <w:bCs/>
                <w:color w:val="000000"/>
              </w:rPr>
              <w:t>72.92092939</w:t>
            </w:r>
          </w:p>
        </w:tc>
      </w:tr>
      <w:tr w:rsidR="00AD41AE" w:rsidRPr="00267217" w14:paraId="2417EF28" w14:textId="77777777" w:rsidTr="00AD41AE">
        <w:trPr>
          <w:trHeight w:val="300"/>
        </w:trPr>
        <w:tc>
          <w:tcPr>
            <w:tcW w:w="1380" w:type="dxa"/>
            <w:tcBorders>
              <w:top w:val="nil"/>
              <w:left w:val="nil"/>
              <w:bottom w:val="nil"/>
              <w:right w:val="nil"/>
            </w:tcBorders>
            <w:shd w:val="clear" w:color="auto" w:fill="auto"/>
            <w:noWrap/>
            <w:vAlign w:val="bottom"/>
            <w:hideMark/>
          </w:tcPr>
          <w:p w14:paraId="5108E78D" w14:textId="77777777" w:rsidR="00AD41AE" w:rsidRPr="00267217" w:rsidRDefault="00AD41AE" w:rsidP="00AD41AE">
            <w:pPr>
              <w:spacing w:after="0" w:line="240" w:lineRule="auto"/>
              <w:jc w:val="right"/>
              <w:rPr>
                <w:rFonts w:ascii="Calibri" w:eastAsia="Times New Roman" w:hAnsi="Calibri" w:cs="Calibri"/>
                <w:b/>
                <w:bCs/>
                <w:color w:val="000000"/>
              </w:rPr>
            </w:pPr>
          </w:p>
        </w:tc>
        <w:tc>
          <w:tcPr>
            <w:tcW w:w="1820" w:type="dxa"/>
            <w:tcBorders>
              <w:top w:val="nil"/>
              <w:left w:val="nil"/>
              <w:bottom w:val="nil"/>
              <w:right w:val="nil"/>
            </w:tcBorders>
            <w:shd w:val="clear" w:color="auto" w:fill="auto"/>
            <w:noWrap/>
            <w:vAlign w:val="bottom"/>
            <w:hideMark/>
          </w:tcPr>
          <w:p w14:paraId="5DA7E383" w14:textId="77777777" w:rsidR="00AD41AE" w:rsidRPr="00267217" w:rsidRDefault="00AD41AE" w:rsidP="00AD41AE">
            <w:pPr>
              <w:spacing w:after="0" w:line="240" w:lineRule="auto"/>
              <w:rPr>
                <w:rFonts w:ascii="Times New Roman" w:eastAsia="Times New Roman" w:hAnsi="Times New Roman" w:cs="Times New Roman"/>
                <w:sz w:val="20"/>
                <w:szCs w:val="20"/>
              </w:rPr>
            </w:pPr>
          </w:p>
        </w:tc>
        <w:tc>
          <w:tcPr>
            <w:tcW w:w="2300" w:type="dxa"/>
            <w:tcBorders>
              <w:top w:val="nil"/>
              <w:left w:val="nil"/>
              <w:bottom w:val="nil"/>
              <w:right w:val="nil"/>
            </w:tcBorders>
            <w:shd w:val="clear" w:color="auto" w:fill="auto"/>
            <w:noWrap/>
            <w:vAlign w:val="bottom"/>
            <w:hideMark/>
          </w:tcPr>
          <w:p w14:paraId="0CD009E3" w14:textId="77777777" w:rsidR="00AD41AE" w:rsidRPr="00267217" w:rsidRDefault="00AD41AE" w:rsidP="00AD41AE">
            <w:pPr>
              <w:spacing w:after="0" w:line="240" w:lineRule="auto"/>
              <w:rPr>
                <w:rFonts w:ascii="Times New Roman" w:eastAsia="Times New Roman" w:hAnsi="Times New Roman" w:cs="Times New Roman"/>
                <w:sz w:val="20"/>
                <w:szCs w:val="20"/>
              </w:rPr>
            </w:pPr>
          </w:p>
        </w:tc>
      </w:tr>
    </w:tbl>
    <w:p w14:paraId="33BD0001" w14:textId="77777777" w:rsidR="000A6FAF" w:rsidRPr="00267217" w:rsidRDefault="000A6FAF" w:rsidP="00B97F33">
      <w:pPr>
        <w:autoSpaceDE w:val="0"/>
        <w:autoSpaceDN w:val="0"/>
        <w:adjustRightInd w:val="0"/>
        <w:spacing w:line="360" w:lineRule="auto"/>
        <w:jc w:val="both"/>
        <w:rPr>
          <w:rFonts w:cstheme="minorHAnsi"/>
          <w:b/>
          <w:bCs/>
          <w:sz w:val="24"/>
          <w:szCs w:val="24"/>
        </w:rPr>
      </w:pPr>
      <w:r w:rsidRPr="00267217">
        <w:rPr>
          <w:rFonts w:cstheme="minorHAnsi"/>
          <w:b/>
          <w:bCs/>
          <w:sz w:val="24"/>
          <w:szCs w:val="24"/>
        </w:rPr>
        <w:t>Visualization:</w:t>
      </w:r>
    </w:p>
    <w:p w14:paraId="27DE208C" w14:textId="06CFFC69"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lastRenderedPageBreak/>
        <w:t xml:space="preserve">The entire monthly sales were displayed on a line chart so that trends could be more easily identified. One possible way to depict the average monthly transaction value is to incorporate a second axis into the graph. This is where the overall income as well as the value of the transaction would be presented. </w:t>
      </w:r>
    </w:p>
    <w:p w14:paraId="5222973F" w14:textId="7800E786" w:rsidR="00AD41AE" w:rsidRPr="00267217" w:rsidRDefault="00AD41AE" w:rsidP="00AD41AE">
      <w:pPr>
        <w:spacing w:after="240" w:line="360" w:lineRule="auto"/>
        <w:jc w:val="center"/>
        <w:rPr>
          <w:rFonts w:eastAsia="Times New Roman" w:cstheme="minorHAnsi"/>
          <w:sz w:val="24"/>
          <w:szCs w:val="24"/>
        </w:rPr>
      </w:pPr>
      <w:r w:rsidRPr="00267217">
        <w:rPr>
          <w:noProof/>
        </w:rPr>
        <w:drawing>
          <wp:inline distT="0" distB="0" distL="0" distR="0" wp14:anchorId="55BEF76A" wp14:editId="4434B9BD">
            <wp:extent cx="4743450" cy="3273777"/>
            <wp:effectExtent l="0" t="0" r="0" b="3175"/>
            <wp:docPr id="1813205299" name="Chart 1">
              <a:extLst xmlns:a="http://schemas.openxmlformats.org/drawingml/2006/main">
                <a:ext uri="{FF2B5EF4-FFF2-40B4-BE49-F238E27FC236}">
                  <a16:creationId xmlns:a16="http://schemas.microsoft.com/office/drawing/2014/main" id="{183CDD5D-030C-14F2-36CB-74B35BCF65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75F957" w14:textId="19BE783E" w:rsidR="000A6FAF"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line graph, which can be found here, shows that the sales for the month of November 2019 climbed from £1,994,715.74 in December 2019 to £2,727,862.41 (see Table 1 for more information). The average transaction value for the month of December grew from £68.88 in November to £79.27 in December, despite the fact that sales figures were lower. Because of this, holiday shoppers tend to make more substantial purchases overall. </w:t>
      </w:r>
    </w:p>
    <w:p w14:paraId="52381CA6" w14:textId="7D8EBFF9" w:rsidR="00F738B4"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results of this analysis illustrate how important it is to utilise sales data visualisation in order to discover patterns and provide direction for the goals of a business. Black Friday and pre-Christmas shopping are the primary drivers of retail sales in November, which necessitates smart stock planning and marketing (Frye, 2018). </w:t>
      </w:r>
    </w:p>
    <w:p w14:paraId="6F80AD60" w14:textId="61590C6A" w:rsidR="000A6FAF" w:rsidRPr="00267217" w:rsidRDefault="000A6FAF" w:rsidP="00A336AB">
      <w:pPr>
        <w:pStyle w:val="Heading2"/>
        <w:jc w:val="both"/>
        <w:rPr>
          <w:rFonts w:ascii="Arial" w:hAnsi="Arial" w:cs="Arial"/>
          <w:b/>
          <w:color w:val="auto"/>
        </w:rPr>
      </w:pPr>
      <w:bookmarkStart w:id="5" w:name="_Toc165631033"/>
      <w:r w:rsidRPr="00267217">
        <w:rPr>
          <w:rFonts w:ascii="Arial" w:hAnsi="Arial" w:cs="Arial"/>
          <w:b/>
          <w:color w:val="auto"/>
        </w:rPr>
        <w:lastRenderedPageBreak/>
        <w:t>2: Product Analysis</w:t>
      </w:r>
      <w:bookmarkEnd w:id="5"/>
    </w:p>
    <w:p w14:paraId="5B9A8F4F" w14:textId="58D2D806" w:rsidR="00003608" w:rsidRPr="00267217" w:rsidRDefault="00003608"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ProductName and Quantity fields were present in the dataset utilised for the product popularity analysis. Calculating product sales volume requires these columns. To do this, Microsoft Excel was utilised: </w:t>
      </w:r>
    </w:p>
    <w:p w14:paraId="4FE63835" w14:textId="382B33C7" w:rsidR="00003608" w:rsidRPr="00267217" w:rsidRDefault="000A6FAF" w:rsidP="003B7BB4">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 Preparation:</w:t>
      </w:r>
      <w:r w:rsidR="003B7BB4" w:rsidRPr="00267217">
        <w:rPr>
          <w:rFonts w:ascii="Arial" w:hAnsi="Arial" w:cs="Arial"/>
          <w:b/>
          <w:bCs/>
          <w:sz w:val="24"/>
          <w:szCs w:val="24"/>
        </w:rPr>
        <w:t xml:space="preserve"> </w:t>
      </w:r>
      <w:r w:rsidR="00003608" w:rsidRPr="00267217">
        <w:rPr>
          <w:rFonts w:ascii="Arial" w:eastAsia="Times New Roman" w:hAnsi="Arial" w:cs="Arial"/>
          <w:sz w:val="24"/>
          <w:szCs w:val="24"/>
        </w:rPr>
        <w:t xml:space="preserve">Prior to analysis, the ProductName and Quantity fields were reviewed for correctness and formatting. </w:t>
      </w:r>
    </w:p>
    <w:p w14:paraId="72C55FE7" w14:textId="17CDD1F2" w:rsidR="00003608" w:rsidRPr="00267217" w:rsidRDefault="000A6FAF" w:rsidP="00AD41AE">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Pivot Table Creation:</w:t>
      </w:r>
      <w:r w:rsidR="003B7BB4" w:rsidRPr="00267217">
        <w:rPr>
          <w:rFonts w:ascii="Arial" w:hAnsi="Arial" w:cs="Arial"/>
          <w:b/>
          <w:bCs/>
          <w:sz w:val="24"/>
          <w:szCs w:val="24"/>
        </w:rPr>
        <w:t xml:space="preserve"> </w:t>
      </w:r>
      <w:r w:rsidR="00003608" w:rsidRPr="00267217">
        <w:rPr>
          <w:rFonts w:ascii="Arial" w:eastAsia="Times New Roman" w:hAnsi="Arial" w:cs="Arial"/>
          <w:sz w:val="24"/>
          <w:szCs w:val="24"/>
        </w:rPr>
        <w:t>For clarification, a Pivot Table was added to a new worksheet by selecting the Insert option.</w:t>
      </w:r>
      <w:r w:rsidR="00AD41AE" w:rsidRPr="00267217">
        <w:rPr>
          <w:rFonts w:ascii="Arial" w:hAnsi="Arial" w:cs="Arial"/>
          <w:b/>
          <w:bCs/>
          <w:sz w:val="24"/>
          <w:szCs w:val="24"/>
        </w:rPr>
        <w:t xml:space="preserve"> </w:t>
      </w:r>
      <w:r w:rsidR="00003608" w:rsidRPr="00267217">
        <w:rPr>
          <w:rFonts w:ascii="Arial" w:eastAsia="Times New Roman" w:hAnsi="Arial" w:cs="Arial"/>
          <w:sz w:val="24"/>
          <w:szCs w:val="24"/>
        </w:rPr>
        <w:t>Sum aggregation was used to add the ProductName to Rows and the Quantity to Values. Each product's total sales were computed.</w:t>
      </w:r>
    </w:p>
    <w:p w14:paraId="33D231A7" w14:textId="683EECC6" w:rsidR="00003608" w:rsidRPr="00267217" w:rsidRDefault="000A6FAF" w:rsidP="003B7BB4">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 xml:space="preserve">Sorting and </w:t>
      </w:r>
      <w:proofErr w:type="spellStart"/>
      <w:r w:rsidRPr="00267217">
        <w:rPr>
          <w:rFonts w:ascii="Arial" w:hAnsi="Arial" w:cs="Arial"/>
          <w:b/>
          <w:bCs/>
          <w:sz w:val="24"/>
          <w:szCs w:val="24"/>
        </w:rPr>
        <w:t>Analyzing</w:t>
      </w:r>
      <w:proofErr w:type="spellEnd"/>
      <w:r w:rsidRPr="00267217">
        <w:rPr>
          <w:rFonts w:ascii="Arial" w:hAnsi="Arial" w:cs="Arial"/>
          <w:b/>
          <w:bCs/>
          <w:sz w:val="24"/>
          <w:szCs w:val="24"/>
        </w:rPr>
        <w:t xml:space="preserve"> Products:</w:t>
      </w:r>
      <w:r w:rsidR="003B7BB4" w:rsidRPr="00267217">
        <w:rPr>
          <w:rFonts w:ascii="Arial" w:hAnsi="Arial" w:cs="Arial"/>
          <w:b/>
          <w:bCs/>
          <w:sz w:val="24"/>
          <w:szCs w:val="24"/>
        </w:rPr>
        <w:t xml:space="preserve"> </w:t>
      </w:r>
      <w:r w:rsidR="00003608" w:rsidRPr="00267217">
        <w:rPr>
          <w:rFonts w:ascii="Arial" w:eastAsia="Times New Roman" w:hAnsi="Arial" w:cs="Arial"/>
          <w:sz w:val="24"/>
          <w:szCs w:val="24"/>
        </w:rPr>
        <w:t xml:space="preserve">The top-to-bottom, descending sales total order showed which products were the most popular. </w:t>
      </w:r>
    </w:p>
    <w:p w14:paraId="246F1F1C" w14:textId="2D345981" w:rsidR="001762FF" w:rsidRPr="00267217" w:rsidRDefault="000A6FAF" w:rsidP="00AD41AE">
      <w:pPr>
        <w:autoSpaceDE w:val="0"/>
        <w:autoSpaceDN w:val="0"/>
        <w:adjustRightInd w:val="0"/>
        <w:spacing w:line="360" w:lineRule="auto"/>
        <w:jc w:val="both"/>
        <w:rPr>
          <w:rFonts w:ascii="Arial" w:eastAsia="Times New Roman" w:hAnsi="Arial" w:cs="Arial"/>
          <w:sz w:val="24"/>
          <w:szCs w:val="24"/>
        </w:rPr>
      </w:pPr>
      <w:r w:rsidRPr="00267217">
        <w:rPr>
          <w:rFonts w:ascii="Arial" w:hAnsi="Arial" w:cs="Arial"/>
          <w:b/>
          <w:bCs/>
          <w:sz w:val="24"/>
          <w:szCs w:val="24"/>
        </w:rPr>
        <w:t>Visualization:</w:t>
      </w:r>
      <w:r w:rsidR="003B7BB4" w:rsidRPr="00267217">
        <w:rPr>
          <w:rFonts w:ascii="Arial" w:hAnsi="Arial" w:cs="Arial"/>
          <w:b/>
          <w:bCs/>
          <w:sz w:val="24"/>
          <w:szCs w:val="24"/>
        </w:rPr>
        <w:t xml:space="preserve"> </w:t>
      </w:r>
      <w:r w:rsidRPr="00267217">
        <w:rPr>
          <w:rFonts w:ascii="Arial" w:hAnsi="Arial" w:cs="Arial"/>
          <w:sz w:val="24"/>
          <w:szCs w:val="24"/>
        </w:rPr>
        <w:t>The top 20 products by quantity sold were selected for visualization to maintain clarity and focus.</w:t>
      </w:r>
      <w:r w:rsidR="00AD41AE" w:rsidRPr="00267217">
        <w:rPr>
          <w:rFonts w:ascii="Arial" w:hAnsi="Arial" w:cs="Arial"/>
          <w:b/>
          <w:bCs/>
          <w:sz w:val="24"/>
          <w:szCs w:val="24"/>
        </w:rPr>
        <w:t xml:space="preserve"> </w:t>
      </w:r>
      <w:r w:rsidRPr="00267217">
        <w:rPr>
          <w:rFonts w:ascii="Arial" w:hAnsi="Arial" w:cs="Arial"/>
          <w:sz w:val="24"/>
          <w:szCs w:val="24"/>
        </w:rPr>
        <w:t xml:space="preserve">Two charts were created: </w:t>
      </w:r>
      <w:r w:rsidR="00BE66AD" w:rsidRPr="00267217">
        <w:rPr>
          <w:rFonts w:ascii="Arial" w:hAnsi="Arial" w:cs="Arial"/>
          <w:sz w:val="24"/>
          <w:szCs w:val="24"/>
        </w:rPr>
        <w:t>A</w:t>
      </w:r>
      <w:r w:rsidRPr="00267217">
        <w:rPr>
          <w:rFonts w:ascii="Arial" w:hAnsi="Arial" w:cs="Arial"/>
          <w:sz w:val="24"/>
          <w:szCs w:val="24"/>
        </w:rPr>
        <w:t xml:space="preserve"> </w:t>
      </w:r>
      <w:r w:rsidR="001762FF" w:rsidRPr="00267217">
        <w:rPr>
          <w:rFonts w:ascii="Arial" w:eastAsia="Times New Roman" w:hAnsi="Arial" w:cs="Arial"/>
          <w:sz w:val="24"/>
          <w:szCs w:val="24"/>
        </w:rPr>
        <w:t>Pie charts show market share among the top products, whereas bar charts provide a clear, comparative picture of product popularity.</w:t>
      </w:r>
    </w:p>
    <w:p w14:paraId="465ECEDE" w14:textId="425A7984" w:rsidR="00AD41AE" w:rsidRPr="00267217" w:rsidRDefault="00AD41AE" w:rsidP="00AD41AE">
      <w:pPr>
        <w:autoSpaceDE w:val="0"/>
        <w:autoSpaceDN w:val="0"/>
        <w:adjustRightInd w:val="0"/>
        <w:spacing w:line="360" w:lineRule="auto"/>
        <w:jc w:val="center"/>
        <w:rPr>
          <w:rFonts w:cstheme="minorHAnsi"/>
          <w:b/>
          <w:bCs/>
          <w:sz w:val="24"/>
          <w:szCs w:val="24"/>
        </w:rPr>
      </w:pPr>
      <w:r w:rsidRPr="00267217">
        <w:rPr>
          <w:noProof/>
        </w:rPr>
        <w:drawing>
          <wp:inline distT="0" distB="0" distL="0" distR="0" wp14:anchorId="23F48303" wp14:editId="6E3632A9">
            <wp:extent cx="4819650" cy="3465548"/>
            <wp:effectExtent l="0" t="0" r="0" b="1905"/>
            <wp:docPr id="1499102676" name="Chart 1">
              <a:extLst xmlns:a="http://schemas.openxmlformats.org/drawingml/2006/main">
                <a:ext uri="{FF2B5EF4-FFF2-40B4-BE49-F238E27FC236}">
                  <a16:creationId xmlns:a16="http://schemas.microsoft.com/office/drawing/2014/main" id="{66D5EC97-201C-A62A-E270-6A30065F4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ABBD03" w14:textId="157F001F" w:rsidR="00AD41AE" w:rsidRPr="00267217" w:rsidRDefault="00AD41AE" w:rsidP="00AD41AE">
      <w:pPr>
        <w:autoSpaceDE w:val="0"/>
        <w:autoSpaceDN w:val="0"/>
        <w:adjustRightInd w:val="0"/>
        <w:spacing w:line="360" w:lineRule="auto"/>
        <w:jc w:val="center"/>
        <w:rPr>
          <w:rFonts w:cstheme="minorHAnsi"/>
          <w:b/>
          <w:bCs/>
          <w:sz w:val="24"/>
          <w:szCs w:val="24"/>
        </w:rPr>
      </w:pPr>
      <w:r w:rsidRPr="00267217">
        <w:rPr>
          <w:noProof/>
        </w:rPr>
        <w:lastRenderedPageBreak/>
        <w:drawing>
          <wp:inline distT="0" distB="0" distL="0" distR="0" wp14:anchorId="0025A3B5" wp14:editId="0F9754FF">
            <wp:extent cx="5853430" cy="1471448"/>
            <wp:effectExtent l="0" t="0" r="13970" b="14605"/>
            <wp:docPr id="1801469262" name="Chart 1">
              <a:extLst xmlns:a="http://schemas.openxmlformats.org/drawingml/2006/main">
                <a:ext uri="{FF2B5EF4-FFF2-40B4-BE49-F238E27FC236}">
                  <a16:creationId xmlns:a16="http://schemas.microsoft.com/office/drawing/2014/main" id="{777E9A2B-2FB3-191B-B365-2C1DB9B8A4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604679" w14:textId="77777777" w:rsidR="00A336AB" w:rsidRPr="00267217" w:rsidRDefault="001762FF" w:rsidP="000A6E52">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According to the findings of the investigation, the items that customers purchased the most frequently were </w:t>
      </w:r>
      <w:proofErr w:type="spellStart"/>
      <w:r w:rsidRPr="00267217">
        <w:rPr>
          <w:rFonts w:ascii="Arial" w:eastAsia="Times New Roman" w:hAnsi="Arial" w:cs="Arial"/>
          <w:sz w:val="24"/>
          <w:szCs w:val="24"/>
        </w:rPr>
        <w:t>Asstd</w:t>
      </w:r>
      <w:proofErr w:type="spellEnd"/>
      <w:r w:rsidRPr="00267217">
        <w:rPr>
          <w:rFonts w:ascii="Arial" w:eastAsia="Times New Roman" w:hAnsi="Arial" w:cs="Arial"/>
          <w:sz w:val="24"/>
          <w:szCs w:val="24"/>
        </w:rPr>
        <w:t xml:space="preserve"> Design 3D paper stickers, rabbit night lights, and popcorn holders. These three commodities were accessible in quantities of 12,632, 11,241, and 11,238 respectively (Table 2). It is anticipated that customers will find these products appealing, which indicates a high level of demand that may impact the subsequent distribution and marketing operations.</w:t>
      </w:r>
    </w:p>
    <w:p w14:paraId="4D082389" w14:textId="61C0B157" w:rsidR="000A6FAF" w:rsidRPr="00267217" w:rsidRDefault="001762FF" w:rsidP="000A6E52">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 </w:t>
      </w:r>
      <w:r w:rsidR="000A6FAF" w:rsidRPr="00267217">
        <w:rPr>
          <w:rFonts w:ascii="Arial" w:hAnsi="Arial" w:cs="Arial"/>
          <w:b/>
          <w:bCs/>
          <w:sz w:val="24"/>
          <w:szCs w:val="24"/>
        </w:rPr>
        <w:t xml:space="preserve">Table 2: Top </w:t>
      </w:r>
      <w:r w:rsidR="00AD41AE" w:rsidRPr="00267217">
        <w:rPr>
          <w:rFonts w:ascii="Arial" w:hAnsi="Arial" w:cs="Arial"/>
          <w:b/>
          <w:bCs/>
          <w:sz w:val="24"/>
          <w:szCs w:val="24"/>
        </w:rPr>
        <w:t>20</w:t>
      </w:r>
      <w:r w:rsidR="000A6FAF" w:rsidRPr="00267217">
        <w:rPr>
          <w:rFonts w:ascii="Arial" w:hAnsi="Arial" w:cs="Arial"/>
          <w:b/>
          <w:bCs/>
          <w:sz w:val="24"/>
          <w:szCs w:val="24"/>
        </w:rPr>
        <w:t xml:space="preserve"> Most Purchased Products</w:t>
      </w:r>
    </w:p>
    <w:tbl>
      <w:tblPr>
        <w:tblW w:w="5380" w:type="dxa"/>
        <w:tblInd w:w="93" w:type="dxa"/>
        <w:tblLook w:val="04A0" w:firstRow="1" w:lastRow="0" w:firstColumn="1" w:lastColumn="0" w:noHBand="0" w:noVBand="1"/>
      </w:tblPr>
      <w:tblGrid>
        <w:gridCol w:w="3760"/>
        <w:gridCol w:w="1620"/>
      </w:tblGrid>
      <w:tr w:rsidR="00AD41AE" w:rsidRPr="00267217" w14:paraId="6A1B7F48" w14:textId="77777777" w:rsidTr="00AD41AE">
        <w:trPr>
          <w:trHeight w:val="300"/>
        </w:trPr>
        <w:tc>
          <w:tcPr>
            <w:tcW w:w="3760" w:type="dxa"/>
            <w:tcBorders>
              <w:top w:val="nil"/>
              <w:left w:val="nil"/>
              <w:bottom w:val="single" w:sz="4" w:space="0" w:color="95B3D7"/>
              <w:right w:val="nil"/>
            </w:tcBorders>
            <w:shd w:val="clear" w:color="DCE6F1" w:fill="DCE6F1"/>
            <w:noWrap/>
            <w:vAlign w:val="bottom"/>
            <w:hideMark/>
          </w:tcPr>
          <w:p w14:paraId="0E1DDBB5" w14:textId="4EC4C168"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Product Name</w:t>
            </w:r>
          </w:p>
        </w:tc>
        <w:tc>
          <w:tcPr>
            <w:tcW w:w="1620" w:type="dxa"/>
            <w:tcBorders>
              <w:top w:val="nil"/>
              <w:left w:val="nil"/>
              <w:bottom w:val="single" w:sz="4" w:space="0" w:color="95B3D7"/>
              <w:right w:val="nil"/>
            </w:tcBorders>
            <w:shd w:val="clear" w:color="DCE6F1" w:fill="DCE6F1"/>
            <w:noWrap/>
            <w:vAlign w:val="bottom"/>
            <w:hideMark/>
          </w:tcPr>
          <w:p w14:paraId="2A8276FD" w14:textId="77777777"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Sum of Quantity</w:t>
            </w:r>
          </w:p>
        </w:tc>
      </w:tr>
      <w:tr w:rsidR="00AD41AE" w:rsidRPr="00267217" w14:paraId="63354713" w14:textId="77777777" w:rsidTr="00AD41AE">
        <w:trPr>
          <w:trHeight w:val="300"/>
        </w:trPr>
        <w:tc>
          <w:tcPr>
            <w:tcW w:w="3760" w:type="dxa"/>
            <w:tcBorders>
              <w:top w:val="nil"/>
              <w:left w:val="nil"/>
              <w:bottom w:val="nil"/>
              <w:right w:val="nil"/>
            </w:tcBorders>
            <w:shd w:val="clear" w:color="auto" w:fill="auto"/>
            <w:noWrap/>
            <w:vAlign w:val="bottom"/>
            <w:hideMark/>
          </w:tcPr>
          <w:p w14:paraId="3BEECFEA" w14:textId="77777777" w:rsidR="00AD41AE" w:rsidRPr="00267217" w:rsidRDefault="00AD41AE" w:rsidP="00AD41AE">
            <w:pPr>
              <w:spacing w:after="0" w:line="240" w:lineRule="auto"/>
              <w:rPr>
                <w:rFonts w:ascii="Calibri" w:eastAsia="Times New Roman" w:hAnsi="Calibri" w:cs="Calibri"/>
                <w:color w:val="000000"/>
              </w:rPr>
            </w:pPr>
            <w:proofErr w:type="spellStart"/>
            <w:r w:rsidRPr="00267217">
              <w:rPr>
                <w:rFonts w:ascii="Calibri" w:eastAsia="Times New Roman" w:hAnsi="Calibri" w:cs="Calibri"/>
                <w:color w:val="000000"/>
              </w:rPr>
              <w:t>Asstd</w:t>
            </w:r>
            <w:proofErr w:type="spellEnd"/>
            <w:r w:rsidRPr="00267217">
              <w:rPr>
                <w:rFonts w:ascii="Calibri" w:eastAsia="Times New Roman" w:hAnsi="Calibri" w:cs="Calibri"/>
                <w:color w:val="000000"/>
              </w:rPr>
              <w:t xml:space="preserve"> Design 3d Paper Stickers</w:t>
            </w:r>
          </w:p>
        </w:tc>
        <w:tc>
          <w:tcPr>
            <w:tcW w:w="1620" w:type="dxa"/>
            <w:tcBorders>
              <w:top w:val="nil"/>
              <w:left w:val="nil"/>
              <w:bottom w:val="nil"/>
              <w:right w:val="nil"/>
            </w:tcBorders>
            <w:shd w:val="clear" w:color="auto" w:fill="auto"/>
            <w:noWrap/>
            <w:vAlign w:val="bottom"/>
            <w:hideMark/>
          </w:tcPr>
          <w:p w14:paraId="53AB06EB"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12632</w:t>
            </w:r>
          </w:p>
        </w:tc>
      </w:tr>
      <w:tr w:rsidR="00AD41AE" w:rsidRPr="00267217" w14:paraId="5B688CF2" w14:textId="77777777" w:rsidTr="00AD41AE">
        <w:trPr>
          <w:trHeight w:val="300"/>
        </w:trPr>
        <w:tc>
          <w:tcPr>
            <w:tcW w:w="3760" w:type="dxa"/>
            <w:tcBorders>
              <w:top w:val="nil"/>
              <w:left w:val="nil"/>
              <w:bottom w:val="nil"/>
              <w:right w:val="nil"/>
            </w:tcBorders>
            <w:shd w:val="clear" w:color="auto" w:fill="auto"/>
            <w:noWrap/>
            <w:vAlign w:val="bottom"/>
            <w:hideMark/>
          </w:tcPr>
          <w:p w14:paraId="0DF49EB7"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Rabbit Night Light</w:t>
            </w:r>
          </w:p>
        </w:tc>
        <w:tc>
          <w:tcPr>
            <w:tcW w:w="1620" w:type="dxa"/>
            <w:tcBorders>
              <w:top w:val="nil"/>
              <w:left w:val="nil"/>
              <w:bottom w:val="nil"/>
              <w:right w:val="nil"/>
            </w:tcBorders>
            <w:shd w:val="clear" w:color="auto" w:fill="auto"/>
            <w:noWrap/>
            <w:vAlign w:val="bottom"/>
            <w:hideMark/>
          </w:tcPr>
          <w:p w14:paraId="7C797ACA"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11241</w:t>
            </w:r>
          </w:p>
        </w:tc>
      </w:tr>
      <w:tr w:rsidR="00AD41AE" w:rsidRPr="00267217" w14:paraId="68394EA0" w14:textId="77777777" w:rsidTr="00AD41AE">
        <w:trPr>
          <w:trHeight w:val="300"/>
        </w:trPr>
        <w:tc>
          <w:tcPr>
            <w:tcW w:w="3760" w:type="dxa"/>
            <w:tcBorders>
              <w:top w:val="nil"/>
              <w:left w:val="nil"/>
              <w:bottom w:val="nil"/>
              <w:right w:val="nil"/>
            </w:tcBorders>
            <w:shd w:val="clear" w:color="auto" w:fill="auto"/>
            <w:noWrap/>
            <w:vAlign w:val="bottom"/>
            <w:hideMark/>
          </w:tcPr>
          <w:p w14:paraId="54F3F99A"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Popcorn Holder</w:t>
            </w:r>
          </w:p>
        </w:tc>
        <w:tc>
          <w:tcPr>
            <w:tcW w:w="1620" w:type="dxa"/>
            <w:tcBorders>
              <w:top w:val="nil"/>
              <w:left w:val="nil"/>
              <w:bottom w:val="nil"/>
              <w:right w:val="nil"/>
            </w:tcBorders>
            <w:shd w:val="clear" w:color="auto" w:fill="auto"/>
            <w:noWrap/>
            <w:vAlign w:val="bottom"/>
            <w:hideMark/>
          </w:tcPr>
          <w:p w14:paraId="2EBB730C"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11238</w:t>
            </w:r>
          </w:p>
        </w:tc>
      </w:tr>
      <w:tr w:rsidR="00AD41AE" w:rsidRPr="00267217" w14:paraId="600562F1" w14:textId="77777777" w:rsidTr="00AD41AE">
        <w:trPr>
          <w:trHeight w:val="300"/>
        </w:trPr>
        <w:tc>
          <w:tcPr>
            <w:tcW w:w="3760" w:type="dxa"/>
            <w:tcBorders>
              <w:top w:val="nil"/>
              <w:left w:val="nil"/>
              <w:bottom w:val="nil"/>
              <w:right w:val="nil"/>
            </w:tcBorders>
            <w:shd w:val="clear" w:color="auto" w:fill="auto"/>
            <w:noWrap/>
            <w:vAlign w:val="bottom"/>
            <w:hideMark/>
          </w:tcPr>
          <w:p w14:paraId="798A43F6"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Paper Chain Kit 50'S Christmas</w:t>
            </w:r>
          </w:p>
        </w:tc>
        <w:tc>
          <w:tcPr>
            <w:tcW w:w="1620" w:type="dxa"/>
            <w:tcBorders>
              <w:top w:val="nil"/>
              <w:left w:val="nil"/>
              <w:bottom w:val="nil"/>
              <w:right w:val="nil"/>
            </w:tcBorders>
            <w:shd w:val="clear" w:color="auto" w:fill="auto"/>
            <w:noWrap/>
            <w:vAlign w:val="bottom"/>
            <w:hideMark/>
          </w:tcPr>
          <w:p w14:paraId="485E2D87"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5494</w:t>
            </w:r>
          </w:p>
        </w:tc>
      </w:tr>
      <w:tr w:rsidR="00AD41AE" w:rsidRPr="00267217" w14:paraId="3BE13369" w14:textId="77777777" w:rsidTr="00AD41AE">
        <w:trPr>
          <w:trHeight w:val="300"/>
        </w:trPr>
        <w:tc>
          <w:tcPr>
            <w:tcW w:w="3760" w:type="dxa"/>
            <w:tcBorders>
              <w:top w:val="nil"/>
              <w:left w:val="nil"/>
              <w:bottom w:val="nil"/>
              <w:right w:val="nil"/>
            </w:tcBorders>
            <w:shd w:val="clear" w:color="auto" w:fill="auto"/>
            <w:noWrap/>
            <w:vAlign w:val="bottom"/>
            <w:hideMark/>
          </w:tcPr>
          <w:p w14:paraId="49B19BA8"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Disco Ball Christmas Decoration</w:t>
            </w:r>
          </w:p>
        </w:tc>
        <w:tc>
          <w:tcPr>
            <w:tcW w:w="1620" w:type="dxa"/>
            <w:tcBorders>
              <w:top w:val="nil"/>
              <w:left w:val="nil"/>
              <w:bottom w:val="nil"/>
              <w:right w:val="nil"/>
            </w:tcBorders>
            <w:shd w:val="clear" w:color="auto" w:fill="auto"/>
            <w:noWrap/>
            <w:vAlign w:val="bottom"/>
            <w:hideMark/>
          </w:tcPr>
          <w:p w14:paraId="3DAD4948"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3868</w:t>
            </w:r>
          </w:p>
        </w:tc>
      </w:tr>
      <w:tr w:rsidR="00AD41AE" w:rsidRPr="00267217" w14:paraId="7236CCC3" w14:textId="77777777" w:rsidTr="00AD41AE">
        <w:trPr>
          <w:trHeight w:val="300"/>
        </w:trPr>
        <w:tc>
          <w:tcPr>
            <w:tcW w:w="3760" w:type="dxa"/>
            <w:tcBorders>
              <w:top w:val="nil"/>
              <w:left w:val="nil"/>
              <w:bottom w:val="nil"/>
              <w:right w:val="nil"/>
            </w:tcBorders>
            <w:shd w:val="clear" w:color="auto" w:fill="auto"/>
            <w:noWrap/>
            <w:vAlign w:val="bottom"/>
            <w:hideMark/>
          </w:tcPr>
          <w:p w14:paraId="497E1E55"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Wooden Star Christmas Scandinavian</w:t>
            </w:r>
          </w:p>
        </w:tc>
        <w:tc>
          <w:tcPr>
            <w:tcW w:w="1620" w:type="dxa"/>
            <w:tcBorders>
              <w:top w:val="nil"/>
              <w:left w:val="nil"/>
              <w:bottom w:val="nil"/>
              <w:right w:val="nil"/>
            </w:tcBorders>
            <w:shd w:val="clear" w:color="auto" w:fill="auto"/>
            <w:noWrap/>
            <w:vAlign w:val="bottom"/>
            <w:hideMark/>
          </w:tcPr>
          <w:p w14:paraId="065E7EE5"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3675</w:t>
            </w:r>
          </w:p>
        </w:tc>
      </w:tr>
      <w:tr w:rsidR="00AD41AE" w:rsidRPr="00267217" w14:paraId="4AE44E5C" w14:textId="77777777" w:rsidTr="00AD41AE">
        <w:trPr>
          <w:trHeight w:val="300"/>
        </w:trPr>
        <w:tc>
          <w:tcPr>
            <w:tcW w:w="3760" w:type="dxa"/>
            <w:tcBorders>
              <w:top w:val="nil"/>
              <w:left w:val="nil"/>
              <w:bottom w:val="nil"/>
              <w:right w:val="nil"/>
            </w:tcBorders>
            <w:shd w:val="clear" w:color="auto" w:fill="auto"/>
            <w:noWrap/>
            <w:vAlign w:val="bottom"/>
            <w:hideMark/>
          </w:tcPr>
          <w:p w14:paraId="3B5A502C"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Assorted Colour Bird Ornament</w:t>
            </w:r>
          </w:p>
        </w:tc>
        <w:tc>
          <w:tcPr>
            <w:tcW w:w="1620" w:type="dxa"/>
            <w:tcBorders>
              <w:top w:val="nil"/>
              <w:left w:val="nil"/>
              <w:bottom w:val="nil"/>
              <w:right w:val="nil"/>
            </w:tcBorders>
            <w:shd w:val="clear" w:color="auto" w:fill="auto"/>
            <w:noWrap/>
            <w:vAlign w:val="bottom"/>
            <w:hideMark/>
          </w:tcPr>
          <w:p w14:paraId="12C2813A"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3254</w:t>
            </w:r>
          </w:p>
        </w:tc>
      </w:tr>
      <w:tr w:rsidR="00AD41AE" w:rsidRPr="00267217" w14:paraId="6A357601" w14:textId="77777777" w:rsidTr="00AD41AE">
        <w:trPr>
          <w:trHeight w:val="300"/>
        </w:trPr>
        <w:tc>
          <w:tcPr>
            <w:tcW w:w="3760" w:type="dxa"/>
            <w:tcBorders>
              <w:top w:val="nil"/>
              <w:left w:val="nil"/>
              <w:bottom w:val="nil"/>
              <w:right w:val="nil"/>
            </w:tcBorders>
            <w:shd w:val="clear" w:color="auto" w:fill="auto"/>
            <w:noWrap/>
            <w:vAlign w:val="bottom"/>
            <w:hideMark/>
          </w:tcPr>
          <w:p w14:paraId="339EF36B"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 xml:space="preserve">World War 2 Gliders </w:t>
            </w:r>
            <w:proofErr w:type="spellStart"/>
            <w:r w:rsidRPr="00267217">
              <w:rPr>
                <w:rFonts w:ascii="Calibri" w:eastAsia="Times New Roman" w:hAnsi="Calibri" w:cs="Calibri"/>
                <w:color w:val="000000"/>
              </w:rPr>
              <w:t>Asstd</w:t>
            </w:r>
            <w:proofErr w:type="spellEnd"/>
            <w:r w:rsidRPr="00267217">
              <w:rPr>
                <w:rFonts w:ascii="Calibri" w:eastAsia="Times New Roman" w:hAnsi="Calibri" w:cs="Calibri"/>
                <w:color w:val="000000"/>
              </w:rPr>
              <w:t xml:space="preserve"> Designs</w:t>
            </w:r>
          </w:p>
        </w:tc>
        <w:tc>
          <w:tcPr>
            <w:tcW w:w="1620" w:type="dxa"/>
            <w:tcBorders>
              <w:top w:val="nil"/>
              <w:left w:val="nil"/>
              <w:bottom w:val="nil"/>
              <w:right w:val="nil"/>
            </w:tcBorders>
            <w:shd w:val="clear" w:color="auto" w:fill="auto"/>
            <w:noWrap/>
            <w:vAlign w:val="bottom"/>
            <w:hideMark/>
          </w:tcPr>
          <w:p w14:paraId="73ED1B19"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3113</w:t>
            </w:r>
          </w:p>
        </w:tc>
      </w:tr>
      <w:tr w:rsidR="00AD41AE" w:rsidRPr="00267217" w14:paraId="343DF339" w14:textId="77777777" w:rsidTr="00AD41AE">
        <w:trPr>
          <w:trHeight w:val="300"/>
        </w:trPr>
        <w:tc>
          <w:tcPr>
            <w:tcW w:w="3760" w:type="dxa"/>
            <w:tcBorders>
              <w:top w:val="nil"/>
              <w:left w:val="nil"/>
              <w:bottom w:val="nil"/>
              <w:right w:val="nil"/>
            </w:tcBorders>
            <w:shd w:val="clear" w:color="auto" w:fill="auto"/>
            <w:noWrap/>
            <w:vAlign w:val="bottom"/>
            <w:hideMark/>
          </w:tcPr>
          <w:p w14:paraId="1FFD022C"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Wooden Heart Christmas Scandinavian</w:t>
            </w:r>
          </w:p>
        </w:tc>
        <w:tc>
          <w:tcPr>
            <w:tcW w:w="1620" w:type="dxa"/>
            <w:tcBorders>
              <w:top w:val="nil"/>
              <w:left w:val="nil"/>
              <w:bottom w:val="nil"/>
              <w:right w:val="nil"/>
            </w:tcBorders>
            <w:shd w:val="clear" w:color="auto" w:fill="auto"/>
            <w:noWrap/>
            <w:vAlign w:val="bottom"/>
            <w:hideMark/>
          </w:tcPr>
          <w:p w14:paraId="4849047C"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3112</w:t>
            </w:r>
          </w:p>
        </w:tc>
      </w:tr>
      <w:tr w:rsidR="00AD41AE" w:rsidRPr="00267217" w14:paraId="28B94E3D" w14:textId="77777777" w:rsidTr="00AD41AE">
        <w:trPr>
          <w:trHeight w:val="300"/>
        </w:trPr>
        <w:tc>
          <w:tcPr>
            <w:tcW w:w="3760" w:type="dxa"/>
            <w:tcBorders>
              <w:top w:val="nil"/>
              <w:left w:val="nil"/>
              <w:bottom w:val="nil"/>
              <w:right w:val="nil"/>
            </w:tcBorders>
            <w:shd w:val="clear" w:color="auto" w:fill="auto"/>
            <w:noWrap/>
            <w:vAlign w:val="bottom"/>
            <w:hideMark/>
          </w:tcPr>
          <w:p w14:paraId="47A893F2"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Vintage Doily Jumbo Bag Red</w:t>
            </w:r>
          </w:p>
        </w:tc>
        <w:tc>
          <w:tcPr>
            <w:tcW w:w="1620" w:type="dxa"/>
            <w:tcBorders>
              <w:top w:val="nil"/>
              <w:left w:val="nil"/>
              <w:bottom w:val="nil"/>
              <w:right w:val="nil"/>
            </w:tcBorders>
            <w:shd w:val="clear" w:color="auto" w:fill="auto"/>
            <w:noWrap/>
            <w:vAlign w:val="bottom"/>
            <w:hideMark/>
          </w:tcPr>
          <w:p w14:paraId="29407445"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2728</w:t>
            </w:r>
          </w:p>
        </w:tc>
      </w:tr>
      <w:tr w:rsidR="00AD41AE" w:rsidRPr="00267217" w14:paraId="21D14216" w14:textId="77777777" w:rsidTr="00AD41AE">
        <w:trPr>
          <w:trHeight w:val="300"/>
        </w:trPr>
        <w:tc>
          <w:tcPr>
            <w:tcW w:w="3760" w:type="dxa"/>
            <w:tcBorders>
              <w:top w:val="nil"/>
              <w:left w:val="nil"/>
              <w:bottom w:val="nil"/>
              <w:right w:val="nil"/>
            </w:tcBorders>
            <w:shd w:val="clear" w:color="auto" w:fill="auto"/>
            <w:noWrap/>
            <w:vAlign w:val="bottom"/>
            <w:hideMark/>
          </w:tcPr>
          <w:p w14:paraId="67FB4576"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Paper Chain Kit Vintage Christmas</w:t>
            </w:r>
          </w:p>
        </w:tc>
        <w:tc>
          <w:tcPr>
            <w:tcW w:w="1620" w:type="dxa"/>
            <w:tcBorders>
              <w:top w:val="nil"/>
              <w:left w:val="nil"/>
              <w:bottom w:val="nil"/>
              <w:right w:val="nil"/>
            </w:tcBorders>
            <w:shd w:val="clear" w:color="auto" w:fill="auto"/>
            <w:noWrap/>
            <w:vAlign w:val="bottom"/>
            <w:hideMark/>
          </w:tcPr>
          <w:p w14:paraId="2DA4AEC3"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2707</w:t>
            </w:r>
          </w:p>
        </w:tc>
      </w:tr>
      <w:tr w:rsidR="00AD41AE" w:rsidRPr="00267217" w14:paraId="6D3A053A" w14:textId="77777777" w:rsidTr="00AD41AE">
        <w:trPr>
          <w:trHeight w:val="300"/>
        </w:trPr>
        <w:tc>
          <w:tcPr>
            <w:tcW w:w="3760" w:type="dxa"/>
            <w:tcBorders>
              <w:top w:val="nil"/>
              <w:left w:val="nil"/>
              <w:bottom w:val="nil"/>
              <w:right w:val="nil"/>
            </w:tcBorders>
            <w:shd w:val="clear" w:color="auto" w:fill="auto"/>
            <w:noWrap/>
            <w:vAlign w:val="bottom"/>
            <w:hideMark/>
          </w:tcPr>
          <w:p w14:paraId="73E11843"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Cream Hanging Heart T-Light Holder</w:t>
            </w:r>
          </w:p>
        </w:tc>
        <w:tc>
          <w:tcPr>
            <w:tcW w:w="1620" w:type="dxa"/>
            <w:tcBorders>
              <w:top w:val="nil"/>
              <w:left w:val="nil"/>
              <w:bottom w:val="nil"/>
              <w:right w:val="nil"/>
            </w:tcBorders>
            <w:shd w:val="clear" w:color="auto" w:fill="auto"/>
            <w:noWrap/>
            <w:vAlign w:val="bottom"/>
            <w:hideMark/>
          </w:tcPr>
          <w:p w14:paraId="1D6CAD1D"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2614</w:t>
            </w:r>
          </w:p>
        </w:tc>
      </w:tr>
      <w:tr w:rsidR="00AD41AE" w:rsidRPr="00267217" w14:paraId="22E0C3DA" w14:textId="77777777" w:rsidTr="00AD41AE">
        <w:trPr>
          <w:trHeight w:val="300"/>
        </w:trPr>
        <w:tc>
          <w:tcPr>
            <w:tcW w:w="3760" w:type="dxa"/>
            <w:tcBorders>
              <w:top w:val="nil"/>
              <w:left w:val="nil"/>
              <w:bottom w:val="nil"/>
              <w:right w:val="nil"/>
            </w:tcBorders>
            <w:shd w:val="clear" w:color="auto" w:fill="auto"/>
            <w:noWrap/>
            <w:vAlign w:val="bottom"/>
            <w:hideMark/>
          </w:tcPr>
          <w:p w14:paraId="65E77E26"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 xml:space="preserve">Rotating Silver Angels T-Light </w:t>
            </w:r>
            <w:proofErr w:type="spellStart"/>
            <w:r w:rsidRPr="00267217">
              <w:rPr>
                <w:rFonts w:ascii="Calibri" w:eastAsia="Times New Roman" w:hAnsi="Calibri" w:cs="Calibri"/>
                <w:color w:val="000000"/>
              </w:rPr>
              <w:t>Hldr</w:t>
            </w:r>
            <w:proofErr w:type="spellEnd"/>
          </w:p>
        </w:tc>
        <w:tc>
          <w:tcPr>
            <w:tcW w:w="1620" w:type="dxa"/>
            <w:tcBorders>
              <w:top w:val="nil"/>
              <w:left w:val="nil"/>
              <w:bottom w:val="nil"/>
              <w:right w:val="nil"/>
            </w:tcBorders>
            <w:shd w:val="clear" w:color="auto" w:fill="auto"/>
            <w:noWrap/>
            <w:vAlign w:val="bottom"/>
            <w:hideMark/>
          </w:tcPr>
          <w:p w14:paraId="7CDF7036"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2609</w:t>
            </w:r>
          </w:p>
        </w:tc>
      </w:tr>
      <w:tr w:rsidR="00AD41AE" w:rsidRPr="00267217" w14:paraId="58836BBC" w14:textId="77777777" w:rsidTr="00AD41AE">
        <w:trPr>
          <w:trHeight w:val="300"/>
        </w:trPr>
        <w:tc>
          <w:tcPr>
            <w:tcW w:w="3760" w:type="dxa"/>
            <w:tcBorders>
              <w:top w:val="nil"/>
              <w:left w:val="nil"/>
              <w:bottom w:val="nil"/>
              <w:right w:val="nil"/>
            </w:tcBorders>
            <w:shd w:val="clear" w:color="auto" w:fill="auto"/>
            <w:noWrap/>
            <w:vAlign w:val="bottom"/>
            <w:hideMark/>
          </w:tcPr>
          <w:p w14:paraId="23C63BF8"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60 Cake Cases Vintage Christmas</w:t>
            </w:r>
          </w:p>
        </w:tc>
        <w:tc>
          <w:tcPr>
            <w:tcW w:w="1620" w:type="dxa"/>
            <w:tcBorders>
              <w:top w:val="nil"/>
              <w:left w:val="nil"/>
              <w:bottom w:val="nil"/>
              <w:right w:val="nil"/>
            </w:tcBorders>
            <w:shd w:val="clear" w:color="auto" w:fill="auto"/>
            <w:noWrap/>
            <w:vAlign w:val="bottom"/>
            <w:hideMark/>
          </w:tcPr>
          <w:p w14:paraId="06F74E4C"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2536</w:t>
            </w:r>
          </w:p>
        </w:tc>
      </w:tr>
      <w:tr w:rsidR="00AD41AE" w:rsidRPr="00267217" w14:paraId="73BBE961" w14:textId="77777777" w:rsidTr="00AD41AE">
        <w:trPr>
          <w:trHeight w:val="300"/>
        </w:trPr>
        <w:tc>
          <w:tcPr>
            <w:tcW w:w="3760" w:type="dxa"/>
            <w:tcBorders>
              <w:top w:val="nil"/>
              <w:left w:val="nil"/>
              <w:bottom w:val="nil"/>
              <w:right w:val="nil"/>
            </w:tcBorders>
            <w:shd w:val="clear" w:color="auto" w:fill="auto"/>
            <w:noWrap/>
            <w:vAlign w:val="bottom"/>
            <w:hideMark/>
          </w:tcPr>
          <w:p w14:paraId="44C8F8FE"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Jumbo Bag 50'S Christmas</w:t>
            </w:r>
          </w:p>
        </w:tc>
        <w:tc>
          <w:tcPr>
            <w:tcW w:w="1620" w:type="dxa"/>
            <w:tcBorders>
              <w:top w:val="nil"/>
              <w:left w:val="nil"/>
              <w:bottom w:val="nil"/>
              <w:right w:val="nil"/>
            </w:tcBorders>
            <w:shd w:val="clear" w:color="auto" w:fill="auto"/>
            <w:noWrap/>
            <w:vAlign w:val="bottom"/>
            <w:hideMark/>
          </w:tcPr>
          <w:p w14:paraId="6D04FF1D"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2485</w:t>
            </w:r>
          </w:p>
        </w:tc>
      </w:tr>
      <w:tr w:rsidR="00AD41AE" w:rsidRPr="00267217" w14:paraId="02D2C045" w14:textId="77777777" w:rsidTr="00AD41AE">
        <w:trPr>
          <w:trHeight w:val="300"/>
        </w:trPr>
        <w:tc>
          <w:tcPr>
            <w:tcW w:w="3760" w:type="dxa"/>
            <w:tcBorders>
              <w:top w:val="nil"/>
              <w:left w:val="nil"/>
              <w:bottom w:val="nil"/>
              <w:right w:val="nil"/>
            </w:tcBorders>
            <w:shd w:val="clear" w:color="auto" w:fill="auto"/>
            <w:noWrap/>
            <w:vAlign w:val="bottom"/>
            <w:hideMark/>
          </w:tcPr>
          <w:p w14:paraId="0AF5132C"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 xml:space="preserve">Jumbo Bag Red </w:t>
            </w:r>
            <w:proofErr w:type="spellStart"/>
            <w:r w:rsidRPr="00267217">
              <w:rPr>
                <w:rFonts w:ascii="Calibri" w:eastAsia="Times New Roman" w:hAnsi="Calibri" w:cs="Calibri"/>
                <w:color w:val="000000"/>
              </w:rPr>
              <w:t>Retrospot</w:t>
            </w:r>
            <w:proofErr w:type="spellEnd"/>
          </w:p>
        </w:tc>
        <w:tc>
          <w:tcPr>
            <w:tcW w:w="1620" w:type="dxa"/>
            <w:tcBorders>
              <w:top w:val="nil"/>
              <w:left w:val="nil"/>
              <w:bottom w:val="nil"/>
              <w:right w:val="nil"/>
            </w:tcBorders>
            <w:shd w:val="clear" w:color="auto" w:fill="auto"/>
            <w:noWrap/>
            <w:vAlign w:val="bottom"/>
            <w:hideMark/>
          </w:tcPr>
          <w:p w14:paraId="76ED25DE"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2484</w:t>
            </w:r>
          </w:p>
        </w:tc>
      </w:tr>
      <w:tr w:rsidR="00AD41AE" w:rsidRPr="00267217" w14:paraId="44078FD4" w14:textId="77777777" w:rsidTr="00AD41AE">
        <w:trPr>
          <w:trHeight w:val="300"/>
        </w:trPr>
        <w:tc>
          <w:tcPr>
            <w:tcW w:w="3760" w:type="dxa"/>
            <w:tcBorders>
              <w:top w:val="nil"/>
              <w:left w:val="nil"/>
              <w:bottom w:val="nil"/>
              <w:right w:val="nil"/>
            </w:tcBorders>
            <w:shd w:val="clear" w:color="auto" w:fill="auto"/>
            <w:noWrap/>
            <w:vAlign w:val="bottom"/>
            <w:hideMark/>
          </w:tcPr>
          <w:p w14:paraId="6A26CC0A"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Black Record Cover Frame</w:t>
            </w:r>
          </w:p>
        </w:tc>
        <w:tc>
          <w:tcPr>
            <w:tcW w:w="1620" w:type="dxa"/>
            <w:tcBorders>
              <w:top w:val="nil"/>
              <w:left w:val="nil"/>
              <w:bottom w:val="nil"/>
              <w:right w:val="nil"/>
            </w:tcBorders>
            <w:shd w:val="clear" w:color="auto" w:fill="auto"/>
            <w:noWrap/>
            <w:vAlign w:val="bottom"/>
            <w:hideMark/>
          </w:tcPr>
          <w:p w14:paraId="6D6E8595"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2439</w:t>
            </w:r>
          </w:p>
        </w:tc>
      </w:tr>
      <w:tr w:rsidR="00AD41AE" w:rsidRPr="00267217" w14:paraId="31FEF438" w14:textId="77777777" w:rsidTr="00AD41AE">
        <w:trPr>
          <w:trHeight w:val="300"/>
        </w:trPr>
        <w:tc>
          <w:tcPr>
            <w:tcW w:w="3760" w:type="dxa"/>
            <w:tcBorders>
              <w:top w:val="nil"/>
              <w:left w:val="nil"/>
              <w:bottom w:val="nil"/>
              <w:right w:val="nil"/>
            </w:tcBorders>
            <w:shd w:val="clear" w:color="auto" w:fill="auto"/>
            <w:noWrap/>
            <w:vAlign w:val="bottom"/>
            <w:hideMark/>
          </w:tcPr>
          <w:p w14:paraId="712584AA"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Charlotte Bag Suki Design</w:t>
            </w:r>
          </w:p>
        </w:tc>
        <w:tc>
          <w:tcPr>
            <w:tcW w:w="1620" w:type="dxa"/>
            <w:tcBorders>
              <w:top w:val="nil"/>
              <w:left w:val="nil"/>
              <w:bottom w:val="nil"/>
              <w:right w:val="nil"/>
            </w:tcBorders>
            <w:shd w:val="clear" w:color="auto" w:fill="auto"/>
            <w:noWrap/>
            <w:vAlign w:val="bottom"/>
            <w:hideMark/>
          </w:tcPr>
          <w:p w14:paraId="475F66FE"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2391</w:t>
            </w:r>
          </w:p>
        </w:tc>
      </w:tr>
      <w:tr w:rsidR="00AD41AE" w:rsidRPr="00267217" w14:paraId="326571A0" w14:textId="77777777" w:rsidTr="00AD41AE">
        <w:trPr>
          <w:trHeight w:val="300"/>
        </w:trPr>
        <w:tc>
          <w:tcPr>
            <w:tcW w:w="3760" w:type="dxa"/>
            <w:tcBorders>
              <w:top w:val="nil"/>
              <w:left w:val="nil"/>
              <w:bottom w:val="nil"/>
              <w:right w:val="nil"/>
            </w:tcBorders>
            <w:shd w:val="clear" w:color="auto" w:fill="auto"/>
            <w:noWrap/>
            <w:vAlign w:val="bottom"/>
            <w:hideMark/>
          </w:tcPr>
          <w:p w14:paraId="1CEBC8EF"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 xml:space="preserve">Christmas Hanging Star </w:t>
            </w:r>
            <w:proofErr w:type="gramStart"/>
            <w:r w:rsidRPr="00267217">
              <w:rPr>
                <w:rFonts w:ascii="Calibri" w:eastAsia="Times New Roman" w:hAnsi="Calibri" w:cs="Calibri"/>
                <w:color w:val="000000"/>
              </w:rPr>
              <w:t>With</w:t>
            </w:r>
            <w:proofErr w:type="gramEnd"/>
            <w:r w:rsidRPr="00267217">
              <w:rPr>
                <w:rFonts w:ascii="Calibri" w:eastAsia="Times New Roman" w:hAnsi="Calibri" w:cs="Calibri"/>
                <w:color w:val="000000"/>
              </w:rPr>
              <w:t xml:space="preserve"> Bell</w:t>
            </w:r>
          </w:p>
        </w:tc>
        <w:tc>
          <w:tcPr>
            <w:tcW w:w="1620" w:type="dxa"/>
            <w:tcBorders>
              <w:top w:val="nil"/>
              <w:left w:val="nil"/>
              <w:bottom w:val="nil"/>
              <w:right w:val="nil"/>
            </w:tcBorders>
            <w:shd w:val="clear" w:color="auto" w:fill="auto"/>
            <w:noWrap/>
            <w:vAlign w:val="bottom"/>
            <w:hideMark/>
          </w:tcPr>
          <w:p w14:paraId="1C884255"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2188</w:t>
            </w:r>
          </w:p>
        </w:tc>
      </w:tr>
      <w:tr w:rsidR="00AD41AE" w:rsidRPr="00267217" w14:paraId="3A2ACB32" w14:textId="77777777" w:rsidTr="00AD41AE">
        <w:trPr>
          <w:trHeight w:val="300"/>
        </w:trPr>
        <w:tc>
          <w:tcPr>
            <w:tcW w:w="3760" w:type="dxa"/>
            <w:tcBorders>
              <w:top w:val="nil"/>
              <w:left w:val="nil"/>
              <w:bottom w:val="nil"/>
              <w:right w:val="nil"/>
            </w:tcBorders>
            <w:shd w:val="clear" w:color="auto" w:fill="auto"/>
            <w:noWrap/>
            <w:vAlign w:val="bottom"/>
            <w:hideMark/>
          </w:tcPr>
          <w:p w14:paraId="78C4CA2F" w14:textId="77777777" w:rsidR="00AD41AE" w:rsidRPr="00267217" w:rsidRDefault="00AD41AE" w:rsidP="00AD41AE">
            <w:pPr>
              <w:spacing w:after="0" w:line="240" w:lineRule="auto"/>
              <w:rPr>
                <w:rFonts w:ascii="Calibri" w:eastAsia="Times New Roman" w:hAnsi="Calibri" w:cs="Calibri"/>
                <w:color w:val="000000"/>
              </w:rPr>
            </w:pPr>
            <w:r w:rsidRPr="00267217">
              <w:rPr>
                <w:rFonts w:ascii="Calibri" w:eastAsia="Times New Roman" w:hAnsi="Calibri" w:cs="Calibri"/>
                <w:color w:val="000000"/>
              </w:rPr>
              <w:t xml:space="preserve">Red </w:t>
            </w:r>
            <w:proofErr w:type="spellStart"/>
            <w:r w:rsidRPr="00267217">
              <w:rPr>
                <w:rFonts w:ascii="Calibri" w:eastAsia="Times New Roman" w:hAnsi="Calibri" w:cs="Calibri"/>
                <w:color w:val="000000"/>
              </w:rPr>
              <w:t>Retrospot</w:t>
            </w:r>
            <w:proofErr w:type="spellEnd"/>
            <w:r w:rsidRPr="00267217">
              <w:rPr>
                <w:rFonts w:ascii="Calibri" w:eastAsia="Times New Roman" w:hAnsi="Calibri" w:cs="Calibri"/>
                <w:color w:val="000000"/>
              </w:rPr>
              <w:t xml:space="preserve"> Charlotte Bag</w:t>
            </w:r>
          </w:p>
        </w:tc>
        <w:tc>
          <w:tcPr>
            <w:tcW w:w="1620" w:type="dxa"/>
            <w:tcBorders>
              <w:top w:val="nil"/>
              <w:left w:val="nil"/>
              <w:bottom w:val="nil"/>
              <w:right w:val="nil"/>
            </w:tcBorders>
            <w:shd w:val="clear" w:color="auto" w:fill="auto"/>
            <w:noWrap/>
            <w:vAlign w:val="bottom"/>
            <w:hideMark/>
          </w:tcPr>
          <w:p w14:paraId="308D5CB8" w14:textId="77777777" w:rsidR="00AD41AE" w:rsidRPr="00267217" w:rsidRDefault="00AD41AE" w:rsidP="00AD41AE">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2114</w:t>
            </w:r>
          </w:p>
        </w:tc>
      </w:tr>
      <w:tr w:rsidR="00AD41AE" w:rsidRPr="00267217" w14:paraId="6CE0CA85" w14:textId="77777777" w:rsidTr="00AD41AE">
        <w:trPr>
          <w:trHeight w:val="300"/>
        </w:trPr>
        <w:tc>
          <w:tcPr>
            <w:tcW w:w="3760" w:type="dxa"/>
            <w:tcBorders>
              <w:top w:val="single" w:sz="4" w:space="0" w:color="95B3D7"/>
              <w:left w:val="nil"/>
              <w:bottom w:val="nil"/>
              <w:right w:val="nil"/>
            </w:tcBorders>
            <w:shd w:val="clear" w:color="DCE6F1" w:fill="DCE6F1"/>
            <w:noWrap/>
            <w:vAlign w:val="bottom"/>
            <w:hideMark/>
          </w:tcPr>
          <w:p w14:paraId="16C21A87" w14:textId="77777777" w:rsidR="00AD41AE" w:rsidRPr="00267217" w:rsidRDefault="00AD41AE" w:rsidP="00AD41AE">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Grand Total</w:t>
            </w:r>
          </w:p>
        </w:tc>
        <w:tc>
          <w:tcPr>
            <w:tcW w:w="1620" w:type="dxa"/>
            <w:tcBorders>
              <w:top w:val="single" w:sz="4" w:space="0" w:color="95B3D7"/>
              <w:left w:val="nil"/>
              <w:bottom w:val="nil"/>
              <w:right w:val="nil"/>
            </w:tcBorders>
            <w:shd w:val="clear" w:color="DCE6F1" w:fill="DCE6F1"/>
            <w:noWrap/>
            <w:vAlign w:val="bottom"/>
            <w:hideMark/>
          </w:tcPr>
          <w:p w14:paraId="2F806CF5" w14:textId="77777777" w:rsidR="00AD41AE" w:rsidRPr="00267217" w:rsidRDefault="00AD41AE" w:rsidP="00AD41AE">
            <w:pPr>
              <w:spacing w:after="0" w:line="240" w:lineRule="auto"/>
              <w:jc w:val="right"/>
              <w:rPr>
                <w:rFonts w:ascii="Calibri" w:eastAsia="Times New Roman" w:hAnsi="Calibri" w:cs="Calibri"/>
                <w:b/>
                <w:bCs/>
                <w:color w:val="000000"/>
              </w:rPr>
            </w:pPr>
            <w:r w:rsidRPr="00267217">
              <w:rPr>
                <w:rFonts w:ascii="Calibri" w:eastAsia="Times New Roman" w:hAnsi="Calibri" w:cs="Calibri"/>
                <w:b/>
                <w:bCs/>
                <w:color w:val="000000"/>
              </w:rPr>
              <w:t>84922</w:t>
            </w:r>
          </w:p>
        </w:tc>
      </w:tr>
    </w:tbl>
    <w:p w14:paraId="77DA0323" w14:textId="77777777" w:rsidR="00AD41AE" w:rsidRPr="00267217" w:rsidRDefault="00AD41AE" w:rsidP="00B97F33">
      <w:pPr>
        <w:spacing w:after="240" w:line="360" w:lineRule="auto"/>
        <w:jc w:val="both"/>
        <w:rPr>
          <w:rFonts w:eastAsia="Times New Roman" w:cstheme="minorHAnsi"/>
          <w:sz w:val="24"/>
          <w:szCs w:val="24"/>
        </w:rPr>
      </w:pPr>
    </w:p>
    <w:p w14:paraId="51F8804A" w14:textId="741C2C3D" w:rsidR="001762FF" w:rsidRPr="00267217" w:rsidRDefault="001762F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Not only did pie and bar charts illustrate the popularity of the product, but they also displayed the preferences of consumers and the potential for advertising. According to </w:t>
      </w:r>
      <w:proofErr w:type="spellStart"/>
      <w:r w:rsidRPr="00267217">
        <w:rPr>
          <w:rFonts w:ascii="Arial" w:eastAsia="Times New Roman" w:hAnsi="Arial" w:cs="Arial"/>
          <w:sz w:val="24"/>
          <w:szCs w:val="24"/>
        </w:rPr>
        <w:t>Kasemsap</w:t>
      </w:r>
      <w:proofErr w:type="spellEnd"/>
      <w:r w:rsidRPr="00267217">
        <w:rPr>
          <w:rFonts w:ascii="Arial" w:eastAsia="Times New Roman" w:hAnsi="Arial" w:cs="Arial"/>
          <w:sz w:val="24"/>
          <w:szCs w:val="24"/>
        </w:rPr>
        <w:t xml:space="preserve"> (2017), visualization is beneficial for making decisions on marketing and inventory, as well as for determining whether products have a large volume of sales. </w:t>
      </w:r>
    </w:p>
    <w:p w14:paraId="4D556324" w14:textId="4B2D8A8F" w:rsidR="000A6FAF" w:rsidRPr="00267217" w:rsidRDefault="000A6FAF" w:rsidP="00A336AB">
      <w:pPr>
        <w:pStyle w:val="Heading2"/>
        <w:jc w:val="both"/>
        <w:rPr>
          <w:rFonts w:ascii="Arial" w:hAnsi="Arial" w:cs="Arial"/>
          <w:b/>
          <w:color w:val="auto"/>
        </w:rPr>
      </w:pPr>
      <w:bookmarkStart w:id="6" w:name="_Toc165631034"/>
      <w:r w:rsidRPr="00267217">
        <w:rPr>
          <w:rFonts w:ascii="Arial" w:hAnsi="Arial" w:cs="Arial"/>
          <w:b/>
          <w:color w:val="auto"/>
        </w:rPr>
        <w:t>3: Transaction Analysis</w:t>
      </w:r>
      <w:bookmarkEnd w:id="6"/>
    </w:p>
    <w:p w14:paraId="48456617" w14:textId="2548B530" w:rsidR="000A6FAF" w:rsidRPr="00267217" w:rsidRDefault="00EA5B0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For this query, the average number of products sold per transaction and the distribution of transaction sizes are computed using Microsoft Excel. In order to accurately complete this analysis, the following steps were taken: </w:t>
      </w:r>
    </w:p>
    <w:p w14:paraId="2218BE34" w14:textId="1748F5C3" w:rsidR="00EA5B06" w:rsidRPr="00267217" w:rsidRDefault="000A6FAF" w:rsidP="00073F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 xml:space="preserve">Data </w:t>
      </w:r>
      <w:r w:rsidR="00073F85" w:rsidRPr="00267217">
        <w:rPr>
          <w:rFonts w:ascii="Arial" w:hAnsi="Arial" w:cs="Arial"/>
          <w:b/>
          <w:bCs/>
          <w:sz w:val="24"/>
          <w:szCs w:val="24"/>
        </w:rPr>
        <w:t xml:space="preserve">Preparation: </w:t>
      </w:r>
      <w:r w:rsidR="00073F85" w:rsidRPr="00267217">
        <w:rPr>
          <w:rFonts w:ascii="Arial" w:hAnsi="Arial" w:cs="Arial"/>
          <w:sz w:val="24"/>
          <w:szCs w:val="24"/>
        </w:rPr>
        <w:t>The</w:t>
      </w:r>
      <w:r w:rsidR="00EA5B06" w:rsidRPr="00267217">
        <w:rPr>
          <w:rFonts w:ascii="Arial" w:eastAsia="Times New Roman" w:hAnsi="Arial" w:cs="Arial"/>
          <w:sz w:val="24"/>
          <w:szCs w:val="24"/>
        </w:rPr>
        <w:t xml:space="preserve"> dataset contained the </w:t>
      </w:r>
      <w:r w:rsidR="00BE66AD" w:rsidRPr="00267217">
        <w:rPr>
          <w:rFonts w:ascii="Arial" w:eastAsia="Times New Roman" w:hAnsi="Arial" w:cs="Arial"/>
          <w:sz w:val="24"/>
          <w:szCs w:val="24"/>
        </w:rPr>
        <w:t>Transaction No</w:t>
      </w:r>
      <w:r w:rsidR="00EA5B06" w:rsidRPr="00267217">
        <w:rPr>
          <w:rFonts w:ascii="Arial" w:eastAsia="Times New Roman" w:hAnsi="Arial" w:cs="Arial"/>
          <w:sz w:val="24"/>
          <w:szCs w:val="24"/>
        </w:rPr>
        <w:t xml:space="preserve">, ProductName, and Quantity fields that were required for transaction analysis. </w:t>
      </w:r>
    </w:p>
    <w:p w14:paraId="35D4C123"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Pivot Table for Transaction Analysis:</w:t>
      </w:r>
    </w:p>
    <w:p w14:paraId="516DA9E4" w14:textId="78BDD152" w:rsidR="00EA5B06" w:rsidRPr="00267217" w:rsidRDefault="00EA5B0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 pivot table was used to arrange the data according to </w:t>
      </w:r>
      <w:r w:rsidR="00BE66AD" w:rsidRPr="00267217">
        <w:rPr>
          <w:rFonts w:ascii="Arial" w:eastAsia="Times New Roman" w:hAnsi="Arial" w:cs="Arial"/>
          <w:sz w:val="24"/>
          <w:szCs w:val="24"/>
        </w:rPr>
        <w:t>Transaction No</w:t>
      </w:r>
      <w:r w:rsidRPr="00267217">
        <w:rPr>
          <w:rFonts w:ascii="Arial" w:eastAsia="Times New Roman" w:hAnsi="Arial" w:cs="Arial"/>
          <w:sz w:val="24"/>
          <w:szCs w:val="24"/>
        </w:rPr>
        <w:t xml:space="preserve">. The number of unique commodities in each transaction was calculated by counting the ProductName elements in this table. </w:t>
      </w:r>
    </w:p>
    <w:p w14:paraId="71EAC700"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Calculating the Average Number of Products per Transaction:</w:t>
      </w:r>
    </w:p>
    <w:p w14:paraId="6BAD8EA5" w14:textId="36061EC1" w:rsidR="00EA5B06" w:rsidRPr="00267217" w:rsidRDefault="00EA5B06"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The average product sales per transaction was calculated using =</w:t>
      </w:r>
      <w:r w:rsidR="00B97F33" w:rsidRPr="00267217">
        <w:rPr>
          <w:rFonts w:ascii="Arial" w:eastAsia="Times New Roman" w:hAnsi="Arial" w:cs="Arial"/>
          <w:sz w:val="24"/>
          <w:szCs w:val="24"/>
        </w:rPr>
        <w:t>AVERAGE (</w:t>
      </w:r>
      <w:r w:rsidRPr="00267217">
        <w:rPr>
          <w:rFonts w:ascii="Arial" w:eastAsia="Times New Roman" w:hAnsi="Arial" w:cs="Arial"/>
          <w:sz w:val="24"/>
          <w:szCs w:val="24"/>
        </w:rPr>
        <w:t xml:space="preserve">Count of ProductName). I added a calculated field to the Pivot Table update. </w:t>
      </w:r>
    </w:p>
    <w:p w14:paraId="1CF4D14B"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Visualization:</w:t>
      </w:r>
    </w:p>
    <w:p w14:paraId="1EFF8DA9" w14:textId="77777777" w:rsidR="00620085" w:rsidRPr="00267217" w:rsidRDefault="000A2B31"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 bar graph was used to indicate the average size of each transaction. It helped in the analysis of client </w:t>
      </w:r>
      <w:proofErr w:type="spellStart"/>
      <w:r w:rsidRPr="00267217">
        <w:rPr>
          <w:rFonts w:ascii="Arial" w:eastAsia="Times New Roman" w:hAnsi="Arial" w:cs="Arial"/>
          <w:sz w:val="24"/>
          <w:szCs w:val="24"/>
        </w:rPr>
        <w:t>behavior</w:t>
      </w:r>
      <w:proofErr w:type="spellEnd"/>
      <w:r w:rsidRPr="00267217">
        <w:rPr>
          <w:rFonts w:ascii="Arial" w:eastAsia="Times New Roman" w:hAnsi="Arial" w:cs="Arial"/>
          <w:sz w:val="24"/>
          <w:szCs w:val="24"/>
        </w:rPr>
        <w:t xml:space="preserve"> by presenting the quantity of products that were traded during the transaction.</w:t>
      </w:r>
    </w:p>
    <w:p w14:paraId="29943DF3" w14:textId="091B43CC" w:rsidR="000A6FAF" w:rsidRPr="00267217" w:rsidRDefault="00620085" w:rsidP="00B97F33">
      <w:pPr>
        <w:spacing w:after="240" w:line="360" w:lineRule="auto"/>
        <w:jc w:val="both"/>
        <w:rPr>
          <w:rFonts w:ascii="Arial" w:eastAsia="Times New Roman" w:hAnsi="Arial" w:cs="Arial"/>
          <w:sz w:val="24"/>
          <w:szCs w:val="24"/>
        </w:rPr>
      </w:pPr>
      <w:r w:rsidRPr="00267217">
        <w:rPr>
          <w:noProof/>
        </w:rPr>
        <w:lastRenderedPageBreak/>
        <w:drawing>
          <wp:inline distT="0" distB="0" distL="0" distR="0" wp14:anchorId="7604B097" wp14:editId="5A6B5635">
            <wp:extent cx="5948680" cy="3522133"/>
            <wp:effectExtent l="0" t="0" r="13970" b="2540"/>
            <wp:docPr id="638467147" name="Chart 1">
              <a:extLst xmlns:a="http://schemas.openxmlformats.org/drawingml/2006/main">
                <a:ext uri="{FF2B5EF4-FFF2-40B4-BE49-F238E27FC236}">
                  <a16:creationId xmlns:a16="http://schemas.microsoft.com/office/drawing/2014/main" id="{F38C5BFE-0CA6-218D-F140-C296187CB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0A2B31" w:rsidRPr="00267217">
        <w:rPr>
          <w:rFonts w:eastAsia="Times New Roman" w:cstheme="minorHAnsi"/>
          <w:sz w:val="24"/>
          <w:szCs w:val="24"/>
        </w:rPr>
        <w:br/>
      </w:r>
      <w:r w:rsidR="000A2B31" w:rsidRPr="00267217">
        <w:rPr>
          <w:rFonts w:ascii="Arial" w:eastAsia="Times New Roman" w:hAnsi="Arial" w:cs="Arial"/>
          <w:sz w:val="24"/>
          <w:szCs w:val="24"/>
        </w:rPr>
        <w:t xml:space="preserve">According to the findings of the survey, the quantity of products purchased in each transaction was different. A total of 26.78 times more merchandise </w:t>
      </w:r>
      <w:r w:rsidR="00B97F33" w:rsidRPr="00267217">
        <w:rPr>
          <w:rFonts w:ascii="Arial" w:eastAsia="Times New Roman" w:hAnsi="Arial" w:cs="Arial"/>
          <w:sz w:val="24"/>
          <w:szCs w:val="24"/>
        </w:rPr>
        <w:t>was</w:t>
      </w:r>
      <w:r w:rsidR="000A2B31" w:rsidRPr="00267217">
        <w:rPr>
          <w:rFonts w:ascii="Arial" w:eastAsia="Times New Roman" w:hAnsi="Arial" w:cs="Arial"/>
          <w:sz w:val="24"/>
          <w:szCs w:val="24"/>
        </w:rPr>
        <w:t xml:space="preserve"> included in it as compared to the typical transaction. As seen by these findings, users of the internet frequently carry out a number of different transactions. </w:t>
      </w:r>
    </w:p>
    <w:p w14:paraId="641D3959" w14:textId="639F4DE4"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Results Summary:</w:t>
      </w:r>
    </w:p>
    <w:p w14:paraId="502DE8C4"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Total Products: 84,922</w:t>
      </w:r>
    </w:p>
    <w:p w14:paraId="0C479474"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Number of Transactions: 64,763</w:t>
      </w:r>
    </w:p>
    <w:p w14:paraId="3116D32C"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Average Product per Transaction: 26.78</w:t>
      </w:r>
    </w:p>
    <w:p w14:paraId="054A2BA3" w14:textId="297C9E7E" w:rsidR="00910440" w:rsidRPr="00267217" w:rsidRDefault="001A5DD2" w:rsidP="00910440">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These data were used to build a bar chart that shows the size of transactions. A person will often go shopping for a range of goods. According to </w:t>
      </w:r>
      <w:proofErr w:type="spellStart"/>
      <w:r w:rsidRPr="00267217">
        <w:rPr>
          <w:rFonts w:ascii="Arial" w:eastAsia="Times New Roman" w:hAnsi="Arial" w:cs="Arial"/>
          <w:sz w:val="24"/>
          <w:szCs w:val="24"/>
        </w:rPr>
        <w:t>Kasemsap</w:t>
      </w:r>
      <w:proofErr w:type="spellEnd"/>
      <w:r w:rsidRPr="00267217">
        <w:rPr>
          <w:rFonts w:ascii="Arial" w:eastAsia="Times New Roman" w:hAnsi="Arial" w:cs="Arial"/>
          <w:sz w:val="24"/>
          <w:szCs w:val="24"/>
        </w:rPr>
        <w:t xml:space="preserve"> (2017), this data is required to look into client purchasing patterns and modify inventory and marketing strategies in response to recurring patterns. Furthermore, accountability for this information is required. </w:t>
      </w:r>
    </w:p>
    <w:p w14:paraId="53B3B1FB" w14:textId="2CD9064D" w:rsidR="000A6FAF" w:rsidRPr="00267217" w:rsidRDefault="000A6FAF" w:rsidP="00A336AB">
      <w:pPr>
        <w:pStyle w:val="Heading2"/>
        <w:jc w:val="both"/>
        <w:rPr>
          <w:rFonts w:ascii="Arial" w:hAnsi="Arial" w:cs="Arial"/>
          <w:b/>
          <w:color w:val="auto"/>
        </w:rPr>
      </w:pPr>
      <w:bookmarkStart w:id="7" w:name="_Toc165631035"/>
      <w:r w:rsidRPr="00267217">
        <w:rPr>
          <w:rFonts w:ascii="Arial" w:hAnsi="Arial" w:cs="Arial"/>
          <w:b/>
          <w:color w:val="auto"/>
        </w:rPr>
        <w:lastRenderedPageBreak/>
        <w:t>4: Customer Segment Profitability</w:t>
      </w:r>
      <w:bookmarkEnd w:id="7"/>
    </w:p>
    <w:p w14:paraId="1CD394D9" w14:textId="77777777" w:rsidR="00A336AB" w:rsidRPr="00267217" w:rsidRDefault="00A336AB" w:rsidP="00A336AB"/>
    <w:p w14:paraId="2765DE75" w14:textId="5BD446A2" w:rsidR="00765ECD" w:rsidRPr="00267217" w:rsidRDefault="00765ECD"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most lucrative client groups were identified by measuring customer sales using Microsoft Excel's Pivot Table feature. These actions were done: </w:t>
      </w:r>
    </w:p>
    <w:p w14:paraId="5346C307" w14:textId="77777777" w:rsidR="009B5215" w:rsidRDefault="000A6FAF" w:rsidP="006200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 Preparation</w:t>
      </w:r>
    </w:p>
    <w:p w14:paraId="07DE0B63" w14:textId="308E0446" w:rsidR="00765ECD" w:rsidRPr="00267217" w:rsidRDefault="00765ECD" w:rsidP="00620085">
      <w:pPr>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After examining the columns for Customer</w:t>
      </w:r>
      <w:r w:rsidR="0068313A" w:rsidRPr="00267217">
        <w:rPr>
          <w:rFonts w:ascii="Arial" w:eastAsia="Times New Roman" w:hAnsi="Arial" w:cs="Arial"/>
          <w:sz w:val="24"/>
          <w:szCs w:val="24"/>
        </w:rPr>
        <w:t xml:space="preserve"> </w:t>
      </w:r>
      <w:r w:rsidRPr="00267217">
        <w:rPr>
          <w:rFonts w:ascii="Arial" w:eastAsia="Times New Roman" w:hAnsi="Arial" w:cs="Arial"/>
          <w:sz w:val="24"/>
          <w:szCs w:val="24"/>
        </w:rPr>
        <w:t xml:space="preserve">No and Total Sales, it was determined that the latter accurately represented transaction earnings. </w:t>
      </w:r>
    </w:p>
    <w:p w14:paraId="24C63CE4" w14:textId="59E80CD5" w:rsidR="004C55CD" w:rsidRPr="00267217" w:rsidRDefault="000A6FAF" w:rsidP="006200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Pivot Table Creation</w:t>
      </w:r>
    </w:p>
    <w:p w14:paraId="71309AA4" w14:textId="5CB4B5F6" w:rsidR="00620085" w:rsidRPr="009B5215" w:rsidRDefault="00765ECD" w:rsidP="00620085">
      <w:pPr>
        <w:autoSpaceDE w:val="0"/>
        <w:autoSpaceDN w:val="0"/>
        <w:adjustRightInd w:val="0"/>
        <w:spacing w:line="360" w:lineRule="auto"/>
        <w:jc w:val="both"/>
        <w:rPr>
          <w:rFonts w:ascii="Arial" w:eastAsia="Times New Roman" w:hAnsi="Arial" w:cs="Arial"/>
          <w:sz w:val="24"/>
          <w:szCs w:val="24"/>
        </w:rPr>
      </w:pPr>
      <w:r w:rsidRPr="00267217">
        <w:rPr>
          <w:rFonts w:ascii="Arial" w:eastAsia="Times New Roman" w:hAnsi="Arial" w:cs="Arial"/>
          <w:sz w:val="24"/>
          <w:szCs w:val="24"/>
        </w:rPr>
        <w:t>To aggregate sales, a pivot table was made using Customer</w:t>
      </w:r>
      <w:r w:rsidR="0068313A" w:rsidRPr="00267217">
        <w:rPr>
          <w:rFonts w:ascii="Arial" w:eastAsia="Times New Roman" w:hAnsi="Arial" w:cs="Arial"/>
          <w:sz w:val="24"/>
          <w:szCs w:val="24"/>
        </w:rPr>
        <w:t xml:space="preserve"> </w:t>
      </w:r>
      <w:r w:rsidRPr="00267217">
        <w:rPr>
          <w:rFonts w:ascii="Arial" w:eastAsia="Times New Roman" w:hAnsi="Arial" w:cs="Arial"/>
          <w:sz w:val="24"/>
          <w:szCs w:val="24"/>
        </w:rPr>
        <w:t xml:space="preserve">No from the Rows section. The total revenue for each customer was obtained by adding their sales from the Values column. </w:t>
      </w:r>
      <w:r w:rsidR="00620085" w:rsidRPr="00267217">
        <w:rPr>
          <w:rFonts w:ascii="Arial" w:hAnsi="Arial" w:cs="Arial"/>
          <w:b/>
          <w:bCs/>
          <w:sz w:val="24"/>
          <w:szCs w:val="24"/>
        </w:rPr>
        <w:t>Table 3: Top 20 Most Profitable Customers</w:t>
      </w:r>
    </w:p>
    <w:tbl>
      <w:tblPr>
        <w:tblW w:w="3200" w:type="dxa"/>
        <w:tblInd w:w="93" w:type="dxa"/>
        <w:tblLook w:val="04A0" w:firstRow="1" w:lastRow="0" w:firstColumn="1" w:lastColumn="0" w:noHBand="0" w:noVBand="1"/>
      </w:tblPr>
      <w:tblGrid>
        <w:gridCol w:w="1380"/>
        <w:gridCol w:w="1820"/>
      </w:tblGrid>
      <w:tr w:rsidR="00620085" w:rsidRPr="00267217" w14:paraId="07972FDF" w14:textId="77777777" w:rsidTr="00A336AB">
        <w:trPr>
          <w:trHeight w:val="300"/>
        </w:trPr>
        <w:tc>
          <w:tcPr>
            <w:tcW w:w="1380" w:type="dxa"/>
            <w:tcBorders>
              <w:top w:val="nil"/>
              <w:left w:val="nil"/>
              <w:bottom w:val="single" w:sz="4" w:space="0" w:color="95B3D7"/>
              <w:right w:val="nil"/>
            </w:tcBorders>
            <w:shd w:val="clear" w:color="DCE6F1" w:fill="DCE6F1"/>
            <w:noWrap/>
            <w:vAlign w:val="bottom"/>
            <w:hideMark/>
          </w:tcPr>
          <w:p w14:paraId="70A9810F" w14:textId="77777777" w:rsidR="00620085" w:rsidRPr="00267217" w:rsidRDefault="00620085" w:rsidP="00A336AB">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Row Labels</w:t>
            </w:r>
          </w:p>
        </w:tc>
        <w:tc>
          <w:tcPr>
            <w:tcW w:w="1820" w:type="dxa"/>
            <w:tcBorders>
              <w:top w:val="nil"/>
              <w:left w:val="nil"/>
              <w:bottom w:val="single" w:sz="4" w:space="0" w:color="95B3D7"/>
              <w:right w:val="nil"/>
            </w:tcBorders>
            <w:shd w:val="clear" w:color="DCE6F1" w:fill="DCE6F1"/>
            <w:noWrap/>
            <w:vAlign w:val="bottom"/>
            <w:hideMark/>
          </w:tcPr>
          <w:p w14:paraId="31C9037A" w14:textId="77777777" w:rsidR="00620085" w:rsidRPr="00267217" w:rsidRDefault="00620085" w:rsidP="00A336AB">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Sum of Total Sales</w:t>
            </w:r>
          </w:p>
        </w:tc>
      </w:tr>
      <w:tr w:rsidR="00620085" w:rsidRPr="00267217" w14:paraId="109D8843" w14:textId="77777777" w:rsidTr="00A336AB">
        <w:trPr>
          <w:trHeight w:val="300"/>
        </w:trPr>
        <w:tc>
          <w:tcPr>
            <w:tcW w:w="1380" w:type="dxa"/>
            <w:tcBorders>
              <w:top w:val="nil"/>
              <w:left w:val="nil"/>
              <w:bottom w:val="nil"/>
              <w:right w:val="nil"/>
            </w:tcBorders>
            <w:shd w:val="clear" w:color="auto" w:fill="auto"/>
            <w:noWrap/>
            <w:vAlign w:val="bottom"/>
            <w:hideMark/>
          </w:tcPr>
          <w:p w14:paraId="4E143B9A"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12358</w:t>
            </w:r>
          </w:p>
        </w:tc>
        <w:tc>
          <w:tcPr>
            <w:tcW w:w="1820" w:type="dxa"/>
            <w:tcBorders>
              <w:top w:val="nil"/>
              <w:left w:val="nil"/>
              <w:bottom w:val="nil"/>
              <w:right w:val="nil"/>
            </w:tcBorders>
            <w:shd w:val="clear" w:color="auto" w:fill="auto"/>
            <w:noWrap/>
            <w:vAlign w:val="bottom"/>
            <w:hideMark/>
          </w:tcPr>
          <w:p w14:paraId="793F689F" w14:textId="212BB53A"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22549.46</w:t>
            </w:r>
          </w:p>
        </w:tc>
      </w:tr>
      <w:tr w:rsidR="00620085" w:rsidRPr="00267217" w14:paraId="0848DA1A" w14:textId="77777777" w:rsidTr="00A336AB">
        <w:trPr>
          <w:trHeight w:val="300"/>
        </w:trPr>
        <w:tc>
          <w:tcPr>
            <w:tcW w:w="1380" w:type="dxa"/>
            <w:tcBorders>
              <w:top w:val="nil"/>
              <w:left w:val="nil"/>
              <w:bottom w:val="nil"/>
              <w:right w:val="nil"/>
            </w:tcBorders>
            <w:shd w:val="clear" w:color="auto" w:fill="auto"/>
            <w:noWrap/>
            <w:vAlign w:val="bottom"/>
            <w:hideMark/>
          </w:tcPr>
          <w:p w14:paraId="0681266B"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12433</w:t>
            </w:r>
          </w:p>
        </w:tc>
        <w:tc>
          <w:tcPr>
            <w:tcW w:w="1820" w:type="dxa"/>
            <w:tcBorders>
              <w:top w:val="nil"/>
              <w:left w:val="nil"/>
              <w:bottom w:val="nil"/>
              <w:right w:val="nil"/>
            </w:tcBorders>
            <w:shd w:val="clear" w:color="auto" w:fill="auto"/>
            <w:noWrap/>
            <w:vAlign w:val="bottom"/>
            <w:hideMark/>
          </w:tcPr>
          <w:p w14:paraId="23AB9391"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40427.91</w:t>
            </w:r>
          </w:p>
        </w:tc>
      </w:tr>
      <w:tr w:rsidR="00620085" w:rsidRPr="00267217" w14:paraId="42F18AD2" w14:textId="77777777" w:rsidTr="00A336AB">
        <w:trPr>
          <w:trHeight w:val="300"/>
        </w:trPr>
        <w:tc>
          <w:tcPr>
            <w:tcW w:w="1380" w:type="dxa"/>
            <w:tcBorders>
              <w:top w:val="nil"/>
              <w:left w:val="nil"/>
              <w:bottom w:val="nil"/>
              <w:right w:val="nil"/>
            </w:tcBorders>
            <w:shd w:val="clear" w:color="auto" w:fill="auto"/>
            <w:noWrap/>
            <w:vAlign w:val="bottom"/>
            <w:hideMark/>
          </w:tcPr>
          <w:p w14:paraId="6DE3C24D"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12748</w:t>
            </w:r>
          </w:p>
        </w:tc>
        <w:tc>
          <w:tcPr>
            <w:tcW w:w="1820" w:type="dxa"/>
            <w:tcBorders>
              <w:top w:val="nil"/>
              <w:left w:val="nil"/>
              <w:bottom w:val="nil"/>
              <w:right w:val="nil"/>
            </w:tcBorders>
            <w:shd w:val="clear" w:color="auto" w:fill="auto"/>
            <w:noWrap/>
            <w:vAlign w:val="bottom"/>
            <w:hideMark/>
          </w:tcPr>
          <w:p w14:paraId="55A20047"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30676.33</w:t>
            </w:r>
          </w:p>
        </w:tc>
      </w:tr>
      <w:tr w:rsidR="00620085" w:rsidRPr="00267217" w14:paraId="38086374" w14:textId="77777777" w:rsidTr="00A336AB">
        <w:trPr>
          <w:trHeight w:val="300"/>
        </w:trPr>
        <w:tc>
          <w:tcPr>
            <w:tcW w:w="1380" w:type="dxa"/>
            <w:tcBorders>
              <w:top w:val="nil"/>
              <w:left w:val="nil"/>
              <w:bottom w:val="nil"/>
              <w:right w:val="nil"/>
            </w:tcBorders>
            <w:shd w:val="clear" w:color="auto" w:fill="auto"/>
            <w:noWrap/>
            <w:vAlign w:val="bottom"/>
            <w:hideMark/>
          </w:tcPr>
          <w:p w14:paraId="47676AC3"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12753</w:t>
            </w:r>
          </w:p>
        </w:tc>
        <w:tc>
          <w:tcPr>
            <w:tcW w:w="1820" w:type="dxa"/>
            <w:tcBorders>
              <w:top w:val="nil"/>
              <w:left w:val="nil"/>
              <w:bottom w:val="nil"/>
              <w:right w:val="nil"/>
            </w:tcBorders>
            <w:shd w:val="clear" w:color="auto" w:fill="auto"/>
            <w:noWrap/>
            <w:vAlign w:val="bottom"/>
            <w:hideMark/>
          </w:tcPr>
          <w:p w14:paraId="657797D3"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27277.81</w:t>
            </w:r>
          </w:p>
        </w:tc>
      </w:tr>
      <w:tr w:rsidR="00620085" w:rsidRPr="00267217" w14:paraId="66EA0840" w14:textId="77777777" w:rsidTr="00A336AB">
        <w:trPr>
          <w:trHeight w:val="300"/>
        </w:trPr>
        <w:tc>
          <w:tcPr>
            <w:tcW w:w="1380" w:type="dxa"/>
            <w:tcBorders>
              <w:top w:val="nil"/>
              <w:left w:val="nil"/>
              <w:bottom w:val="nil"/>
              <w:right w:val="nil"/>
            </w:tcBorders>
            <w:shd w:val="clear" w:color="auto" w:fill="auto"/>
            <w:noWrap/>
            <w:vAlign w:val="bottom"/>
            <w:hideMark/>
          </w:tcPr>
          <w:p w14:paraId="34DC1EE6"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13256</w:t>
            </w:r>
          </w:p>
        </w:tc>
        <w:tc>
          <w:tcPr>
            <w:tcW w:w="1820" w:type="dxa"/>
            <w:tcBorders>
              <w:top w:val="nil"/>
              <w:left w:val="nil"/>
              <w:bottom w:val="nil"/>
              <w:right w:val="nil"/>
            </w:tcBorders>
            <w:shd w:val="clear" w:color="auto" w:fill="auto"/>
            <w:noWrap/>
            <w:vAlign w:val="bottom"/>
            <w:hideMark/>
          </w:tcPr>
          <w:p w14:paraId="7B9A3B83"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77622.6</w:t>
            </w:r>
          </w:p>
        </w:tc>
      </w:tr>
      <w:tr w:rsidR="00620085" w:rsidRPr="00267217" w14:paraId="0779DA58" w14:textId="77777777" w:rsidTr="00A336AB">
        <w:trPr>
          <w:trHeight w:val="300"/>
        </w:trPr>
        <w:tc>
          <w:tcPr>
            <w:tcW w:w="1380" w:type="dxa"/>
            <w:tcBorders>
              <w:top w:val="nil"/>
              <w:left w:val="nil"/>
              <w:bottom w:val="nil"/>
              <w:right w:val="nil"/>
            </w:tcBorders>
            <w:shd w:val="clear" w:color="auto" w:fill="auto"/>
            <w:noWrap/>
            <w:vAlign w:val="bottom"/>
            <w:hideMark/>
          </w:tcPr>
          <w:p w14:paraId="3B4B5C3D"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14096</w:t>
            </w:r>
          </w:p>
        </w:tc>
        <w:tc>
          <w:tcPr>
            <w:tcW w:w="1820" w:type="dxa"/>
            <w:tcBorders>
              <w:top w:val="nil"/>
              <w:left w:val="nil"/>
              <w:bottom w:val="nil"/>
              <w:right w:val="nil"/>
            </w:tcBorders>
            <w:shd w:val="clear" w:color="auto" w:fill="auto"/>
            <w:noWrap/>
            <w:vAlign w:val="bottom"/>
            <w:hideMark/>
          </w:tcPr>
          <w:p w14:paraId="551E5398"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39038.05</w:t>
            </w:r>
          </w:p>
        </w:tc>
      </w:tr>
      <w:tr w:rsidR="00620085" w:rsidRPr="00267217" w14:paraId="5CF34D5E" w14:textId="77777777" w:rsidTr="00A336AB">
        <w:trPr>
          <w:trHeight w:val="300"/>
        </w:trPr>
        <w:tc>
          <w:tcPr>
            <w:tcW w:w="1380" w:type="dxa"/>
            <w:tcBorders>
              <w:top w:val="nil"/>
              <w:left w:val="nil"/>
              <w:bottom w:val="nil"/>
              <w:right w:val="nil"/>
            </w:tcBorders>
            <w:shd w:val="clear" w:color="auto" w:fill="auto"/>
            <w:noWrap/>
            <w:vAlign w:val="bottom"/>
            <w:hideMark/>
          </w:tcPr>
          <w:p w14:paraId="68BA1990"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14150</w:t>
            </w:r>
          </w:p>
        </w:tc>
        <w:tc>
          <w:tcPr>
            <w:tcW w:w="1820" w:type="dxa"/>
            <w:tcBorders>
              <w:top w:val="nil"/>
              <w:left w:val="nil"/>
              <w:bottom w:val="nil"/>
              <w:right w:val="nil"/>
            </w:tcBorders>
            <w:shd w:val="clear" w:color="auto" w:fill="auto"/>
            <w:noWrap/>
            <w:vAlign w:val="bottom"/>
            <w:hideMark/>
          </w:tcPr>
          <w:p w14:paraId="4673A0F9"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21363.63</w:t>
            </w:r>
          </w:p>
        </w:tc>
      </w:tr>
      <w:tr w:rsidR="00620085" w:rsidRPr="00267217" w14:paraId="0CD5E78D" w14:textId="77777777" w:rsidTr="00A336AB">
        <w:trPr>
          <w:trHeight w:val="300"/>
        </w:trPr>
        <w:tc>
          <w:tcPr>
            <w:tcW w:w="1380" w:type="dxa"/>
            <w:tcBorders>
              <w:top w:val="nil"/>
              <w:left w:val="nil"/>
              <w:bottom w:val="nil"/>
              <w:right w:val="nil"/>
            </w:tcBorders>
            <w:shd w:val="clear" w:color="auto" w:fill="auto"/>
            <w:noWrap/>
            <w:vAlign w:val="bottom"/>
            <w:hideMark/>
          </w:tcPr>
          <w:p w14:paraId="7CEBF1FA"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14646</w:t>
            </w:r>
          </w:p>
        </w:tc>
        <w:tc>
          <w:tcPr>
            <w:tcW w:w="1820" w:type="dxa"/>
            <w:tcBorders>
              <w:top w:val="nil"/>
              <w:left w:val="nil"/>
              <w:bottom w:val="nil"/>
              <w:right w:val="nil"/>
            </w:tcBorders>
            <w:shd w:val="clear" w:color="auto" w:fill="auto"/>
            <w:noWrap/>
            <w:vAlign w:val="bottom"/>
            <w:hideMark/>
          </w:tcPr>
          <w:p w14:paraId="02AEF411"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100097.56</w:t>
            </w:r>
          </w:p>
        </w:tc>
      </w:tr>
      <w:tr w:rsidR="00620085" w:rsidRPr="00267217" w14:paraId="55CC8CB8" w14:textId="77777777" w:rsidTr="00A336AB">
        <w:trPr>
          <w:trHeight w:val="300"/>
        </w:trPr>
        <w:tc>
          <w:tcPr>
            <w:tcW w:w="1380" w:type="dxa"/>
            <w:tcBorders>
              <w:top w:val="nil"/>
              <w:left w:val="nil"/>
              <w:bottom w:val="nil"/>
              <w:right w:val="nil"/>
            </w:tcBorders>
            <w:shd w:val="clear" w:color="auto" w:fill="auto"/>
            <w:noWrap/>
            <w:vAlign w:val="bottom"/>
            <w:hideMark/>
          </w:tcPr>
          <w:p w14:paraId="0520C89F"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14911</w:t>
            </w:r>
          </w:p>
        </w:tc>
        <w:tc>
          <w:tcPr>
            <w:tcW w:w="1820" w:type="dxa"/>
            <w:tcBorders>
              <w:top w:val="nil"/>
              <w:left w:val="nil"/>
              <w:bottom w:val="nil"/>
              <w:right w:val="nil"/>
            </w:tcBorders>
            <w:shd w:val="clear" w:color="auto" w:fill="auto"/>
            <w:noWrap/>
            <w:vAlign w:val="bottom"/>
            <w:hideMark/>
          </w:tcPr>
          <w:p w14:paraId="55BD2F4D"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72876.05</w:t>
            </w:r>
          </w:p>
        </w:tc>
      </w:tr>
      <w:tr w:rsidR="00620085" w:rsidRPr="00267217" w14:paraId="2F7EF42F" w14:textId="77777777" w:rsidTr="00A336AB">
        <w:trPr>
          <w:trHeight w:val="300"/>
        </w:trPr>
        <w:tc>
          <w:tcPr>
            <w:tcW w:w="1380" w:type="dxa"/>
            <w:tcBorders>
              <w:top w:val="nil"/>
              <w:left w:val="nil"/>
              <w:bottom w:val="nil"/>
              <w:right w:val="nil"/>
            </w:tcBorders>
            <w:shd w:val="clear" w:color="auto" w:fill="auto"/>
            <w:noWrap/>
            <w:vAlign w:val="bottom"/>
            <w:hideMark/>
          </w:tcPr>
          <w:p w14:paraId="233F496F"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15061</w:t>
            </w:r>
          </w:p>
        </w:tc>
        <w:tc>
          <w:tcPr>
            <w:tcW w:w="1820" w:type="dxa"/>
            <w:tcBorders>
              <w:top w:val="nil"/>
              <w:left w:val="nil"/>
              <w:bottom w:val="nil"/>
              <w:right w:val="nil"/>
            </w:tcBorders>
            <w:shd w:val="clear" w:color="auto" w:fill="auto"/>
            <w:noWrap/>
            <w:vAlign w:val="bottom"/>
            <w:hideMark/>
          </w:tcPr>
          <w:p w14:paraId="4DF0F1F4"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24513.79</w:t>
            </w:r>
          </w:p>
        </w:tc>
      </w:tr>
      <w:tr w:rsidR="00620085" w:rsidRPr="00267217" w14:paraId="22436015" w14:textId="77777777" w:rsidTr="00A336AB">
        <w:trPr>
          <w:trHeight w:val="300"/>
        </w:trPr>
        <w:tc>
          <w:tcPr>
            <w:tcW w:w="1380" w:type="dxa"/>
            <w:tcBorders>
              <w:top w:val="nil"/>
              <w:left w:val="nil"/>
              <w:bottom w:val="nil"/>
              <w:right w:val="nil"/>
            </w:tcBorders>
            <w:shd w:val="clear" w:color="auto" w:fill="auto"/>
            <w:noWrap/>
            <w:vAlign w:val="bottom"/>
            <w:hideMark/>
          </w:tcPr>
          <w:p w14:paraId="346A810C"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16000</w:t>
            </w:r>
          </w:p>
        </w:tc>
        <w:tc>
          <w:tcPr>
            <w:tcW w:w="1820" w:type="dxa"/>
            <w:tcBorders>
              <w:top w:val="nil"/>
              <w:left w:val="nil"/>
              <w:bottom w:val="nil"/>
              <w:right w:val="nil"/>
            </w:tcBorders>
            <w:shd w:val="clear" w:color="auto" w:fill="auto"/>
            <w:noWrap/>
            <w:vAlign w:val="bottom"/>
            <w:hideMark/>
          </w:tcPr>
          <w:p w14:paraId="74E57842"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31630.9</w:t>
            </w:r>
          </w:p>
        </w:tc>
      </w:tr>
      <w:tr w:rsidR="00620085" w:rsidRPr="00267217" w14:paraId="67A31C76" w14:textId="77777777" w:rsidTr="00A336AB">
        <w:trPr>
          <w:trHeight w:val="300"/>
        </w:trPr>
        <w:tc>
          <w:tcPr>
            <w:tcW w:w="1380" w:type="dxa"/>
            <w:tcBorders>
              <w:top w:val="nil"/>
              <w:left w:val="nil"/>
              <w:bottom w:val="nil"/>
              <w:right w:val="nil"/>
            </w:tcBorders>
            <w:shd w:val="clear" w:color="auto" w:fill="auto"/>
            <w:noWrap/>
            <w:vAlign w:val="bottom"/>
            <w:hideMark/>
          </w:tcPr>
          <w:p w14:paraId="0DC9D2E2"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16013</w:t>
            </w:r>
          </w:p>
        </w:tc>
        <w:tc>
          <w:tcPr>
            <w:tcW w:w="1820" w:type="dxa"/>
            <w:tcBorders>
              <w:top w:val="nil"/>
              <w:left w:val="nil"/>
              <w:bottom w:val="nil"/>
              <w:right w:val="nil"/>
            </w:tcBorders>
            <w:shd w:val="clear" w:color="auto" w:fill="auto"/>
            <w:noWrap/>
            <w:vAlign w:val="bottom"/>
            <w:hideMark/>
          </w:tcPr>
          <w:p w14:paraId="12ABE5FF"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22789.12</w:t>
            </w:r>
          </w:p>
        </w:tc>
      </w:tr>
      <w:tr w:rsidR="00620085" w:rsidRPr="00267217" w14:paraId="39D00EE4" w14:textId="77777777" w:rsidTr="00A336AB">
        <w:trPr>
          <w:trHeight w:val="300"/>
        </w:trPr>
        <w:tc>
          <w:tcPr>
            <w:tcW w:w="1380" w:type="dxa"/>
            <w:tcBorders>
              <w:top w:val="nil"/>
              <w:left w:val="nil"/>
              <w:bottom w:val="nil"/>
              <w:right w:val="nil"/>
            </w:tcBorders>
            <w:shd w:val="clear" w:color="auto" w:fill="auto"/>
            <w:noWrap/>
            <w:vAlign w:val="bottom"/>
            <w:hideMark/>
          </w:tcPr>
          <w:p w14:paraId="7787B6E0"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16446</w:t>
            </w:r>
          </w:p>
        </w:tc>
        <w:tc>
          <w:tcPr>
            <w:tcW w:w="1820" w:type="dxa"/>
            <w:tcBorders>
              <w:top w:val="nil"/>
              <w:left w:val="nil"/>
              <w:bottom w:val="nil"/>
              <w:right w:val="nil"/>
            </w:tcBorders>
            <w:shd w:val="clear" w:color="auto" w:fill="auto"/>
            <w:noWrap/>
            <w:vAlign w:val="bottom"/>
            <w:hideMark/>
          </w:tcPr>
          <w:p w14:paraId="2C7FB1AD"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501359.05</w:t>
            </w:r>
          </w:p>
        </w:tc>
      </w:tr>
      <w:tr w:rsidR="00620085" w:rsidRPr="00267217" w14:paraId="2D9B1123" w14:textId="77777777" w:rsidTr="00A336AB">
        <w:trPr>
          <w:trHeight w:val="300"/>
        </w:trPr>
        <w:tc>
          <w:tcPr>
            <w:tcW w:w="1380" w:type="dxa"/>
            <w:tcBorders>
              <w:top w:val="nil"/>
              <w:left w:val="nil"/>
              <w:bottom w:val="nil"/>
              <w:right w:val="nil"/>
            </w:tcBorders>
            <w:shd w:val="clear" w:color="auto" w:fill="auto"/>
            <w:noWrap/>
            <w:vAlign w:val="bottom"/>
            <w:hideMark/>
          </w:tcPr>
          <w:p w14:paraId="7DD820E2"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16684</w:t>
            </w:r>
          </w:p>
        </w:tc>
        <w:tc>
          <w:tcPr>
            <w:tcW w:w="1820" w:type="dxa"/>
            <w:tcBorders>
              <w:top w:val="nil"/>
              <w:left w:val="nil"/>
              <w:bottom w:val="nil"/>
              <w:right w:val="nil"/>
            </w:tcBorders>
            <w:shd w:val="clear" w:color="auto" w:fill="auto"/>
            <w:noWrap/>
            <w:vAlign w:val="bottom"/>
            <w:hideMark/>
          </w:tcPr>
          <w:p w14:paraId="6772790F"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40682.56</w:t>
            </w:r>
          </w:p>
        </w:tc>
      </w:tr>
      <w:tr w:rsidR="00620085" w:rsidRPr="00267217" w14:paraId="19B03AC1" w14:textId="77777777" w:rsidTr="00A336AB">
        <w:trPr>
          <w:trHeight w:val="300"/>
        </w:trPr>
        <w:tc>
          <w:tcPr>
            <w:tcW w:w="1380" w:type="dxa"/>
            <w:tcBorders>
              <w:top w:val="nil"/>
              <w:left w:val="nil"/>
              <w:bottom w:val="nil"/>
              <w:right w:val="nil"/>
            </w:tcBorders>
            <w:shd w:val="clear" w:color="auto" w:fill="auto"/>
            <w:noWrap/>
            <w:vAlign w:val="bottom"/>
            <w:hideMark/>
          </w:tcPr>
          <w:p w14:paraId="30ED39A4"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17450</w:t>
            </w:r>
          </w:p>
        </w:tc>
        <w:tc>
          <w:tcPr>
            <w:tcW w:w="1820" w:type="dxa"/>
            <w:tcBorders>
              <w:top w:val="nil"/>
              <w:left w:val="nil"/>
              <w:bottom w:val="nil"/>
              <w:right w:val="nil"/>
            </w:tcBorders>
            <w:shd w:val="clear" w:color="auto" w:fill="auto"/>
            <w:noWrap/>
            <w:vAlign w:val="bottom"/>
            <w:hideMark/>
          </w:tcPr>
          <w:p w14:paraId="17C91ED3"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42164.71</w:t>
            </w:r>
          </w:p>
        </w:tc>
      </w:tr>
      <w:tr w:rsidR="00620085" w:rsidRPr="00267217" w14:paraId="451A1357" w14:textId="77777777" w:rsidTr="00A336AB">
        <w:trPr>
          <w:trHeight w:val="300"/>
        </w:trPr>
        <w:tc>
          <w:tcPr>
            <w:tcW w:w="1380" w:type="dxa"/>
            <w:tcBorders>
              <w:top w:val="nil"/>
              <w:left w:val="nil"/>
              <w:bottom w:val="nil"/>
              <w:right w:val="nil"/>
            </w:tcBorders>
            <w:shd w:val="clear" w:color="auto" w:fill="auto"/>
            <w:noWrap/>
            <w:vAlign w:val="bottom"/>
            <w:hideMark/>
          </w:tcPr>
          <w:p w14:paraId="18CAB723"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17511</w:t>
            </w:r>
          </w:p>
        </w:tc>
        <w:tc>
          <w:tcPr>
            <w:tcW w:w="1820" w:type="dxa"/>
            <w:tcBorders>
              <w:top w:val="nil"/>
              <w:left w:val="nil"/>
              <w:bottom w:val="nil"/>
              <w:right w:val="nil"/>
            </w:tcBorders>
            <w:shd w:val="clear" w:color="auto" w:fill="auto"/>
            <w:noWrap/>
            <w:vAlign w:val="bottom"/>
            <w:hideMark/>
          </w:tcPr>
          <w:p w14:paraId="33E075F5"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70664.49</w:t>
            </w:r>
          </w:p>
        </w:tc>
      </w:tr>
      <w:tr w:rsidR="00620085" w:rsidRPr="00267217" w14:paraId="249E98E0" w14:textId="77777777" w:rsidTr="00A336AB">
        <w:trPr>
          <w:trHeight w:val="300"/>
        </w:trPr>
        <w:tc>
          <w:tcPr>
            <w:tcW w:w="1380" w:type="dxa"/>
            <w:tcBorders>
              <w:top w:val="nil"/>
              <w:left w:val="nil"/>
              <w:bottom w:val="nil"/>
              <w:right w:val="nil"/>
            </w:tcBorders>
            <w:shd w:val="clear" w:color="auto" w:fill="auto"/>
            <w:noWrap/>
            <w:vAlign w:val="bottom"/>
            <w:hideMark/>
          </w:tcPr>
          <w:p w14:paraId="1464DA8F"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17841</w:t>
            </w:r>
          </w:p>
        </w:tc>
        <w:tc>
          <w:tcPr>
            <w:tcW w:w="1820" w:type="dxa"/>
            <w:tcBorders>
              <w:top w:val="nil"/>
              <w:left w:val="nil"/>
              <w:bottom w:val="nil"/>
              <w:right w:val="nil"/>
            </w:tcBorders>
            <w:shd w:val="clear" w:color="auto" w:fill="auto"/>
            <w:noWrap/>
            <w:vAlign w:val="bottom"/>
            <w:hideMark/>
          </w:tcPr>
          <w:p w14:paraId="7C214D47"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24405.58</w:t>
            </w:r>
          </w:p>
        </w:tc>
      </w:tr>
      <w:tr w:rsidR="00620085" w:rsidRPr="00267217" w14:paraId="1CB54995" w14:textId="77777777" w:rsidTr="00A336AB">
        <w:trPr>
          <w:trHeight w:val="300"/>
        </w:trPr>
        <w:tc>
          <w:tcPr>
            <w:tcW w:w="1380" w:type="dxa"/>
            <w:tcBorders>
              <w:top w:val="nil"/>
              <w:left w:val="nil"/>
              <w:bottom w:val="nil"/>
              <w:right w:val="nil"/>
            </w:tcBorders>
            <w:shd w:val="clear" w:color="auto" w:fill="auto"/>
            <w:noWrap/>
            <w:vAlign w:val="bottom"/>
            <w:hideMark/>
          </w:tcPr>
          <w:p w14:paraId="735B9B6B"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17857</w:t>
            </w:r>
          </w:p>
        </w:tc>
        <w:tc>
          <w:tcPr>
            <w:tcW w:w="1820" w:type="dxa"/>
            <w:tcBorders>
              <w:top w:val="nil"/>
              <w:left w:val="nil"/>
              <w:bottom w:val="nil"/>
              <w:right w:val="nil"/>
            </w:tcBorders>
            <w:shd w:val="clear" w:color="auto" w:fill="auto"/>
            <w:noWrap/>
            <w:vAlign w:val="bottom"/>
            <w:hideMark/>
          </w:tcPr>
          <w:p w14:paraId="1C66541B"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26636.02</w:t>
            </w:r>
          </w:p>
        </w:tc>
      </w:tr>
      <w:tr w:rsidR="00620085" w:rsidRPr="00267217" w14:paraId="787DE521" w14:textId="77777777" w:rsidTr="00A336AB">
        <w:trPr>
          <w:trHeight w:val="300"/>
        </w:trPr>
        <w:tc>
          <w:tcPr>
            <w:tcW w:w="1380" w:type="dxa"/>
            <w:tcBorders>
              <w:top w:val="nil"/>
              <w:left w:val="nil"/>
              <w:bottom w:val="nil"/>
              <w:right w:val="nil"/>
            </w:tcBorders>
            <w:shd w:val="clear" w:color="auto" w:fill="auto"/>
            <w:noWrap/>
            <w:vAlign w:val="bottom"/>
            <w:hideMark/>
          </w:tcPr>
          <w:p w14:paraId="71D48E53"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17949</w:t>
            </w:r>
          </w:p>
        </w:tc>
        <w:tc>
          <w:tcPr>
            <w:tcW w:w="1820" w:type="dxa"/>
            <w:tcBorders>
              <w:top w:val="nil"/>
              <w:left w:val="nil"/>
              <w:bottom w:val="nil"/>
              <w:right w:val="nil"/>
            </w:tcBorders>
            <w:shd w:val="clear" w:color="auto" w:fill="auto"/>
            <w:noWrap/>
            <w:vAlign w:val="bottom"/>
            <w:hideMark/>
          </w:tcPr>
          <w:p w14:paraId="02650503"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28780.16</w:t>
            </w:r>
          </w:p>
        </w:tc>
      </w:tr>
      <w:tr w:rsidR="00620085" w:rsidRPr="00267217" w14:paraId="4AAF9FB8" w14:textId="77777777" w:rsidTr="00A336AB">
        <w:trPr>
          <w:trHeight w:val="300"/>
        </w:trPr>
        <w:tc>
          <w:tcPr>
            <w:tcW w:w="1380" w:type="dxa"/>
            <w:tcBorders>
              <w:top w:val="nil"/>
              <w:left w:val="nil"/>
              <w:bottom w:val="nil"/>
              <w:right w:val="nil"/>
            </w:tcBorders>
            <w:shd w:val="clear" w:color="auto" w:fill="auto"/>
            <w:noWrap/>
            <w:vAlign w:val="bottom"/>
            <w:hideMark/>
          </w:tcPr>
          <w:p w14:paraId="10CC272B" w14:textId="77777777" w:rsidR="00620085" w:rsidRPr="00267217" w:rsidRDefault="00620085" w:rsidP="00A336AB">
            <w:pPr>
              <w:spacing w:after="0" w:line="240" w:lineRule="auto"/>
              <w:rPr>
                <w:rFonts w:ascii="Calibri" w:eastAsia="Times New Roman" w:hAnsi="Calibri" w:cs="Calibri"/>
                <w:color w:val="000000"/>
              </w:rPr>
            </w:pPr>
            <w:r w:rsidRPr="00267217">
              <w:rPr>
                <w:rFonts w:ascii="Calibri" w:eastAsia="Times New Roman" w:hAnsi="Calibri" w:cs="Calibri"/>
                <w:color w:val="000000"/>
              </w:rPr>
              <w:t>18139</w:t>
            </w:r>
          </w:p>
        </w:tc>
        <w:tc>
          <w:tcPr>
            <w:tcW w:w="1820" w:type="dxa"/>
            <w:tcBorders>
              <w:top w:val="nil"/>
              <w:left w:val="nil"/>
              <w:bottom w:val="nil"/>
              <w:right w:val="nil"/>
            </w:tcBorders>
            <w:shd w:val="clear" w:color="auto" w:fill="auto"/>
            <w:noWrap/>
            <w:vAlign w:val="bottom"/>
            <w:hideMark/>
          </w:tcPr>
          <w:p w14:paraId="030750B3" w14:textId="77777777" w:rsidR="00620085" w:rsidRPr="00267217" w:rsidRDefault="00620085" w:rsidP="00A336AB">
            <w:pPr>
              <w:spacing w:after="0" w:line="240" w:lineRule="auto"/>
              <w:jc w:val="right"/>
              <w:rPr>
                <w:rFonts w:ascii="Calibri" w:eastAsia="Times New Roman" w:hAnsi="Calibri" w:cs="Calibri"/>
                <w:color w:val="000000"/>
              </w:rPr>
            </w:pPr>
            <w:r w:rsidRPr="00267217">
              <w:rPr>
                <w:rFonts w:ascii="Calibri" w:eastAsia="Times New Roman" w:hAnsi="Calibri" w:cs="Calibri"/>
                <w:color w:val="000000"/>
              </w:rPr>
              <w:t>58913.05</w:t>
            </w:r>
          </w:p>
        </w:tc>
      </w:tr>
      <w:tr w:rsidR="00620085" w:rsidRPr="00267217" w14:paraId="2A9FF55C" w14:textId="77777777" w:rsidTr="00A336AB">
        <w:trPr>
          <w:trHeight w:val="300"/>
        </w:trPr>
        <w:tc>
          <w:tcPr>
            <w:tcW w:w="1380" w:type="dxa"/>
            <w:tcBorders>
              <w:top w:val="single" w:sz="4" w:space="0" w:color="95B3D7"/>
              <w:left w:val="nil"/>
              <w:bottom w:val="nil"/>
              <w:right w:val="nil"/>
            </w:tcBorders>
            <w:shd w:val="clear" w:color="DCE6F1" w:fill="DCE6F1"/>
            <w:noWrap/>
            <w:vAlign w:val="bottom"/>
            <w:hideMark/>
          </w:tcPr>
          <w:p w14:paraId="4E8F34A1" w14:textId="77777777" w:rsidR="00620085" w:rsidRPr="00267217" w:rsidRDefault="00620085" w:rsidP="00A336AB">
            <w:pPr>
              <w:spacing w:after="0" w:line="240" w:lineRule="auto"/>
              <w:rPr>
                <w:rFonts w:ascii="Calibri" w:eastAsia="Times New Roman" w:hAnsi="Calibri" w:cs="Calibri"/>
                <w:b/>
                <w:bCs/>
                <w:color w:val="000000"/>
              </w:rPr>
            </w:pPr>
            <w:r w:rsidRPr="00267217">
              <w:rPr>
                <w:rFonts w:ascii="Calibri" w:eastAsia="Times New Roman" w:hAnsi="Calibri" w:cs="Calibri"/>
                <w:b/>
                <w:bCs/>
                <w:color w:val="000000"/>
              </w:rPr>
              <w:t>Grand Total</w:t>
            </w:r>
          </w:p>
        </w:tc>
        <w:tc>
          <w:tcPr>
            <w:tcW w:w="1820" w:type="dxa"/>
            <w:tcBorders>
              <w:top w:val="single" w:sz="4" w:space="0" w:color="95B3D7"/>
              <w:left w:val="nil"/>
              <w:bottom w:val="nil"/>
              <w:right w:val="nil"/>
            </w:tcBorders>
            <w:shd w:val="clear" w:color="DCE6F1" w:fill="DCE6F1"/>
            <w:noWrap/>
            <w:vAlign w:val="bottom"/>
            <w:hideMark/>
          </w:tcPr>
          <w:p w14:paraId="66E2ECB6" w14:textId="742C64A6" w:rsidR="00620085" w:rsidRPr="00267217" w:rsidRDefault="000C6BFD" w:rsidP="00A336AB">
            <w:pPr>
              <w:spacing w:after="0" w:line="240" w:lineRule="auto"/>
              <w:jc w:val="right"/>
              <w:rPr>
                <w:rFonts w:ascii="Calibri" w:eastAsia="Times New Roman" w:hAnsi="Calibri" w:cs="Calibri"/>
                <w:b/>
                <w:bCs/>
                <w:color w:val="000000"/>
              </w:rPr>
            </w:pPr>
            <w:r w:rsidRPr="00267217">
              <w:rPr>
                <w:rFonts w:eastAsia="Times New Roman" w:cstheme="minorHAnsi"/>
                <w:sz w:val="24"/>
                <w:szCs w:val="24"/>
              </w:rPr>
              <w:t>£</w:t>
            </w:r>
            <w:r w:rsidR="00620085" w:rsidRPr="00267217">
              <w:rPr>
                <w:rFonts w:ascii="Calibri" w:eastAsia="Times New Roman" w:hAnsi="Calibri" w:cs="Calibri"/>
                <w:b/>
                <w:bCs/>
                <w:color w:val="000000"/>
              </w:rPr>
              <w:t>1304468.83</w:t>
            </w:r>
          </w:p>
        </w:tc>
      </w:tr>
    </w:tbl>
    <w:p w14:paraId="10BB9767" w14:textId="77777777" w:rsidR="00A336AB" w:rsidRPr="00267217" w:rsidRDefault="00A336AB" w:rsidP="00620085">
      <w:pPr>
        <w:autoSpaceDE w:val="0"/>
        <w:autoSpaceDN w:val="0"/>
        <w:adjustRightInd w:val="0"/>
        <w:spacing w:line="360" w:lineRule="auto"/>
        <w:jc w:val="both"/>
        <w:rPr>
          <w:rFonts w:cstheme="minorHAnsi"/>
          <w:b/>
          <w:bCs/>
          <w:sz w:val="24"/>
          <w:szCs w:val="24"/>
        </w:rPr>
      </w:pPr>
    </w:p>
    <w:p w14:paraId="758B5242" w14:textId="4CAC801C" w:rsidR="004C55CD" w:rsidRPr="00267217" w:rsidRDefault="000A6FAF" w:rsidP="006200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lastRenderedPageBreak/>
        <w:t>Data Sorting and Analysis</w:t>
      </w:r>
    </w:p>
    <w:p w14:paraId="0B9B768F" w14:textId="36412869" w:rsidR="00765ECD" w:rsidRPr="00267217" w:rsidRDefault="00765ECD" w:rsidP="00620085">
      <w:pPr>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The largest sales clients were displayed at the top of the Pivot Table data after sorting. As a result, the business was able to identify profitable customers who perform well. </w:t>
      </w:r>
    </w:p>
    <w:p w14:paraId="48F833B9" w14:textId="77777777" w:rsidR="004C55CD" w:rsidRPr="00267217" w:rsidRDefault="000A6FAF" w:rsidP="006200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Visual Representation</w:t>
      </w:r>
    </w:p>
    <w:p w14:paraId="675F10A3" w14:textId="08A53A96" w:rsidR="00765ECD" w:rsidRPr="00267217" w:rsidRDefault="00765ECD" w:rsidP="00620085">
      <w:pPr>
        <w:autoSpaceDE w:val="0"/>
        <w:autoSpaceDN w:val="0"/>
        <w:adjustRightInd w:val="0"/>
        <w:spacing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 bar chart displayed the total sales for each client. This graphic highlighted the top sales contributors. </w:t>
      </w:r>
    </w:p>
    <w:p w14:paraId="67763CCC" w14:textId="3E07492F" w:rsidR="00620085" w:rsidRPr="00267217" w:rsidRDefault="00620085" w:rsidP="00620085">
      <w:pPr>
        <w:autoSpaceDE w:val="0"/>
        <w:autoSpaceDN w:val="0"/>
        <w:adjustRightInd w:val="0"/>
        <w:spacing w:line="360" w:lineRule="auto"/>
        <w:jc w:val="both"/>
        <w:rPr>
          <w:rFonts w:cstheme="minorHAnsi"/>
          <w:b/>
          <w:bCs/>
          <w:sz w:val="24"/>
          <w:szCs w:val="24"/>
        </w:rPr>
      </w:pPr>
      <w:r w:rsidRPr="00267217">
        <w:rPr>
          <w:noProof/>
        </w:rPr>
        <w:drawing>
          <wp:inline distT="0" distB="0" distL="0" distR="0" wp14:anchorId="388F5934" wp14:editId="6E5E0484">
            <wp:extent cx="5095875" cy="3157538"/>
            <wp:effectExtent l="0" t="0" r="0" b="0"/>
            <wp:docPr id="2058400695" name="Chart 1">
              <a:extLst xmlns:a="http://schemas.openxmlformats.org/drawingml/2006/main">
                <a:ext uri="{FF2B5EF4-FFF2-40B4-BE49-F238E27FC236}">
                  <a16:creationId xmlns:a16="http://schemas.microsoft.com/office/drawing/2014/main" id="{18FEDD92-B04C-1D74-FE66-C857FC9C11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E1D73E" w14:textId="77777777" w:rsidR="004C55CD" w:rsidRPr="00267217" w:rsidRDefault="000A6FAF" w:rsidP="00620085">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Interpretation:</w:t>
      </w:r>
    </w:p>
    <w:p w14:paraId="5A31DB54" w14:textId="6349755C" w:rsidR="00620085" w:rsidRPr="00267217" w:rsidRDefault="00765ECD" w:rsidP="00620085">
      <w:pPr>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The goal of the analysis was to determine the value of top customers and devise strategies to boost their frequency of purchases and loyalty. </w:t>
      </w:r>
    </w:p>
    <w:p w14:paraId="705925BE" w14:textId="03BFE00B" w:rsidR="004C55CD" w:rsidRPr="00267217" w:rsidRDefault="00371A99"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highest revenue of £501,359.05 was made by customer 16446, demonstrating how profitability differs throughout customers. High-value clients 14646 and 14911 sold £100,097.56 and £72,876.05 respectively (Table 3). </w:t>
      </w:r>
      <w:r w:rsidR="00D90E00" w:rsidRPr="00267217">
        <w:rPr>
          <w:rFonts w:ascii="Arial" w:eastAsia="Times New Roman" w:hAnsi="Arial" w:cs="Arial"/>
          <w:sz w:val="24"/>
          <w:szCs w:val="24"/>
        </w:rPr>
        <w:t>Str</w:t>
      </w:r>
      <w:r w:rsidR="00620085" w:rsidRPr="00267217">
        <w:rPr>
          <w:rFonts w:ascii="Arial" w:eastAsia="Times New Roman" w:hAnsi="Arial" w:cs="Arial"/>
          <w:sz w:val="24"/>
          <w:szCs w:val="24"/>
        </w:rPr>
        <w:t>a</w:t>
      </w:r>
      <w:r w:rsidR="00D90E00" w:rsidRPr="00267217">
        <w:rPr>
          <w:rFonts w:ascii="Arial" w:eastAsia="Times New Roman" w:hAnsi="Arial" w:cs="Arial"/>
          <w:sz w:val="24"/>
          <w:szCs w:val="24"/>
        </w:rPr>
        <w:t xml:space="preserve">tegies for sales and loyalty marketing can be developed using consumer </w:t>
      </w:r>
      <w:proofErr w:type="spellStart"/>
      <w:r w:rsidR="00D90E00" w:rsidRPr="00267217">
        <w:rPr>
          <w:rFonts w:ascii="Arial" w:eastAsia="Times New Roman" w:hAnsi="Arial" w:cs="Arial"/>
          <w:sz w:val="24"/>
          <w:szCs w:val="24"/>
        </w:rPr>
        <w:t>behavior</w:t>
      </w:r>
      <w:proofErr w:type="spellEnd"/>
      <w:r w:rsidR="00D90E00" w:rsidRPr="00267217">
        <w:rPr>
          <w:rFonts w:ascii="Arial" w:eastAsia="Times New Roman" w:hAnsi="Arial" w:cs="Arial"/>
          <w:sz w:val="24"/>
          <w:szCs w:val="24"/>
        </w:rPr>
        <w:t xml:space="preserve"> and preferences (Chaffey and Ellis-Chadwick, 2019). </w:t>
      </w:r>
    </w:p>
    <w:p w14:paraId="06FE7429" w14:textId="7302C8E8" w:rsidR="000A6FAF" w:rsidRPr="00267217" w:rsidRDefault="000A6FAF" w:rsidP="00267217">
      <w:pPr>
        <w:pStyle w:val="Heading1"/>
        <w:jc w:val="both"/>
        <w:rPr>
          <w:rFonts w:ascii="Arial" w:hAnsi="Arial" w:cs="Arial"/>
          <w:b/>
          <w:lang w:val="en-GB"/>
        </w:rPr>
      </w:pPr>
      <w:bookmarkStart w:id="8" w:name="_Toc165631036"/>
      <w:r w:rsidRPr="00267217">
        <w:rPr>
          <w:rFonts w:ascii="Arial" w:hAnsi="Arial" w:cs="Arial"/>
          <w:b/>
          <w:lang w:val="en-GB"/>
        </w:rPr>
        <w:lastRenderedPageBreak/>
        <w:t>Section 3: Strategic Recommendations</w:t>
      </w:r>
      <w:bookmarkEnd w:id="8"/>
    </w:p>
    <w:p w14:paraId="4CE25C5C" w14:textId="77777777" w:rsidR="00267217" w:rsidRPr="00267217" w:rsidRDefault="00267217" w:rsidP="00267217"/>
    <w:p w14:paraId="6ABAFBEB" w14:textId="6BA4EDC1" w:rsidR="000A6FAF" w:rsidRPr="00267217" w:rsidRDefault="000A6FAF" w:rsidP="00B97F33">
      <w:pPr>
        <w:autoSpaceDE w:val="0"/>
        <w:autoSpaceDN w:val="0"/>
        <w:adjustRightInd w:val="0"/>
        <w:spacing w:line="360" w:lineRule="auto"/>
        <w:jc w:val="both"/>
        <w:rPr>
          <w:rFonts w:ascii="Arial" w:hAnsi="Arial" w:cs="Arial"/>
          <w:b/>
          <w:bCs/>
          <w:sz w:val="28"/>
          <w:szCs w:val="28"/>
        </w:rPr>
      </w:pPr>
      <w:r w:rsidRPr="00267217">
        <w:rPr>
          <w:rFonts w:ascii="Arial" w:hAnsi="Arial" w:cs="Arial"/>
          <w:b/>
          <w:bCs/>
          <w:sz w:val="28"/>
          <w:szCs w:val="28"/>
        </w:rPr>
        <w:t>Findings Summary</w:t>
      </w:r>
    </w:p>
    <w:p w14:paraId="668D1BCF" w14:textId="3BE67B42" w:rsidR="00451A03" w:rsidRPr="00267217" w:rsidRDefault="00451A03"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Sales trends, product preferences, transaction patterns, and the profitability of consumer segments have all been revealed by e-commerce sales data. </w:t>
      </w:r>
    </w:p>
    <w:p w14:paraId="3F315B1F" w14:textId="40E60BCA" w:rsidR="000A6FAF" w:rsidRPr="00267217" w:rsidRDefault="000A6FAF" w:rsidP="00B97F33">
      <w:pPr>
        <w:autoSpaceDE w:val="0"/>
        <w:autoSpaceDN w:val="0"/>
        <w:adjustRightInd w:val="0"/>
        <w:spacing w:line="360" w:lineRule="auto"/>
        <w:jc w:val="both"/>
        <w:rPr>
          <w:rFonts w:ascii="Arial" w:hAnsi="Arial" w:cs="Arial"/>
          <w:sz w:val="24"/>
          <w:szCs w:val="24"/>
        </w:rPr>
      </w:pPr>
      <w:r w:rsidRPr="00267217">
        <w:rPr>
          <w:rFonts w:ascii="Arial" w:hAnsi="Arial" w:cs="Arial"/>
          <w:b/>
          <w:bCs/>
          <w:sz w:val="24"/>
          <w:szCs w:val="24"/>
        </w:rPr>
        <w:t>Key findings include:</w:t>
      </w:r>
    </w:p>
    <w:p w14:paraId="4411C6CD" w14:textId="47B865CE" w:rsidR="00451A03" w:rsidRPr="00267217" w:rsidRDefault="000A6FAF" w:rsidP="00DB1FEB">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Sales Trends:</w:t>
      </w:r>
      <w:r w:rsidRPr="00267217">
        <w:rPr>
          <w:rFonts w:ascii="Arial" w:hAnsi="Arial" w:cs="Arial"/>
          <w:sz w:val="24"/>
          <w:szCs w:val="24"/>
        </w:rPr>
        <w:t xml:space="preserve"> </w:t>
      </w:r>
      <w:r w:rsidR="00451A03" w:rsidRPr="00267217">
        <w:rPr>
          <w:rFonts w:ascii="Arial" w:eastAsia="Times New Roman" w:hAnsi="Arial" w:cs="Arial"/>
          <w:sz w:val="24"/>
          <w:szCs w:val="24"/>
        </w:rPr>
        <w:t xml:space="preserve">November 2019 sales increased, presumably as a result of Christmas buying. December sales declined after that. Frye (2018) discovered that December featured more premium purchases, as seen by the higher average transaction value. </w:t>
      </w:r>
    </w:p>
    <w:p w14:paraId="27500E6F" w14:textId="3BF2BFBD" w:rsidR="00451A03" w:rsidRPr="00267217" w:rsidRDefault="000A6FAF" w:rsidP="00DB1FEB">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Product Analysis:</w:t>
      </w:r>
      <w:r w:rsidRPr="00267217">
        <w:rPr>
          <w:rFonts w:ascii="Arial" w:hAnsi="Arial" w:cs="Arial"/>
          <w:sz w:val="24"/>
          <w:szCs w:val="24"/>
        </w:rPr>
        <w:t xml:space="preserve"> </w:t>
      </w:r>
      <w:r w:rsidR="00451A03" w:rsidRPr="00267217">
        <w:rPr>
          <w:rFonts w:ascii="Arial" w:eastAsia="Times New Roman" w:hAnsi="Arial" w:cs="Arial"/>
          <w:sz w:val="24"/>
          <w:szCs w:val="24"/>
        </w:rPr>
        <w:t xml:space="preserve">The Asst Design 3D Paper Stickers, Rabbit Night Light, and Popcorn Holder were the best-selling items. This shows that there is a big need for these goods. </w:t>
      </w:r>
    </w:p>
    <w:p w14:paraId="6BE4536D" w14:textId="3D6EF803" w:rsidR="00451A03" w:rsidRPr="00267217" w:rsidRDefault="000A6FAF" w:rsidP="00DB1FEB">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Transaction Analysis</w:t>
      </w:r>
      <w:r w:rsidR="00DB1FEB" w:rsidRPr="00267217">
        <w:rPr>
          <w:rFonts w:ascii="Arial" w:hAnsi="Arial" w:cs="Arial"/>
          <w:b/>
          <w:bCs/>
          <w:sz w:val="24"/>
          <w:szCs w:val="24"/>
        </w:rPr>
        <w:t xml:space="preserve">: </w:t>
      </w:r>
      <w:r w:rsidR="00451A03" w:rsidRPr="00267217">
        <w:rPr>
          <w:rFonts w:ascii="Arial" w:eastAsia="Times New Roman" w:hAnsi="Arial" w:cs="Arial"/>
          <w:sz w:val="24"/>
          <w:szCs w:val="24"/>
        </w:rPr>
        <w:t xml:space="preserve">People tend to browse around, as seen by the average of 26.78 items bought each transaction. </w:t>
      </w:r>
    </w:p>
    <w:p w14:paraId="0938E7F1" w14:textId="4CAC2D3E" w:rsidR="00451A03" w:rsidRPr="00267217" w:rsidRDefault="000A6FAF" w:rsidP="00DB1FEB">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Customer Segment Profitability:</w:t>
      </w:r>
      <w:r w:rsidRPr="00267217">
        <w:rPr>
          <w:rFonts w:ascii="Arial" w:hAnsi="Arial" w:cs="Arial"/>
          <w:sz w:val="24"/>
          <w:szCs w:val="24"/>
        </w:rPr>
        <w:t xml:space="preserve"> </w:t>
      </w:r>
      <w:r w:rsidR="00451A03" w:rsidRPr="00267217">
        <w:rPr>
          <w:rFonts w:ascii="Arial" w:eastAsia="Times New Roman" w:hAnsi="Arial" w:cs="Arial"/>
          <w:sz w:val="24"/>
          <w:szCs w:val="24"/>
        </w:rPr>
        <w:t xml:space="preserve">The profitability of each client category differed; high sales indicated high value for 16446, 14646, and 14911 (Chaffey &amp; Ellis-Chadwick, 2019). There was a noticeable difference. </w:t>
      </w:r>
    </w:p>
    <w:p w14:paraId="04A5B127" w14:textId="77777777" w:rsidR="009B5215" w:rsidRDefault="009B5215" w:rsidP="00B97F33">
      <w:pPr>
        <w:autoSpaceDE w:val="0"/>
        <w:autoSpaceDN w:val="0"/>
        <w:adjustRightInd w:val="0"/>
        <w:spacing w:line="360" w:lineRule="auto"/>
        <w:jc w:val="both"/>
        <w:rPr>
          <w:rFonts w:ascii="Arial" w:hAnsi="Arial" w:cs="Arial"/>
          <w:b/>
          <w:bCs/>
          <w:sz w:val="28"/>
          <w:szCs w:val="28"/>
        </w:rPr>
      </w:pPr>
    </w:p>
    <w:p w14:paraId="734A24BB" w14:textId="1725150F" w:rsidR="000A6FAF" w:rsidRPr="00267217" w:rsidRDefault="000A6FAF" w:rsidP="00B97F33">
      <w:pPr>
        <w:autoSpaceDE w:val="0"/>
        <w:autoSpaceDN w:val="0"/>
        <w:adjustRightInd w:val="0"/>
        <w:spacing w:line="360" w:lineRule="auto"/>
        <w:jc w:val="both"/>
        <w:rPr>
          <w:rFonts w:ascii="Arial" w:hAnsi="Arial" w:cs="Arial"/>
          <w:b/>
          <w:bCs/>
          <w:sz w:val="28"/>
          <w:szCs w:val="28"/>
        </w:rPr>
      </w:pPr>
      <w:r w:rsidRPr="00267217">
        <w:rPr>
          <w:rFonts w:ascii="Arial" w:hAnsi="Arial" w:cs="Arial"/>
          <w:b/>
          <w:bCs/>
          <w:sz w:val="28"/>
          <w:szCs w:val="28"/>
        </w:rPr>
        <w:t>Business Strategies</w:t>
      </w:r>
    </w:p>
    <w:p w14:paraId="79365145" w14:textId="33D8C1A6" w:rsidR="00910440" w:rsidRPr="00267217" w:rsidRDefault="00433A5C"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Based on the findings of the research, the following strategies have the potential to boost profitability: </w:t>
      </w:r>
    </w:p>
    <w:p w14:paraId="1113E3FB" w14:textId="77777777" w:rsidR="003C5535" w:rsidRPr="00267217" w:rsidRDefault="000A6FAF" w:rsidP="003C5535">
      <w:pPr>
        <w:pStyle w:val="ListParagraph"/>
        <w:numPr>
          <w:ilvl w:val="0"/>
          <w:numId w:val="7"/>
        </w:num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Targeted Marketing Initiatives:</w:t>
      </w:r>
    </w:p>
    <w:p w14:paraId="1CFFC6CC" w14:textId="43042533" w:rsidR="005C1BAB" w:rsidRPr="00267217" w:rsidRDefault="005C1BAB" w:rsidP="003C5535">
      <w:pPr>
        <w:pStyle w:val="ListParagraph"/>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Developing customized marketing campaigns for important clients boosts customer loyalty and repeat business. Kotler and Keller (2016) state that early product access, special offers, and loyalty rewards are examples of personalized marketing. </w:t>
      </w:r>
    </w:p>
    <w:p w14:paraId="152610D5" w14:textId="77777777" w:rsidR="003C5535" w:rsidRPr="00267217" w:rsidRDefault="000A6FAF" w:rsidP="003C5535">
      <w:pPr>
        <w:pStyle w:val="ListParagraph"/>
        <w:numPr>
          <w:ilvl w:val="0"/>
          <w:numId w:val="7"/>
        </w:num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lastRenderedPageBreak/>
        <w:t>Product Focus and Stock Optimization:</w:t>
      </w:r>
    </w:p>
    <w:p w14:paraId="4AF47446" w14:textId="28BDD1CB" w:rsidR="005C1BAB" w:rsidRPr="00267217" w:rsidRDefault="005C1BAB" w:rsidP="003C5535">
      <w:pPr>
        <w:pStyle w:val="ListParagraph"/>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In order to guarantee availability and capitalize on their popularity, raise stock levels of products that product analysis has identified as having strong demand. To increase sales, think of combining these top-selling items with less well-liked ones. </w:t>
      </w:r>
    </w:p>
    <w:p w14:paraId="1792C81D" w14:textId="77777777" w:rsidR="003C5535" w:rsidRPr="00267217" w:rsidRDefault="000A6FAF" w:rsidP="003C5535">
      <w:pPr>
        <w:pStyle w:val="ListParagraph"/>
        <w:numPr>
          <w:ilvl w:val="0"/>
          <w:numId w:val="7"/>
        </w:num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Seasonal Sales Strategy:</w:t>
      </w:r>
    </w:p>
    <w:p w14:paraId="356959CC" w14:textId="5A7A0EB3" w:rsidR="005C1BAB" w:rsidRPr="00267217" w:rsidRDefault="005C1BAB" w:rsidP="003C5535">
      <w:pPr>
        <w:pStyle w:val="ListParagraph"/>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While organizing marketing campaigns during the busiest shopping times, sales trend data should be </w:t>
      </w:r>
      <w:proofErr w:type="gramStart"/>
      <w:r w:rsidRPr="00267217">
        <w:rPr>
          <w:rFonts w:ascii="Arial" w:eastAsia="Times New Roman" w:hAnsi="Arial" w:cs="Arial"/>
          <w:sz w:val="24"/>
          <w:szCs w:val="24"/>
        </w:rPr>
        <w:t>taken into account</w:t>
      </w:r>
      <w:proofErr w:type="gramEnd"/>
      <w:r w:rsidRPr="00267217">
        <w:rPr>
          <w:rFonts w:ascii="Arial" w:eastAsia="Times New Roman" w:hAnsi="Arial" w:cs="Arial"/>
          <w:sz w:val="24"/>
          <w:szCs w:val="24"/>
        </w:rPr>
        <w:t xml:space="preserve">. To optimize sales in the face of high demand, Frye (2018) advises predicting website traffic peaks and controlling inventories before they occur. </w:t>
      </w:r>
    </w:p>
    <w:p w14:paraId="0F73B8EA" w14:textId="77777777" w:rsidR="003C5535" w:rsidRPr="00267217" w:rsidRDefault="000A6FAF" w:rsidP="003C5535">
      <w:pPr>
        <w:pStyle w:val="ListParagraph"/>
        <w:numPr>
          <w:ilvl w:val="0"/>
          <w:numId w:val="7"/>
        </w:num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Enhanced Customer Relationship Management (CRM) Tools:</w:t>
      </w:r>
    </w:p>
    <w:p w14:paraId="45CC2C5D" w14:textId="6987044C" w:rsidR="005C1BAB" w:rsidRPr="00267217" w:rsidRDefault="005C1BAB" w:rsidP="003C5535">
      <w:pPr>
        <w:pStyle w:val="ListParagraph"/>
        <w:autoSpaceDE w:val="0"/>
        <w:autoSpaceDN w:val="0"/>
        <w:adjustRightInd w:val="0"/>
        <w:spacing w:line="360" w:lineRule="auto"/>
        <w:jc w:val="both"/>
        <w:rPr>
          <w:rFonts w:ascii="Arial" w:hAnsi="Arial" w:cs="Arial"/>
          <w:b/>
          <w:bCs/>
          <w:sz w:val="24"/>
          <w:szCs w:val="24"/>
        </w:rPr>
      </w:pPr>
      <w:r w:rsidRPr="00267217">
        <w:rPr>
          <w:rFonts w:ascii="Arial" w:eastAsia="Times New Roman" w:hAnsi="Arial" w:cs="Arial"/>
          <w:sz w:val="24"/>
          <w:szCs w:val="24"/>
        </w:rPr>
        <w:t xml:space="preserve">CRM systems can be installed or upgraded to track customer preferences, </w:t>
      </w:r>
      <w:proofErr w:type="spellStart"/>
      <w:r w:rsidRPr="00267217">
        <w:rPr>
          <w:rFonts w:ascii="Arial" w:eastAsia="Times New Roman" w:hAnsi="Arial" w:cs="Arial"/>
          <w:sz w:val="24"/>
          <w:szCs w:val="24"/>
        </w:rPr>
        <w:t>behaviors</w:t>
      </w:r>
      <w:proofErr w:type="spellEnd"/>
      <w:r w:rsidRPr="00267217">
        <w:rPr>
          <w:rFonts w:ascii="Arial" w:eastAsia="Times New Roman" w:hAnsi="Arial" w:cs="Arial"/>
          <w:sz w:val="24"/>
          <w:szCs w:val="24"/>
        </w:rPr>
        <w:t xml:space="preserve">, and profitability. According to Peelen and Beltman (2016), this technological investment will improve customer satisfaction and retention by sustaining customer relationships and personalizing interactions. </w:t>
      </w:r>
    </w:p>
    <w:p w14:paraId="731919E6"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Customer Segmentation and Personalization:</w:t>
      </w:r>
    </w:p>
    <w:p w14:paraId="48FE3371" w14:textId="425E59B1" w:rsidR="005C1BAB" w:rsidRPr="00267217" w:rsidRDefault="005C1BAB"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Segmenting consumers based on their purchasing habits, interests, and profitability is crucial for optimizing marketing messaging and product recommendations. </w:t>
      </w:r>
    </w:p>
    <w:p w14:paraId="40E5E32F" w14:textId="1229AC5B" w:rsidR="000A6FAF" w:rsidRPr="00267217" w:rsidRDefault="005C1BAB" w:rsidP="003C5535">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It is possible that the firm will be able to strengthen its profitability by putting these plans into action. It is possible to accomplish this goal through the implementation of improved customer service, more efficient inventory control, and more efficient marketing. Building deeper ties with the clientele while also leveraging existing sales drivers should be the primary objective of these projects. This will help to encourage repeat business and customer loyalty, which are both important for a successful firm. </w:t>
      </w:r>
    </w:p>
    <w:p w14:paraId="6F4C46E9" w14:textId="77777777" w:rsidR="000A6E52" w:rsidRPr="00267217" w:rsidRDefault="000A6E52" w:rsidP="003C5535">
      <w:pPr>
        <w:spacing w:after="240" w:line="360" w:lineRule="auto"/>
        <w:jc w:val="both"/>
        <w:rPr>
          <w:rFonts w:ascii="Arial" w:eastAsia="Times New Roman" w:hAnsi="Arial" w:cs="Arial"/>
          <w:sz w:val="24"/>
          <w:szCs w:val="24"/>
        </w:rPr>
      </w:pPr>
    </w:p>
    <w:p w14:paraId="0067621C" w14:textId="77777777" w:rsidR="000A6E52" w:rsidRPr="00267217" w:rsidRDefault="000A6E52" w:rsidP="003C5535">
      <w:pPr>
        <w:spacing w:after="240" w:line="360" w:lineRule="auto"/>
        <w:jc w:val="both"/>
        <w:rPr>
          <w:rFonts w:eastAsia="Times New Roman" w:cstheme="minorHAnsi"/>
          <w:sz w:val="24"/>
          <w:szCs w:val="24"/>
        </w:rPr>
      </w:pPr>
    </w:p>
    <w:p w14:paraId="33EF7EF0" w14:textId="7F90818F" w:rsidR="000A6E52" w:rsidRPr="00267217" w:rsidRDefault="000A6E52" w:rsidP="003C5535">
      <w:pPr>
        <w:spacing w:after="240" w:line="360" w:lineRule="auto"/>
        <w:jc w:val="both"/>
        <w:rPr>
          <w:rFonts w:eastAsia="Times New Roman" w:cstheme="minorHAnsi"/>
          <w:sz w:val="24"/>
          <w:szCs w:val="24"/>
        </w:rPr>
      </w:pPr>
    </w:p>
    <w:p w14:paraId="45432B44" w14:textId="77777777" w:rsidR="009B5215" w:rsidRDefault="009B5215" w:rsidP="00267217">
      <w:pPr>
        <w:pStyle w:val="Heading1"/>
        <w:jc w:val="both"/>
        <w:rPr>
          <w:rFonts w:ascii="Arial" w:hAnsi="Arial" w:cs="Arial"/>
          <w:b/>
          <w:lang w:val="en-GB"/>
        </w:rPr>
      </w:pPr>
      <w:bookmarkStart w:id="9" w:name="_Toc165631037"/>
    </w:p>
    <w:p w14:paraId="6DFF0132" w14:textId="79C2E7CA" w:rsidR="000A6FAF" w:rsidRPr="00267217" w:rsidRDefault="000A6FAF" w:rsidP="00267217">
      <w:pPr>
        <w:pStyle w:val="Heading1"/>
        <w:jc w:val="both"/>
        <w:rPr>
          <w:rFonts w:ascii="Arial" w:hAnsi="Arial" w:cs="Arial"/>
          <w:b/>
          <w:lang w:val="en-GB"/>
        </w:rPr>
      </w:pPr>
      <w:r w:rsidRPr="00267217">
        <w:rPr>
          <w:rFonts w:ascii="Arial" w:hAnsi="Arial" w:cs="Arial"/>
          <w:b/>
          <w:lang w:val="en-GB"/>
        </w:rPr>
        <w:t>Part 2: Educational Data Analysis</w:t>
      </w:r>
      <w:bookmarkEnd w:id="9"/>
    </w:p>
    <w:p w14:paraId="26BF6E83" w14:textId="77777777" w:rsidR="00267217" w:rsidRPr="00267217" w:rsidRDefault="00267217" w:rsidP="00267217"/>
    <w:p w14:paraId="6ADDD6B8" w14:textId="7520A9C1" w:rsidR="000A6FAF" w:rsidRPr="00267217" w:rsidRDefault="000A6FAF" w:rsidP="00267217">
      <w:pPr>
        <w:pStyle w:val="Heading1"/>
        <w:jc w:val="both"/>
        <w:rPr>
          <w:rFonts w:ascii="Arial" w:hAnsi="Arial" w:cs="Arial"/>
          <w:b/>
          <w:lang w:val="en-GB"/>
        </w:rPr>
      </w:pPr>
      <w:bookmarkStart w:id="10" w:name="_Toc165631038"/>
      <w:r w:rsidRPr="00267217">
        <w:rPr>
          <w:rFonts w:ascii="Arial" w:hAnsi="Arial" w:cs="Arial"/>
          <w:b/>
          <w:lang w:val="en-GB"/>
        </w:rPr>
        <w:t xml:space="preserve">Section 1: Overview and </w:t>
      </w:r>
      <w:r w:rsidR="00267217" w:rsidRPr="00267217">
        <w:rPr>
          <w:rFonts w:ascii="Arial" w:hAnsi="Arial" w:cs="Arial"/>
          <w:b/>
          <w:lang w:val="en-GB"/>
        </w:rPr>
        <w:t>Pre-processing</w:t>
      </w:r>
      <w:r w:rsidRPr="00267217">
        <w:rPr>
          <w:rFonts w:ascii="Arial" w:hAnsi="Arial" w:cs="Arial"/>
          <w:b/>
          <w:lang w:val="en-GB"/>
        </w:rPr>
        <w:t xml:space="preserve"> in SPSS</w:t>
      </w:r>
      <w:bookmarkEnd w:id="10"/>
    </w:p>
    <w:p w14:paraId="011D43C2" w14:textId="77777777" w:rsidR="00267217" w:rsidRPr="00267217" w:rsidRDefault="00267217" w:rsidP="00267217"/>
    <w:p w14:paraId="5B833EE9"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Dataset Introduction</w:t>
      </w:r>
    </w:p>
    <w:p w14:paraId="5738523A" w14:textId="5E62B008" w:rsidR="00814A8F" w:rsidRPr="00267217" w:rsidRDefault="00814A8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2,134 college students from different schools participated in the study. Pretest, </w:t>
      </w:r>
      <w:proofErr w:type="spellStart"/>
      <w:r w:rsidRPr="00267217">
        <w:rPr>
          <w:rFonts w:ascii="Arial" w:eastAsia="Times New Roman" w:hAnsi="Arial" w:cs="Arial"/>
          <w:sz w:val="24"/>
          <w:szCs w:val="24"/>
        </w:rPr>
        <w:t>Posttest</w:t>
      </w:r>
      <w:proofErr w:type="spellEnd"/>
      <w:r w:rsidRPr="00267217">
        <w:rPr>
          <w:rFonts w:ascii="Arial" w:eastAsia="Times New Roman" w:hAnsi="Arial" w:cs="Arial"/>
          <w:sz w:val="24"/>
          <w:szCs w:val="24"/>
        </w:rPr>
        <w:t xml:space="preserve">, Lunch, Student No, Student ID, Gender, School, </w:t>
      </w:r>
      <w:proofErr w:type="spellStart"/>
      <w:r w:rsidRPr="00267217">
        <w:rPr>
          <w:rFonts w:ascii="Arial" w:eastAsia="Times New Roman" w:hAnsi="Arial" w:cs="Arial"/>
          <w:sz w:val="24"/>
          <w:szCs w:val="24"/>
        </w:rPr>
        <w:t>School_setting</w:t>
      </w:r>
      <w:proofErr w:type="spellEnd"/>
      <w:r w:rsidRPr="00267217">
        <w:rPr>
          <w:rFonts w:ascii="Arial" w:eastAsia="Times New Roman" w:hAnsi="Arial" w:cs="Arial"/>
          <w:sz w:val="24"/>
          <w:szCs w:val="24"/>
        </w:rPr>
        <w:t xml:space="preserve">, </w:t>
      </w:r>
      <w:proofErr w:type="spellStart"/>
      <w:r w:rsidRPr="00267217">
        <w:rPr>
          <w:rFonts w:ascii="Arial" w:eastAsia="Times New Roman" w:hAnsi="Arial" w:cs="Arial"/>
          <w:sz w:val="24"/>
          <w:szCs w:val="24"/>
        </w:rPr>
        <w:t>School_type</w:t>
      </w:r>
      <w:proofErr w:type="spellEnd"/>
      <w:r w:rsidRPr="00267217">
        <w:rPr>
          <w:rFonts w:ascii="Arial" w:eastAsia="Times New Roman" w:hAnsi="Arial" w:cs="Arial"/>
          <w:sz w:val="24"/>
          <w:szCs w:val="24"/>
        </w:rPr>
        <w:t xml:space="preserve">, Classroom, </w:t>
      </w:r>
      <w:proofErr w:type="spellStart"/>
      <w:r w:rsidRPr="00267217">
        <w:rPr>
          <w:rFonts w:ascii="Arial" w:eastAsia="Times New Roman" w:hAnsi="Arial" w:cs="Arial"/>
          <w:sz w:val="24"/>
          <w:szCs w:val="24"/>
        </w:rPr>
        <w:t>Teaching_method</w:t>
      </w:r>
      <w:proofErr w:type="spellEnd"/>
      <w:r w:rsidRPr="00267217">
        <w:rPr>
          <w:rFonts w:ascii="Arial" w:eastAsia="Times New Roman" w:hAnsi="Arial" w:cs="Arial"/>
          <w:sz w:val="24"/>
          <w:szCs w:val="24"/>
        </w:rPr>
        <w:t xml:space="preserve">, and School are all included in the dataset. Demographic information as well as academic achievement both before and after instructional strategies or interventions are gathered here. This study looks at how students' academic performance as determined by pre- and post-test results, as well as their eligibility for the lunch program, are affected by demographic factors such as gender and other characteristics. </w:t>
      </w:r>
    </w:p>
    <w:p w14:paraId="6415C9A7"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Tool Transition: From Excel to SPSS</w:t>
      </w:r>
    </w:p>
    <w:p w14:paraId="2342EF42" w14:textId="4FBF574B" w:rsidR="00814A8F" w:rsidRPr="00267217" w:rsidRDefault="00814A8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For the sake of this investigation, SPSS was utilized rather than Excel, which is indicative of a significant move toward more advanced statistical analysis. In order to do thorough educational research, it is necessary to have extensive capabilities of SPSS. Some examples of these are the presentation of data, the execution of complex statistical tests, and the management of larger databases. Using SPSS, the initial stages were as is: </w:t>
      </w:r>
    </w:p>
    <w:p w14:paraId="67844FF1" w14:textId="7777777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Data Loading:</w:t>
      </w:r>
    </w:p>
    <w:p w14:paraId="68936208" w14:textId="77777777" w:rsidR="00267217" w:rsidRPr="00267217" w:rsidRDefault="00814A8F"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loading of datasets from.xls and.csv files is within the capabilities of SPSS. This ensured that the data entered into SPSS was clean, which made it possible to </w:t>
      </w:r>
      <w:proofErr w:type="spellStart"/>
      <w:r w:rsidRPr="00267217">
        <w:rPr>
          <w:rFonts w:ascii="Arial" w:eastAsia="Times New Roman" w:hAnsi="Arial" w:cs="Arial"/>
          <w:sz w:val="24"/>
          <w:szCs w:val="24"/>
        </w:rPr>
        <w:t>analyze</w:t>
      </w:r>
      <w:proofErr w:type="spellEnd"/>
      <w:r w:rsidRPr="00267217">
        <w:rPr>
          <w:rFonts w:ascii="Arial" w:eastAsia="Times New Roman" w:hAnsi="Arial" w:cs="Arial"/>
          <w:sz w:val="24"/>
          <w:szCs w:val="24"/>
        </w:rPr>
        <w:t xml:space="preserve"> and manipulate the data. </w:t>
      </w:r>
    </w:p>
    <w:p w14:paraId="2C6D4ED2" w14:textId="0BAB327C" w:rsidR="000A6FAF" w:rsidRPr="00267217" w:rsidRDefault="00267217" w:rsidP="00B97F33">
      <w:pPr>
        <w:spacing w:after="240" w:line="360" w:lineRule="auto"/>
        <w:jc w:val="both"/>
        <w:rPr>
          <w:rFonts w:ascii="Arial" w:eastAsia="Times New Roman" w:hAnsi="Arial" w:cs="Arial"/>
          <w:sz w:val="24"/>
          <w:szCs w:val="24"/>
        </w:rPr>
      </w:pPr>
      <w:r w:rsidRPr="00267217">
        <w:rPr>
          <w:rFonts w:ascii="Arial" w:hAnsi="Arial" w:cs="Arial"/>
          <w:b/>
          <w:bCs/>
          <w:sz w:val="24"/>
          <w:szCs w:val="24"/>
        </w:rPr>
        <w:t>Pre-processing</w:t>
      </w:r>
      <w:r w:rsidR="000A6FAF" w:rsidRPr="00267217">
        <w:rPr>
          <w:rFonts w:ascii="Arial" w:hAnsi="Arial" w:cs="Arial"/>
          <w:b/>
          <w:bCs/>
          <w:sz w:val="24"/>
          <w:szCs w:val="24"/>
        </w:rPr>
        <w:t xml:space="preserve"> Steps in SPSS:</w:t>
      </w:r>
    </w:p>
    <w:p w14:paraId="5C5A5836" w14:textId="47602761" w:rsidR="00814A8F" w:rsidRPr="00267217" w:rsidRDefault="000A6FAF" w:rsidP="003A2CDD">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lastRenderedPageBreak/>
        <w:t>Data Cleaning:</w:t>
      </w:r>
      <w:r w:rsidRPr="00267217">
        <w:rPr>
          <w:rFonts w:ascii="Arial" w:hAnsi="Arial" w:cs="Arial"/>
          <w:sz w:val="24"/>
          <w:szCs w:val="24"/>
        </w:rPr>
        <w:t xml:space="preserve"> </w:t>
      </w:r>
      <w:r w:rsidR="00814A8F" w:rsidRPr="00267217">
        <w:rPr>
          <w:rFonts w:ascii="Arial" w:eastAsia="Times New Roman" w:hAnsi="Arial" w:cs="Arial"/>
          <w:sz w:val="24"/>
          <w:szCs w:val="24"/>
        </w:rPr>
        <w:t xml:space="preserve">Performing a preliminary check to identify any data that was inconsistent or missing was an absolute necessity. This was especially important for the pre-test, the post-test, and the decision on lunch status. Because the dataset was intended to be used for educational purposes, these fields required reliable data. </w:t>
      </w:r>
    </w:p>
    <w:p w14:paraId="772AE252" w14:textId="3022BC78" w:rsidR="009C13F4" w:rsidRPr="00267217" w:rsidRDefault="000A6FAF" w:rsidP="003A2CDD">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Variable Formatting:</w:t>
      </w:r>
      <w:r w:rsidRPr="00267217">
        <w:rPr>
          <w:rFonts w:ascii="Arial" w:hAnsi="Arial" w:cs="Arial"/>
          <w:sz w:val="24"/>
          <w:szCs w:val="24"/>
        </w:rPr>
        <w:t xml:space="preserve"> </w:t>
      </w:r>
      <w:r w:rsidR="009C13F4" w:rsidRPr="00267217">
        <w:rPr>
          <w:rFonts w:ascii="Arial" w:eastAsia="Times New Roman" w:hAnsi="Arial" w:cs="Arial"/>
          <w:sz w:val="24"/>
          <w:szCs w:val="24"/>
        </w:rPr>
        <w:t xml:space="preserve">All of the variables, including lunch and gender, are transformed into category data types. </w:t>
      </w:r>
      <w:r w:rsidR="003A2CDD" w:rsidRPr="00267217">
        <w:rPr>
          <w:rFonts w:ascii="Arial" w:eastAsia="Times New Roman" w:hAnsi="Arial" w:cs="Arial"/>
          <w:sz w:val="24"/>
          <w:szCs w:val="24"/>
        </w:rPr>
        <w:t>These kinds of data</w:t>
      </w:r>
      <w:r w:rsidR="009C13F4" w:rsidRPr="00267217">
        <w:rPr>
          <w:rFonts w:ascii="Arial" w:eastAsia="Times New Roman" w:hAnsi="Arial" w:cs="Arial"/>
          <w:sz w:val="24"/>
          <w:szCs w:val="24"/>
        </w:rPr>
        <w:t xml:space="preserve"> are more suitable for the analytical methods that are available in SPSS. The use of this classification makes it simpler to conduct statistical tests that are specific to a group. </w:t>
      </w:r>
    </w:p>
    <w:p w14:paraId="154B40CC" w14:textId="77777777" w:rsidR="001C399C" w:rsidRPr="00267217" w:rsidRDefault="000A6FAF" w:rsidP="00B97F33">
      <w:pPr>
        <w:pStyle w:val="ListParagraph"/>
        <w:numPr>
          <w:ilvl w:val="0"/>
          <w:numId w:val="7"/>
        </w:numPr>
        <w:spacing w:after="240" w:line="360" w:lineRule="auto"/>
        <w:jc w:val="both"/>
        <w:rPr>
          <w:rFonts w:ascii="Arial" w:eastAsia="Times New Roman" w:hAnsi="Arial" w:cs="Arial"/>
          <w:sz w:val="24"/>
          <w:szCs w:val="24"/>
        </w:rPr>
      </w:pPr>
      <w:r w:rsidRPr="00267217">
        <w:rPr>
          <w:rFonts w:ascii="Arial" w:hAnsi="Arial" w:cs="Arial"/>
          <w:b/>
          <w:bCs/>
          <w:sz w:val="24"/>
          <w:szCs w:val="24"/>
        </w:rPr>
        <w:t>Data Transformation:</w:t>
      </w:r>
      <w:r w:rsidRPr="00267217">
        <w:rPr>
          <w:rFonts w:ascii="Arial" w:hAnsi="Arial" w:cs="Arial"/>
          <w:sz w:val="24"/>
          <w:szCs w:val="24"/>
        </w:rPr>
        <w:t xml:space="preserve"> </w:t>
      </w:r>
      <w:r w:rsidR="009C13F4" w:rsidRPr="00267217">
        <w:rPr>
          <w:rFonts w:ascii="Arial" w:eastAsia="Times New Roman" w:hAnsi="Arial" w:cs="Arial"/>
          <w:sz w:val="24"/>
          <w:szCs w:val="24"/>
        </w:rPr>
        <w:t>The distributions of test scores before and after were looked at. Further research may be required to modify or normalize the data if it does not satisfy the requirements of statistical test normality.</w:t>
      </w:r>
    </w:p>
    <w:p w14:paraId="57226595" w14:textId="6163CEAA" w:rsidR="008218E9" w:rsidRPr="00267217" w:rsidRDefault="009C13F4" w:rsidP="001C399C">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This preparation ensures that the data is pertinent and customized for the purpose of drawing trustworthy conclusions, particularly with regard to the influence of socioeconomic factors on academic success (Field, 2013). This is made feasible by different features of SPSS. </w:t>
      </w:r>
    </w:p>
    <w:p w14:paraId="7C1054F2" w14:textId="29636999" w:rsidR="000A6FAF" w:rsidRPr="00267217" w:rsidRDefault="000A6FAF" w:rsidP="00267217">
      <w:pPr>
        <w:pStyle w:val="Heading1"/>
        <w:jc w:val="both"/>
        <w:rPr>
          <w:rFonts w:ascii="Arial" w:hAnsi="Arial" w:cs="Arial"/>
          <w:b/>
          <w:lang w:val="en-GB"/>
        </w:rPr>
      </w:pPr>
      <w:bookmarkStart w:id="11" w:name="_Toc165631039"/>
      <w:r w:rsidRPr="00267217">
        <w:rPr>
          <w:rFonts w:ascii="Arial" w:hAnsi="Arial" w:cs="Arial"/>
          <w:b/>
          <w:lang w:val="en-GB"/>
        </w:rPr>
        <w:t>Section 2: Data Analysis Using SPSS</w:t>
      </w:r>
      <w:bookmarkEnd w:id="11"/>
    </w:p>
    <w:p w14:paraId="65D6E6B9" w14:textId="77777777" w:rsidR="00267217" w:rsidRPr="00267217" w:rsidRDefault="00267217" w:rsidP="00267217"/>
    <w:p w14:paraId="1997B7B6" w14:textId="03DD3A52" w:rsidR="000A6FAF" w:rsidRPr="00267217" w:rsidRDefault="000A6FAF" w:rsidP="00267217">
      <w:pPr>
        <w:pStyle w:val="Heading2"/>
        <w:spacing w:line="360" w:lineRule="auto"/>
        <w:jc w:val="both"/>
        <w:rPr>
          <w:rFonts w:ascii="Arial" w:hAnsi="Arial" w:cs="Arial"/>
          <w:b/>
          <w:color w:val="auto"/>
        </w:rPr>
      </w:pPr>
      <w:bookmarkStart w:id="12" w:name="_Toc165631040"/>
      <w:r w:rsidRPr="00267217">
        <w:rPr>
          <w:rFonts w:ascii="Arial" w:hAnsi="Arial" w:cs="Arial"/>
          <w:b/>
          <w:color w:val="auto"/>
        </w:rPr>
        <w:t>1: Demographic Analysis</w:t>
      </w:r>
      <w:bookmarkEnd w:id="12"/>
    </w:p>
    <w:p w14:paraId="7BFA6EE8" w14:textId="501DDDD3" w:rsidR="009C13F4" w:rsidRPr="00267217" w:rsidRDefault="009C13F4"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eligibility and gender of 2,133 children for the lunch program were assessed using SPSS, frequency tables, and descriptive statistics. This was carried out to comprehend the pupils. The sample was evenly divided, with 1,056 women (49.5%) and 1,077 males (50.5%). Gender distribution is fair, according to the report. </w:t>
      </w:r>
    </w:p>
    <w:p w14:paraId="791D7873" w14:textId="557221BC" w:rsidR="009C13F4" w:rsidRPr="00267217" w:rsidRDefault="009C13F4"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There are 918 students who participate in the lunch program, which accounts for 43% of the total, while there are 1,215 students who do not meet the standards for a free or reduced meal. Due to the fact that this distribution demonstrates that a significant percentage of children are living in poverty, lunch subsidies are required. </w:t>
      </w:r>
    </w:p>
    <w:p w14:paraId="4CBD17C4" w14:textId="0BA4266D" w:rsidR="000A6FAF" w:rsidRPr="00267217" w:rsidRDefault="009C13F4" w:rsidP="003A2CDD">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lastRenderedPageBreak/>
        <w:t xml:space="preserve">In particular, when evaluating their linkages to indicators of academic performance such as pre- and post-test results, the precise distribution of these demographic factors provides the boundaries for subsequent investigation. This is especially true when there is a comparison between the two sets of findings. Research conducted by Kubiszewski, Costanza, and Franco (2013) suggests that gaining an understanding of these links can assist in the enhancement of educational interventions and give light on the ways in which socioeconomic factors influence educational attainment. A better comprehension of the environment and an improvement in the teaching tactics that were produced as a result of this study are both made possible by the demographic breakdown. It is possible that it will have an effect on the policies of assistance and resources for a variety of student groups. </w:t>
      </w:r>
    </w:p>
    <w:tbl>
      <w:tblPr>
        <w:tblW w:w="0" w:type="auto"/>
        <w:tblInd w:w="10" w:type="dxa"/>
        <w:tblLayout w:type="fixed"/>
        <w:tblCellMar>
          <w:left w:w="10" w:type="dxa"/>
          <w:right w:w="10" w:type="dxa"/>
        </w:tblCellMar>
        <w:tblLook w:val="04A0" w:firstRow="1" w:lastRow="0" w:firstColumn="1" w:lastColumn="0" w:noHBand="0" w:noVBand="1"/>
      </w:tblPr>
      <w:tblGrid>
        <w:gridCol w:w="1811"/>
        <w:gridCol w:w="2108"/>
        <w:gridCol w:w="2513"/>
        <w:gridCol w:w="2514"/>
      </w:tblGrid>
      <w:tr w:rsidR="001C399C" w:rsidRPr="00267217" w14:paraId="6260296A" w14:textId="77777777" w:rsidTr="001C399C">
        <w:trPr>
          <w:trHeight w:val="594"/>
        </w:trPr>
        <w:tc>
          <w:tcPr>
            <w:tcW w:w="8946" w:type="dxa"/>
            <w:gridSpan w:val="4"/>
            <w:shd w:val="clear" w:color="auto" w:fill="FFFFFF"/>
            <w:vAlign w:val="center"/>
          </w:tcPr>
          <w:p w14:paraId="609229F3"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Cs w:val="18"/>
              </w:rPr>
              <w:t>Statistics</w:t>
            </w:r>
          </w:p>
        </w:tc>
      </w:tr>
      <w:tr w:rsidR="001C399C" w:rsidRPr="00267217" w14:paraId="3EA44FAB" w14:textId="77777777" w:rsidTr="001C399C">
        <w:trPr>
          <w:trHeight w:val="507"/>
        </w:trPr>
        <w:tc>
          <w:tcPr>
            <w:tcW w:w="3919" w:type="dxa"/>
            <w:gridSpan w:val="2"/>
            <w:tcBorders>
              <w:top w:val="none" w:sz="1" w:space="0" w:color="152935"/>
              <w:left w:val="none" w:sz="1" w:space="0" w:color="152935"/>
              <w:bottom w:val="single" w:sz="1" w:space="0" w:color="152935"/>
            </w:tcBorders>
            <w:shd w:val="clear" w:color="auto" w:fill="FFFFFF"/>
            <w:vAlign w:val="bottom"/>
          </w:tcPr>
          <w:p w14:paraId="1E21B50E" w14:textId="77777777" w:rsidR="001C399C" w:rsidRPr="00267217" w:rsidRDefault="001C399C" w:rsidP="00A336AB">
            <w:pPr>
              <w:spacing w:before="15" w:after="5"/>
              <w:ind w:left="30" w:right="40"/>
              <w:rPr>
                <w:sz w:val="20"/>
                <w:szCs w:val="20"/>
              </w:rPr>
            </w:pPr>
          </w:p>
        </w:tc>
        <w:tc>
          <w:tcPr>
            <w:tcW w:w="2513" w:type="dxa"/>
            <w:tcBorders>
              <w:top w:val="none" w:sz="1" w:space="0" w:color="152935"/>
              <w:left w:val="none" w:sz="1" w:space="0" w:color="152935"/>
              <w:bottom w:val="single" w:sz="1" w:space="0" w:color="152935"/>
              <w:right w:val="single" w:sz="1" w:space="0" w:color="E0E0E0"/>
            </w:tcBorders>
            <w:shd w:val="clear" w:color="auto" w:fill="FFFFFF"/>
            <w:vAlign w:val="bottom"/>
          </w:tcPr>
          <w:p w14:paraId="0E2BA2FF"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Gender</w:t>
            </w:r>
          </w:p>
        </w:tc>
        <w:tc>
          <w:tcPr>
            <w:tcW w:w="2514" w:type="dxa"/>
            <w:tcBorders>
              <w:top w:val="none" w:sz="1" w:space="0" w:color="152935"/>
              <w:left w:val="single" w:sz="1" w:space="0" w:color="E0E0E0"/>
              <w:bottom w:val="single" w:sz="1" w:space="0" w:color="152935"/>
              <w:right w:val="none" w:sz="1" w:space="0" w:color="152935"/>
            </w:tcBorders>
            <w:shd w:val="clear" w:color="auto" w:fill="FFFFFF"/>
            <w:vAlign w:val="bottom"/>
          </w:tcPr>
          <w:p w14:paraId="3B18B9FF"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Lunch</w:t>
            </w:r>
          </w:p>
        </w:tc>
      </w:tr>
      <w:tr w:rsidR="001C399C" w:rsidRPr="00267217" w14:paraId="27B56A3A" w14:textId="77777777" w:rsidTr="001C399C">
        <w:trPr>
          <w:trHeight w:val="485"/>
        </w:trPr>
        <w:tc>
          <w:tcPr>
            <w:tcW w:w="1811" w:type="dxa"/>
            <w:vMerge w:val="restart"/>
            <w:tcBorders>
              <w:top w:val="single" w:sz="1" w:space="0" w:color="152935"/>
              <w:left w:val="none" w:sz="1" w:space="0" w:color="152935"/>
              <w:bottom w:val="single" w:sz="1" w:space="0" w:color="152935"/>
              <w:right w:val="none" w:sz="1" w:space="0" w:color="AEAEAE"/>
            </w:tcBorders>
            <w:shd w:val="clear" w:color="auto" w:fill="E0E0E0"/>
          </w:tcPr>
          <w:p w14:paraId="40911967"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N</w:t>
            </w:r>
          </w:p>
        </w:tc>
        <w:tc>
          <w:tcPr>
            <w:tcW w:w="2107" w:type="dxa"/>
            <w:tcBorders>
              <w:top w:val="single" w:sz="1" w:space="0" w:color="152935"/>
              <w:left w:val="none" w:sz="1" w:space="0" w:color="AEAEAE"/>
              <w:bottom w:val="single" w:sz="1" w:space="0" w:color="AEAEAE"/>
              <w:right w:val="none" w:sz="1" w:space="0" w:color="152935"/>
            </w:tcBorders>
            <w:shd w:val="clear" w:color="auto" w:fill="E0E0E0"/>
          </w:tcPr>
          <w:p w14:paraId="19886CCC"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Valid</w:t>
            </w:r>
          </w:p>
        </w:tc>
        <w:tc>
          <w:tcPr>
            <w:tcW w:w="2513" w:type="dxa"/>
            <w:tcBorders>
              <w:top w:val="single" w:sz="1" w:space="0" w:color="152935"/>
              <w:left w:val="none" w:sz="1" w:space="0" w:color="152935"/>
              <w:bottom w:val="single" w:sz="1" w:space="0" w:color="AEAEAE"/>
              <w:right w:val="single" w:sz="1" w:space="0" w:color="E0E0E0"/>
            </w:tcBorders>
            <w:shd w:val="clear" w:color="auto" w:fill="F9F9FB"/>
          </w:tcPr>
          <w:p w14:paraId="21C28290"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2514" w:type="dxa"/>
            <w:tcBorders>
              <w:top w:val="single" w:sz="1" w:space="0" w:color="152935"/>
              <w:left w:val="single" w:sz="1" w:space="0" w:color="E0E0E0"/>
              <w:bottom w:val="single" w:sz="1" w:space="0" w:color="AEAEAE"/>
              <w:right w:val="none" w:sz="1" w:space="0" w:color="152935"/>
            </w:tcBorders>
            <w:shd w:val="clear" w:color="auto" w:fill="F9F9FB"/>
          </w:tcPr>
          <w:p w14:paraId="3E17877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r>
      <w:tr w:rsidR="001C399C" w:rsidRPr="00267217" w14:paraId="45ADE0B6" w14:textId="77777777" w:rsidTr="001C399C">
        <w:trPr>
          <w:trHeight w:val="210"/>
        </w:trPr>
        <w:tc>
          <w:tcPr>
            <w:tcW w:w="1811" w:type="dxa"/>
            <w:vMerge/>
            <w:tcBorders>
              <w:top w:val="single" w:sz="1" w:space="0" w:color="152935"/>
              <w:left w:val="none" w:sz="1" w:space="0" w:color="152935"/>
              <w:bottom w:val="single" w:sz="1" w:space="0" w:color="152935"/>
              <w:right w:val="none" w:sz="1" w:space="0" w:color="AEAEAE"/>
            </w:tcBorders>
          </w:tcPr>
          <w:p w14:paraId="75B9062A" w14:textId="77777777" w:rsidR="001C399C" w:rsidRPr="00267217" w:rsidRDefault="001C399C" w:rsidP="00A336AB">
            <w:pPr>
              <w:rPr>
                <w:sz w:val="20"/>
                <w:szCs w:val="20"/>
              </w:rPr>
            </w:pPr>
          </w:p>
        </w:tc>
        <w:tc>
          <w:tcPr>
            <w:tcW w:w="2107" w:type="dxa"/>
            <w:tcBorders>
              <w:top w:val="single" w:sz="1" w:space="0" w:color="AEAEAE"/>
              <w:left w:val="none" w:sz="1" w:space="0" w:color="AEAEAE"/>
              <w:bottom w:val="single" w:sz="1" w:space="0" w:color="152935"/>
              <w:right w:val="none" w:sz="1" w:space="0" w:color="152935"/>
            </w:tcBorders>
            <w:shd w:val="clear" w:color="auto" w:fill="E0E0E0"/>
          </w:tcPr>
          <w:p w14:paraId="562E63F4"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Missing</w:t>
            </w:r>
          </w:p>
        </w:tc>
        <w:tc>
          <w:tcPr>
            <w:tcW w:w="2513" w:type="dxa"/>
            <w:tcBorders>
              <w:top w:val="single" w:sz="1" w:space="0" w:color="AEAEAE"/>
              <w:left w:val="none" w:sz="1" w:space="0" w:color="152935"/>
              <w:bottom w:val="single" w:sz="1" w:space="0" w:color="152935"/>
              <w:right w:val="single" w:sz="1" w:space="0" w:color="E0E0E0"/>
            </w:tcBorders>
            <w:shd w:val="clear" w:color="auto" w:fill="F9F9FB"/>
          </w:tcPr>
          <w:p w14:paraId="4CBD7AA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w:t>
            </w:r>
          </w:p>
        </w:tc>
        <w:tc>
          <w:tcPr>
            <w:tcW w:w="2514" w:type="dxa"/>
            <w:tcBorders>
              <w:top w:val="single" w:sz="1" w:space="0" w:color="AEAEAE"/>
              <w:left w:val="single" w:sz="1" w:space="0" w:color="E0E0E0"/>
              <w:bottom w:val="single" w:sz="1" w:space="0" w:color="152935"/>
              <w:right w:val="none" w:sz="1" w:space="0" w:color="152935"/>
            </w:tcBorders>
            <w:shd w:val="clear" w:color="auto" w:fill="F9F9FB"/>
          </w:tcPr>
          <w:p w14:paraId="1C1751E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w:t>
            </w:r>
          </w:p>
        </w:tc>
      </w:tr>
    </w:tbl>
    <w:p w14:paraId="3A927F22" w14:textId="77777777" w:rsidR="001C399C" w:rsidRPr="00267217" w:rsidRDefault="001C399C" w:rsidP="001C399C">
      <w:pPr>
        <w:rPr>
          <w:sz w:val="20"/>
          <w:szCs w:val="20"/>
        </w:rPr>
      </w:pPr>
    </w:p>
    <w:p w14:paraId="7F175870" w14:textId="309BF20A" w:rsidR="001C399C" w:rsidRPr="00267217" w:rsidRDefault="001C399C" w:rsidP="001C399C">
      <w:pPr>
        <w:spacing w:before="200"/>
        <w:rPr>
          <w:sz w:val="18"/>
          <w:szCs w:val="18"/>
        </w:rPr>
      </w:pPr>
      <w:r w:rsidRPr="00267217">
        <w:rPr>
          <w:rFonts w:ascii="Arial" w:eastAsia="Arial" w:hAnsi="Arial" w:cs="Arial"/>
          <w:b/>
          <w:color w:val="000000"/>
          <w:szCs w:val="18"/>
        </w:rPr>
        <w:t>Frequency Table</w:t>
      </w:r>
    </w:p>
    <w:tbl>
      <w:tblPr>
        <w:tblW w:w="0" w:type="auto"/>
        <w:tblInd w:w="10" w:type="dxa"/>
        <w:tblLayout w:type="fixed"/>
        <w:tblCellMar>
          <w:left w:w="10" w:type="dxa"/>
          <w:right w:w="10" w:type="dxa"/>
        </w:tblCellMar>
        <w:tblLook w:val="04A0" w:firstRow="1" w:lastRow="0" w:firstColumn="1" w:lastColumn="0" w:noHBand="0" w:noVBand="1"/>
      </w:tblPr>
      <w:tblGrid>
        <w:gridCol w:w="1022"/>
        <w:gridCol w:w="1168"/>
        <w:gridCol w:w="1481"/>
        <w:gridCol w:w="1418"/>
        <w:gridCol w:w="1794"/>
        <w:gridCol w:w="2046"/>
      </w:tblGrid>
      <w:tr w:rsidR="001C399C" w:rsidRPr="00267217" w14:paraId="0BA117BD" w14:textId="77777777" w:rsidTr="001C399C">
        <w:trPr>
          <w:trHeight w:val="396"/>
        </w:trPr>
        <w:tc>
          <w:tcPr>
            <w:tcW w:w="8929" w:type="dxa"/>
            <w:gridSpan w:val="6"/>
            <w:shd w:val="clear" w:color="auto" w:fill="FFFFFF"/>
            <w:vAlign w:val="center"/>
          </w:tcPr>
          <w:p w14:paraId="3DA8B128"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Cs w:val="18"/>
              </w:rPr>
              <w:t>Gender</w:t>
            </w:r>
          </w:p>
        </w:tc>
      </w:tr>
      <w:tr w:rsidR="001C399C" w:rsidRPr="00267217" w14:paraId="5A87426A" w14:textId="77777777" w:rsidTr="001C399C">
        <w:trPr>
          <w:trHeight w:val="758"/>
        </w:trPr>
        <w:tc>
          <w:tcPr>
            <w:tcW w:w="2190" w:type="dxa"/>
            <w:gridSpan w:val="2"/>
            <w:tcBorders>
              <w:top w:val="none" w:sz="1" w:space="0" w:color="152935"/>
              <w:left w:val="none" w:sz="1" w:space="0" w:color="152935"/>
              <w:bottom w:val="single" w:sz="1" w:space="0" w:color="152935"/>
            </w:tcBorders>
            <w:shd w:val="clear" w:color="auto" w:fill="FFFFFF"/>
            <w:vAlign w:val="bottom"/>
          </w:tcPr>
          <w:p w14:paraId="3E1856B9" w14:textId="77777777" w:rsidR="001C399C" w:rsidRPr="00267217" w:rsidRDefault="001C399C" w:rsidP="00A336AB">
            <w:pPr>
              <w:spacing w:before="15" w:after="5"/>
              <w:ind w:left="30" w:right="40"/>
              <w:rPr>
                <w:sz w:val="20"/>
                <w:szCs w:val="20"/>
              </w:rPr>
            </w:pPr>
          </w:p>
        </w:tc>
        <w:tc>
          <w:tcPr>
            <w:tcW w:w="1481" w:type="dxa"/>
            <w:tcBorders>
              <w:top w:val="none" w:sz="1" w:space="0" w:color="152935"/>
              <w:left w:val="none" w:sz="1" w:space="0" w:color="152935"/>
              <w:bottom w:val="single" w:sz="1" w:space="0" w:color="152935"/>
              <w:right w:val="single" w:sz="1" w:space="0" w:color="E0E0E0"/>
            </w:tcBorders>
            <w:shd w:val="clear" w:color="auto" w:fill="FFFFFF"/>
            <w:vAlign w:val="bottom"/>
          </w:tcPr>
          <w:p w14:paraId="46C3BF5D"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Frequency</w:t>
            </w:r>
          </w:p>
        </w:tc>
        <w:tc>
          <w:tcPr>
            <w:tcW w:w="1418"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E91298D"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Percent</w:t>
            </w:r>
          </w:p>
        </w:tc>
        <w:tc>
          <w:tcPr>
            <w:tcW w:w="1794"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1F3ED1A"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Valid Percent</w:t>
            </w:r>
          </w:p>
        </w:tc>
        <w:tc>
          <w:tcPr>
            <w:tcW w:w="2044" w:type="dxa"/>
            <w:tcBorders>
              <w:top w:val="none" w:sz="1" w:space="0" w:color="152935"/>
              <w:left w:val="single" w:sz="1" w:space="0" w:color="E0E0E0"/>
              <w:bottom w:val="single" w:sz="1" w:space="0" w:color="152935"/>
              <w:right w:val="none" w:sz="1" w:space="0" w:color="152935"/>
            </w:tcBorders>
            <w:shd w:val="clear" w:color="auto" w:fill="FFFFFF"/>
            <w:vAlign w:val="bottom"/>
          </w:tcPr>
          <w:p w14:paraId="05DBC0FC"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Cumulative Percent</w:t>
            </w:r>
          </w:p>
        </w:tc>
      </w:tr>
      <w:tr w:rsidR="001C399C" w:rsidRPr="00267217" w14:paraId="5AAAB585" w14:textId="77777777" w:rsidTr="001C399C">
        <w:trPr>
          <w:trHeight w:val="396"/>
        </w:trPr>
        <w:tc>
          <w:tcPr>
            <w:tcW w:w="1022" w:type="dxa"/>
            <w:vMerge w:val="restart"/>
            <w:tcBorders>
              <w:top w:val="single" w:sz="1" w:space="0" w:color="152935"/>
              <w:left w:val="none" w:sz="1" w:space="0" w:color="152935"/>
              <w:bottom w:val="single" w:sz="1" w:space="0" w:color="152935"/>
              <w:right w:val="none" w:sz="1" w:space="0" w:color="AEAEAE"/>
            </w:tcBorders>
            <w:shd w:val="clear" w:color="auto" w:fill="E0E0E0"/>
          </w:tcPr>
          <w:p w14:paraId="120BB631"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Valid</w:t>
            </w:r>
          </w:p>
        </w:tc>
        <w:tc>
          <w:tcPr>
            <w:tcW w:w="1168" w:type="dxa"/>
            <w:tcBorders>
              <w:top w:val="single" w:sz="1" w:space="0" w:color="152935"/>
              <w:left w:val="none" w:sz="1" w:space="0" w:color="AEAEAE"/>
              <w:bottom w:val="single" w:sz="1" w:space="0" w:color="AEAEAE"/>
              <w:right w:val="none" w:sz="1" w:space="0" w:color="152935"/>
            </w:tcBorders>
            <w:shd w:val="clear" w:color="auto" w:fill="E0E0E0"/>
          </w:tcPr>
          <w:p w14:paraId="66592A40"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Female</w:t>
            </w:r>
          </w:p>
        </w:tc>
        <w:tc>
          <w:tcPr>
            <w:tcW w:w="1481" w:type="dxa"/>
            <w:tcBorders>
              <w:top w:val="single" w:sz="1" w:space="0" w:color="152935"/>
              <w:left w:val="none" w:sz="1" w:space="0" w:color="152935"/>
              <w:bottom w:val="single" w:sz="1" w:space="0" w:color="AEAEAE"/>
              <w:right w:val="single" w:sz="1" w:space="0" w:color="E0E0E0"/>
            </w:tcBorders>
            <w:shd w:val="clear" w:color="auto" w:fill="F9F9FB"/>
          </w:tcPr>
          <w:p w14:paraId="05B6B8CA"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1056</w:t>
            </w:r>
          </w:p>
        </w:tc>
        <w:tc>
          <w:tcPr>
            <w:tcW w:w="1418" w:type="dxa"/>
            <w:tcBorders>
              <w:top w:val="single" w:sz="1" w:space="0" w:color="152935"/>
              <w:left w:val="single" w:sz="1" w:space="0" w:color="E0E0E0"/>
              <w:bottom w:val="single" w:sz="1" w:space="0" w:color="AEAEAE"/>
              <w:right w:val="single" w:sz="1" w:space="0" w:color="E0E0E0"/>
            </w:tcBorders>
            <w:shd w:val="clear" w:color="auto" w:fill="F9F9FB"/>
          </w:tcPr>
          <w:p w14:paraId="4DDBC133"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49.5</w:t>
            </w:r>
          </w:p>
        </w:tc>
        <w:tc>
          <w:tcPr>
            <w:tcW w:w="1794" w:type="dxa"/>
            <w:tcBorders>
              <w:top w:val="single" w:sz="1" w:space="0" w:color="152935"/>
              <w:left w:val="single" w:sz="1" w:space="0" w:color="E0E0E0"/>
              <w:bottom w:val="single" w:sz="1" w:space="0" w:color="AEAEAE"/>
              <w:right w:val="single" w:sz="1" w:space="0" w:color="E0E0E0"/>
            </w:tcBorders>
            <w:shd w:val="clear" w:color="auto" w:fill="F9F9FB"/>
          </w:tcPr>
          <w:p w14:paraId="028F94A0"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49.5</w:t>
            </w:r>
          </w:p>
        </w:tc>
        <w:tc>
          <w:tcPr>
            <w:tcW w:w="2044" w:type="dxa"/>
            <w:tcBorders>
              <w:top w:val="single" w:sz="1" w:space="0" w:color="152935"/>
              <w:left w:val="single" w:sz="1" w:space="0" w:color="E0E0E0"/>
              <w:bottom w:val="single" w:sz="1" w:space="0" w:color="AEAEAE"/>
              <w:right w:val="none" w:sz="1" w:space="0" w:color="152935"/>
            </w:tcBorders>
            <w:shd w:val="clear" w:color="auto" w:fill="F9F9FB"/>
          </w:tcPr>
          <w:p w14:paraId="59458275"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49.5</w:t>
            </w:r>
          </w:p>
        </w:tc>
      </w:tr>
      <w:tr w:rsidR="001C399C" w:rsidRPr="00267217" w14:paraId="2F3061FD" w14:textId="77777777" w:rsidTr="001C399C">
        <w:trPr>
          <w:trHeight w:val="165"/>
        </w:trPr>
        <w:tc>
          <w:tcPr>
            <w:tcW w:w="1022" w:type="dxa"/>
            <w:vMerge/>
            <w:tcBorders>
              <w:top w:val="single" w:sz="1" w:space="0" w:color="152935"/>
              <w:left w:val="none" w:sz="1" w:space="0" w:color="152935"/>
              <w:bottom w:val="single" w:sz="1" w:space="0" w:color="152935"/>
              <w:right w:val="none" w:sz="1" w:space="0" w:color="AEAEAE"/>
            </w:tcBorders>
          </w:tcPr>
          <w:p w14:paraId="62029930" w14:textId="77777777" w:rsidR="001C399C" w:rsidRPr="00267217" w:rsidRDefault="001C399C" w:rsidP="00A336AB">
            <w:pPr>
              <w:rPr>
                <w:sz w:val="20"/>
                <w:szCs w:val="20"/>
              </w:rPr>
            </w:pPr>
          </w:p>
        </w:tc>
        <w:tc>
          <w:tcPr>
            <w:tcW w:w="1168" w:type="dxa"/>
            <w:tcBorders>
              <w:top w:val="single" w:sz="1" w:space="0" w:color="AEAEAE"/>
              <w:left w:val="none" w:sz="1" w:space="0" w:color="AEAEAE"/>
              <w:bottom w:val="single" w:sz="1" w:space="0" w:color="AEAEAE"/>
              <w:right w:val="none" w:sz="1" w:space="0" w:color="152935"/>
            </w:tcBorders>
            <w:shd w:val="clear" w:color="auto" w:fill="E0E0E0"/>
          </w:tcPr>
          <w:p w14:paraId="18BBB988"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Male</w:t>
            </w:r>
          </w:p>
        </w:tc>
        <w:tc>
          <w:tcPr>
            <w:tcW w:w="1481" w:type="dxa"/>
            <w:tcBorders>
              <w:top w:val="single" w:sz="1" w:space="0" w:color="AEAEAE"/>
              <w:left w:val="none" w:sz="1" w:space="0" w:color="152935"/>
              <w:bottom w:val="single" w:sz="1" w:space="0" w:color="AEAEAE"/>
              <w:right w:val="single" w:sz="1" w:space="0" w:color="E0E0E0"/>
            </w:tcBorders>
            <w:shd w:val="clear" w:color="auto" w:fill="F9F9FB"/>
          </w:tcPr>
          <w:p w14:paraId="74C949E1"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1077</w:t>
            </w:r>
          </w:p>
        </w:tc>
        <w:tc>
          <w:tcPr>
            <w:tcW w:w="1418" w:type="dxa"/>
            <w:tcBorders>
              <w:top w:val="single" w:sz="1" w:space="0" w:color="AEAEAE"/>
              <w:left w:val="single" w:sz="1" w:space="0" w:color="E0E0E0"/>
              <w:bottom w:val="single" w:sz="1" w:space="0" w:color="AEAEAE"/>
              <w:right w:val="single" w:sz="1" w:space="0" w:color="E0E0E0"/>
            </w:tcBorders>
            <w:shd w:val="clear" w:color="auto" w:fill="F9F9FB"/>
          </w:tcPr>
          <w:p w14:paraId="692434C5"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50.5</w:t>
            </w:r>
          </w:p>
        </w:tc>
        <w:tc>
          <w:tcPr>
            <w:tcW w:w="1794" w:type="dxa"/>
            <w:tcBorders>
              <w:top w:val="single" w:sz="1" w:space="0" w:color="AEAEAE"/>
              <w:left w:val="single" w:sz="1" w:space="0" w:color="E0E0E0"/>
              <w:bottom w:val="single" w:sz="1" w:space="0" w:color="AEAEAE"/>
              <w:right w:val="single" w:sz="1" w:space="0" w:color="E0E0E0"/>
            </w:tcBorders>
            <w:shd w:val="clear" w:color="auto" w:fill="F9F9FB"/>
          </w:tcPr>
          <w:p w14:paraId="2D09697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50.5</w:t>
            </w:r>
          </w:p>
        </w:tc>
        <w:tc>
          <w:tcPr>
            <w:tcW w:w="2044" w:type="dxa"/>
            <w:tcBorders>
              <w:top w:val="single" w:sz="1" w:space="0" w:color="AEAEAE"/>
              <w:left w:val="single" w:sz="1" w:space="0" w:color="E0E0E0"/>
              <w:bottom w:val="single" w:sz="1" w:space="0" w:color="AEAEAE"/>
              <w:right w:val="none" w:sz="1" w:space="0" w:color="152935"/>
            </w:tcBorders>
            <w:shd w:val="clear" w:color="auto" w:fill="F9F9FB"/>
          </w:tcPr>
          <w:p w14:paraId="5D1FFCC1"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r>
      <w:tr w:rsidR="001C399C" w:rsidRPr="00267217" w14:paraId="75EC9755" w14:textId="77777777" w:rsidTr="001C399C">
        <w:trPr>
          <w:trHeight w:val="165"/>
        </w:trPr>
        <w:tc>
          <w:tcPr>
            <w:tcW w:w="1022" w:type="dxa"/>
            <w:vMerge/>
            <w:tcBorders>
              <w:top w:val="single" w:sz="1" w:space="0" w:color="152935"/>
              <w:left w:val="none" w:sz="1" w:space="0" w:color="152935"/>
              <w:bottom w:val="single" w:sz="1" w:space="0" w:color="152935"/>
              <w:right w:val="none" w:sz="1" w:space="0" w:color="AEAEAE"/>
            </w:tcBorders>
          </w:tcPr>
          <w:p w14:paraId="6E2BF3A2" w14:textId="77777777" w:rsidR="001C399C" w:rsidRPr="00267217" w:rsidRDefault="001C399C" w:rsidP="00A336AB">
            <w:pPr>
              <w:rPr>
                <w:sz w:val="20"/>
                <w:szCs w:val="20"/>
              </w:rPr>
            </w:pPr>
          </w:p>
        </w:tc>
        <w:tc>
          <w:tcPr>
            <w:tcW w:w="1168" w:type="dxa"/>
            <w:tcBorders>
              <w:top w:val="single" w:sz="1" w:space="0" w:color="AEAEAE"/>
              <w:left w:val="none" w:sz="1" w:space="0" w:color="AEAEAE"/>
              <w:bottom w:val="single" w:sz="1" w:space="0" w:color="152935"/>
              <w:right w:val="none" w:sz="1" w:space="0" w:color="152935"/>
            </w:tcBorders>
            <w:shd w:val="clear" w:color="auto" w:fill="E0E0E0"/>
          </w:tcPr>
          <w:p w14:paraId="272E8E0E"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Total</w:t>
            </w:r>
          </w:p>
        </w:tc>
        <w:tc>
          <w:tcPr>
            <w:tcW w:w="1481" w:type="dxa"/>
            <w:tcBorders>
              <w:top w:val="single" w:sz="1" w:space="0" w:color="AEAEAE"/>
              <w:left w:val="none" w:sz="1" w:space="0" w:color="152935"/>
              <w:bottom w:val="single" w:sz="1" w:space="0" w:color="152935"/>
              <w:right w:val="single" w:sz="1" w:space="0" w:color="E0E0E0"/>
            </w:tcBorders>
            <w:shd w:val="clear" w:color="auto" w:fill="F9F9FB"/>
          </w:tcPr>
          <w:p w14:paraId="400C80D5"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418" w:type="dxa"/>
            <w:tcBorders>
              <w:top w:val="single" w:sz="1" w:space="0" w:color="AEAEAE"/>
              <w:left w:val="single" w:sz="1" w:space="0" w:color="E0E0E0"/>
              <w:bottom w:val="single" w:sz="1" w:space="0" w:color="152935"/>
              <w:right w:val="single" w:sz="1" w:space="0" w:color="E0E0E0"/>
            </w:tcBorders>
            <w:shd w:val="clear" w:color="auto" w:fill="F9F9FB"/>
          </w:tcPr>
          <w:p w14:paraId="3AB74BB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1794" w:type="dxa"/>
            <w:tcBorders>
              <w:top w:val="single" w:sz="1" w:space="0" w:color="AEAEAE"/>
              <w:left w:val="single" w:sz="1" w:space="0" w:color="E0E0E0"/>
              <w:bottom w:val="single" w:sz="1" w:space="0" w:color="152935"/>
              <w:right w:val="single" w:sz="1" w:space="0" w:color="E0E0E0"/>
            </w:tcBorders>
            <w:shd w:val="clear" w:color="auto" w:fill="F9F9FB"/>
          </w:tcPr>
          <w:p w14:paraId="24E15BC4"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2044" w:type="dxa"/>
            <w:tcBorders>
              <w:top w:val="single" w:sz="1" w:space="0" w:color="AEAEAE"/>
              <w:left w:val="single" w:sz="1" w:space="0" w:color="E0E0E0"/>
              <w:bottom w:val="single" w:sz="1" w:space="0" w:color="152935"/>
              <w:right w:val="none" w:sz="1" w:space="0" w:color="152935"/>
            </w:tcBorders>
            <w:shd w:val="clear" w:color="auto" w:fill="F9F9FB"/>
          </w:tcPr>
          <w:p w14:paraId="748A3A54" w14:textId="77777777" w:rsidR="001C399C" w:rsidRPr="00267217" w:rsidRDefault="001C399C" w:rsidP="00A336AB">
            <w:pPr>
              <w:rPr>
                <w:sz w:val="20"/>
                <w:szCs w:val="20"/>
              </w:rPr>
            </w:pPr>
          </w:p>
        </w:tc>
      </w:tr>
    </w:tbl>
    <w:p w14:paraId="10768A99" w14:textId="77777777" w:rsidR="001C399C" w:rsidRPr="00267217" w:rsidRDefault="001C399C" w:rsidP="001C399C">
      <w:pPr>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833"/>
        <w:gridCol w:w="2788"/>
        <w:gridCol w:w="1207"/>
        <w:gridCol w:w="1156"/>
        <w:gridCol w:w="1462"/>
        <w:gridCol w:w="1666"/>
      </w:tblGrid>
      <w:tr w:rsidR="001C399C" w:rsidRPr="00267217" w14:paraId="2864E1EA" w14:textId="77777777" w:rsidTr="00A336AB">
        <w:tc>
          <w:tcPr>
            <w:tcW w:w="9112" w:type="dxa"/>
            <w:gridSpan w:val="6"/>
            <w:shd w:val="clear" w:color="auto" w:fill="FFFFFF"/>
            <w:vAlign w:val="center"/>
          </w:tcPr>
          <w:p w14:paraId="2EAFC6A8"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Cs w:val="18"/>
              </w:rPr>
              <w:t>Lunch</w:t>
            </w:r>
          </w:p>
        </w:tc>
      </w:tr>
      <w:tr w:rsidR="001C399C" w:rsidRPr="00267217" w14:paraId="6CFD3AF1" w14:textId="77777777" w:rsidTr="00A336AB">
        <w:tc>
          <w:tcPr>
            <w:tcW w:w="3621" w:type="dxa"/>
            <w:gridSpan w:val="2"/>
            <w:tcBorders>
              <w:top w:val="none" w:sz="1" w:space="0" w:color="152935"/>
              <w:left w:val="none" w:sz="1" w:space="0" w:color="152935"/>
              <w:bottom w:val="single" w:sz="1" w:space="0" w:color="152935"/>
            </w:tcBorders>
            <w:shd w:val="clear" w:color="auto" w:fill="FFFFFF"/>
            <w:vAlign w:val="bottom"/>
          </w:tcPr>
          <w:p w14:paraId="413BA167" w14:textId="77777777" w:rsidR="001C399C" w:rsidRPr="00267217" w:rsidRDefault="001C399C" w:rsidP="00A336AB">
            <w:pPr>
              <w:spacing w:before="15" w:after="5"/>
              <w:ind w:left="30" w:right="40"/>
              <w:rPr>
                <w:sz w:val="20"/>
                <w:szCs w:val="20"/>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7ABCCA1"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4D5F8A9"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FB11967"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8284C1F"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Cumulative Percent</w:t>
            </w:r>
          </w:p>
        </w:tc>
      </w:tr>
      <w:tr w:rsidR="001C399C" w:rsidRPr="00267217" w14:paraId="027CC3C5" w14:textId="77777777" w:rsidTr="00A336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9CB2F27"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12DCD1E6"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Does not qualify</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3C6D192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1215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06ADAA3"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57.0</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5E528783"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57.0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F25A6C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57.0</w:t>
            </w:r>
          </w:p>
        </w:tc>
      </w:tr>
      <w:tr w:rsidR="001C399C" w:rsidRPr="00267217" w14:paraId="79E4758C" w14:textId="77777777" w:rsidTr="00A336AB">
        <w:tc>
          <w:tcPr>
            <w:tcW w:w="833" w:type="dxa"/>
            <w:vMerge/>
            <w:tcBorders>
              <w:top w:val="single" w:sz="1" w:space="0" w:color="152935"/>
              <w:left w:val="none" w:sz="1" w:space="0" w:color="152935"/>
              <w:bottom w:val="single" w:sz="1" w:space="0" w:color="152935"/>
              <w:right w:val="none" w:sz="1" w:space="0" w:color="AEAEAE"/>
            </w:tcBorders>
          </w:tcPr>
          <w:p w14:paraId="076F0003" w14:textId="77777777" w:rsidR="001C399C" w:rsidRPr="00267217" w:rsidRDefault="001C399C" w:rsidP="00A336AB">
            <w:pPr>
              <w:rPr>
                <w:sz w:val="20"/>
                <w:szCs w:val="20"/>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602359"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Qualifies for reduced/free lunch</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B38D6E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918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9934B5"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43.0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687E6F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43.0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B431B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r>
      <w:tr w:rsidR="001C399C" w:rsidRPr="00267217" w14:paraId="18B8CC6E" w14:textId="77777777" w:rsidTr="00A336AB">
        <w:tc>
          <w:tcPr>
            <w:tcW w:w="833" w:type="dxa"/>
            <w:vMerge/>
            <w:tcBorders>
              <w:top w:val="single" w:sz="1" w:space="0" w:color="152935"/>
              <w:left w:val="none" w:sz="1" w:space="0" w:color="152935"/>
              <w:bottom w:val="single" w:sz="1" w:space="0" w:color="152935"/>
              <w:right w:val="none" w:sz="1" w:space="0" w:color="AEAEAE"/>
            </w:tcBorders>
          </w:tcPr>
          <w:p w14:paraId="4C7E7910" w14:textId="77777777" w:rsidR="001C399C" w:rsidRPr="00267217" w:rsidRDefault="001C399C" w:rsidP="00A336AB">
            <w:pPr>
              <w:rPr>
                <w:sz w:val="20"/>
                <w:szCs w:val="20"/>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AF748BC"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BAE19AE"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11C09B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7BACB14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B19D2CD" w14:textId="77777777" w:rsidR="001C399C" w:rsidRPr="00267217" w:rsidRDefault="001C399C" w:rsidP="00A336AB">
            <w:pPr>
              <w:rPr>
                <w:sz w:val="20"/>
                <w:szCs w:val="20"/>
              </w:rPr>
            </w:pPr>
          </w:p>
        </w:tc>
      </w:tr>
    </w:tbl>
    <w:p w14:paraId="0D458C7A" w14:textId="1C17DF1F" w:rsidR="000A6FAF" w:rsidRPr="00267217" w:rsidRDefault="000A6FAF" w:rsidP="00267217">
      <w:pPr>
        <w:pStyle w:val="Heading2"/>
        <w:spacing w:line="360" w:lineRule="auto"/>
        <w:jc w:val="both"/>
        <w:rPr>
          <w:rFonts w:ascii="Arial" w:hAnsi="Arial" w:cs="Arial"/>
          <w:b/>
          <w:color w:val="auto"/>
        </w:rPr>
      </w:pPr>
      <w:bookmarkStart w:id="13" w:name="_Toc165631041"/>
      <w:r w:rsidRPr="00267217">
        <w:rPr>
          <w:rFonts w:ascii="Arial" w:hAnsi="Arial" w:cs="Arial"/>
          <w:b/>
          <w:color w:val="auto"/>
        </w:rPr>
        <w:lastRenderedPageBreak/>
        <w:t>2: Performance Analysis</w:t>
      </w:r>
      <w:bookmarkEnd w:id="13"/>
    </w:p>
    <w:p w14:paraId="0D8D59B4" w14:textId="14B82EA1" w:rsidR="009C13F4" w:rsidRPr="00267217" w:rsidRDefault="009C13F4"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 comparison of pre-test and post-test findings was carried out in the SPSS performance study with the purpose of gaining a deeper comprehension of the </w:t>
      </w:r>
      <w:proofErr w:type="gramStart"/>
      <w:r w:rsidRPr="00267217">
        <w:rPr>
          <w:rFonts w:ascii="Arial" w:eastAsia="Times New Roman" w:hAnsi="Arial" w:cs="Arial"/>
          <w:sz w:val="24"/>
          <w:szCs w:val="24"/>
        </w:rPr>
        <w:t>manner in which</w:t>
      </w:r>
      <w:proofErr w:type="gramEnd"/>
      <w:r w:rsidRPr="00267217">
        <w:rPr>
          <w:rFonts w:ascii="Arial" w:eastAsia="Times New Roman" w:hAnsi="Arial" w:cs="Arial"/>
          <w:sz w:val="24"/>
          <w:szCs w:val="24"/>
        </w:rPr>
        <w:t xml:space="preserve"> different socioeconomic status groups have an impact on educational achievement. We made use of the results that the 2,133 students obtained from both examinations. </w:t>
      </w:r>
    </w:p>
    <w:p w14:paraId="661DA068" w14:textId="4A973C00" w:rsidR="000A6FAF" w:rsidRPr="00267217" w:rsidRDefault="009C13F4" w:rsidP="00AC011B">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The percentage of children who did not qualify for free or reduced lunches increased from 62.29 in the pre-test to 74.38 in the post-test mean score. On the other hand, children who were eligible for free or reduced lunch scored considerably higher (57.48) on the post-test after having a significantly lower pre-test score of 45.25. This implies that academic achievement is influenced by socioeconomic status, pointing to systemic problems in education (OECD, 2018). </w:t>
      </w:r>
    </w:p>
    <w:p w14:paraId="1E6E9DB9" w14:textId="26E59C07"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The median scores further underscored these differences:</w:t>
      </w:r>
    </w:p>
    <w:p w14:paraId="14A57E14" w14:textId="77777777" w:rsidR="000A6FAF" w:rsidRPr="00267217" w:rsidRDefault="000A6FAF" w:rsidP="00AC011B">
      <w:pPr>
        <w:pStyle w:val="ListParagraph"/>
        <w:numPr>
          <w:ilvl w:val="0"/>
          <w:numId w:val="8"/>
        </w:numPr>
        <w:autoSpaceDE w:val="0"/>
        <w:autoSpaceDN w:val="0"/>
        <w:adjustRightInd w:val="0"/>
        <w:spacing w:line="360" w:lineRule="auto"/>
        <w:jc w:val="both"/>
        <w:rPr>
          <w:rFonts w:ascii="Arial" w:hAnsi="Arial" w:cs="Arial"/>
          <w:sz w:val="24"/>
          <w:szCs w:val="24"/>
        </w:rPr>
      </w:pPr>
      <w:r w:rsidRPr="00267217">
        <w:rPr>
          <w:rFonts w:ascii="Arial" w:hAnsi="Arial" w:cs="Arial"/>
          <w:sz w:val="24"/>
          <w:szCs w:val="24"/>
        </w:rPr>
        <w:t>Students not qualifying for reduced/free lunch had a pre-test median of 62.37 and a post-test median of 74.39.</w:t>
      </w:r>
    </w:p>
    <w:p w14:paraId="2BE27DC3" w14:textId="77777777" w:rsidR="000A6FAF" w:rsidRPr="00267217" w:rsidRDefault="000A6FAF" w:rsidP="00AC011B">
      <w:pPr>
        <w:pStyle w:val="ListParagraph"/>
        <w:numPr>
          <w:ilvl w:val="0"/>
          <w:numId w:val="8"/>
        </w:numPr>
        <w:autoSpaceDE w:val="0"/>
        <w:autoSpaceDN w:val="0"/>
        <w:adjustRightInd w:val="0"/>
        <w:spacing w:line="360" w:lineRule="auto"/>
        <w:jc w:val="both"/>
        <w:rPr>
          <w:rFonts w:ascii="Arial" w:hAnsi="Arial" w:cs="Arial"/>
          <w:sz w:val="24"/>
          <w:szCs w:val="24"/>
        </w:rPr>
      </w:pPr>
      <w:r w:rsidRPr="00267217">
        <w:rPr>
          <w:rFonts w:ascii="Arial" w:hAnsi="Arial" w:cs="Arial"/>
          <w:sz w:val="24"/>
          <w:szCs w:val="24"/>
        </w:rPr>
        <w:t>Those qualifying for reduced/free lunch had a pre-test median of 43.88 and a post-test median of 55.44.</w:t>
      </w:r>
    </w:p>
    <w:p w14:paraId="502F7D26" w14:textId="2A37EE10" w:rsidR="000A6FAF" w:rsidRPr="00267217" w:rsidRDefault="009C13F4" w:rsidP="00AC011B">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According to these data, there are still substantial gaps in accomplishments between different socioeconomic groups, and both groups performed significantly better on the post-test than they did on the pre-test on the same day. According to Sirin (2005), these statistics are exceptionally important for the development of targeted educational initiatives that aim to close the socioeconomic achievement gap in the classroom. </w:t>
      </w:r>
    </w:p>
    <w:tbl>
      <w:tblPr>
        <w:tblW w:w="0" w:type="auto"/>
        <w:tblInd w:w="10" w:type="dxa"/>
        <w:tblLayout w:type="fixed"/>
        <w:tblCellMar>
          <w:left w:w="10" w:type="dxa"/>
          <w:right w:w="10" w:type="dxa"/>
        </w:tblCellMar>
        <w:tblLook w:val="04A0" w:firstRow="1" w:lastRow="0" w:firstColumn="1" w:lastColumn="0" w:noHBand="0" w:noVBand="1"/>
      </w:tblPr>
      <w:tblGrid>
        <w:gridCol w:w="1802"/>
        <w:gridCol w:w="1156"/>
        <w:gridCol w:w="1156"/>
        <w:gridCol w:w="1156"/>
        <w:gridCol w:w="1156"/>
        <w:gridCol w:w="1156"/>
        <w:gridCol w:w="1513"/>
      </w:tblGrid>
      <w:tr w:rsidR="001C399C" w:rsidRPr="00267217" w14:paraId="3719B564" w14:textId="77777777" w:rsidTr="00A336AB">
        <w:tc>
          <w:tcPr>
            <w:tcW w:w="9095" w:type="dxa"/>
            <w:gridSpan w:val="7"/>
            <w:shd w:val="clear" w:color="auto" w:fill="FFFFFF"/>
            <w:vAlign w:val="center"/>
          </w:tcPr>
          <w:p w14:paraId="6E7FC79D"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 w:val="24"/>
                <w:szCs w:val="18"/>
              </w:rPr>
              <w:t>Descriptive Statistics</w:t>
            </w:r>
          </w:p>
        </w:tc>
      </w:tr>
      <w:tr w:rsidR="001C399C" w:rsidRPr="00267217" w14:paraId="5B475F0F" w14:textId="77777777" w:rsidTr="00A336AB">
        <w:tc>
          <w:tcPr>
            <w:tcW w:w="1802" w:type="dxa"/>
            <w:vMerge w:val="restart"/>
            <w:tcBorders>
              <w:top w:val="none" w:sz="1" w:space="0" w:color="152935"/>
              <w:left w:val="none" w:sz="1" w:space="0" w:color="152935"/>
              <w:right w:val="none" w:sz="1" w:space="0" w:color="152935"/>
            </w:tcBorders>
            <w:shd w:val="clear" w:color="auto" w:fill="FFFFFF"/>
            <w:vAlign w:val="bottom"/>
          </w:tcPr>
          <w:p w14:paraId="705091C5" w14:textId="77777777" w:rsidR="001C399C" w:rsidRPr="00267217" w:rsidRDefault="001C399C" w:rsidP="00A336AB">
            <w:pPr>
              <w:spacing w:before="15" w:after="5"/>
              <w:ind w:left="30" w:right="40"/>
              <w:rPr>
                <w:sz w:val="20"/>
                <w:szCs w:val="20"/>
              </w:rPr>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5DF5279A"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N</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20FD34A9"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Minimum</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2CD9F895"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Maximum</w:t>
            </w:r>
          </w:p>
        </w:tc>
        <w:tc>
          <w:tcPr>
            <w:tcW w:w="2312" w:type="dxa"/>
            <w:gridSpan w:val="2"/>
            <w:tcBorders>
              <w:top w:val="none" w:sz="1" w:space="0" w:color="152935"/>
              <w:left w:val="single" w:sz="1" w:space="0" w:color="E0E0E0"/>
              <w:bottom w:val="none" w:sz="1" w:space="0" w:color="AEAEAE"/>
              <w:right w:val="none" w:sz="1" w:space="0" w:color="AEAEAE"/>
            </w:tcBorders>
            <w:shd w:val="clear" w:color="auto" w:fill="FFFFFF"/>
            <w:vAlign w:val="bottom"/>
          </w:tcPr>
          <w:p w14:paraId="41224704"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Mean</w:t>
            </w:r>
          </w:p>
        </w:tc>
        <w:tc>
          <w:tcPr>
            <w:tcW w:w="1513" w:type="dxa"/>
            <w:tcBorders>
              <w:top w:val="none" w:sz="1" w:space="0" w:color="152935"/>
              <w:left w:val="single" w:sz="1" w:space="0" w:color="E0E0E0"/>
              <w:bottom w:val="none" w:sz="1" w:space="0" w:color="AEAEAE"/>
              <w:right w:val="none" w:sz="1" w:space="0" w:color="152935"/>
            </w:tcBorders>
            <w:shd w:val="clear" w:color="auto" w:fill="FFFFFF"/>
            <w:vAlign w:val="bottom"/>
          </w:tcPr>
          <w:p w14:paraId="5B0B4AF4"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Std. Deviation</w:t>
            </w:r>
          </w:p>
        </w:tc>
      </w:tr>
      <w:tr w:rsidR="001C399C" w:rsidRPr="00267217" w14:paraId="142B43A5" w14:textId="77777777" w:rsidTr="00A336AB">
        <w:tc>
          <w:tcPr>
            <w:tcW w:w="1802" w:type="dxa"/>
            <w:vMerge/>
            <w:tcBorders>
              <w:top w:val="none" w:sz="1" w:space="0" w:color="152935"/>
              <w:left w:val="none" w:sz="1" w:space="0" w:color="152935"/>
              <w:right w:val="none" w:sz="1" w:space="0" w:color="152935"/>
            </w:tcBorders>
          </w:tcPr>
          <w:p w14:paraId="5C16BC48" w14:textId="77777777" w:rsidR="001C399C" w:rsidRPr="00267217" w:rsidRDefault="001C399C" w:rsidP="00A336AB">
            <w:pPr>
              <w:rPr>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F41FD54"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1A0844A"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15FFDFA1"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Statistic</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432E7AD"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FEE968F"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Std. Error</w:t>
            </w:r>
          </w:p>
        </w:tc>
        <w:tc>
          <w:tcPr>
            <w:tcW w:w="1513" w:type="dxa"/>
            <w:tcBorders>
              <w:top w:val="none" w:sz="1" w:space="0" w:color="AEAEAE"/>
              <w:left w:val="single" w:sz="1" w:space="0" w:color="E0E0E0"/>
              <w:bottom w:val="single" w:sz="1" w:space="0" w:color="152935"/>
              <w:right w:val="none" w:sz="1" w:space="0" w:color="152935"/>
            </w:tcBorders>
            <w:shd w:val="clear" w:color="auto" w:fill="FFFFFF"/>
            <w:vAlign w:val="bottom"/>
          </w:tcPr>
          <w:p w14:paraId="7F12ED6C"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Statistic</w:t>
            </w:r>
          </w:p>
        </w:tc>
      </w:tr>
      <w:tr w:rsidR="001C399C" w:rsidRPr="00267217" w14:paraId="152DCC78" w14:textId="77777777" w:rsidTr="00A336AB">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5ACECAB6"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4A4383AE"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B1F82B4"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22</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2E5FAB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93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BD0620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54.96</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44E5435"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.294</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3C0133D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13.563</w:t>
            </w:r>
          </w:p>
        </w:tc>
      </w:tr>
      <w:tr w:rsidR="001C399C" w:rsidRPr="00267217" w14:paraId="55397658" w14:textId="77777777" w:rsidTr="00A336AB">
        <w:tc>
          <w:tcPr>
            <w:tcW w:w="1802" w:type="dxa"/>
            <w:tcBorders>
              <w:top w:val="single" w:sz="1" w:space="0" w:color="AEAEAE"/>
              <w:left w:val="none" w:sz="1" w:space="0" w:color="152935"/>
              <w:bottom w:val="single" w:sz="1" w:space="0" w:color="AEAEAE"/>
              <w:right w:val="none" w:sz="1" w:space="0" w:color="152935"/>
            </w:tcBorders>
            <w:shd w:val="clear" w:color="auto" w:fill="E0E0E0"/>
          </w:tcPr>
          <w:p w14:paraId="1909CE85" w14:textId="77777777" w:rsidR="001C399C" w:rsidRPr="00267217" w:rsidRDefault="001C399C" w:rsidP="00A336AB">
            <w:pPr>
              <w:spacing w:before="15" w:after="10"/>
              <w:ind w:left="30" w:right="40"/>
              <w:rPr>
                <w:sz w:val="20"/>
                <w:szCs w:val="20"/>
              </w:rPr>
            </w:pPr>
            <w:proofErr w:type="spellStart"/>
            <w:r w:rsidRPr="00267217">
              <w:rPr>
                <w:rFonts w:ascii="Arial" w:eastAsia="Arial" w:hAnsi="Arial" w:cs="Arial"/>
                <w:color w:val="264A60"/>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8447D44"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6864EFA"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990AC4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2E095E"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67.10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2A325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.303</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8DB041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13.987</w:t>
            </w:r>
          </w:p>
        </w:tc>
      </w:tr>
      <w:tr w:rsidR="001C399C" w:rsidRPr="00267217" w14:paraId="22720265" w14:textId="77777777" w:rsidTr="00A336AB">
        <w:tc>
          <w:tcPr>
            <w:tcW w:w="1802" w:type="dxa"/>
            <w:tcBorders>
              <w:top w:val="single" w:sz="1" w:space="0" w:color="AEAEAE"/>
              <w:left w:val="none" w:sz="1" w:space="0" w:color="152935"/>
              <w:bottom w:val="single" w:sz="1" w:space="0" w:color="152935"/>
              <w:right w:val="none" w:sz="1" w:space="0" w:color="152935"/>
            </w:tcBorders>
            <w:shd w:val="clear" w:color="auto" w:fill="E0E0E0"/>
          </w:tcPr>
          <w:p w14:paraId="187DF573"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Valid N (listwise)</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33DEA5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953A980" w14:textId="77777777" w:rsidR="001C399C" w:rsidRPr="00267217" w:rsidRDefault="001C399C" w:rsidP="00A336AB">
            <w:pPr>
              <w:rPr>
                <w:sz w:val="20"/>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499A7F8C" w14:textId="77777777" w:rsidR="001C399C" w:rsidRPr="00267217" w:rsidRDefault="001C399C" w:rsidP="00A336AB">
            <w:pPr>
              <w:rPr>
                <w:sz w:val="20"/>
                <w:szCs w:val="20"/>
              </w:rPr>
            </w:pP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71BF4DA" w14:textId="77777777" w:rsidR="001C399C" w:rsidRPr="00267217" w:rsidRDefault="001C399C" w:rsidP="00A336AB">
            <w:pPr>
              <w:rPr>
                <w:sz w:val="20"/>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68D249E" w14:textId="77777777" w:rsidR="001C399C" w:rsidRPr="00267217" w:rsidRDefault="001C399C" w:rsidP="00A336AB">
            <w:pPr>
              <w:rPr>
                <w:sz w:val="20"/>
                <w:szCs w:val="20"/>
              </w:rPr>
            </w:pPr>
          </w:p>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3FC27792" w14:textId="77777777" w:rsidR="001C399C" w:rsidRPr="00267217" w:rsidRDefault="001C399C" w:rsidP="00A336AB">
            <w:pPr>
              <w:rPr>
                <w:sz w:val="20"/>
                <w:szCs w:val="20"/>
              </w:rPr>
            </w:pPr>
          </w:p>
        </w:tc>
      </w:tr>
    </w:tbl>
    <w:p w14:paraId="4BA3CB46" w14:textId="7884DCCF" w:rsidR="001C399C" w:rsidRPr="00267217" w:rsidRDefault="001C399C" w:rsidP="001C399C">
      <w:pPr>
        <w:spacing w:before="200"/>
        <w:rPr>
          <w:sz w:val="20"/>
          <w:szCs w:val="20"/>
        </w:rPr>
      </w:pPr>
      <w:r w:rsidRPr="00267217">
        <w:rPr>
          <w:sz w:val="20"/>
          <w:szCs w:val="20"/>
        </w:rPr>
        <w:t xml:space="preserve"> </w:t>
      </w:r>
    </w:p>
    <w:tbl>
      <w:tblPr>
        <w:tblW w:w="0" w:type="auto"/>
        <w:tblInd w:w="10" w:type="dxa"/>
        <w:tblLayout w:type="fixed"/>
        <w:tblCellMar>
          <w:left w:w="10" w:type="dxa"/>
          <w:right w:w="10" w:type="dxa"/>
        </w:tblCellMar>
        <w:tblLook w:val="04A0" w:firstRow="1" w:lastRow="0" w:firstColumn="1" w:lastColumn="0" w:noHBand="0" w:noVBand="1"/>
      </w:tblPr>
      <w:tblGrid>
        <w:gridCol w:w="1819"/>
        <w:gridCol w:w="1156"/>
        <w:gridCol w:w="1156"/>
        <w:gridCol w:w="1156"/>
        <w:gridCol w:w="1156"/>
        <w:gridCol w:w="1156"/>
        <w:gridCol w:w="1156"/>
      </w:tblGrid>
      <w:tr w:rsidR="001C399C" w:rsidRPr="00267217" w14:paraId="30D81103" w14:textId="77777777" w:rsidTr="00A336AB">
        <w:tc>
          <w:tcPr>
            <w:tcW w:w="8755" w:type="dxa"/>
            <w:gridSpan w:val="7"/>
            <w:shd w:val="clear" w:color="auto" w:fill="FFFFFF"/>
            <w:vAlign w:val="center"/>
          </w:tcPr>
          <w:p w14:paraId="65BA22DB"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 w:val="24"/>
                <w:szCs w:val="18"/>
              </w:rPr>
              <w:lastRenderedPageBreak/>
              <w:t>Case Processing Summary</w:t>
            </w:r>
          </w:p>
        </w:tc>
      </w:tr>
      <w:tr w:rsidR="001C399C" w:rsidRPr="00267217" w14:paraId="48E39605" w14:textId="77777777" w:rsidTr="00A336AB">
        <w:tc>
          <w:tcPr>
            <w:tcW w:w="1819" w:type="dxa"/>
            <w:vMerge w:val="restart"/>
            <w:tcBorders>
              <w:top w:val="none" w:sz="1" w:space="0" w:color="152935"/>
              <w:left w:val="none" w:sz="1" w:space="0" w:color="152935"/>
              <w:right w:val="none" w:sz="1" w:space="0" w:color="152935"/>
            </w:tcBorders>
            <w:shd w:val="clear" w:color="auto" w:fill="FFFFFF"/>
            <w:vAlign w:val="bottom"/>
          </w:tcPr>
          <w:p w14:paraId="6C1177AE" w14:textId="77777777" w:rsidR="001C399C" w:rsidRPr="00267217" w:rsidRDefault="001C399C" w:rsidP="00A336AB">
            <w:pPr>
              <w:spacing w:before="15" w:after="5"/>
              <w:ind w:left="30" w:right="40"/>
              <w:rPr>
                <w:sz w:val="20"/>
                <w:szCs w:val="20"/>
              </w:rPr>
            </w:pPr>
          </w:p>
        </w:tc>
        <w:tc>
          <w:tcPr>
            <w:tcW w:w="6936" w:type="dxa"/>
            <w:gridSpan w:val="6"/>
            <w:tcBorders>
              <w:top w:val="none" w:sz="1" w:space="0" w:color="152935"/>
              <w:left w:val="none" w:sz="1" w:space="0" w:color="152935"/>
              <w:bottom w:val="none" w:sz="1" w:space="0" w:color="AEAEAE"/>
              <w:right w:val="none" w:sz="1" w:space="0" w:color="152935"/>
            </w:tcBorders>
            <w:shd w:val="clear" w:color="auto" w:fill="FFFFFF"/>
            <w:vAlign w:val="bottom"/>
          </w:tcPr>
          <w:p w14:paraId="75293502"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Cases</w:t>
            </w:r>
          </w:p>
        </w:tc>
      </w:tr>
      <w:tr w:rsidR="001C399C" w:rsidRPr="00267217" w14:paraId="6BCA339A" w14:textId="77777777" w:rsidTr="00A336AB">
        <w:tc>
          <w:tcPr>
            <w:tcW w:w="1819" w:type="dxa"/>
            <w:vMerge/>
            <w:tcBorders>
              <w:top w:val="none" w:sz="1" w:space="0" w:color="152935"/>
              <w:left w:val="none" w:sz="1" w:space="0" w:color="152935"/>
              <w:right w:val="none" w:sz="1" w:space="0" w:color="152935"/>
            </w:tcBorders>
          </w:tcPr>
          <w:p w14:paraId="5DFF273D" w14:textId="77777777" w:rsidR="001C399C" w:rsidRPr="00267217" w:rsidRDefault="001C399C" w:rsidP="00A336AB">
            <w:pPr>
              <w:rPr>
                <w:sz w:val="20"/>
                <w:szCs w:val="20"/>
              </w:rPr>
            </w:pPr>
          </w:p>
        </w:tc>
        <w:tc>
          <w:tcPr>
            <w:tcW w:w="2312" w:type="dxa"/>
            <w:gridSpan w:val="2"/>
            <w:tcBorders>
              <w:top w:val="none" w:sz="1" w:space="0" w:color="AEAEAE"/>
              <w:left w:val="none" w:sz="1" w:space="0" w:color="152935"/>
              <w:bottom w:val="none" w:sz="1" w:space="0" w:color="AEAEAE"/>
              <w:right w:val="none" w:sz="1" w:space="0" w:color="AEAEAE"/>
            </w:tcBorders>
            <w:shd w:val="clear" w:color="auto" w:fill="FFFFFF"/>
            <w:vAlign w:val="bottom"/>
          </w:tcPr>
          <w:p w14:paraId="20913ECE"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Included</w:t>
            </w:r>
          </w:p>
        </w:tc>
        <w:tc>
          <w:tcPr>
            <w:tcW w:w="2312" w:type="dxa"/>
            <w:gridSpan w:val="2"/>
            <w:tcBorders>
              <w:top w:val="none" w:sz="1" w:space="0" w:color="AEAEAE"/>
              <w:left w:val="single" w:sz="1" w:space="0" w:color="E0E0E0"/>
              <w:bottom w:val="none" w:sz="1" w:space="0" w:color="AEAEAE"/>
              <w:right w:val="none" w:sz="1" w:space="0" w:color="AEAEAE"/>
            </w:tcBorders>
            <w:shd w:val="clear" w:color="auto" w:fill="FFFFFF"/>
            <w:vAlign w:val="bottom"/>
          </w:tcPr>
          <w:p w14:paraId="7F233109"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Excluded</w:t>
            </w:r>
          </w:p>
        </w:tc>
        <w:tc>
          <w:tcPr>
            <w:tcW w:w="231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041D1C10"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Total</w:t>
            </w:r>
          </w:p>
        </w:tc>
      </w:tr>
      <w:tr w:rsidR="001C399C" w:rsidRPr="00267217" w14:paraId="0BBDE5D8" w14:textId="77777777" w:rsidTr="00A336AB">
        <w:tc>
          <w:tcPr>
            <w:tcW w:w="1819" w:type="dxa"/>
            <w:vMerge/>
            <w:tcBorders>
              <w:top w:val="none" w:sz="1" w:space="0" w:color="152935"/>
              <w:left w:val="none" w:sz="1" w:space="0" w:color="152935"/>
              <w:right w:val="none" w:sz="1" w:space="0" w:color="152935"/>
            </w:tcBorders>
          </w:tcPr>
          <w:p w14:paraId="472A9813" w14:textId="77777777" w:rsidR="001C399C" w:rsidRPr="00267217" w:rsidRDefault="001C399C" w:rsidP="00A336AB">
            <w:pPr>
              <w:rPr>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818F7EE"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0EC35F0"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0DDEED0"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D1F64FF"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18728243"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N</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7BFBF39E"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Percent</w:t>
            </w:r>
          </w:p>
        </w:tc>
      </w:tr>
      <w:tr w:rsidR="001C399C" w:rsidRPr="00267217" w14:paraId="23B3C431" w14:textId="77777777" w:rsidTr="00A336AB">
        <w:tc>
          <w:tcPr>
            <w:tcW w:w="1819" w:type="dxa"/>
            <w:tcBorders>
              <w:top w:val="single" w:sz="1" w:space="0" w:color="152935"/>
              <w:left w:val="none" w:sz="1" w:space="0" w:color="152935"/>
              <w:bottom w:val="single" w:sz="1" w:space="0" w:color="AEAEAE"/>
              <w:right w:val="none" w:sz="1" w:space="0" w:color="152935"/>
            </w:tcBorders>
            <w:shd w:val="clear" w:color="auto" w:fill="E0E0E0"/>
          </w:tcPr>
          <w:p w14:paraId="0F27433F" w14:textId="77777777" w:rsidR="001C399C" w:rsidRPr="00267217" w:rsidRDefault="001C399C" w:rsidP="00A336AB">
            <w:pPr>
              <w:spacing w:before="15" w:after="10"/>
              <w:ind w:left="30" w:right="40"/>
              <w:rPr>
                <w:sz w:val="20"/>
                <w:szCs w:val="20"/>
              </w:rPr>
            </w:pPr>
            <w:proofErr w:type="gramStart"/>
            <w:r w:rsidRPr="00267217">
              <w:rPr>
                <w:rFonts w:ascii="Arial" w:eastAsia="Arial" w:hAnsi="Arial" w:cs="Arial"/>
                <w:color w:val="264A60"/>
                <w:szCs w:val="20"/>
              </w:rPr>
              <w:t>Pretest  *</w:t>
            </w:r>
            <w:proofErr w:type="gramEnd"/>
            <w:r w:rsidRPr="00267217">
              <w:rPr>
                <w:rFonts w:ascii="Arial" w:eastAsia="Arial" w:hAnsi="Arial" w:cs="Arial"/>
                <w:color w:val="264A60"/>
                <w:szCs w:val="20"/>
              </w:rPr>
              <w:t xml:space="preserve"> Lunch</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04B8F11"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DBC6E7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0E5DB3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D17919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C3A1C90"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C6682C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r>
      <w:tr w:rsidR="001C399C" w:rsidRPr="00267217" w14:paraId="1E13D728" w14:textId="77777777" w:rsidTr="00A336AB">
        <w:tc>
          <w:tcPr>
            <w:tcW w:w="1819" w:type="dxa"/>
            <w:tcBorders>
              <w:top w:val="single" w:sz="1" w:space="0" w:color="AEAEAE"/>
              <w:left w:val="none" w:sz="1" w:space="0" w:color="152935"/>
              <w:bottom w:val="single" w:sz="1" w:space="0" w:color="152935"/>
              <w:right w:val="none" w:sz="1" w:space="0" w:color="152935"/>
            </w:tcBorders>
            <w:shd w:val="clear" w:color="auto" w:fill="E0E0E0"/>
          </w:tcPr>
          <w:p w14:paraId="427A529C" w14:textId="77777777" w:rsidR="001C399C" w:rsidRPr="00267217" w:rsidRDefault="001C399C" w:rsidP="00A336AB">
            <w:pPr>
              <w:spacing w:before="15" w:after="10"/>
              <w:ind w:left="30" w:right="40"/>
              <w:rPr>
                <w:sz w:val="20"/>
                <w:szCs w:val="20"/>
              </w:rPr>
            </w:pPr>
            <w:proofErr w:type="spellStart"/>
            <w:proofErr w:type="gramStart"/>
            <w:r w:rsidRPr="00267217">
              <w:rPr>
                <w:rFonts w:ascii="Arial" w:eastAsia="Arial" w:hAnsi="Arial" w:cs="Arial"/>
                <w:color w:val="264A60"/>
                <w:szCs w:val="20"/>
              </w:rPr>
              <w:t>Posttest</w:t>
            </w:r>
            <w:proofErr w:type="spellEnd"/>
            <w:r w:rsidRPr="00267217">
              <w:rPr>
                <w:rFonts w:ascii="Arial" w:eastAsia="Arial" w:hAnsi="Arial" w:cs="Arial"/>
                <w:color w:val="264A60"/>
                <w:szCs w:val="20"/>
              </w:rPr>
              <w:t xml:space="preserve">  *</w:t>
            </w:r>
            <w:proofErr w:type="gramEnd"/>
            <w:r w:rsidRPr="00267217">
              <w:rPr>
                <w:rFonts w:ascii="Arial" w:eastAsia="Arial" w:hAnsi="Arial" w:cs="Arial"/>
                <w:color w:val="264A60"/>
                <w:szCs w:val="20"/>
              </w:rPr>
              <w:t xml:space="preserve"> Lunch</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9BFF71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4775E6A"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26DC44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81095D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F521BA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BFC6DF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100.0%</w:t>
            </w:r>
          </w:p>
        </w:tc>
      </w:tr>
    </w:tbl>
    <w:p w14:paraId="7A31CA02" w14:textId="77777777" w:rsidR="001C399C" w:rsidRPr="00267217" w:rsidRDefault="001C399C" w:rsidP="001C399C">
      <w:pPr>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3688"/>
        <w:gridCol w:w="2362"/>
        <w:gridCol w:w="1529"/>
        <w:gridCol w:w="1530"/>
      </w:tblGrid>
      <w:tr w:rsidR="001C399C" w:rsidRPr="00267217" w14:paraId="4EC671F8" w14:textId="77777777" w:rsidTr="001C399C">
        <w:trPr>
          <w:trHeight w:val="402"/>
        </w:trPr>
        <w:tc>
          <w:tcPr>
            <w:tcW w:w="9109" w:type="dxa"/>
            <w:gridSpan w:val="4"/>
            <w:shd w:val="clear" w:color="auto" w:fill="FFFFFF"/>
            <w:vAlign w:val="center"/>
          </w:tcPr>
          <w:p w14:paraId="631F9C92" w14:textId="77777777" w:rsidR="001C399C" w:rsidRPr="00267217" w:rsidRDefault="001C399C" w:rsidP="00A336AB">
            <w:pPr>
              <w:spacing w:before="5" w:after="30"/>
              <w:ind w:left="30" w:right="40"/>
              <w:jc w:val="center"/>
              <w:rPr>
                <w:sz w:val="20"/>
                <w:szCs w:val="20"/>
              </w:rPr>
            </w:pPr>
            <w:r w:rsidRPr="00267217">
              <w:rPr>
                <w:rFonts w:ascii="Arial" w:eastAsia="Arial" w:hAnsi="Arial" w:cs="Arial"/>
                <w:b/>
                <w:color w:val="010205"/>
                <w:sz w:val="24"/>
                <w:szCs w:val="18"/>
              </w:rPr>
              <w:t>Report</w:t>
            </w:r>
          </w:p>
        </w:tc>
      </w:tr>
      <w:tr w:rsidR="001C399C" w:rsidRPr="00267217" w14:paraId="7D4F55FF" w14:textId="77777777" w:rsidTr="001C399C">
        <w:trPr>
          <w:trHeight w:val="343"/>
        </w:trPr>
        <w:tc>
          <w:tcPr>
            <w:tcW w:w="6050" w:type="dxa"/>
            <w:gridSpan w:val="2"/>
            <w:tcBorders>
              <w:top w:val="none" w:sz="1" w:space="0" w:color="152935"/>
              <w:left w:val="none" w:sz="1" w:space="0" w:color="152935"/>
              <w:bottom w:val="single" w:sz="1" w:space="0" w:color="152935"/>
            </w:tcBorders>
            <w:shd w:val="clear" w:color="auto" w:fill="FFFFFF"/>
            <w:vAlign w:val="bottom"/>
          </w:tcPr>
          <w:p w14:paraId="2E0F0445" w14:textId="77777777" w:rsidR="001C399C" w:rsidRPr="00267217" w:rsidRDefault="001C399C" w:rsidP="00A336AB">
            <w:pPr>
              <w:spacing w:before="15" w:after="5"/>
              <w:ind w:left="30" w:right="40"/>
              <w:rPr>
                <w:sz w:val="20"/>
                <w:szCs w:val="20"/>
              </w:rPr>
            </w:pPr>
            <w:r w:rsidRPr="00267217">
              <w:rPr>
                <w:rFonts w:ascii="Arial" w:eastAsia="Arial" w:hAnsi="Arial" w:cs="Arial"/>
                <w:color w:val="264A60"/>
                <w:szCs w:val="20"/>
              </w:rPr>
              <w:t>Lunch</w:t>
            </w:r>
          </w:p>
        </w:tc>
        <w:tc>
          <w:tcPr>
            <w:tcW w:w="1529" w:type="dxa"/>
            <w:tcBorders>
              <w:top w:val="none" w:sz="1" w:space="0" w:color="152935"/>
              <w:left w:val="none" w:sz="1" w:space="0" w:color="152935"/>
              <w:bottom w:val="single" w:sz="1" w:space="0" w:color="152935"/>
              <w:right w:val="none" w:sz="1" w:space="0" w:color="AEAEAE"/>
            </w:tcBorders>
            <w:shd w:val="clear" w:color="auto" w:fill="FFFFFF"/>
            <w:vAlign w:val="bottom"/>
          </w:tcPr>
          <w:p w14:paraId="1123A85B" w14:textId="77777777" w:rsidR="001C399C" w:rsidRPr="00267217" w:rsidRDefault="001C399C" w:rsidP="00A336AB">
            <w:pPr>
              <w:spacing w:before="10" w:after="10"/>
              <w:ind w:left="30" w:right="40"/>
              <w:jc w:val="center"/>
              <w:rPr>
                <w:sz w:val="20"/>
                <w:szCs w:val="20"/>
              </w:rPr>
            </w:pPr>
            <w:r w:rsidRPr="00267217">
              <w:rPr>
                <w:rFonts w:ascii="Arial" w:eastAsia="Arial" w:hAnsi="Arial" w:cs="Arial"/>
                <w:color w:val="264A60"/>
                <w:szCs w:val="20"/>
              </w:rPr>
              <w:t>Pretest</w:t>
            </w:r>
          </w:p>
        </w:tc>
        <w:tc>
          <w:tcPr>
            <w:tcW w:w="1529" w:type="dxa"/>
            <w:tcBorders>
              <w:top w:val="none" w:sz="1" w:space="0" w:color="152935"/>
              <w:left w:val="single" w:sz="1" w:space="0" w:color="E0E0E0"/>
              <w:bottom w:val="single" w:sz="1" w:space="0" w:color="152935"/>
              <w:right w:val="none" w:sz="1" w:space="0" w:color="152935"/>
            </w:tcBorders>
            <w:shd w:val="clear" w:color="auto" w:fill="FFFFFF"/>
            <w:vAlign w:val="bottom"/>
          </w:tcPr>
          <w:p w14:paraId="1FFE6402" w14:textId="77777777" w:rsidR="001C399C" w:rsidRPr="00267217" w:rsidRDefault="001C399C" w:rsidP="00A336AB">
            <w:pPr>
              <w:spacing w:before="10" w:after="10"/>
              <w:ind w:left="30" w:right="40"/>
              <w:jc w:val="center"/>
              <w:rPr>
                <w:sz w:val="20"/>
                <w:szCs w:val="20"/>
              </w:rPr>
            </w:pPr>
            <w:proofErr w:type="spellStart"/>
            <w:r w:rsidRPr="00267217">
              <w:rPr>
                <w:rFonts w:ascii="Arial" w:eastAsia="Arial" w:hAnsi="Arial" w:cs="Arial"/>
                <w:color w:val="264A60"/>
                <w:szCs w:val="20"/>
              </w:rPr>
              <w:t>Posttest</w:t>
            </w:r>
            <w:proofErr w:type="spellEnd"/>
          </w:p>
        </w:tc>
      </w:tr>
      <w:tr w:rsidR="001C399C" w:rsidRPr="00267217" w14:paraId="612FBF0C" w14:textId="77777777" w:rsidTr="001C399C">
        <w:trPr>
          <w:trHeight w:val="328"/>
        </w:trPr>
        <w:tc>
          <w:tcPr>
            <w:tcW w:w="3688" w:type="dxa"/>
            <w:vMerge w:val="restart"/>
            <w:tcBorders>
              <w:top w:val="single" w:sz="1" w:space="0" w:color="152935"/>
              <w:left w:val="none" w:sz="1" w:space="0" w:color="152935"/>
              <w:bottom w:val="none" w:sz="1" w:space="0" w:color="AEAEAE"/>
              <w:right w:val="none" w:sz="1" w:space="0" w:color="AEAEAE"/>
            </w:tcBorders>
            <w:shd w:val="clear" w:color="auto" w:fill="E0E0E0"/>
          </w:tcPr>
          <w:p w14:paraId="67A31D75"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Does not qualify</w:t>
            </w:r>
          </w:p>
        </w:tc>
        <w:tc>
          <w:tcPr>
            <w:tcW w:w="2361" w:type="dxa"/>
            <w:tcBorders>
              <w:top w:val="single" w:sz="1" w:space="0" w:color="152935"/>
              <w:left w:val="none" w:sz="1" w:space="0" w:color="AEAEAE"/>
              <w:bottom w:val="single" w:sz="1" w:space="0" w:color="AEAEAE"/>
              <w:right w:val="none" w:sz="1" w:space="0" w:color="152935"/>
            </w:tcBorders>
            <w:shd w:val="clear" w:color="auto" w:fill="E0E0E0"/>
          </w:tcPr>
          <w:p w14:paraId="77ADFB3A"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Mean</w:t>
            </w:r>
          </w:p>
        </w:tc>
        <w:tc>
          <w:tcPr>
            <w:tcW w:w="1529" w:type="dxa"/>
            <w:tcBorders>
              <w:top w:val="single" w:sz="1" w:space="0" w:color="152935"/>
              <w:left w:val="none" w:sz="1" w:space="0" w:color="152935"/>
              <w:bottom w:val="single" w:sz="1" w:space="0" w:color="AEAEAE"/>
              <w:right w:val="none" w:sz="1" w:space="0" w:color="AEAEAE"/>
            </w:tcBorders>
            <w:shd w:val="clear" w:color="auto" w:fill="F9F9FB"/>
          </w:tcPr>
          <w:p w14:paraId="688BC53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62.29</w:t>
            </w:r>
          </w:p>
        </w:tc>
        <w:tc>
          <w:tcPr>
            <w:tcW w:w="1529" w:type="dxa"/>
            <w:tcBorders>
              <w:top w:val="single" w:sz="1" w:space="0" w:color="152935"/>
              <w:left w:val="single" w:sz="1" w:space="0" w:color="E0E0E0"/>
              <w:bottom w:val="single" w:sz="1" w:space="0" w:color="AEAEAE"/>
              <w:right w:val="none" w:sz="1" w:space="0" w:color="152935"/>
            </w:tcBorders>
            <w:shd w:val="clear" w:color="auto" w:fill="F9F9FB"/>
          </w:tcPr>
          <w:p w14:paraId="5519FDF0"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74.38</w:t>
            </w:r>
          </w:p>
        </w:tc>
      </w:tr>
      <w:tr w:rsidR="001C399C" w:rsidRPr="00267217" w14:paraId="0DADD438" w14:textId="77777777" w:rsidTr="001C399C">
        <w:trPr>
          <w:trHeight w:val="143"/>
        </w:trPr>
        <w:tc>
          <w:tcPr>
            <w:tcW w:w="3688" w:type="dxa"/>
            <w:vMerge/>
            <w:tcBorders>
              <w:top w:val="single" w:sz="1" w:space="0" w:color="152935"/>
              <w:left w:val="none" w:sz="1" w:space="0" w:color="152935"/>
              <w:bottom w:val="none" w:sz="1" w:space="0" w:color="AEAEAE"/>
              <w:right w:val="none" w:sz="1" w:space="0" w:color="AEAEAE"/>
            </w:tcBorders>
          </w:tcPr>
          <w:p w14:paraId="7FC1078C"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2B4B7E0C"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0A2F5353"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1215</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549C5D2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1215</w:t>
            </w:r>
          </w:p>
        </w:tc>
      </w:tr>
      <w:tr w:rsidR="001C399C" w:rsidRPr="00267217" w14:paraId="3E63881F" w14:textId="77777777" w:rsidTr="001C399C">
        <w:trPr>
          <w:trHeight w:val="143"/>
        </w:trPr>
        <w:tc>
          <w:tcPr>
            <w:tcW w:w="3688" w:type="dxa"/>
            <w:vMerge/>
            <w:tcBorders>
              <w:top w:val="single" w:sz="1" w:space="0" w:color="152935"/>
              <w:left w:val="none" w:sz="1" w:space="0" w:color="152935"/>
              <w:bottom w:val="none" w:sz="1" w:space="0" w:color="AEAEAE"/>
              <w:right w:val="none" w:sz="1" w:space="0" w:color="AEAEAE"/>
            </w:tcBorders>
          </w:tcPr>
          <w:p w14:paraId="60B32D47"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54DCDAD4"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Std. Deviation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37C3CF4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10.780</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6DF3D5F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11.302</w:t>
            </w:r>
          </w:p>
        </w:tc>
      </w:tr>
      <w:tr w:rsidR="001C399C" w:rsidRPr="00267217" w14:paraId="32AD94DB" w14:textId="77777777" w:rsidTr="001C399C">
        <w:trPr>
          <w:trHeight w:val="143"/>
        </w:trPr>
        <w:tc>
          <w:tcPr>
            <w:tcW w:w="3688" w:type="dxa"/>
            <w:vMerge/>
            <w:tcBorders>
              <w:top w:val="single" w:sz="1" w:space="0" w:color="152935"/>
              <w:left w:val="none" w:sz="1" w:space="0" w:color="152935"/>
              <w:bottom w:val="none" w:sz="1" w:space="0" w:color="AEAEAE"/>
              <w:right w:val="none" w:sz="1" w:space="0" w:color="AEAEAE"/>
            </w:tcBorders>
          </w:tcPr>
          <w:p w14:paraId="0B69D39F" w14:textId="77777777" w:rsidR="001C399C" w:rsidRPr="00267217" w:rsidRDefault="001C399C" w:rsidP="00A336AB">
            <w:pPr>
              <w:rPr>
                <w:sz w:val="20"/>
                <w:szCs w:val="20"/>
              </w:rPr>
            </w:pPr>
          </w:p>
        </w:tc>
        <w:tc>
          <w:tcPr>
            <w:tcW w:w="2361" w:type="dxa"/>
            <w:tcBorders>
              <w:top w:val="single" w:sz="1" w:space="0" w:color="AEAEAE"/>
              <w:left w:val="none" w:sz="1" w:space="0" w:color="AEAEAE"/>
              <w:bottom w:val="none" w:sz="1" w:space="0" w:color="AEAEAE"/>
              <w:right w:val="none" w:sz="1" w:space="0" w:color="152935"/>
            </w:tcBorders>
            <w:shd w:val="clear" w:color="auto" w:fill="E0E0E0"/>
          </w:tcPr>
          <w:p w14:paraId="75E843BD"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Grouped Median</w:t>
            </w:r>
          </w:p>
        </w:tc>
        <w:tc>
          <w:tcPr>
            <w:tcW w:w="1529" w:type="dxa"/>
            <w:tcBorders>
              <w:top w:val="single" w:sz="1" w:space="0" w:color="AEAEAE"/>
              <w:left w:val="none" w:sz="1" w:space="0" w:color="152935"/>
              <w:bottom w:val="none" w:sz="1" w:space="0" w:color="AEAEAE"/>
              <w:right w:val="none" w:sz="1" w:space="0" w:color="AEAEAE"/>
            </w:tcBorders>
            <w:shd w:val="clear" w:color="auto" w:fill="F9F9FB"/>
          </w:tcPr>
          <w:p w14:paraId="6A7BA6B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62.37</w:t>
            </w:r>
          </w:p>
        </w:tc>
        <w:tc>
          <w:tcPr>
            <w:tcW w:w="1529" w:type="dxa"/>
            <w:tcBorders>
              <w:top w:val="single" w:sz="1" w:space="0" w:color="AEAEAE"/>
              <w:left w:val="single" w:sz="1" w:space="0" w:color="E0E0E0"/>
              <w:bottom w:val="none" w:sz="1" w:space="0" w:color="AEAEAE"/>
              <w:right w:val="none" w:sz="1" w:space="0" w:color="152935"/>
            </w:tcBorders>
            <w:shd w:val="clear" w:color="auto" w:fill="F9F9FB"/>
          </w:tcPr>
          <w:p w14:paraId="24B79A7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74.39</w:t>
            </w:r>
          </w:p>
        </w:tc>
      </w:tr>
      <w:tr w:rsidR="001C399C" w:rsidRPr="00267217" w14:paraId="3D82B0EB" w14:textId="77777777" w:rsidTr="001C399C">
        <w:trPr>
          <w:trHeight w:val="328"/>
        </w:trPr>
        <w:tc>
          <w:tcPr>
            <w:tcW w:w="3688" w:type="dxa"/>
            <w:vMerge w:val="restart"/>
            <w:tcBorders>
              <w:top w:val="single" w:sz="1" w:space="0" w:color="AEAEAE"/>
              <w:left w:val="none" w:sz="1" w:space="0" w:color="152935"/>
              <w:bottom w:val="none" w:sz="1" w:space="0" w:color="AEAEAE"/>
              <w:right w:val="none" w:sz="1" w:space="0" w:color="AEAEAE"/>
            </w:tcBorders>
            <w:shd w:val="clear" w:color="auto" w:fill="E0E0E0"/>
          </w:tcPr>
          <w:p w14:paraId="4834764A"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Qualifies for reduced/free lunch</w:t>
            </w: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1FAAE1D5"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Mean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79A65FE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45.25</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7EB9EB3E"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57.48</w:t>
            </w:r>
          </w:p>
        </w:tc>
      </w:tr>
      <w:tr w:rsidR="001C399C" w:rsidRPr="00267217" w14:paraId="075D9C97" w14:textId="77777777" w:rsidTr="001C399C">
        <w:trPr>
          <w:trHeight w:val="143"/>
        </w:trPr>
        <w:tc>
          <w:tcPr>
            <w:tcW w:w="3688" w:type="dxa"/>
            <w:vMerge/>
            <w:tcBorders>
              <w:top w:val="single" w:sz="1" w:space="0" w:color="AEAEAE"/>
              <w:left w:val="none" w:sz="1" w:space="0" w:color="152935"/>
              <w:bottom w:val="none" w:sz="1" w:space="0" w:color="AEAEAE"/>
              <w:right w:val="none" w:sz="1" w:space="0" w:color="AEAEAE"/>
            </w:tcBorders>
          </w:tcPr>
          <w:p w14:paraId="59CA09E7"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36EAB74A"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65865996"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918</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6E27C92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918</w:t>
            </w:r>
          </w:p>
        </w:tc>
      </w:tr>
      <w:tr w:rsidR="001C399C" w:rsidRPr="00267217" w14:paraId="3884886C" w14:textId="77777777" w:rsidTr="001C399C">
        <w:trPr>
          <w:trHeight w:val="143"/>
        </w:trPr>
        <w:tc>
          <w:tcPr>
            <w:tcW w:w="3688" w:type="dxa"/>
            <w:vMerge/>
            <w:tcBorders>
              <w:top w:val="single" w:sz="1" w:space="0" w:color="AEAEAE"/>
              <w:left w:val="none" w:sz="1" w:space="0" w:color="152935"/>
              <w:bottom w:val="none" w:sz="1" w:space="0" w:color="AEAEAE"/>
              <w:right w:val="none" w:sz="1" w:space="0" w:color="AEAEAE"/>
            </w:tcBorders>
          </w:tcPr>
          <w:p w14:paraId="2D4D0D38"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0000F850"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Std. Deviation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4042B5CE"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10.400</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5A458823"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11.085</w:t>
            </w:r>
          </w:p>
        </w:tc>
      </w:tr>
      <w:tr w:rsidR="001C399C" w:rsidRPr="00267217" w14:paraId="1EE79197" w14:textId="77777777" w:rsidTr="001C399C">
        <w:trPr>
          <w:trHeight w:val="143"/>
        </w:trPr>
        <w:tc>
          <w:tcPr>
            <w:tcW w:w="3688" w:type="dxa"/>
            <w:vMerge/>
            <w:tcBorders>
              <w:top w:val="single" w:sz="1" w:space="0" w:color="AEAEAE"/>
              <w:left w:val="none" w:sz="1" w:space="0" w:color="152935"/>
              <w:bottom w:val="none" w:sz="1" w:space="0" w:color="AEAEAE"/>
              <w:right w:val="none" w:sz="1" w:space="0" w:color="AEAEAE"/>
            </w:tcBorders>
          </w:tcPr>
          <w:p w14:paraId="4F726BAE" w14:textId="77777777" w:rsidR="001C399C" w:rsidRPr="00267217" w:rsidRDefault="001C399C" w:rsidP="00A336AB">
            <w:pPr>
              <w:rPr>
                <w:sz w:val="20"/>
                <w:szCs w:val="20"/>
              </w:rPr>
            </w:pPr>
          </w:p>
        </w:tc>
        <w:tc>
          <w:tcPr>
            <w:tcW w:w="2361" w:type="dxa"/>
            <w:tcBorders>
              <w:top w:val="single" w:sz="1" w:space="0" w:color="AEAEAE"/>
              <w:left w:val="none" w:sz="1" w:space="0" w:color="AEAEAE"/>
              <w:bottom w:val="none" w:sz="1" w:space="0" w:color="AEAEAE"/>
              <w:right w:val="none" w:sz="1" w:space="0" w:color="152935"/>
            </w:tcBorders>
            <w:shd w:val="clear" w:color="auto" w:fill="E0E0E0"/>
          </w:tcPr>
          <w:p w14:paraId="7399C0E2"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Grouped Median</w:t>
            </w:r>
          </w:p>
        </w:tc>
        <w:tc>
          <w:tcPr>
            <w:tcW w:w="1529" w:type="dxa"/>
            <w:tcBorders>
              <w:top w:val="single" w:sz="1" w:space="0" w:color="AEAEAE"/>
              <w:left w:val="none" w:sz="1" w:space="0" w:color="152935"/>
              <w:bottom w:val="none" w:sz="1" w:space="0" w:color="AEAEAE"/>
              <w:right w:val="none" w:sz="1" w:space="0" w:color="AEAEAE"/>
            </w:tcBorders>
            <w:shd w:val="clear" w:color="auto" w:fill="F9F9FB"/>
          </w:tcPr>
          <w:p w14:paraId="6C8993A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43.88</w:t>
            </w:r>
          </w:p>
        </w:tc>
        <w:tc>
          <w:tcPr>
            <w:tcW w:w="1529" w:type="dxa"/>
            <w:tcBorders>
              <w:top w:val="single" w:sz="1" w:space="0" w:color="AEAEAE"/>
              <w:left w:val="single" w:sz="1" w:space="0" w:color="E0E0E0"/>
              <w:bottom w:val="none" w:sz="1" w:space="0" w:color="AEAEAE"/>
              <w:right w:val="none" w:sz="1" w:space="0" w:color="152935"/>
            </w:tcBorders>
            <w:shd w:val="clear" w:color="auto" w:fill="F9F9FB"/>
          </w:tcPr>
          <w:p w14:paraId="74F2BA7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55.44</w:t>
            </w:r>
          </w:p>
        </w:tc>
      </w:tr>
      <w:tr w:rsidR="001C399C" w:rsidRPr="00267217" w14:paraId="057E2B28" w14:textId="77777777" w:rsidTr="001C399C">
        <w:trPr>
          <w:trHeight w:val="343"/>
        </w:trPr>
        <w:tc>
          <w:tcPr>
            <w:tcW w:w="3688" w:type="dxa"/>
            <w:vMerge w:val="restart"/>
            <w:tcBorders>
              <w:top w:val="single" w:sz="1" w:space="0" w:color="AEAEAE"/>
              <w:left w:val="none" w:sz="1" w:space="0" w:color="152935"/>
              <w:bottom w:val="single" w:sz="1" w:space="0" w:color="152935"/>
              <w:right w:val="none" w:sz="1" w:space="0" w:color="AEAEAE"/>
            </w:tcBorders>
            <w:shd w:val="clear" w:color="auto" w:fill="E0E0E0"/>
          </w:tcPr>
          <w:p w14:paraId="34C9102B"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Total</w:t>
            </w: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207E11F2"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Mean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1F833FF7"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54.96</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0939B269"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67.10</w:t>
            </w:r>
          </w:p>
        </w:tc>
      </w:tr>
      <w:tr w:rsidR="001C399C" w:rsidRPr="00267217" w14:paraId="04759951" w14:textId="77777777" w:rsidTr="001C399C">
        <w:trPr>
          <w:trHeight w:val="143"/>
        </w:trPr>
        <w:tc>
          <w:tcPr>
            <w:tcW w:w="3688" w:type="dxa"/>
            <w:vMerge/>
            <w:tcBorders>
              <w:top w:val="single" w:sz="1" w:space="0" w:color="AEAEAE"/>
              <w:left w:val="none" w:sz="1" w:space="0" w:color="152935"/>
              <w:bottom w:val="single" w:sz="1" w:space="0" w:color="152935"/>
              <w:right w:val="none" w:sz="1" w:space="0" w:color="AEAEAE"/>
            </w:tcBorders>
          </w:tcPr>
          <w:p w14:paraId="544A5C2C"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43BED821"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0B764328"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52FB0EDA"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2133</w:t>
            </w:r>
          </w:p>
        </w:tc>
      </w:tr>
      <w:tr w:rsidR="001C399C" w:rsidRPr="00267217" w14:paraId="0405157E" w14:textId="77777777" w:rsidTr="001C399C">
        <w:trPr>
          <w:trHeight w:val="143"/>
        </w:trPr>
        <w:tc>
          <w:tcPr>
            <w:tcW w:w="3688" w:type="dxa"/>
            <w:vMerge/>
            <w:tcBorders>
              <w:top w:val="single" w:sz="1" w:space="0" w:color="AEAEAE"/>
              <w:left w:val="none" w:sz="1" w:space="0" w:color="152935"/>
              <w:bottom w:val="single" w:sz="1" w:space="0" w:color="152935"/>
              <w:right w:val="none" w:sz="1" w:space="0" w:color="AEAEAE"/>
            </w:tcBorders>
          </w:tcPr>
          <w:p w14:paraId="2E875CEB"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AEAEAE"/>
              <w:right w:val="none" w:sz="1" w:space="0" w:color="152935"/>
            </w:tcBorders>
            <w:shd w:val="clear" w:color="auto" w:fill="E0E0E0"/>
          </w:tcPr>
          <w:p w14:paraId="1A046875"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Std. Deviation</w:t>
            </w:r>
          </w:p>
        </w:tc>
        <w:tc>
          <w:tcPr>
            <w:tcW w:w="1529" w:type="dxa"/>
            <w:tcBorders>
              <w:top w:val="single" w:sz="1" w:space="0" w:color="AEAEAE"/>
              <w:left w:val="none" w:sz="1" w:space="0" w:color="152935"/>
              <w:bottom w:val="single" w:sz="1" w:space="0" w:color="AEAEAE"/>
              <w:right w:val="none" w:sz="1" w:space="0" w:color="AEAEAE"/>
            </w:tcBorders>
            <w:shd w:val="clear" w:color="auto" w:fill="F9F9FB"/>
          </w:tcPr>
          <w:p w14:paraId="3628161D"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13.563</w:t>
            </w:r>
          </w:p>
        </w:tc>
        <w:tc>
          <w:tcPr>
            <w:tcW w:w="1529" w:type="dxa"/>
            <w:tcBorders>
              <w:top w:val="single" w:sz="1" w:space="0" w:color="AEAEAE"/>
              <w:left w:val="single" w:sz="1" w:space="0" w:color="E0E0E0"/>
              <w:bottom w:val="single" w:sz="1" w:space="0" w:color="AEAEAE"/>
              <w:right w:val="none" w:sz="1" w:space="0" w:color="152935"/>
            </w:tcBorders>
            <w:shd w:val="clear" w:color="auto" w:fill="F9F9FB"/>
          </w:tcPr>
          <w:p w14:paraId="3AE5268F"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13.987</w:t>
            </w:r>
          </w:p>
        </w:tc>
      </w:tr>
      <w:tr w:rsidR="001C399C" w:rsidRPr="00267217" w14:paraId="49C46D63" w14:textId="77777777" w:rsidTr="001C399C">
        <w:trPr>
          <w:trHeight w:val="143"/>
        </w:trPr>
        <w:tc>
          <w:tcPr>
            <w:tcW w:w="3688" w:type="dxa"/>
            <w:vMerge/>
            <w:tcBorders>
              <w:top w:val="single" w:sz="1" w:space="0" w:color="AEAEAE"/>
              <w:left w:val="none" w:sz="1" w:space="0" w:color="152935"/>
              <w:bottom w:val="single" w:sz="1" w:space="0" w:color="152935"/>
              <w:right w:val="none" w:sz="1" w:space="0" w:color="AEAEAE"/>
            </w:tcBorders>
          </w:tcPr>
          <w:p w14:paraId="52163892" w14:textId="77777777" w:rsidR="001C399C" w:rsidRPr="00267217" w:rsidRDefault="001C399C" w:rsidP="00A336AB">
            <w:pPr>
              <w:rPr>
                <w:sz w:val="20"/>
                <w:szCs w:val="20"/>
              </w:rPr>
            </w:pPr>
          </w:p>
        </w:tc>
        <w:tc>
          <w:tcPr>
            <w:tcW w:w="2361" w:type="dxa"/>
            <w:tcBorders>
              <w:top w:val="single" w:sz="1" w:space="0" w:color="AEAEAE"/>
              <w:left w:val="none" w:sz="1" w:space="0" w:color="AEAEAE"/>
              <w:bottom w:val="single" w:sz="1" w:space="0" w:color="152935"/>
              <w:right w:val="none" w:sz="1" w:space="0" w:color="152935"/>
            </w:tcBorders>
            <w:shd w:val="clear" w:color="auto" w:fill="E0E0E0"/>
          </w:tcPr>
          <w:p w14:paraId="398522EA" w14:textId="77777777" w:rsidR="001C399C" w:rsidRPr="00267217" w:rsidRDefault="001C399C" w:rsidP="00A336AB">
            <w:pPr>
              <w:spacing w:before="15" w:after="10"/>
              <w:ind w:left="30" w:right="40"/>
              <w:rPr>
                <w:sz w:val="20"/>
                <w:szCs w:val="20"/>
              </w:rPr>
            </w:pPr>
            <w:r w:rsidRPr="00267217">
              <w:rPr>
                <w:rFonts w:ascii="Arial" w:eastAsia="Arial" w:hAnsi="Arial" w:cs="Arial"/>
                <w:color w:val="264A60"/>
                <w:szCs w:val="20"/>
              </w:rPr>
              <w:t>Grouped Median</w:t>
            </w:r>
          </w:p>
        </w:tc>
        <w:tc>
          <w:tcPr>
            <w:tcW w:w="1529" w:type="dxa"/>
            <w:tcBorders>
              <w:top w:val="single" w:sz="1" w:space="0" w:color="AEAEAE"/>
              <w:left w:val="none" w:sz="1" w:space="0" w:color="152935"/>
              <w:bottom w:val="single" w:sz="1" w:space="0" w:color="152935"/>
              <w:right w:val="none" w:sz="1" w:space="0" w:color="AEAEAE"/>
            </w:tcBorders>
            <w:shd w:val="clear" w:color="auto" w:fill="F9F9FB"/>
          </w:tcPr>
          <w:p w14:paraId="439937BC"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55.52</w:t>
            </w:r>
          </w:p>
        </w:tc>
        <w:tc>
          <w:tcPr>
            <w:tcW w:w="1529" w:type="dxa"/>
            <w:tcBorders>
              <w:top w:val="single" w:sz="1" w:space="0" w:color="AEAEAE"/>
              <w:left w:val="single" w:sz="1" w:space="0" w:color="E0E0E0"/>
              <w:bottom w:val="single" w:sz="1" w:space="0" w:color="152935"/>
              <w:right w:val="none" w:sz="1" w:space="0" w:color="152935"/>
            </w:tcBorders>
            <w:shd w:val="clear" w:color="auto" w:fill="F9F9FB"/>
          </w:tcPr>
          <w:p w14:paraId="67FC0122" w14:textId="77777777" w:rsidR="001C399C" w:rsidRPr="00267217" w:rsidRDefault="001C399C" w:rsidP="00A336AB">
            <w:pPr>
              <w:spacing w:before="15" w:after="10"/>
              <w:ind w:left="30" w:right="40"/>
              <w:jc w:val="right"/>
              <w:rPr>
                <w:sz w:val="20"/>
                <w:szCs w:val="20"/>
              </w:rPr>
            </w:pPr>
            <w:r w:rsidRPr="00267217">
              <w:rPr>
                <w:rFonts w:ascii="Arial" w:eastAsia="Arial" w:hAnsi="Arial" w:cs="Arial"/>
                <w:color w:val="010205"/>
                <w:szCs w:val="20"/>
              </w:rPr>
              <w:t>67.71</w:t>
            </w:r>
          </w:p>
        </w:tc>
      </w:tr>
    </w:tbl>
    <w:p w14:paraId="698F772C" w14:textId="77777777" w:rsidR="001C399C" w:rsidRPr="00267217" w:rsidRDefault="001C399C" w:rsidP="00AC011B">
      <w:pPr>
        <w:spacing w:after="240" w:line="360" w:lineRule="auto"/>
        <w:jc w:val="both"/>
        <w:rPr>
          <w:rFonts w:eastAsia="Times New Roman" w:cstheme="minorHAnsi"/>
          <w:sz w:val="24"/>
          <w:szCs w:val="24"/>
        </w:rPr>
      </w:pPr>
    </w:p>
    <w:p w14:paraId="1A637641" w14:textId="6CB97B0A" w:rsidR="000A6FAF" w:rsidRPr="00267217" w:rsidRDefault="000A6FAF" w:rsidP="00267217">
      <w:pPr>
        <w:pStyle w:val="Heading2"/>
        <w:spacing w:line="360" w:lineRule="auto"/>
        <w:jc w:val="both"/>
        <w:rPr>
          <w:rFonts w:ascii="Arial" w:hAnsi="Arial" w:cs="Arial"/>
          <w:b/>
          <w:color w:val="auto"/>
        </w:rPr>
      </w:pPr>
      <w:bookmarkStart w:id="14" w:name="_Toc165631042"/>
      <w:r w:rsidRPr="00267217">
        <w:rPr>
          <w:rFonts w:ascii="Arial" w:hAnsi="Arial" w:cs="Arial"/>
          <w:b/>
          <w:color w:val="auto"/>
        </w:rPr>
        <w:t>3: Clustering Example</w:t>
      </w:r>
      <w:bookmarkEnd w:id="14"/>
    </w:p>
    <w:p w14:paraId="3B45D5CF" w14:textId="08977150" w:rsidR="009C13F4" w:rsidRPr="00267217" w:rsidRDefault="009C13F4"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K-Means Clustering was used to examine the student dataset in order to identify gender and pre- and post-test score groupings. Students were split into three groups using this unsupervised learning technique so they could better comprehend the standards and learning objectives of the sample. </w:t>
      </w:r>
    </w:p>
    <w:p w14:paraId="2FE89141" w14:textId="4BE3C715" w:rsidR="000A6FAF" w:rsidRPr="00267217" w:rsidRDefault="000A6FAF" w:rsidP="00B97F33">
      <w:pPr>
        <w:autoSpaceDE w:val="0"/>
        <w:autoSpaceDN w:val="0"/>
        <w:adjustRightInd w:val="0"/>
        <w:spacing w:line="360" w:lineRule="auto"/>
        <w:jc w:val="both"/>
        <w:rPr>
          <w:rFonts w:ascii="Arial" w:hAnsi="Arial" w:cs="Arial"/>
          <w:b/>
          <w:bCs/>
          <w:sz w:val="24"/>
          <w:szCs w:val="24"/>
        </w:rPr>
      </w:pPr>
      <w:r w:rsidRPr="00267217">
        <w:rPr>
          <w:rFonts w:ascii="Arial" w:hAnsi="Arial" w:cs="Arial"/>
          <w:b/>
          <w:bCs/>
          <w:sz w:val="24"/>
          <w:szCs w:val="24"/>
        </w:rPr>
        <w:t xml:space="preserve">The final cluster </w:t>
      </w:r>
      <w:proofErr w:type="spellStart"/>
      <w:r w:rsidRPr="00267217">
        <w:rPr>
          <w:rFonts w:ascii="Arial" w:hAnsi="Arial" w:cs="Arial"/>
          <w:b/>
          <w:bCs/>
          <w:sz w:val="24"/>
          <w:szCs w:val="24"/>
        </w:rPr>
        <w:t>centers</w:t>
      </w:r>
      <w:proofErr w:type="spellEnd"/>
      <w:r w:rsidRPr="00267217">
        <w:rPr>
          <w:rFonts w:ascii="Arial" w:hAnsi="Arial" w:cs="Arial"/>
          <w:b/>
          <w:bCs/>
          <w:sz w:val="24"/>
          <w:szCs w:val="24"/>
        </w:rPr>
        <w:t xml:space="preserve"> revealed significant differences in academic performance and gender distribution:</w:t>
      </w:r>
    </w:p>
    <w:p w14:paraId="081941AF" w14:textId="77777777" w:rsidR="000A6FAF" w:rsidRPr="00267217" w:rsidRDefault="000A6FAF" w:rsidP="00F152B1">
      <w:pPr>
        <w:pStyle w:val="ListParagraph"/>
        <w:numPr>
          <w:ilvl w:val="0"/>
          <w:numId w:val="9"/>
        </w:numPr>
        <w:autoSpaceDE w:val="0"/>
        <w:autoSpaceDN w:val="0"/>
        <w:adjustRightInd w:val="0"/>
        <w:spacing w:line="360" w:lineRule="auto"/>
        <w:jc w:val="both"/>
        <w:rPr>
          <w:rFonts w:ascii="Arial" w:hAnsi="Arial" w:cs="Arial"/>
          <w:sz w:val="24"/>
          <w:szCs w:val="24"/>
        </w:rPr>
      </w:pPr>
      <w:r w:rsidRPr="00267217">
        <w:rPr>
          <w:rFonts w:ascii="Arial" w:hAnsi="Arial" w:cs="Arial"/>
          <w:sz w:val="24"/>
          <w:szCs w:val="24"/>
        </w:rPr>
        <w:t xml:space="preserve">Cluster 1 included 715 students with lower average pretest (40) and </w:t>
      </w:r>
      <w:proofErr w:type="spellStart"/>
      <w:r w:rsidRPr="00267217">
        <w:rPr>
          <w:rFonts w:ascii="Arial" w:hAnsi="Arial" w:cs="Arial"/>
          <w:sz w:val="24"/>
          <w:szCs w:val="24"/>
        </w:rPr>
        <w:t>posttest</w:t>
      </w:r>
      <w:proofErr w:type="spellEnd"/>
      <w:r w:rsidRPr="00267217">
        <w:rPr>
          <w:rFonts w:ascii="Arial" w:hAnsi="Arial" w:cs="Arial"/>
          <w:sz w:val="24"/>
          <w:szCs w:val="24"/>
        </w:rPr>
        <w:t xml:space="preserve"> scores (52), predominantly of gender 1 (male).</w:t>
      </w:r>
    </w:p>
    <w:p w14:paraId="4BF98C99" w14:textId="77777777" w:rsidR="000A6FAF" w:rsidRPr="00267217" w:rsidRDefault="000A6FAF" w:rsidP="00F152B1">
      <w:pPr>
        <w:pStyle w:val="ListParagraph"/>
        <w:numPr>
          <w:ilvl w:val="0"/>
          <w:numId w:val="9"/>
        </w:numPr>
        <w:autoSpaceDE w:val="0"/>
        <w:autoSpaceDN w:val="0"/>
        <w:adjustRightInd w:val="0"/>
        <w:spacing w:line="360" w:lineRule="auto"/>
        <w:jc w:val="both"/>
        <w:rPr>
          <w:rFonts w:ascii="Arial" w:hAnsi="Arial" w:cs="Arial"/>
          <w:sz w:val="24"/>
          <w:szCs w:val="24"/>
        </w:rPr>
      </w:pPr>
      <w:r w:rsidRPr="00267217">
        <w:rPr>
          <w:rFonts w:ascii="Arial" w:hAnsi="Arial" w:cs="Arial"/>
          <w:sz w:val="24"/>
          <w:szCs w:val="24"/>
        </w:rPr>
        <w:t xml:space="preserve">Cluster 2 comprised 534 students, characterized by the highest pretest (72) and </w:t>
      </w:r>
      <w:proofErr w:type="spellStart"/>
      <w:r w:rsidRPr="00267217">
        <w:rPr>
          <w:rFonts w:ascii="Arial" w:hAnsi="Arial" w:cs="Arial"/>
          <w:sz w:val="24"/>
          <w:szCs w:val="24"/>
        </w:rPr>
        <w:t>posttest</w:t>
      </w:r>
      <w:proofErr w:type="spellEnd"/>
      <w:r w:rsidRPr="00267217">
        <w:rPr>
          <w:rFonts w:ascii="Arial" w:hAnsi="Arial" w:cs="Arial"/>
          <w:sz w:val="24"/>
          <w:szCs w:val="24"/>
        </w:rPr>
        <w:t xml:space="preserve"> scores (85) and was exclusively gender 1 (male).</w:t>
      </w:r>
    </w:p>
    <w:p w14:paraId="3F93A1FF" w14:textId="77777777" w:rsidR="000A6FAF" w:rsidRPr="00267217" w:rsidRDefault="000A6FAF" w:rsidP="00F152B1">
      <w:pPr>
        <w:pStyle w:val="ListParagraph"/>
        <w:numPr>
          <w:ilvl w:val="0"/>
          <w:numId w:val="9"/>
        </w:numPr>
        <w:autoSpaceDE w:val="0"/>
        <w:autoSpaceDN w:val="0"/>
        <w:adjustRightInd w:val="0"/>
        <w:spacing w:line="360" w:lineRule="auto"/>
        <w:jc w:val="both"/>
        <w:rPr>
          <w:rFonts w:ascii="Arial" w:hAnsi="Arial" w:cs="Arial"/>
          <w:sz w:val="24"/>
          <w:szCs w:val="24"/>
        </w:rPr>
      </w:pPr>
      <w:r w:rsidRPr="00267217">
        <w:rPr>
          <w:rFonts w:ascii="Arial" w:hAnsi="Arial" w:cs="Arial"/>
          <w:sz w:val="24"/>
          <w:szCs w:val="24"/>
        </w:rPr>
        <w:lastRenderedPageBreak/>
        <w:t xml:space="preserve">Cluster 3, the largest group with 884 students, showed moderate pretest (57) and </w:t>
      </w:r>
      <w:proofErr w:type="spellStart"/>
      <w:r w:rsidRPr="00267217">
        <w:rPr>
          <w:rFonts w:ascii="Arial" w:hAnsi="Arial" w:cs="Arial"/>
          <w:sz w:val="24"/>
          <w:szCs w:val="24"/>
        </w:rPr>
        <w:t>posttest</w:t>
      </w:r>
      <w:proofErr w:type="spellEnd"/>
      <w:r w:rsidRPr="00267217">
        <w:rPr>
          <w:rFonts w:ascii="Arial" w:hAnsi="Arial" w:cs="Arial"/>
          <w:sz w:val="24"/>
          <w:szCs w:val="24"/>
        </w:rPr>
        <w:t xml:space="preserve"> scores (69) with a predominance of gender 2 (female).</w:t>
      </w:r>
    </w:p>
    <w:p w14:paraId="10CCDA88" w14:textId="3CDFA559" w:rsidR="009C13F4" w:rsidRPr="00267217" w:rsidRDefault="009C13F4"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This clustering suggests gender-based academic disparities, since male students in Cluster 2 performed significantly better academically than other groups. Men dominated Cluster 1 did the worst. This study (Hastie, </w:t>
      </w:r>
      <w:proofErr w:type="spellStart"/>
      <w:r w:rsidRPr="00267217">
        <w:rPr>
          <w:rFonts w:ascii="Arial" w:eastAsia="Times New Roman" w:hAnsi="Arial" w:cs="Arial"/>
          <w:sz w:val="24"/>
          <w:szCs w:val="24"/>
        </w:rPr>
        <w:t>Tibshirani</w:t>
      </w:r>
      <w:proofErr w:type="spellEnd"/>
      <w:r w:rsidRPr="00267217">
        <w:rPr>
          <w:rFonts w:ascii="Arial" w:eastAsia="Times New Roman" w:hAnsi="Arial" w:cs="Arial"/>
          <w:sz w:val="24"/>
          <w:szCs w:val="24"/>
        </w:rPr>
        <w:t xml:space="preserve">, &amp; Friedman, 2009) emphasizes gender heterogeneity and the possible influence of unresearched characteristics including socioeconomic position and educational </w:t>
      </w:r>
      <w:proofErr w:type="spellStart"/>
      <w:proofErr w:type="gramStart"/>
      <w:r w:rsidRPr="00267217">
        <w:rPr>
          <w:rFonts w:ascii="Arial" w:eastAsia="Times New Roman" w:hAnsi="Arial" w:cs="Arial"/>
          <w:sz w:val="24"/>
          <w:szCs w:val="24"/>
        </w:rPr>
        <w:t>support.These</w:t>
      </w:r>
      <w:proofErr w:type="spellEnd"/>
      <w:proofErr w:type="gramEnd"/>
      <w:r w:rsidRPr="00267217">
        <w:rPr>
          <w:rFonts w:ascii="Arial" w:eastAsia="Times New Roman" w:hAnsi="Arial" w:cs="Arial"/>
          <w:sz w:val="24"/>
          <w:szCs w:val="24"/>
        </w:rPr>
        <w:t xml:space="preserve"> K-Means Clustering results offer a more nuanced picture of the student body and emphasize the necessity of specialized educational programs to satisfy the needs of various clusters, particularly the underperforming ones.</w:t>
      </w:r>
    </w:p>
    <w:p w14:paraId="22508387" w14:textId="77777777" w:rsidR="00357A48" w:rsidRPr="00267217" w:rsidRDefault="00357A48" w:rsidP="00357A48">
      <w:pPr>
        <w:spacing w:before="200"/>
        <w:rPr>
          <w:rFonts w:ascii="Arial" w:hAnsi="Arial" w:cs="Arial"/>
          <w:sz w:val="20"/>
          <w:szCs w:val="20"/>
        </w:rPr>
      </w:pPr>
      <w:r w:rsidRPr="00267217">
        <w:rPr>
          <w:rFonts w:ascii="Arial" w:eastAsia="Arial" w:hAnsi="Arial" w:cs="Arial"/>
          <w:b/>
          <w:color w:val="000000"/>
          <w:sz w:val="24"/>
          <w:szCs w:val="20"/>
        </w:rPr>
        <w:t>Quick Cluster</w:t>
      </w:r>
      <w:r w:rsidRPr="00267217">
        <w:rPr>
          <w:rFonts w:ascii="Arial" w:eastAsia="Arial" w:hAnsi="Arial" w:cs="Arial"/>
          <w:b/>
          <w:color w:val="000000"/>
          <w:sz w:val="24"/>
          <w:szCs w:val="20"/>
        </w:rPr>
        <w:cr/>
      </w:r>
    </w:p>
    <w:tbl>
      <w:tblPr>
        <w:tblW w:w="0" w:type="auto"/>
        <w:tblInd w:w="10" w:type="dxa"/>
        <w:tblLayout w:type="fixed"/>
        <w:tblCellMar>
          <w:left w:w="10" w:type="dxa"/>
          <w:right w:w="10" w:type="dxa"/>
        </w:tblCellMar>
        <w:tblLook w:val="04A0" w:firstRow="1" w:lastRow="0" w:firstColumn="1" w:lastColumn="0" w:noHBand="0" w:noVBand="1"/>
      </w:tblPr>
      <w:tblGrid>
        <w:gridCol w:w="1995"/>
        <w:gridCol w:w="2300"/>
        <w:gridCol w:w="2300"/>
        <w:gridCol w:w="2300"/>
      </w:tblGrid>
      <w:tr w:rsidR="00357A48" w:rsidRPr="00267217" w14:paraId="7CBCFE6B" w14:textId="77777777" w:rsidTr="00A336AB">
        <w:trPr>
          <w:trHeight w:val="426"/>
        </w:trPr>
        <w:tc>
          <w:tcPr>
            <w:tcW w:w="8895" w:type="dxa"/>
            <w:gridSpan w:val="4"/>
            <w:shd w:val="clear" w:color="auto" w:fill="FFFFFF"/>
            <w:vAlign w:val="center"/>
          </w:tcPr>
          <w:p w14:paraId="05D2A2D2" w14:textId="77777777" w:rsidR="00357A48" w:rsidRPr="00267217" w:rsidRDefault="00357A48" w:rsidP="00A336AB">
            <w:pPr>
              <w:spacing w:before="5" w:after="30"/>
              <w:ind w:left="30" w:right="40"/>
              <w:jc w:val="center"/>
              <w:rPr>
                <w:rFonts w:ascii="Arial" w:hAnsi="Arial" w:cs="Arial"/>
                <w:sz w:val="20"/>
                <w:szCs w:val="20"/>
              </w:rPr>
            </w:pPr>
            <w:r w:rsidRPr="00267217">
              <w:rPr>
                <w:rFonts w:ascii="Arial" w:eastAsia="Arial" w:hAnsi="Arial" w:cs="Arial"/>
                <w:b/>
                <w:color w:val="010205"/>
                <w:sz w:val="24"/>
                <w:szCs w:val="20"/>
              </w:rPr>
              <w:t xml:space="preserve">Initial Cluster </w:t>
            </w:r>
            <w:proofErr w:type="spellStart"/>
            <w:r w:rsidRPr="00267217">
              <w:rPr>
                <w:rFonts w:ascii="Arial" w:eastAsia="Arial" w:hAnsi="Arial" w:cs="Arial"/>
                <w:b/>
                <w:color w:val="010205"/>
                <w:sz w:val="24"/>
                <w:szCs w:val="20"/>
              </w:rPr>
              <w:t>Centers</w:t>
            </w:r>
            <w:proofErr w:type="spellEnd"/>
          </w:p>
        </w:tc>
      </w:tr>
      <w:tr w:rsidR="00357A48" w:rsidRPr="00267217" w14:paraId="1FB4C4A2" w14:textId="77777777" w:rsidTr="00A336AB">
        <w:trPr>
          <w:trHeight w:val="374"/>
        </w:trPr>
        <w:tc>
          <w:tcPr>
            <w:tcW w:w="1995" w:type="dxa"/>
            <w:vMerge w:val="restart"/>
            <w:tcBorders>
              <w:top w:val="none" w:sz="1" w:space="0" w:color="152935"/>
              <w:left w:val="none" w:sz="1" w:space="0" w:color="152935"/>
              <w:right w:val="none" w:sz="1" w:space="0" w:color="152935"/>
            </w:tcBorders>
            <w:shd w:val="clear" w:color="auto" w:fill="FFFFFF"/>
            <w:vAlign w:val="bottom"/>
          </w:tcPr>
          <w:p w14:paraId="79794E8C" w14:textId="77777777" w:rsidR="00357A48" w:rsidRPr="00267217" w:rsidRDefault="00357A48" w:rsidP="00A336AB">
            <w:pPr>
              <w:spacing w:before="15" w:after="5"/>
              <w:ind w:left="30" w:right="40"/>
              <w:rPr>
                <w:sz w:val="20"/>
                <w:szCs w:val="20"/>
              </w:rPr>
            </w:pPr>
          </w:p>
        </w:tc>
        <w:tc>
          <w:tcPr>
            <w:tcW w:w="6900"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DC73E7B"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Cluster</w:t>
            </w:r>
          </w:p>
        </w:tc>
      </w:tr>
      <w:tr w:rsidR="00357A48" w:rsidRPr="00267217" w14:paraId="7E09794C" w14:textId="77777777" w:rsidTr="00A336AB">
        <w:trPr>
          <w:trHeight w:val="163"/>
        </w:trPr>
        <w:tc>
          <w:tcPr>
            <w:tcW w:w="1995" w:type="dxa"/>
            <w:vMerge/>
            <w:tcBorders>
              <w:top w:val="none" w:sz="1" w:space="0" w:color="152935"/>
              <w:left w:val="none" w:sz="1" w:space="0" w:color="152935"/>
              <w:right w:val="none" w:sz="1" w:space="0" w:color="152935"/>
            </w:tcBorders>
          </w:tcPr>
          <w:p w14:paraId="74E84D6B" w14:textId="77777777" w:rsidR="00357A48" w:rsidRPr="00267217" w:rsidRDefault="00357A48" w:rsidP="00A336AB">
            <w:pPr>
              <w:rPr>
                <w:sz w:val="20"/>
                <w:szCs w:val="20"/>
              </w:rPr>
            </w:pPr>
          </w:p>
        </w:tc>
        <w:tc>
          <w:tcPr>
            <w:tcW w:w="2300" w:type="dxa"/>
            <w:tcBorders>
              <w:top w:val="none" w:sz="1" w:space="0" w:color="AEAEAE"/>
              <w:left w:val="none" w:sz="1" w:space="0" w:color="152935"/>
              <w:bottom w:val="single" w:sz="1" w:space="0" w:color="152935"/>
              <w:right w:val="none" w:sz="1" w:space="0" w:color="AEAEAE"/>
            </w:tcBorders>
            <w:shd w:val="clear" w:color="auto" w:fill="FFFFFF"/>
            <w:vAlign w:val="bottom"/>
          </w:tcPr>
          <w:p w14:paraId="0EEF0885"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1</w:t>
            </w:r>
          </w:p>
        </w:tc>
        <w:tc>
          <w:tcPr>
            <w:tcW w:w="2300" w:type="dxa"/>
            <w:tcBorders>
              <w:top w:val="none" w:sz="1" w:space="0" w:color="AEAEAE"/>
              <w:left w:val="single" w:sz="1" w:space="0" w:color="E0E0E0"/>
              <w:bottom w:val="single" w:sz="1" w:space="0" w:color="152935"/>
              <w:right w:val="none" w:sz="1" w:space="0" w:color="AEAEAE"/>
            </w:tcBorders>
            <w:shd w:val="clear" w:color="auto" w:fill="FFFFFF"/>
            <w:vAlign w:val="bottom"/>
          </w:tcPr>
          <w:p w14:paraId="03269988"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2</w:t>
            </w:r>
          </w:p>
        </w:tc>
        <w:tc>
          <w:tcPr>
            <w:tcW w:w="2300" w:type="dxa"/>
            <w:tcBorders>
              <w:top w:val="none" w:sz="1" w:space="0" w:color="AEAEAE"/>
              <w:left w:val="single" w:sz="1" w:space="0" w:color="E0E0E0"/>
              <w:bottom w:val="single" w:sz="1" w:space="0" w:color="152935"/>
              <w:right w:val="none" w:sz="1" w:space="0" w:color="152935"/>
            </w:tcBorders>
            <w:shd w:val="clear" w:color="auto" w:fill="FFFFFF"/>
            <w:vAlign w:val="bottom"/>
          </w:tcPr>
          <w:p w14:paraId="7ADCA742"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3</w:t>
            </w:r>
          </w:p>
        </w:tc>
      </w:tr>
      <w:tr w:rsidR="00357A48" w:rsidRPr="00267217" w14:paraId="72299064" w14:textId="77777777" w:rsidTr="00A336AB">
        <w:trPr>
          <w:trHeight w:val="374"/>
        </w:trPr>
        <w:tc>
          <w:tcPr>
            <w:tcW w:w="1995" w:type="dxa"/>
            <w:tcBorders>
              <w:top w:val="single" w:sz="1" w:space="0" w:color="152935"/>
              <w:left w:val="none" w:sz="1" w:space="0" w:color="152935"/>
              <w:bottom w:val="single" w:sz="1" w:space="0" w:color="AEAEAE"/>
              <w:right w:val="none" w:sz="1" w:space="0" w:color="152935"/>
            </w:tcBorders>
            <w:shd w:val="clear" w:color="auto" w:fill="E0E0E0"/>
          </w:tcPr>
          <w:p w14:paraId="4C7F6626"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Pretest</w:t>
            </w:r>
          </w:p>
        </w:tc>
        <w:tc>
          <w:tcPr>
            <w:tcW w:w="2300" w:type="dxa"/>
            <w:tcBorders>
              <w:top w:val="single" w:sz="1" w:space="0" w:color="152935"/>
              <w:left w:val="none" w:sz="1" w:space="0" w:color="152935"/>
              <w:bottom w:val="single" w:sz="1" w:space="0" w:color="AEAEAE"/>
              <w:right w:val="none" w:sz="1" w:space="0" w:color="AEAEAE"/>
            </w:tcBorders>
            <w:shd w:val="clear" w:color="auto" w:fill="F9F9FB"/>
          </w:tcPr>
          <w:p w14:paraId="4E7E9E4A"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23</w:t>
            </w:r>
          </w:p>
        </w:tc>
        <w:tc>
          <w:tcPr>
            <w:tcW w:w="2300" w:type="dxa"/>
            <w:tcBorders>
              <w:top w:val="single" w:sz="1" w:space="0" w:color="152935"/>
              <w:left w:val="single" w:sz="1" w:space="0" w:color="E0E0E0"/>
              <w:bottom w:val="single" w:sz="1" w:space="0" w:color="AEAEAE"/>
              <w:right w:val="none" w:sz="1" w:space="0" w:color="AEAEAE"/>
            </w:tcBorders>
            <w:shd w:val="clear" w:color="auto" w:fill="F9F9FB"/>
          </w:tcPr>
          <w:p w14:paraId="6A8B5898"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93</w:t>
            </w:r>
          </w:p>
        </w:tc>
        <w:tc>
          <w:tcPr>
            <w:tcW w:w="2300" w:type="dxa"/>
            <w:tcBorders>
              <w:top w:val="single" w:sz="1" w:space="0" w:color="152935"/>
              <w:left w:val="single" w:sz="1" w:space="0" w:color="E0E0E0"/>
              <w:bottom w:val="single" w:sz="1" w:space="0" w:color="AEAEAE"/>
              <w:right w:val="none" w:sz="1" w:space="0" w:color="152935"/>
            </w:tcBorders>
            <w:shd w:val="clear" w:color="auto" w:fill="F9F9FB"/>
          </w:tcPr>
          <w:p w14:paraId="7ED2A5A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54</w:t>
            </w:r>
          </w:p>
        </w:tc>
      </w:tr>
      <w:tr w:rsidR="00357A48" w:rsidRPr="00267217" w14:paraId="79B74399" w14:textId="77777777" w:rsidTr="00A336AB">
        <w:trPr>
          <w:trHeight w:val="357"/>
        </w:trPr>
        <w:tc>
          <w:tcPr>
            <w:tcW w:w="1995" w:type="dxa"/>
            <w:tcBorders>
              <w:top w:val="single" w:sz="1" w:space="0" w:color="AEAEAE"/>
              <w:left w:val="none" w:sz="1" w:space="0" w:color="152935"/>
              <w:bottom w:val="single" w:sz="1" w:space="0" w:color="AEAEAE"/>
              <w:right w:val="none" w:sz="1" w:space="0" w:color="152935"/>
            </w:tcBorders>
            <w:shd w:val="clear" w:color="auto" w:fill="E0E0E0"/>
          </w:tcPr>
          <w:p w14:paraId="3F954A6F" w14:textId="77777777" w:rsidR="00357A48" w:rsidRPr="00267217" w:rsidRDefault="00357A48" w:rsidP="00A336AB">
            <w:pPr>
              <w:spacing w:before="15" w:after="10"/>
              <w:ind w:left="30" w:right="40"/>
              <w:rPr>
                <w:sz w:val="20"/>
                <w:szCs w:val="20"/>
              </w:rPr>
            </w:pPr>
            <w:proofErr w:type="spellStart"/>
            <w:r w:rsidRPr="00267217">
              <w:rPr>
                <w:rFonts w:ascii="Arial" w:eastAsia="Arial" w:hAnsi="Arial" w:cs="Arial"/>
                <w:color w:val="264A60"/>
                <w:szCs w:val="20"/>
              </w:rPr>
              <w:t>Posttest</w:t>
            </w:r>
            <w:proofErr w:type="spellEnd"/>
          </w:p>
        </w:tc>
        <w:tc>
          <w:tcPr>
            <w:tcW w:w="2300" w:type="dxa"/>
            <w:tcBorders>
              <w:top w:val="single" w:sz="1" w:space="0" w:color="AEAEAE"/>
              <w:left w:val="none" w:sz="1" w:space="0" w:color="152935"/>
              <w:bottom w:val="single" w:sz="1" w:space="0" w:color="AEAEAE"/>
              <w:right w:val="none" w:sz="1" w:space="0" w:color="AEAEAE"/>
            </w:tcBorders>
            <w:shd w:val="clear" w:color="auto" w:fill="F9F9FB"/>
          </w:tcPr>
          <w:p w14:paraId="5D5552C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35</w:t>
            </w:r>
          </w:p>
        </w:tc>
        <w:tc>
          <w:tcPr>
            <w:tcW w:w="2300" w:type="dxa"/>
            <w:tcBorders>
              <w:top w:val="single" w:sz="1" w:space="0" w:color="AEAEAE"/>
              <w:left w:val="single" w:sz="1" w:space="0" w:color="E0E0E0"/>
              <w:bottom w:val="single" w:sz="1" w:space="0" w:color="AEAEAE"/>
              <w:right w:val="none" w:sz="1" w:space="0" w:color="AEAEAE"/>
            </w:tcBorders>
            <w:shd w:val="clear" w:color="auto" w:fill="F9F9FB"/>
          </w:tcPr>
          <w:p w14:paraId="2D55569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100</w:t>
            </w:r>
          </w:p>
        </w:tc>
        <w:tc>
          <w:tcPr>
            <w:tcW w:w="2300" w:type="dxa"/>
            <w:tcBorders>
              <w:top w:val="single" w:sz="1" w:space="0" w:color="AEAEAE"/>
              <w:left w:val="single" w:sz="1" w:space="0" w:color="E0E0E0"/>
              <w:bottom w:val="single" w:sz="1" w:space="0" w:color="AEAEAE"/>
              <w:right w:val="none" w:sz="1" w:space="0" w:color="152935"/>
            </w:tcBorders>
            <w:shd w:val="clear" w:color="auto" w:fill="F9F9FB"/>
          </w:tcPr>
          <w:p w14:paraId="3DE79E78"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72</w:t>
            </w:r>
          </w:p>
        </w:tc>
      </w:tr>
      <w:tr w:rsidR="00357A48" w:rsidRPr="00267217" w14:paraId="06EC4BDA" w14:textId="77777777" w:rsidTr="00A336AB">
        <w:trPr>
          <w:trHeight w:val="374"/>
        </w:trPr>
        <w:tc>
          <w:tcPr>
            <w:tcW w:w="1995" w:type="dxa"/>
            <w:tcBorders>
              <w:top w:val="single" w:sz="1" w:space="0" w:color="AEAEAE"/>
              <w:left w:val="none" w:sz="1" w:space="0" w:color="152935"/>
              <w:bottom w:val="single" w:sz="1" w:space="0" w:color="152935"/>
              <w:right w:val="none" w:sz="1" w:space="0" w:color="152935"/>
            </w:tcBorders>
            <w:shd w:val="clear" w:color="auto" w:fill="E0E0E0"/>
          </w:tcPr>
          <w:p w14:paraId="06A934E7"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Gender</w:t>
            </w:r>
          </w:p>
        </w:tc>
        <w:tc>
          <w:tcPr>
            <w:tcW w:w="2300" w:type="dxa"/>
            <w:tcBorders>
              <w:top w:val="single" w:sz="1" w:space="0" w:color="AEAEAE"/>
              <w:left w:val="none" w:sz="1" w:space="0" w:color="152935"/>
              <w:bottom w:val="single" w:sz="1" w:space="0" w:color="152935"/>
              <w:right w:val="none" w:sz="1" w:space="0" w:color="AEAEAE"/>
            </w:tcBorders>
            <w:shd w:val="clear" w:color="auto" w:fill="F9F9FB"/>
          </w:tcPr>
          <w:p w14:paraId="245F402F"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w:t>
            </w:r>
          </w:p>
        </w:tc>
        <w:tc>
          <w:tcPr>
            <w:tcW w:w="2300" w:type="dxa"/>
            <w:tcBorders>
              <w:top w:val="single" w:sz="1" w:space="0" w:color="AEAEAE"/>
              <w:left w:val="single" w:sz="1" w:space="0" w:color="E0E0E0"/>
              <w:bottom w:val="single" w:sz="1" w:space="0" w:color="152935"/>
              <w:right w:val="none" w:sz="1" w:space="0" w:color="AEAEAE"/>
            </w:tcBorders>
            <w:shd w:val="clear" w:color="auto" w:fill="F9F9FB"/>
          </w:tcPr>
          <w:p w14:paraId="752E22BD"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w:t>
            </w:r>
          </w:p>
        </w:tc>
        <w:tc>
          <w:tcPr>
            <w:tcW w:w="2300" w:type="dxa"/>
            <w:tcBorders>
              <w:top w:val="single" w:sz="1" w:space="0" w:color="AEAEAE"/>
              <w:left w:val="single" w:sz="1" w:space="0" w:color="E0E0E0"/>
              <w:bottom w:val="single" w:sz="1" w:space="0" w:color="152935"/>
              <w:right w:val="none" w:sz="1" w:space="0" w:color="152935"/>
            </w:tcBorders>
            <w:shd w:val="clear" w:color="auto" w:fill="F9F9FB"/>
          </w:tcPr>
          <w:p w14:paraId="05F79A6F"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w:t>
            </w:r>
          </w:p>
        </w:tc>
      </w:tr>
    </w:tbl>
    <w:p w14:paraId="32268E29" w14:textId="77777777" w:rsidR="00357A48" w:rsidRPr="00267217" w:rsidRDefault="00357A48" w:rsidP="00357A48">
      <w:pPr>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986"/>
        <w:gridCol w:w="1156"/>
        <w:gridCol w:w="1156"/>
        <w:gridCol w:w="1156"/>
      </w:tblGrid>
      <w:tr w:rsidR="00357A48" w:rsidRPr="00267217" w14:paraId="0CF2B58F" w14:textId="77777777" w:rsidTr="00A336AB">
        <w:tc>
          <w:tcPr>
            <w:tcW w:w="4454" w:type="dxa"/>
            <w:gridSpan w:val="4"/>
            <w:shd w:val="clear" w:color="auto" w:fill="FFFFFF"/>
            <w:vAlign w:val="center"/>
          </w:tcPr>
          <w:p w14:paraId="0C289BEE" w14:textId="77777777" w:rsidR="00357A48" w:rsidRPr="00267217" w:rsidRDefault="00357A48" w:rsidP="00A336AB">
            <w:pPr>
              <w:spacing w:before="5" w:after="30"/>
              <w:ind w:left="30" w:right="40"/>
              <w:jc w:val="center"/>
              <w:rPr>
                <w:sz w:val="20"/>
                <w:szCs w:val="20"/>
              </w:rPr>
            </w:pPr>
            <w:r w:rsidRPr="00267217">
              <w:rPr>
                <w:rFonts w:ascii="Arial" w:eastAsia="Arial" w:hAnsi="Arial" w:cs="Arial"/>
                <w:b/>
                <w:color w:val="010205"/>
                <w:sz w:val="24"/>
                <w:szCs w:val="20"/>
              </w:rPr>
              <w:t xml:space="preserve">Iteration </w:t>
            </w:r>
            <w:proofErr w:type="spellStart"/>
            <w:r w:rsidRPr="00267217">
              <w:rPr>
                <w:rFonts w:ascii="Arial" w:eastAsia="Arial" w:hAnsi="Arial" w:cs="Arial"/>
                <w:b/>
                <w:color w:val="010205"/>
                <w:sz w:val="24"/>
                <w:szCs w:val="20"/>
              </w:rPr>
              <w:t>History</w:t>
            </w:r>
            <w:r w:rsidRPr="00267217">
              <w:rPr>
                <w:sz w:val="20"/>
                <w:szCs w:val="20"/>
                <w:vertAlign w:val="superscript"/>
              </w:rPr>
              <w:t>a</w:t>
            </w:r>
            <w:proofErr w:type="spellEnd"/>
          </w:p>
        </w:tc>
      </w:tr>
      <w:tr w:rsidR="00357A48" w:rsidRPr="00267217" w14:paraId="731E239A" w14:textId="77777777" w:rsidTr="00A336AB">
        <w:tc>
          <w:tcPr>
            <w:tcW w:w="986" w:type="dxa"/>
            <w:vMerge w:val="restart"/>
            <w:tcBorders>
              <w:top w:val="none" w:sz="1" w:space="0" w:color="152935"/>
              <w:left w:val="none" w:sz="1" w:space="0" w:color="152935"/>
              <w:right w:val="none" w:sz="1" w:space="0" w:color="152935"/>
            </w:tcBorders>
            <w:shd w:val="clear" w:color="auto" w:fill="FFFFFF"/>
            <w:vAlign w:val="bottom"/>
          </w:tcPr>
          <w:p w14:paraId="562BD5FC" w14:textId="77777777" w:rsidR="00357A48" w:rsidRPr="00267217" w:rsidRDefault="00357A48" w:rsidP="00A336AB">
            <w:pPr>
              <w:spacing w:before="15" w:after="5"/>
              <w:ind w:left="30" w:right="40"/>
              <w:rPr>
                <w:sz w:val="20"/>
                <w:szCs w:val="20"/>
              </w:rPr>
            </w:pPr>
            <w:r w:rsidRPr="00267217">
              <w:rPr>
                <w:rFonts w:ascii="Arial" w:eastAsia="Arial" w:hAnsi="Arial" w:cs="Arial"/>
                <w:color w:val="264A60"/>
                <w:szCs w:val="20"/>
              </w:rPr>
              <w:t>Iteration</w:t>
            </w:r>
          </w:p>
        </w:tc>
        <w:tc>
          <w:tcPr>
            <w:tcW w:w="346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6ABD16BC"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 xml:space="preserve">Change in Cluster </w:t>
            </w:r>
            <w:proofErr w:type="spellStart"/>
            <w:r w:rsidRPr="00267217">
              <w:rPr>
                <w:rFonts w:ascii="Arial" w:eastAsia="Arial" w:hAnsi="Arial" w:cs="Arial"/>
                <w:color w:val="264A60"/>
                <w:szCs w:val="20"/>
              </w:rPr>
              <w:t>Centers</w:t>
            </w:r>
            <w:proofErr w:type="spellEnd"/>
          </w:p>
        </w:tc>
      </w:tr>
      <w:tr w:rsidR="00357A48" w:rsidRPr="00267217" w14:paraId="7C57E297" w14:textId="77777777" w:rsidTr="00A336AB">
        <w:tc>
          <w:tcPr>
            <w:tcW w:w="986" w:type="dxa"/>
            <w:vMerge/>
            <w:tcBorders>
              <w:top w:val="none" w:sz="1" w:space="0" w:color="152935"/>
              <w:left w:val="none" w:sz="1" w:space="0" w:color="152935"/>
              <w:right w:val="none" w:sz="1" w:space="0" w:color="152935"/>
            </w:tcBorders>
          </w:tcPr>
          <w:p w14:paraId="6648CE11" w14:textId="77777777" w:rsidR="00357A48" w:rsidRPr="00267217" w:rsidRDefault="00357A48" w:rsidP="00A336AB">
            <w:pPr>
              <w:rPr>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2165D96"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1</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F10FD2F"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9CDEF08"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3</w:t>
            </w:r>
          </w:p>
        </w:tc>
      </w:tr>
      <w:tr w:rsidR="00357A48" w:rsidRPr="00267217" w14:paraId="55064B46" w14:textId="77777777" w:rsidTr="00A336AB">
        <w:tc>
          <w:tcPr>
            <w:tcW w:w="986" w:type="dxa"/>
            <w:tcBorders>
              <w:top w:val="single" w:sz="1" w:space="0" w:color="152935"/>
              <w:left w:val="none" w:sz="1" w:space="0" w:color="152935"/>
              <w:bottom w:val="single" w:sz="1" w:space="0" w:color="AEAEAE"/>
              <w:right w:val="none" w:sz="1" w:space="0" w:color="152935"/>
            </w:tcBorders>
            <w:shd w:val="clear" w:color="auto" w:fill="E0E0E0"/>
          </w:tcPr>
          <w:p w14:paraId="529CAF25"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1</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5FF7F4AF"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17.058</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672BA09"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16.495</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A57CAA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4.215</w:t>
            </w:r>
          </w:p>
        </w:tc>
      </w:tr>
      <w:tr w:rsidR="00357A48" w:rsidRPr="00267217" w14:paraId="56A46731" w14:textId="77777777" w:rsidTr="00A336AB">
        <w:tc>
          <w:tcPr>
            <w:tcW w:w="986" w:type="dxa"/>
            <w:tcBorders>
              <w:top w:val="single" w:sz="1" w:space="0" w:color="AEAEAE"/>
              <w:left w:val="none" w:sz="1" w:space="0" w:color="152935"/>
              <w:bottom w:val="single" w:sz="1" w:space="0" w:color="AEAEAE"/>
              <w:right w:val="none" w:sz="1" w:space="0" w:color="152935"/>
            </w:tcBorders>
            <w:shd w:val="clear" w:color="auto" w:fill="E0E0E0"/>
          </w:tcPr>
          <w:p w14:paraId="6D8297C4"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605242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4.813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48C003"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6.260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FB16B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.968</w:t>
            </w:r>
          </w:p>
        </w:tc>
      </w:tr>
      <w:tr w:rsidR="00357A48" w:rsidRPr="00267217" w14:paraId="0763699E" w14:textId="77777777" w:rsidTr="00A336AB">
        <w:tc>
          <w:tcPr>
            <w:tcW w:w="986" w:type="dxa"/>
            <w:tcBorders>
              <w:top w:val="single" w:sz="1" w:space="0" w:color="AEAEAE"/>
              <w:left w:val="none" w:sz="1" w:space="0" w:color="152935"/>
              <w:bottom w:val="single" w:sz="1" w:space="0" w:color="AEAEAE"/>
              <w:right w:val="none" w:sz="1" w:space="0" w:color="152935"/>
            </w:tcBorders>
            <w:shd w:val="clear" w:color="auto" w:fill="E0E0E0"/>
          </w:tcPr>
          <w:p w14:paraId="7C17996A"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6576D0"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1.368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8BD46B"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2.046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60D1F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.077</w:t>
            </w:r>
          </w:p>
        </w:tc>
      </w:tr>
      <w:tr w:rsidR="00357A48" w:rsidRPr="00267217" w14:paraId="50785C9B" w14:textId="77777777" w:rsidTr="00A336AB">
        <w:tc>
          <w:tcPr>
            <w:tcW w:w="986" w:type="dxa"/>
            <w:tcBorders>
              <w:top w:val="single" w:sz="1" w:space="0" w:color="AEAEAE"/>
              <w:left w:val="none" w:sz="1" w:space="0" w:color="152935"/>
              <w:bottom w:val="single" w:sz="1" w:space="0" w:color="AEAEAE"/>
              <w:right w:val="none" w:sz="1" w:space="0" w:color="152935"/>
            </w:tcBorders>
            <w:shd w:val="clear" w:color="auto" w:fill="E0E0E0"/>
          </w:tcPr>
          <w:p w14:paraId="0BD77C23"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4C204DB"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.305</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24143F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.962</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D91E9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.341</w:t>
            </w:r>
          </w:p>
        </w:tc>
      </w:tr>
      <w:tr w:rsidR="00357A48" w:rsidRPr="00267217" w14:paraId="33BC2EFF" w14:textId="77777777" w:rsidTr="00A336AB">
        <w:tc>
          <w:tcPr>
            <w:tcW w:w="986" w:type="dxa"/>
            <w:tcBorders>
              <w:top w:val="single" w:sz="1" w:space="0" w:color="AEAEAE"/>
              <w:left w:val="none" w:sz="1" w:space="0" w:color="152935"/>
              <w:bottom w:val="single" w:sz="1" w:space="0" w:color="AEAEAE"/>
              <w:right w:val="none" w:sz="1" w:space="0" w:color="152935"/>
            </w:tcBorders>
            <w:shd w:val="clear" w:color="auto" w:fill="E0E0E0"/>
          </w:tcPr>
          <w:p w14:paraId="3485828C"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EDFF58"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69753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.286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C272D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.177</w:t>
            </w:r>
          </w:p>
        </w:tc>
      </w:tr>
      <w:tr w:rsidR="00357A48" w:rsidRPr="00267217" w14:paraId="6C20E2FF" w14:textId="77777777" w:rsidTr="00A336AB">
        <w:tc>
          <w:tcPr>
            <w:tcW w:w="986" w:type="dxa"/>
            <w:tcBorders>
              <w:top w:val="single" w:sz="1" w:space="0" w:color="AEAEAE"/>
              <w:left w:val="none" w:sz="1" w:space="0" w:color="152935"/>
              <w:bottom w:val="single" w:sz="1" w:space="0" w:color="AEAEAE"/>
              <w:right w:val="none" w:sz="1" w:space="0" w:color="152935"/>
            </w:tcBorders>
            <w:shd w:val="clear" w:color="auto" w:fill="E0E0E0"/>
          </w:tcPr>
          <w:p w14:paraId="5563A967"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66BA2B"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00F71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.044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13DD62"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.027</w:t>
            </w:r>
          </w:p>
        </w:tc>
      </w:tr>
      <w:tr w:rsidR="00357A48" w:rsidRPr="00267217" w14:paraId="4FABD625" w14:textId="77777777" w:rsidTr="00A336AB">
        <w:tc>
          <w:tcPr>
            <w:tcW w:w="986" w:type="dxa"/>
            <w:tcBorders>
              <w:top w:val="single" w:sz="1" w:space="0" w:color="AEAEAE"/>
              <w:left w:val="none" w:sz="1" w:space="0" w:color="152935"/>
              <w:bottom w:val="single" w:sz="1" w:space="0" w:color="152935"/>
              <w:right w:val="none" w:sz="1" w:space="0" w:color="152935"/>
            </w:tcBorders>
            <w:shd w:val="clear" w:color="auto" w:fill="E0E0E0"/>
          </w:tcPr>
          <w:p w14:paraId="44B14E24"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7</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10F9E82"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F40BC7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18BEA6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r>
      <w:tr w:rsidR="00357A48" w:rsidRPr="00267217" w14:paraId="4000DA97" w14:textId="77777777" w:rsidTr="00A336AB">
        <w:tc>
          <w:tcPr>
            <w:tcW w:w="4454" w:type="dxa"/>
            <w:gridSpan w:val="4"/>
            <w:shd w:val="clear" w:color="auto" w:fill="FFFFFF"/>
          </w:tcPr>
          <w:p w14:paraId="0E431ECA" w14:textId="77777777" w:rsidR="00357A48" w:rsidRPr="00267217" w:rsidRDefault="00357A48" w:rsidP="00A336AB">
            <w:pPr>
              <w:rPr>
                <w:sz w:val="20"/>
                <w:szCs w:val="20"/>
              </w:rPr>
            </w:pPr>
            <w:r w:rsidRPr="00267217">
              <w:rPr>
                <w:rFonts w:ascii="Arial" w:eastAsia="Arial" w:hAnsi="Arial" w:cs="Arial"/>
                <w:color w:val="010205"/>
                <w:szCs w:val="20"/>
              </w:rPr>
              <w:t xml:space="preserve">a. Convergence achieved due to no or small change in cluster </w:t>
            </w:r>
            <w:proofErr w:type="spellStart"/>
            <w:r w:rsidRPr="00267217">
              <w:rPr>
                <w:rFonts w:ascii="Arial" w:eastAsia="Arial" w:hAnsi="Arial" w:cs="Arial"/>
                <w:color w:val="010205"/>
                <w:szCs w:val="20"/>
              </w:rPr>
              <w:t>centers</w:t>
            </w:r>
            <w:proofErr w:type="spellEnd"/>
            <w:r w:rsidRPr="00267217">
              <w:rPr>
                <w:rFonts w:ascii="Arial" w:eastAsia="Arial" w:hAnsi="Arial" w:cs="Arial"/>
                <w:color w:val="010205"/>
                <w:szCs w:val="20"/>
              </w:rPr>
              <w:t xml:space="preserve">. The maximum absolute coordinate change for any </w:t>
            </w:r>
            <w:proofErr w:type="spellStart"/>
            <w:r w:rsidRPr="00267217">
              <w:rPr>
                <w:rFonts w:ascii="Arial" w:eastAsia="Arial" w:hAnsi="Arial" w:cs="Arial"/>
                <w:color w:val="010205"/>
                <w:szCs w:val="20"/>
              </w:rPr>
              <w:t>center</w:t>
            </w:r>
            <w:proofErr w:type="spellEnd"/>
            <w:r w:rsidRPr="00267217">
              <w:rPr>
                <w:rFonts w:ascii="Arial" w:eastAsia="Arial" w:hAnsi="Arial" w:cs="Arial"/>
                <w:color w:val="010205"/>
                <w:szCs w:val="20"/>
              </w:rPr>
              <w:t xml:space="preserve"> is .000. The current iteration is 7. The minimum distance between initial </w:t>
            </w:r>
            <w:proofErr w:type="spellStart"/>
            <w:r w:rsidRPr="00267217">
              <w:rPr>
                <w:rFonts w:ascii="Arial" w:eastAsia="Arial" w:hAnsi="Arial" w:cs="Arial"/>
                <w:color w:val="010205"/>
                <w:szCs w:val="20"/>
              </w:rPr>
              <w:t>centers</w:t>
            </w:r>
            <w:proofErr w:type="spellEnd"/>
            <w:r w:rsidRPr="00267217">
              <w:rPr>
                <w:rFonts w:ascii="Arial" w:eastAsia="Arial" w:hAnsi="Arial" w:cs="Arial"/>
                <w:color w:val="010205"/>
                <w:szCs w:val="20"/>
              </w:rPr>
              <w:t xml:space="preserve"> is 48.021.</w:t>
            </w:r>
          </w:p>
        </w:tc>
      </w:tr>
    </w:tbl>
    <w:p w14:paraId="7BCE96F6" w14:textId="77777777" w:rsidR="00357A48" w:rsidRPr="00267217" w:rsidRDefault="00357A48" w:rsidP="00357A48">
      <w:pPr>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1003"/>
        <w:gridCol w:w="1156"/>
        <w:gridCol w:w="1156"/>
        <w:gridCol w:w="1156"/>
      </w:tblGrid>
      <w:tr w:rsidR="00357A48" w:rsidRPr="00267217" w14:paraId="07A39A58" w14:textId="77777777" w:rsidTr="00A336AB">
        <w:tc>
          <w:tcPr>
            <w:tcW w:w="4471" w:type="dxa"/>
            <w:gridSpan w:val="4"/>
            <w:shd w:val="clear" w:color="auto" w:fill="FFFFFF"/>
            <w:vAlign w:val="center"/>
          </w:tcPr>
          <w:p w14:paraId="3F825FD7" w14:textId="77777777" w:rsidR="00357A48" w:rsidRPr="00267217" w:rsidRDefault="00357A48" w:rsidP="00A336AB">
            <w:pPr>
              <w:spacing w:before="5" w:after="30"/>
              <w:ind w:left="30" w:right="40"/>
              <w:jc w:val="center"/>
              <w:rPr>
                <w:sz w:val="20"/>
                <w:szCs w:val="20"/>
              </w:rPr>
            </w:pPr>
            <w:r w:rsidRPr="00267217">
              <w:rPr>
                <w:rFonts w:ascii="Arial" w:eastAsia="Arial" w:hAnsi="Arial" w:cs="Arial"/>
                <w:b/>
                <w:color w:val="010205"/>
                <w:sz w:val="24"/>
                <w:szCs w:val="20"/>
              </w:rPr>
              <w:t xml:space="preserve">Final Cluster </w:t>
            </w:r>
            <w:proofErr w:type="spellStart"/>
            <w:r w:rsidRPr="00267217">
              <w:rPr>
                <w:rFonts w:ascii="Arial" w:eastAsia="Arial" w:hAnsi="Arial" w:cs="Arial"/>
                <w:b/>
                <w:color w:val="010205"/>
                <w:sz w:val="24"/>
                <w:szCs w:val="20"/>
              </w:rPr>
              <w:t>Centers</w:t>
            </w:r>
            <w:proofErr w:type="spellEnd"/>
          </w:p>
        </w:tc>
      </w:tr>
      <w:tr w:rsidR="00357A48" w:rsidRPr="00267217" w14:paraId="51A8C2ED" w14:textId="77777777" w:rsidTr="00A336AB">
        <w:tc>
          <w:tcPr>
            <w:tcW w:w="1003" w:type="dxa"/>
            <w:vMerge w:val="restart"/>
            <w:tcBorders>
              <w:top w:val="none" w:sz="1" w:space="0" w:color="152935"/>
              <w:left w:val="none" w:sz="1" w:space="0" w:color="152935"/>
              <w:right w:val="none" w:sz="1" w:space="0" w:color="152935"/>
            </w:tcBorders>
            <w:shd w:val="clear" w:color="auto" w:fill="FFFFFF"/>
            <w:vAlign w:val="bottom"/>
          </w:tcPr>
          <w:p w14:paraId="2A64D047" w14:textId="77777777" w:rsidR="00357A48" w:rsidRPr="00267217" w:rsidRDefault="00357A48" w:rsidP="00A336AB">
            <w:pPr>
              <w:spacing w:before="15" w:after="5"/>
              <w:ind w:left="30" w:right="40"/>
              <w:rPr>
                <w:sz w:val="20"/>
                <w:szCs w:val="20"/>
              </w:rPr>
            </w:pPr>
          </w:p>
        </w:tc>
        <w:tc>
          <w:tcPr>
            <w:tcW w:w="3468"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7896F102"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Cluster</w:t>
            </w:r>
          </w:p>
        </w:tc>
      </w:tr>
      <w:tr w:rsidR="00357A48" w:rsidRPr="00267217" w14:paraId="31DA4211" w14:textId="77777777" w:rsidTr="00A336AB">
        <w:tc>
          <w:tcPr>
            <w:tcW w:w="1003" w:type="dxa"/>
            <w:vMerge/>
            <w:tcBorders>
              <w:top w:val="none" w:sz="1" w:space="0" w:color="152935"/>
              <w:left w:val="none" w:sz="1" w:space="0" w:color="152935"/>
              <w:right w:val="none" w:sz="1" w:space="0" w:color="152935"/>
            </w:tcBorders>
          </w:tcPr>
          <w:p w14:paraId="524AD8D6" w14:textId="77777777" w:rsidR="00357A48" w:rsidRPr="00267217" w:rsidRDefault="00357A48" w:rsidP="00A336AB">
            <w:pPr>
              <w:rPr>
                <w:sz w:val="20"/>
                <w:szCs w:val="20"/>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C6D624F"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1</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B613F00"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CBAB5B8"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3</w:t>
            </w:r>
          </w:p>
        </w:tc>
      </w:tr>
      <w:tr w:rsidR="00357A48" w:rsidRPr="00267217" w14:paraId="267DDA92" w14:textId="77777777" w:rsidTr="00A336AB">
        <w:tc>
          <w:tcPr>
            <w:tcW w:w="1003" w:type="dxa"/>
            <w:tcBorders>
              <w:top w:val="single" w:sz="1" w:space="0" w:color="152935"/>
              <w:left w:val="none" w:sz="1" w:space="0" w:color="152935"/>
              <w:bottom w:val="single" w:sz="1" w:space="0" w:color="AEAEAE"/>
              <w:right w:val="none" w:sz="1" w:space="0" w:color="152935"/>
            </w:tcBorders>
            <w:shd w:val="clear" w:color="auto" w:fill="E0E0E0"/>
          </w:tcPr>
          <w:p w14:paraId="1D254112"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393E208A"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40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F730F2C"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72</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C19D7F0"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57</w:t>
            </w:r>
          </w:p>
        </w:tc>
      </w:tr>
      <w:tr w:rsidR="00357A48" w:rsidRPr="00267217" w14:paraId="47F3B649" w14:textId="77777777" w:rsidTr="00A336AB">
        <w:tc>
          <w:tcPr>
            <w:tcW w:w="1003" w:type="dxa"/>
            <w:tcBorders>
              <w:top w:val="single" w:sz="1" w:space="0" w:color="AEAEAE"/>
              <w:left w:val="none" w:sz="1" w:space="0" w:color="152935"/>
              <w:bottom w:val="single" w:sz="1" w:space="0" w:color="AEAEAE"/>
              <w:right w:val="none" w:sz="1" w:space="0" w:color="152935"/>
            </w:tcBorders>
            <w:shd w:val="clear" w:color="auto" w:fill="E0E0E0"/>
          </w:tcPr>
          <w:p w14:paraId="4536D859" w14:textId="77777777" w:rsidR="00357A48" w:rsidRPr="00267217" w:rsidRDefault="00357A48" w:rsidP="00A336AB">
            <w:pPr>
              <w:spacing w:before="15" w:after="10"/>
              <w:ind w:left="30" w:right="40"/>
              <w:rPr>
                <w:sz w:val="20"/>
                <w:szCs w:val="20"/>
              </w:rPr>
            </w:pPr>
            <w:proofErr w:type="spellStart"/>
            <w:r w:rsidRPr="00267217">
              <w:rPr>
                <w:rFonts w:ascii="Arial" w:eastAsia="Arial" w:hAnsi="Arial" w:cs="Arial"/>
                <w:color w:val="264A60"/>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416A8D8"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52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458507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14CC6F"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69</w:t>
            </w:r>
          </w:p>
        </w:tc>
      </w:tr>
      <w:tr w:rsidR="00357A48" w:rsidRPr="00267217" w14:paraId="1306262C" w14:textId="77777777" w:rsidTr="00A336AB">
        <w:tc>
          <w:tcPr>
            <w:tcW w:w="1003" w:type="dxa"/>
            <w:tcBorders>
              <w:top w:val="single" w:sz="1" w:space="0" w:color="AEAEAE"/>
              <w:left w:val="none" w:sz="1" w:space="0" w:color="152935"/>
              <w:bottom w:val="single" w:sz="1" w:space="0" w:color="152935"/>
              <w:right w:val="none" w:sz="1" w:space="0" w:color="152935"/>
            </w:tcBorders>
            <w:shd w:val="clear" w:color="auto" w:fill="E0E0E0"/>
          </w:tcPr>
          <w:p w14:paraId="6BA4E0F0"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Gender</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F564FE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D43F603"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3418131"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w:t>
            </w:r>
          </w:p>
        </w:tc>
      </w:tr>
    </w:tbl>
    <w:p w14:paraId="6DF312A4" w14:textId="77777777" w:rsidR="00357A48" w:rsidRPr="00267217" w:rsidRDefault="00357A48" w:rsidP="00357A48">
      <w:pPr>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918"/>
        <w:gridCol w:w="833"/>
        <w:gridCol w:w="1156"/>
      </w:tblGrid>
      <w:tr w:rsidR="00357A48" w:rsidRPr="00267217" w14:paraId="3D82048C" w14:textId="77777777" w:rsidTr="00A336AB">
        <w:tc>
          <w:tcPr>
            <w:tcW w:w="2907" w:type="dxa"/>
            <w:gridSpan w:val="3"/>
            <w:shd w:val="clear" w:color="auto" w:fill="FFFFFF"/>
            <w:vAlign w:val="center"/>
          </w:tcPr>
          <w:p w14:paraId="211F014F" w14:textId="77777777" w:rsidR="00357A48" w:rsidRPr="00267217" w:rsidRDefault="00357A48" w:rsidP="00A336AB">
            <w:pPr>
              <w:spacing w:before="5" w:after="30"/>
              <w:ind w:left="30" w:right="40"/>
              <w:jc w:val="center"/>
              <w:rPr>
                <w:sz w:val="20"/>
                <w:szCs w:val="20"/>
              </w:rPr>
            </w:pPr>
            <w:r w:rsidRPr="00267217">
              <w:rPr>
                <w:rFonts w:ascii="Arial" w:eastAsia="Arial" w:hAnsi="Arial" w:cs="Arial"/>
                <w:b/>
                <w:color w:val="010205"/>
                <w:sz w:val="24"/>
                <w:szCs w:val="20"/>
              </w:rPr>
              <w:t>Number of Cases in each Cluster</w:t>
            </w:r>
          </w:p>
        </w:tc>
      </w:tr>
      <w:tr w:rsidR="00357A48" w:rsidRPr="00267217" w14:paraId="75CEEE14" w14:textId="77777777" w:rsidTr="00A336AB">
        <w:tc>
          <w:tcPr>
            <w:tcW w:w="918" w:type="dxa"/>
            <w:vMerge w:val="restart"/>
            <w:tcBorders>
              <w:top w:val="none" w:sz="1" w:space="0" w:color="152935"/>
              <w:left w:val="none" w:sz="1" w:space="0" w:color="152935"/>
              <w:bottom w:val="single" w:sz="1" w:space="0" w:color="AEAEAE"/>
              <w:right w:val="none" w:sz="1" w:space="0" w:color="AEAEAE"/>
            </w:tcBorders>
            <w:shd w:val="clear" w:color="auto" w:fill="E0E0E0"/>
          </w:tcPr>
          <w:p w14:paraId="3FF54853"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Cluster</w:t>
            </w:r>
          </w:p>
        </w:tc>
        <w:tc>
          <w:tcPr>
            <w:tcW w:w="833" w:type="dxa"/>
            <w:tcBorders>
              <w:top w:val="none" w:sz="1" w:space="0" w:color="152935"/>
              <w:left w:val="none" w:sz="1" w:space="0" w:color="AEAEAE"/>
              <w:bottom w:val="single" w:sz="1" w:space="0" w:color="AEAEAE"/>
              <w:right w:val="none" w:sz="1" w:space="0" w:color="152935"/>
            </w:tcBorders>
            <w:shd w:val="clear" w:color="auto" w:fill="E0E0E0"/>
          </w:tcPr>
          <w:p w14:paraId="3FE46D59"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1</w:t>
            </w:r>
          </w:p>
        </w:tc>
        <w:tc>
          <w:tcPr>
            <w:tcW w:w="1156" w:type="dxa"/>
            <w:tcBorders>
              <w:top w:val="none" w:sz="1" w:space="0" w:color="152935"/>
              <w:left w:val="none" w:sz="1" w:space="0" w:color="152935"/>
              <w:bottom w:val="single" w:sz="1" w:space="0" w:color="AEAEAE"/>
              <w:right w:val="none" w:sz="1" w:space="0" w:color="152935"/>
            </w:tcBorders>
            <w:shd w:val="clear" w:color="auto" w:fill="F9F9FB"/>
          </w:tcPr>
          <w:p w14:paraId="3943B6F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715.000</w:t>
            </w:r>
          </w:p>
        </w:tc>
      </w:tr>
      <w:tr w:rsidR="00357A48" w:rsidRPr="00267217" w14:paraId="343CD442" w14:textId="77777777" w:rsidTr="00A336AB">
        <w:tc>
          <w:tcPr>
            <w:tcW w:w="918" w:type="dxa"/>
            <w:vMerge/>
            <w:tcBorders>
              <w:top w:val="none" w:sz="1" w:space="0" w:color="152935"/>
              <w:left w:val="none" w:sz="1" w:space="0" w:color="152935"/>
              <w:bottom w:val="single" w:sz="1" w:space="0" w:color="AEAEAE"/>
              <w:right w:val="none" w:sz="1" w:space="0" w:color="AEAEAE"/>
            </w:tcBorders>
          </w:tcPr>
          <w:p w14:paraId="1E9078FE" w14:textId="77777777" w:rsidR="00357A48" w:rsidRPr="00267217" w:rsidRDefault="00357A48" w:rsidP="00A336AB">
            <w:pPr>
              <w:rPr>
                <w:sz w:val="20"/>
                <w:szCs w:val="20"/>
              </w:rPr>
            </w:pPr>
          </w:p>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77E6857"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2</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377590B2"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534.000</w:t>
            </w:r>
          </w:p>
        </w:tc>
      </w:tr>
      <w:tr w:rsidR="00357A48" w:rsidRPr="00267217" w14:paraId="221417F2" w14:textId="77777777" w:rsidTr="00A336AB">
        <w:tc>
          <w:tcPr>
            <w:tcW w:w="918" w:type="dxa"/>
            <w:vMerge/>
            <w:tcBorders>
              <w:top w:val="none" w:sz="1" w:space="0" w:color="152935"/>
              <w:left w:val="none" w:sz="1" w:space="0" w:color="152935"/>
              <w:bottom w:val="single" w:sz="1" w:space="0" w:color="AEAEAE"/>
              <w:right w:val="none" w:sz="1" w:space="0" w:color="AEAEAE"/>
            </w:tcBorders>
          </w:tcPr>
          <w:p w14:paraId="1CA7A86B" w14:textId="77777777" w:rsidR="00357A48" w:rsidRPr="00267217" w:rsidRDefault="00357A48" w:rsidP="00A336AB">
            <w:pPr>
              <w:rPr>
                <w:sz w:val="20"/>
                <w:szCs w:val="20"/>
              </w:rPr>
            </w:pPr>
          </w:p>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6F4CC70"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3</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5853CE09"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884.000</w:t>
            </w:r>
          </w:p>
        </w:tc>
      </w:tr>
      <w:tr w:rsidR="00357A48" w:rsidRPr="00267217" w14:paraId="06C95160" w14:textId="77777777" w:rsidTr="00A336AB">
        <w:tc>
          <w:tcPr>
            <w:tcW w:w="1751" w:type="dxa"/>
            <w:gridSpan w:val="2"/>
            <w:tcBorders>
              <w:top w:val="single" w:sz="1" w:space="0" w:color="AEAEAE"/>
              <w:left w:val="none" w:sz="1" w:space="0" w:color="152935"/>
              <w:bottom w:val="single" w:sz="1" w:space="0" w:color="AEAEAE"/>
              <w:right w:val="none" w:sz="1" w:space="0" w:color="AEAEAE"/>
            </w:tcBorders>
            <w:shd w:val="clear" w:color="auto" w:fill="E0E0E0"/>
          </w:tcPr>
          <w:p w14:paraId="77E76F3C"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Valid</w:t>
            </w:r>
          </w:p>
        </w:tc>
        <w:tc>
          <w:tcPr>
            <w:tcW w:w="1156" w:type="dxa"/>
            <w:tcBorders>
              <w:top w:val="single" w:sz="1" w:space="0" w:color="AEAEAE"/>
              <w:left w:val="none" w:sz="1" w:space="0" w:color="152935"/>
              <w:bottom w:val="single" w:sz="1" w:space="0" w:color="AEAEAE"/>
              <w:right w:val="none" w:sz="1" w:space="0" w:color="152935"/>
            </w:tcBorders>
            <w:shd w:val="clear" w:color="auto" w:fill="F9F9FB"/>
          </w:tcPr>
          <w:p w14:paraId="04A3463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2133.000</w:t>
            </w:r>
          </w:p>
        </w:tc>
      </w:tr>
      <w:tr w:rsidR="00357A48" w:rsidRPr="00267217" w14:paraId="08139AD8" w14:textId="77777777" w:rsidTr="00A336AB">
        <w:tc>
          <w:tcPr>
            <w:tcW w:w="1751" w:type="dxa"/>
            <w:gridSpan w:val="2"/>
            <w:tcBorders>
              <w:top w:val="single" w:sz="1" w:space="0" w:color="AEAEAE"/>
              <w:left w:val="none" w:sz="1" w:space="0" w:color="152935"/>
              <w:bottom w:val="single" w:sz="1" w:space="0" w:color="152935"/>
              <w:right w:val="none" w:sz="1" w:space="0" w:color="AEAEAE"/>
            </w:tcBorders>
            <w:shd w:val="clear" w:color="auto" w:fill="E0E0E0"/>
          </w:tcPr>
          <w:p w14:paraId="7443757C"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Missing</w:t>
            </w:r>
          </w:p>
        </w:tc>
        <w:tc>
          <w:tcPr>
            <w:tcW w:w="1156" w:type="dxa"/>
            <w:tcBorders>
              <w:top w:val="single" w:sz="1" w:space="0" w:color="AEAEAE"/>
              <w:left w:val="none" w:sz="1" w:space="0" w:color="152935"/>
              <w:bottom w:val="single" w:sz="1" w:space="0" w:color="152935"/>
              <w:right w:val="none" w:sz="1" w:space="0" w:color="152935"/>
            </w:tcBorders>
            <w:shd w:val="clear" w:color="auto" w:fill="F9F9FB"/>
          </w:tcPr>
          <w:p w14:paraId="5AFF1D4B"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.000</w:t>
            </w:r>
          </w:p>
        </w:tc>
      </w:tr>
    </w:tbl>
    <w:p w14:paraId="619687CD" w14:textId="77777777" w:rsidR="00357A48" w:rsidRPr="00267217" w:rsidRDefault="00357A48" w:rsidP="00357A48">
      <w:pPr>
        <w:spacing w:before="200"/>
        <w:rPr>
          <w:sz w:val="20"/>
          <w:szCs w:val="20"/>
        </w:rPr>
      </w:pPr>
    </w:p>
    <w:tbl>
      <w:tblPr>
        <w:tblW w:w="0" w:type="auto"/>
        <w:tblInd w:w="10" w:type="dxa"/>
        <w:tblLayout w:type="fixed"/>
        <w:tblCellMar>
          <w:left w:w="10" w:type="dxa"/>
          <w:right w:w="10" w:type="dxa"/>
        </w:tblCellMar>
        <w:tblLook w:val="04A0" w:firstRow="1" w:lastRow="0" w:firstColumn="1" w:lastColumn="0" w:noHBand="0" w:noVBand="1"/>
      </w:tblPr>
      <w:tblGrid>
        <w:gridCol w:w="2516"/>
        <w:gridCol w:w="1156"/>
        <w:gridCol w:w="1156"/>
        <w:gridCol w:w="1156"/>
        <w:gridCol w:w="1156"/>
        <w:gridCol w:w="1513"/>
      </w:tblGrid>
      <w:tr w:rsidR="00357A48" w:rsidRPr="00267217" w14:paraId="6B8AD6B3" w14:textId="77777777" w:rsidTr="00A336AB">
        <w:tc>
          <w:tcPr>
            <w:tcW w:w="8653" w:type="dxa"/>
            <w:gridSpan w:val="6"/>
            <w:shd w:val="clear" w:color="auto" w:fill="FFFFFF"/>
            <w:vAlign w:val="center"/>
          </w:tcPr>
          <w:p w14:paraId="66E49DE9" w14:textId="77777777" w:rsidR="00357A48" w:rsidRPr="00267217" w:rsidRDefault="00357A48" w:rsidP="00A336AB">
            <w:pPr>
              <w:spacing w:before="5" w:after="30"/>
              <w:ind w:left="30" w:right="40"/>
              <w:jc w:val="center"/>
              <w:rPr>
                <w:sz w:val="20"/>
                <w:szCs w:val="20"/>
              </w:rPr>
            </w:pPr>
            <w:r w:rsidRPr="00267217">
              <w:rPr>
                <w:rFonts w:ascii="Arial" w:eastAsia="Arial" w:hAnsi="Arial" w:cs="Arial"/>
                <w:b/>
                <w:color w:val="010205"/>
                <w:sz w:val="24"/>
                <w:szCs w:val="20"/>
              </w:rPr>
              <w:t>Descriptive Statistics</w:t>
            </w:r>
          </w:p>
        </w:tc>
      </w:tr>
      <w:tr w:rsidR="00357A48" w:rsidRPr="00267217" w14:paraId="74B064C4" w14:textId="77777777" w:rsidTr="00A336AB">
        <w:tc>
          <w:tcPr>
            <w:tcW w:w="2516" w:type="dxa"/>
            <w:tcBorders>
              <w:top w:val="none" w:sz="1" w:space="0" w:color="152935"/>
              <w:left w:val="none" w:sz="1" w:space="0" w:color="152935"/>
              <w:bottom w:val="single" w:sz="1" w:space="0" w:color="152935"/>
              <w:right w:val="none" w:sz="1" w:space="0" w:color="152935"/>
            </w:tcBorders>
            <w:shd w:val="clear" w:color="auto" w:fill="FFFFFF"/>
            <w:vAlign w:val="bottom"/>
          </w:tcPr>
          <w:p w14:paraId="485B6FD0" w14:textId="77777777" w:rsidR="00357A48" w:rsidRPr="00267217" w:rsidRDefault="00357A48" w:rsidP="00A336AB">
            <w:pPr>
              <w:spacing w:before="15" w:after="5"/>
              <w:ind w:left="30" w:right="40"/>
              <w:rPr>
                <w:sz w:val="20"/>
                <w:szCs w:val="20"/>
              </w:rPr>
            </w:pPr>
          </w:p>
        </w:tc>
        <w:tc>
          <w:tcPr>
            <w:tcW w:w="1156" w:type="dxa"/>
            <w:tcBorders>
              <w:top w:val="none" w:sz="1" w:space="0" w:color="152935"/>
              <w:left w:val="none" w:sz="1" w:space="0" w:color="152935"/>
              <w:bottom w:val="single" w:sz="1" w:space="0" w:color="152935"/>
              <w:right w:val="none" w:sz="1" w:space="0" w:color="AEAEAE"/>
            </w:tcBorders>
            <w:shd w:val="clear" w:color="auto" w:fill="FFFFFF"/>
            <w:vAlign w:val="bottom"/>
          </w:tcPr>
          <w:p w14:paraId="76DD4FDB"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N</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234D87D6"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Minimum</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7060D935"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Maximum</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4E79B67F"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2E5B03E0" w14:textId="77777777" w:rsidR="00357A48" w:rsidRPr="00267217" w:rsidRDefault="00357A48" w:rsidP="00A336AB">
            <w:pPr>
              <w:spacing w:before="10" w:after="10"/>
              <w:ind w:left="30" w:right="40"/>
              <w:jc w:val="center"/>
              <w:rPr>
                <w:sz w:val="20"/>
                <w:szCs w:val="20"/>
              </w:rPr>
            </w:pPr>
            <w:r w:rsidRPr="00267217">
              <w:rPr>
                <w:rFonts w:ascii="Arial" w:eastAsia="Arial" w:hAnsi="Arial" w:cs="Arial"/>
                <w:color w:val="264A60"/>
                <w:szCs w:val="20"/>
              </w:rPr>
              <w:t>Std. Deviation</w:t>
            </w:r>
          </w:p>
        </w:tc>
      </w:tr>
      <w:tr w:rsidR="00357A48" w:rsidRPr="00267217" w14:paraId="5C6FA10B" w14:textId="77777777" w:rsidTr="00A336AB">
        <w:tc>
          <w:tcPr>
            <w:tcW w:w="2516" w:type="dxa"/>
            <w:tcBorders>
              <w:top w:val="single" w:sz="1" w:space="0" w:color="152935"/>
              <w:left w:val="none" w:sz="1" w:space="0" w:color="152935"/>
              <w:bottom w:val="single" w:sz="1" w:space="0" w:color="AEAEAE"/>
              <w:right w:val="none" w:sz="1" w:space="0" w:color="152935"/>
            </w:tcBorders>
            <w:shd w:val="clear" w:color="auto" w:fill="E0E0E0"/>
          </w:tcPr>
          <w:p w14:paraId="2E169C7B"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347DD61A"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A8B7EDB"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22</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48E887A"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93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B167FE5"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54.96</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09354A4A"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13.563</w:t>
            </w:r>
          </w:p>
        </w:tc>
      </w:tr>
      <w:tr w:rsidR="00357A48" w:rsidRPr="00267217" w14:paraId="090D9570" w14:textId="77777777" w:rsidTr="00A336AB">
        <w:tc>
          <w:tcPr>
            <w:tcW w:w="2516" w:type="dxa"/>
            <w:tcBorders>
              <w:top w:val="single" w:sz="1" w:space="0" w:color="AEAEAE"/>
              <w:left w:val="none" w:sz="1" w:space="0" w:color="152935"/>
              <w:bottom w:val="single" w:sz="1" w:space="0" w:color="AEAEAE"/>
              <w:right w:val="none" w:sz="1" w:space="0" w:color="152935"/>
            </w:tcBorders>
            <w:shd w:val="clear" w:color="auto" w:fill="E0E0E0"/>
          </w:tcPr>
          <w:p w14:paraId="41820A9F" w14:textId="77777777" w:rsidR="00357A48" w:rsidRPr="00267217" w:rsidRDefault="00357A48" w:rsidP="00A336AB">
            <w:pPr>
              <w:spacing w:before="15" w:after="10"/>
              <w:ind w:left="30" w:right="40"/>
              <w:rPr>
                <w:sz w:val="20"/>
                <w:szCs w:val="20"/>
              </w:rPr>
            </w:pPr>
            <w:proofErr w:type="spellStart"/>
            <w:r w:rsidRPr="00267217">
              <w:rPr>
                <w:rFonts w:ascii="Arial" w:eastAsia="Arial" w:hAnsi="Arial" w:cs="Arial"/>
                <w:color w:val="264A60"/>
                <w:szCs w:val="20"/>
              </w:rPr>
              <w:t>Posttest</w:t>
            </w:r>
            <w:proofErr w:type="spellEnd"/>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4DE579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D42AC7"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7A011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100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889F4E"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67.10</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15445FC"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13.987</w:t>
            </w:r>
          </w:p>
        </w:tc>
      </w:tr>
      <w:tr w:rsidR="00357A48" w:rsidRPr="00267217" w14:paraId="39FC1922" w14:textId="77777777" w:rsidTr="00A336AB">
        <w:tc>
          <w:tcPr>
            <w:tcW w:w="2516" w:type="dxa"/>
            <w:tcBorders>
              <w:top w:val="single" w:sz="1" w:space="0" w:color="AEAEAE"/>
              <w:left w:val="none" w:sz="1" w:space="0" w:color="152935"/>
              <w:bottom w:val="single" w:sz="1" w:space="0" w:color="AEAEAE"/>
              <w:right w:val="none" w:sz="1" w:space="0" w:color="152935"/>
            </w:tcBorders>
            <w:shd w:val="clear" w:color="auto" w:fill="E0E0E0"/>
          </w:tcPr>
          <w:p w14:paraId="692AA8B3"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Cluster Number of Case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496D20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903A803"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C515CA6"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5C12D0"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2.08</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F4A8C7C"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.862</w:t>
            </w:r>
          </w:p>
        </w:tc>
      </w:tr>
      <w:tr w:rsidR="00357A48" w:rsidRPr="00267217" w14:paraId="1295DA17" w14:textId="77777777" w:rsidTr="00A336AB">
        <w:tc>
          <w:tcPr>
            <w:tcW w:w="2516" w:type="dxa"/>
            <w:tcBorders>
              <w:top w:val="single" w:sz="1" w:space="0" w:color="AEAEAE"/>
              <w:left w:val="none" w:sz="1" w:space="0" w:color="152935"/>
              <w:bottom w:val="single" w:sz="1" w:space="0" w:color="152935"/>
              <w:right w:val="none" w:sz="1" w:space="0" w:color="152935"/>
            </w:tcBorders>
            <w:shd w:val="clear" w:color="auto" w:fill="E0E0E0"/>
          </w:tcPr>
          <w:p w14:paraId="175D0E03" w14:textId="77777777" w:rsidR="00357A48" w:rsidRPr="00267217" w:rsidRDefault="00357A48" w:rsidP="00A336AB">
            <w:pPr>
              <w:spacing w:before="15" w:after="10"/>
              <w:ind w:left="30" w:right="40"/>
              <w:rPr>
                <w:sz w:val="20"/>
                <w:szCs w:val="20"/>
              </w:rPr>
            </w:pPr>
            <w:r w:rsidRPr="00267217">
              <w:rPr>
                <w:rFonts w:ascii="Arial" w:eastAsia="Arial" w:hAnsi="Arial" w:cs="Arial"/>
                <w:color w:val="264A60"/>
                <w:szCs w:val="20"/>
              </w:rPr>
              <w:t>Valid N (listwise)</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7EF48B4" w14:textId="77777777" w:rsidR="00357A48" w:rsidRPr="00267217" w:rsidRDefault="00357A48" w:rsidP="00A336AB">
            <w:pPr>
              <w:spacing w:before="15" w:after="10"/>
              <w:ind w:left="30" w:right="40"/>
              <w:jc w:val="right"/>
              <w:rPr>
                <w:sz w:val="20"/>
                <w:szCs w:val="20"/>
              </w:rPr>
            </w:pPr>
            <w:r w:rsidRPr="00267217">
              <w:rPr>
                <w:rFonts w:ascii="Arial" w:eastAsia="Arial" w:hAnsi="Arial" w:cs="Arial"/>
                <w:color w:val="010205"/>
                <w:szCs w:val="20"/>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1C50365" w14:textId="77777777" w:rsidR="00357A48" w:rsidRPr="00267217" w:rsidRDefault="00357A48" w:rsidP="00A336AB">
            <w:pPr>
              <w:rPr>
                <w:sz w:val="20"/>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E202A02" w14:textId="77777777" w:rsidR="00357A48" w:rsidRPr="00267217" w:rsidRDefault="00357A48" w:rsidP="00A336AB">
            <w:pPr>
              <w:rPr>
                <w:sz w:val="20"/>
                <w:szCs w:val="20"/>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2F87349" w14:textId="77777777" w:rsidR="00357A48" w:rsidRPr="00267217" w:rsidRDefault="00357A48" w:rsidP="00A336AB">
            <w:pPr>
              <w:rPr>
                <w:sz w:val="20"/>
                <w:szCs w:val="20"/>
              </w:rPr>
            </w:pPr>
          </w:p>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606B61DA" w14:textId="77777777" w:rsidR="00357A48" w:rsidRPr="00267217" w:rsidRDefault="00357A48" w:rsidP="00A336AB">
            <w:pPr>
              <w:rPr>
                <w:sz w:val="20"/>
                <w:szCs w:val="20"/>
              </w:rPr>
            </w:pPr>
          </w:p>
        </w:tc>
      </w:tr>
    </w:tbl>
    <w:p w14:paraId="596211C4" w14:textId="77777777" w:rsidR="00357A48" w:rsidRPr="00267217" w:rsidRDefault="00357A48" w:rsidP="00B97F33">
      <w:pPr>
        <w:spacing w:after="240" w:line="360" w:lineRule="auto"/>
        <w:jc w:val="both"/>
        <w:rPr>
          <w:rFonts w:eastAsia="Times New Roman" w:cstheme="minorHAnsi"/>
          <w:sz w:val="24"/>
          <w:szCs w:val="24"/>
        </w:rPr>
      </w:pPr>
    </w:p>
    <w:p w14:paraId="105113BB" w14:textId="77777777" w:rsidR="000A6FAF" w:rsidRPr="00267217" w:rsidRDefault="000A6FAF" w:rsidP="00B97F33">
      <w:pPr>
        <w:autoSpaceDE w:val="0"/>
        <w:autoSpaceDN w:val="0"/>
        <w:adjustRightInd w:val="0"/>
        <w:spacing w:line="360" w:lineRule="auto"/>
        <w:jc w:val="both"/>
        <w:rPr>
          <w:rFonts w:cstheme="minorHAnsi"/>
          <w:sz w:val="24"/>
          <w:szCs w:val="24"/>
        </w:rPr>
      </w:pPr>
    </w:p>
    <w:p w14:paraId="73BEF01A" w14:textId="77777777" w:rsidR="006E1FC3" w:rsidRPr="00267217" w:rsidRDefault="006E1FC3" w:rsidP="00B97F33">
      <w:pPr>
        <w:autoSpaceDE w:val="0"/>
        <w:autoSpaceDN w:val="0"/>
        <w:adjustRightInd w:val="0"/>
        <w:spacing w:line="360" w:lineRule="auto"/>
        <w:jc w:val="both"/>
        <w:rPr>
          <w:rFonts w:cstheme="minorHAnsi"/>
          <w:sz w:val="24"/>
          <w:szCs w:val="24"/>
        </w:rPr>
      </w:pPr>
    </w:p>
    <w:p w14:paraId="5B4748B4" w14:textId="77777777" w:rsidR="006E1FC3" w:rsidRPr="00267217" w:rsidRDefault="006E1FC3" w:rsidP="00B97F33">
      <w:pPr>
        <w:autoSpaceDE w:val="0"/>
        <w:autoSpaceDN w:val="0"/>
        <w:adjustRightInd w:val="0"/>
        <w:spacing w:line="360" w:lineRule="auto"/>
        <w:jc w:val="both"/>
        <w:rPr>
          <w:rFonts w:cstheme="minorHAnsi"/>
          <w:sz w:val="24"/>
          <w:szCs w:val="24"/>
        </w:rPr>
      </w:pPr>
    </w:p>
    <w:p w14:paraId="6851B1D3" w14:textId="543439A5" w:rsidR="006E1FC3" w:rsidRPr="00267217" w:rsidRDefault="006E1FC3" w:rsidP="00B97F33">
      <w:pPr>
        <w:autoSpaceDE w:val="0"/>
        <w:autoSpaceDN w:val="0"/>
        <w:adjustRightInd w:val="0"/>
        <w:spacing w:line="360" w:lineRule="auto"/>
        <w:jc w:val="both"/>
        <w:rPr>
          <w:rFonts w:cstheme="minorHAnsi"/>
          <w:sz w:val="24"/>
          <w:szCs w:val="24"/>
        </w:rPr>
      </w:pPr>
    </w:p>
    <w:p w14:paraId="72944914" w14:textId="3A1BB70B" w:rsidR="00A336AB" w:rsidRPr="00267217" w:rsidRDefault="00A336AB" w:rsidP="00B97F33">
      <w:pPr>
        <w:autoSpaceDE w:val="0"/>
        <w:autoSpaceDN w:val="0"/>
        <w:adjustRightInd w:val="0"/>
        <w:spacing w:line="360" w:lineRule="auto"/>
        <w:jc w:val="both"/>
        <w:rPr>
          <w:rFonts w:cstheme="minorHAnsi"/>
          <w:sz w:val="24"/>
          <w:szCs w:val="24"/>
        </w:rPr>
      </w:pPr>
    </w:p>
    <w:p w14:paraId="5449E28F" w14:textId="31855F51" w:rsidR="00267217" w:rsidRPr="00267217" w:rsidRDefault="00267217" w:rsidP="00B97F33">
      <w:pPr>
        <w:autoSpaceDE w:val="0"/>
        <w:autoSpaceDN w:val="0"/>
        <w:adjustRightInd w:val="0"/>
        <w:spacing w:line="360" w:lineRule="auto"/>
        <w:jc w:val="both"/>
        <w:rPr>
          <w:rFonts w:cstheme="minorHAnsi"/>
          <w:sz w:val="24"/>
          <w:szCs w:val="24"/>
        </w:rPr>
      </w:pPr>
    </w:p>
    <w:p w14:paraId="64A67852" w14:textId="6162D015" w:rsidR="00267217" w:rsidRPr="00267217" w:rsidRDefault="00267217" w:rsidP="00B97F33">
      <w:pPr>
        <w:autoSpaceDE w:val="0"/>
        <w:autoSpaceDN w:val="0"/>
        <w:adjustRightInd w:val="0"/>
        <w:spacing w:line="360" w:lineRule="auto"/>
        <w:jc w:val="both"/>
        <w:rPr>
          <w:rFonts w:cstheme="minorHAnsi"/>
          <w:sz w:val="24"/>
          <w:szCs w:val="24"/>
        </w:rPr>
      </w:pPr>
    </w:p>
    <w:p w14:paraId="26D59DDB" w14:textId="77777777" w:rsidR="00267217" w:rsidRPr="00267217" w:rsidRDefault="00267217" w:rsidP="00B97F33">
      <w:pPr>
        <w:autoSpaceDE w:val="0"/>
        <w:autoSpaceDN w:val="0"/>
        <w:adjustRightInd w:val="0"/>
        <w:spacing w:line="360" w:lineRule="auto"/>
        <w:jc w:val="both"/>
        <w:rPr>
          <w:rFonts w:cstheme="minorHAnsi"/>
          <w:sz w:val="24"/>
          <w:szCs w:val="24"/>
        </w:rPr>
      </w:pPr>
    </w:p>
    <w:p w14:paraId="116E9D31" w14:textId="5CF67F06" w:rsidR="000A6FAF" w:rsidRPr="00267217" w:rsidRDefault="000A6FAF" w:rsidP="00267217">
      <w:pPr>
        <w:pStyle w:val="Heading1"/>
        <w:rPr>
          <w:rFonts w:ascii="Arial" w:hAnsi="Arial" w:cs="Arial"/>
          <w:b/>
          <w:lang w:val="en-GB"/>
        </w:rPr>
      </w:pPr>
      <w:bookmarkStart w:id="15" w:name="_Toc165631043"/>
      <w:r w:rsidRPr="00267217">
        <w:rPr>
          <w:rFonts w:ascii="Arial" w:hAnsi="Arial" w:cs="Arial"/>
          <w:b/>
          <w:lang w:val="en-GB"/>
        </w:rPr>
        <w:t>Section 3: Tool Evaluation</w:t>
      </w:r>
      <w:bookmarkEnd w:id="15"/>
    </w:p>
    <w:p w14:paraId="7773F8D2" w14:textId="77777777" w:rsidR="00267217" w:rsidRPr="00267217" w:rsidRDefault="00267217" w:rsidP="00267217"/>
    <w:p w14:paraId="5B911360" w14:textId="77777777" w:rsidR="000A6FAF" w:rsidRPr="00267217" w:rsidRDefault="000A6FAF" w:rsidP="00267217">
      <w:pPr>
        <w:pStyle w:val="Heading3"/>
        <w:jc w:val="both"/>
        <w:rPr>
          <w:rFonts w:ascii="Arial" w:hAnsi="Arial" w:cs="Arial"/>
          <w:b/>
          <w:color w:val="auto"/>
        </w:rPr>
      </w:pPr>
      <w:bookmarkStart w:id="16" w:name="_Toc165631044"/>
      <w:r w:rsidRPr="00267217">
        <w:rPr>
          <w:rFonts w:ascii="Arial" w:hAnsi="Arial" w:cs="Arial"/>
          <w:b/>
          <w:color w:val="auto"/>
        </w:rPr>
        <w:t>Comparison of Tools: SPSS vs. Excel</w:t>
      </w:r>
      <w:bookmarkEnd w:id="16"/>
    </w:p>
    <w:p w14:paraId="7B23041C" w14:textId="77777777" w:rsidR="00910440" w:rsidRPr="00267217" w:rsidRDefault="00CA4139"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Whether to use SPSS or Excel for data analysis depends on the demands of the user, the complexity of the data, and the planned analysis. These two data analysis techniques have </w:t>
      </w:r>
    </w:p>
    <w:p w14:paraId="2517CDDB" w14:textId="4B14E1B0" w:rsidR="00CA4139" w:rsidRPr="00267217" w:rsidRDefault="00CA4139"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advantages and disadvantages that make them useful for a variety of tasks. </w:t>
      </w:r>
    </w:p>
    <w:p w14:paraId="45C4553C" w14:textId="2FC79629" w:rsidR="000A6FAF" w:rsidRPr="00267217" w:rsidRDefault="000A6FAF" w:rsidP="00267217">
      <w:pPr>
        <w:pStyle w:val="Heading3"/>
        <w:jc w:val="both"/>
        <w:rPr>
          <w:rFonts w:ascii="Arial" w:hAnsi="Arial" w:cs="Arial"/>
          <w:b/>
          <w:color w:val="auto"/>
        </w:rPr>
      </w:pPr>
      <w:bookmarkStart w:id="17" w:name="_Toc165631045"/>
      <w:r w:rsidRPr="00267217">
        <w:rPr>
          <w:rFonts w:ascii="Arial" w:hAnsi="Arial" w:cs="Arial"/>
          <w:b/>
          <w:color w:val="auto"/>
        </w:rPr>
        <w:t>Advantages of SPSS:</w:t>
      </w:r>
      <w:bookmarkEnd w:id="17"/>
    </w:p>
    <w:p w14:paraId="331DB573" w14:textId="77777777" w:rsidR="00CA4139" w:rsidRPr="00267217" w:rsidRDefault="000A6FAF" w:rsidP="00F152B1">
      <w:pPr>
        <w:pStyle w:val="ListParagraph"/>
        <w:numPr>
          <w:ilvl w:val="0"/>
          <w:numId w:val="10"/>
        </w:numPr>
        <w:spacing w:after="240" w:line="360" w:lineRule="auto"/>
        <w:jc w:val="both"/>
        <w:rPr>
          <w:rFonts w:ascii="Arial" w:eastAsia="Times New Roman" w:hAnsi="Arial" w:cs="Arial"/>
          <w:sz w:val="24"/>
          <w:szCs w:val="24"/>
        </w:rPr>
      </w:pPr>
      <w:r w:rsidRPr="00267217">
        <w:rPr>
          <w:rFonts w:ascii="Arial" w:hAnsi="Arial" w:cs="Arial"/>
          <w:b/>
          <w:bCs/>
          <w:sz w:val="24"/>
          <w:szCs w:val="24"/>
        </w:rPr>
        <w:t>Advanced Statistical Analysis:</w:t>
      </w:r>
      <w:r w:rsidRPr="00267217">
        <w:rPr>
          <w:rFonts w:ascii="Arial" w:hAnsi="Arial" w:cs="Arial"/>
          <w:sz w:val="24"/>
          <w:szCs w:val="24"/>
        </w:rPr>
        <w:t xml:space="preserve"> </w:t>
      </w:r>
      <w:r w:rsidR="00CA4139" w:rsidRPr="00267217">
        <w:rPr>
          <w:rFonts w:ascii="Arial" w:eastAsia="Times New Roman" w:hAnsi="Arial" w:cs="Arial"/>
          <w:sz w:val="24"/>
          <w:szCs w:val="24"/>
        </w:rPr>
        <w:t xml:space="preserve">SPSS excels in complex statistical analysis and offers more statistical tests, according to Field (2013). </w:t>
      </w:r>
    </w:p>
    <w:p w14:paraId="3FCB68A9" w14:textId="6C71B3D4" w:rsidR="00B734A6" w:rsidRPr="00267217" w:rsidRDefault="000A6FAF" w:rsidP="00F152B1">
      <w:pPr>
        <w:pStyle w:val="ListParagraph"/>
        <w:numPr>
          <w:ilvl w:val="0"/>
          <w:numId w:val="10"/>
        </w:numPr>
        <w:spacing w:after="240" w:line="360" w:lineRule="auto"/>
        <w:jc w:val="both"/>
        <w:rPr>
          <w:rFonts w:ascii="Arial" w:eastAsia="Times New Roman" w:hAnsi="Arial" w:cs="Arial"/>
          <w:sz w:val="24"/>
          <w:szCs w:val="24"/>
        </w:rPr>
      </w:pPr>
      <w:r w:rsidRPr="00267217">
        <w:rPr>
          <w:rFonts w:ascii="Arial" w:hAnsi="Arial" w:cs="Arial"/>
          <w:b/>
          <w:bCs/>
          <w:sz w:val="24"/>
          <w:szCs w:val="24"/>
        </w:rPr>
        <w:t>Handling Large Datasets</w:t>
      </w:r>
      <w:r w:rsidRPr="00267217">
        <w:rPr>
          <w:rFonts w:ascii="Arial" w:hAnsi="Arial" w:cs="Arial"/>
          <w:sz w:val="24"/>
          <w:szCs w:val="24"/>
        </w:rPr>
        <w:t xml:space="preserve">: </w:t>
      </w:r>
      <w:r w:rsidR="00B734A6" w:rsidRPr="00267217">
        <w:rPr>
          <w:rFonts w:ascii="Arial" w:eastAsia="Times New Roman" w:hAnsi="Arial" w:cs="Arial"/>
          <w:sz w:val="24"/>
          <w:szCs w:val="24"/>
        </w:rPr>
        <w:t>Large datasets can be managed by SPSS for complex analytics (George &amp; Mallery, 2019).</w:t>
      </w:r>
    </w:p>
    <w:p w14:paraId="373B0C26" w14:textId="77777777" w:rsidR="00B734A6" w:rsidRPr="00267217" w:rsidRDefault="000A6FAF" w:rsidP="00F152B1">
      <w:pPr>
        <w:pStyle w:val="ListParagraph"/>
        <w:numPr>
          <w:ilvl w:val="0"/>
          <w:numId w:val="10"/>
        </w:numPr>
        <w:spacing w:line="360" w:lineRule="auto"/>
        <w:jc w:val="both"/>
        <w:rPr>
          <w:rFonts w:ascii="Arial" w:eastAsia="Times New Roman" w:hAnsi="Arial" w:cs="Arial"/>
          <w:sz w:val="24"/>
          <w:szCs w:val="24"/>
        </w:rPr>
      </w:pPr>
      <w:r w:rsidRPr="00267217">
        <w:rPr>
          <w:rFonts w:ascii="Arial" w:hAnsi="Arial" w:cs="Arial"/>
          <w:b/>
          <w:bCs/>
          <w:sz w:val="24"/>
          <w:szCs w:val="24"/>
        </w:rPr>
        <w:t>Output and Reporting:</w:t>
      </w:r>
      <w:r w:rsidRPr="00267217">
        <w:rPr>
          <w:rFonts w:ascii="Arial" w:hAnsi="Arial" w:cs="Arial"/>
          <w:sz w:val="24"/>
          <w:szCs w:val="24"/>
        </w:rPr>
        <w:t xml:space="preserve"> </w:t>
      </w:r>
      <w:r w:rsidR="00B734A6" w:rsidRPr="00267217">
        <w:rPr>
          <w:rFonts w:ascii="Arial" w:eastAsia="Times New Roman" w:hAnsi="Arial" w:cs="Arial"/>
          <w:sz w:val="24"/>
          <w:szCs w:val="24"/>
        </w:rPr>
        <w:t>offers a wide range of output possibilities and the capacity to handle various data kinds with ease.</w:t>
      </w:r>
    </w:p>
    <w:p w14:paraId="3CFECDA4" w14:textId="6F4DE23F" w:rsidR="000A6FAF" w:rsidRPr="00267217" w:rsidRDefault="000A6FAF" w:rsidP="00267217">
      <w:pPr>
        <w:pStyle w:val="Heading3"/>
        <w:jc w:val="both"/>
        <w:rPr>
          <w:rFonts w:ascii="Arial" w:hAnsi="Arial" w:cs="Arial"/>
          <w:b/>
          <w:color w:val="auto"/>
        </w:rPr>
      </w:pPr>
      <w:bookmarkStart w:id="18" w:name="_Toc165631046"/>
      <w:r w:rsidRPr="00267217">
        <w:rPr>
          <w:rFonts w:ascii="Arial" w:hAnsi="Arial" w:cs="Arial"/>
          <w:b/>
          <w:color w:val="auto"/>
        </w:rPr>
        <w:t>Disadvantages of SPSS:</w:t>
      </w:r>
      <w:bookmarkEnd w:id="18"/>
    </w:p>
    <w:p w14:paraId="1623D509" w14:textId="77777777" w:rsidR="000A6FAF" w:rsidRPr="00267217" w:rsidRDefault="000A6FAF" w:rsidP="00F152B1">
      <w:pPr>
        <w:pStyle w:val="ListParagraph"/>
        <w:numPr>
          <w:ilvl w:val="0"/>
          <w:numId w:val="11"/>
        </w:numPr>
        <w:autoSpaceDE w:val="0"/>
        <w:autoSpaceDN w:val="0"/>
        <w:adjustRightInd w:val="0"/>
        <w:spacing w:line="360" w:lineRule="auto"/>
        <w:jc w:val="both"/>
        <w:rPr>
          <w:rFonts w:ascii="Arial" w:hAnsi="Arial" w:cs="Arial"/>
          <w:sz w:val="24"/>
          <w:szCs w:val="24"/>
        </w:rPr>
      </w:pPr>
      <w:r w:rsidRPr="00267217">
        <w:rPr>
          <w:rFonts w:ascii="Arial" w:hAnsi="Arial" w:cs="Arial"/>
          <w:b/>
          <w:bCs/>
          <w:sz w:val="24"/>
          <w:szCs w:val="24"/>
        </w:rPr>
        <w:t>Cost:</w:t>
      </w:r>
      <w:r w:rsidRPr="00267217">
        <w:rPr>
          <w:rFonts w:ascii="Arial" w:hAnsi="Arial" w:cs="Arial"/>
          <w:sz w:val="24"/>
          <w:szCs w:val="24"/>
        </w:rPr>
        <w:t xml:space="preserve"> SPSS is a premium software, which might be a limiting factor for individual researchers or smaller organizations.</w:t>
      </w:r>
    </w:p>
    <w:p w14:paraId="77B0868B" w14:textId="77777777" w:rsidR="000A6FAF" w:rsidRPr="00267217" w:rsidRDefault="000A6FAF" w:rsidP="00F152B1">
      <w:pPr>
        <w:pStyle w:val="ListParagraph"/>
        <w:numPr>
          <w:ilvl w:val="0"/>
          <w:numId w:val="11"/>
        </w:numPr>
        <w:autoSpaceDE w:val="0"/>
        <w:autoSpaceDN w:val="0"/>
        <w:adjustRightInd w:val="0"/>
        <w:spacing w:line="360" w:lineRule="auto"/>
        <w:jc w:val="both"/>
        <w:rPr>
          <w:rFonts w:ascii="Arial" w:hAnsi="Arial" w:cs="Arial"/>
          <w:sz w:val="24"/>
          <w:szCs w:val="24"/>
        </w:rPr>
      </w:pPr>
      <w:r w:rsidRPr="00267217">
        <w:rPr>
          <w:rFonts w:ascii="Arial" w:hAnsi="Arial" w:cs="Arial"/>
          <w:b/>
          <w:bCs/>
          <w:sz w:val="24"/>
          <w:szCs w:val="24"/>
        </w:rPr>
        <w:t>Learning Curve:</w:t>
      </w:r>
      <w:r w:rsidRPr="00267217">
        <w:rPr>
          <w:rFonts w:ascii="Arial" w:hAnsi="Arial" w:cs="Arial"/>
          <w:sz w:val="24"/>
          <w:szCs w:val="24"/>
        </w:rPr>
        <w:t xml:space="preserve"> Requires more specialized knowledge to use effectively, potentially increasing training costs.</w:t>
      </w:r>
    </w:p>
    <w:p w14:paraId="41ECA4B9" w14:textId="06B81231" w:rsidR="000A6FAF" w:rsidRPr="00267217" w:rsidRDefault="000A6FAF" w:rsidP="00267217">
      <w:pPr>
        <w:pStyle w:val="Heading3"/>
        <w:jc w:val="both"/>
        <w:rPr>
          <w:rFonts w:ascii="Arial" w:hAnsi="Arial" w:cs="Arial"/>
          <w:b/>
          <w:color w:val="auto"/>
        </w:rPr>
      </w:pPr>
      <w:bookmarkStart w:id="19" w:name="_Toc165631047"/>
      <w:r w:rsidRPr="00267217">
        <w:rPr>
          <w:rFonts w:ascii="Arial" w:hAnsi="Arial" w:cs="Arial"/>
          <w:b/>
          <w:color w:val="auto"/>
        </w:rPr>
        <w:t>Advantages of Excel:</w:t>
      </w:r>
      <w:bookmarkEnd w:id="19"/>
    </w:p>
    <w:p w14:paraId="1DB9AFAB" w14:textId="2B46536F" w:rsidR="00B734A6" w:rsidRPr="00267217" w:rsidRDefault="000A6FAF" w:rsidP="00F152B1">
      <w:pPr>
        <w:pStyle w:val="ListParagraph"/>
        <w:numPr>
          <w:ilvl w:val="0"/>
          <w:numId w:val="12"/>
        </w:numPr>
        <w:spacing w:after="240" w:line="360" w:lineRule="auto"/>
        <w:jc w:val="both"/>
        <w:rPr>
          <w:rFonts w:ascii="Arial" w:eastAsia="Times New Roman" w:hAnsi="Arial" w:cs="Arial"/>
          <w:sz w:val="24"/>
          <w:szCs w:val="24"/>
        </w:rPr>
      </w:pPr>
      <w:r w:rsidRPr="00267217">
        <w:rPr>
          <w:rFonts w:ascii="Arial" w:hAnsi="Arial" w:cs="Arial"/>
          <w:b/>
          <w:bCs/>
          <w:sz w:val="24"/>
          <w:szCs w:val="24"/>
        </w:rPr>
        <w:t>Usability:</w:t>
      </w:r>
      <w:r w:rsidRPr="00267217">
        <w:rPr>
          <w:rFonts w:ascii="Arial" w:hAnsi="Arial" w:cs="Arial"/>
          <w:sz w:val="24"/>
          <w:szCs w:val="24"/>
        </w:rPr>
        <w:t xml:space="preserve"> </w:t>
      </w:r>
      <w:r w:rsidR="00B734A6" w:rsidRPr="00267217">
        <w:rPr>
          <w:rFonts w:ascii="Arial" w:eastAsia="Times New Roman" w:hAnsi="Arial" w:cs="Arial"/>
          <w:sz w:val="24"/>
          <w:szCs w:val="24"/>
        </w:rPr>
        <w:t xml:space="preserve">Excel is accessible to most people and is easy to use (Frye, 2018). </w:t>
      </w:r>
    </w:p>
    <w:p w14:paraId="2107B853" w14:textId="43FB9B4C" w:rsidR="00B734A6" w:rsidRPr="00267217" w:rsidRDefault="000A6FAF" w:rsidP="00F152B1">
      <w:pPr>
        <w:pStyle w:val="ListParagraph"/>
        <w:numPr>
          <w:ilvl w:val="0"/>
          <w:numId w:val="12"/>
        </w:numPr>
        <w:spacing w:after="240" w:line="360" w:lineRule="auto"/>
        <w:jc w:val="both"/>
        <w:rPr>
          <w:rFonts w:ascii="Arial" w:eastAsia="Times New Roman" w:hAnsi="Arial" w:cs="Arial"/>
          <w:sz w:val="24"/>
          <w:szCs w:val="24"/>
        </w:rPr>
      </w:pPr>
      <w:r w:rsidRPr="00267217">
        <w:rPr>
          <w:rFonts w:ascii="Arial" w:hAnsi="Arial" w:cs="Arial"/>
          <w:b/>
          <w:bCs/>
          <w:sz w:val="24"/>
          <w:szCs w:val="24"/>
        </w:rPr>
        <w:t>Versatility:</w:t>
      </w:r>
      <w:r w:rsidRPr="00267217">
        <w:rPr>
          <w:rFonts w:ascii="Arial" w:hAnsi="Arial" w:cs="Arial"/>
          <w:sz w:val="24"/>
          <w:szCs w:val="24"/>
        </w:rPr>
        <w:t xml:space="preserve"> </w:t>
      </w:r>
      <w:r w:rsidR="00B734A6" w:rsidRPr="00267217">
        <w:rPr>
          <w:rFonts w:ascii="Arial" w:eastAsia="Times New Roman" w:hAnsi="Arial" w:cs="Arial"/>
          <w:sz w:val="24"/>
          <w:szCs w:val="24"/>
        </w:rPr>
        <w:t xml:space="preserve">Data entry, bookkeeping, and inventory management are not statistical analysis-related abilities. </w:t>
      </w:r>
    </w:p>
    <w:p w14:paraId="17E93A65" w14:textId="403708D1" w:rsidR="000A6FAF" w:rsidRPr="00267217" w:rsidRDefault="000A6FAF" w:rsidP="00267217">
      <w:pPr>
        <w:pStyle w:val="Heading3"/>
        <w:jc w:val="both"/>
        <w:rPr>
          <w:rFonts w:ascii="Arial" w:hAnsi="Arial" w:cs="Arial"/>
          <w:b/>
          <w:color w:val="auto"/>
        </w:rPr>
      </w:pPr>
      <w:bookmarkStart w:id="20" w:name="_Toc165631048"/>
      <w:r w:rsidRPr="00267217">
        <w:rPr>
          <w:rFonts w:ascii="Arial" w:hAnsi="Arial" w:cs="Arial"/>
          <w:b/>
          <w:color w:val="auto"/>
        </w:rPr>
        <w:t>Disadvantages of Excel:</w:t>
      </w:r>
      <w:bookmarkEnd w:id="20"/>
    </w:p>
    <w:p w14:paraId="016F1B74" w14:textId="5F3EB8D8" w:rsidR="00A95FC8" w:rsidRPr="00267217" w:rsidRDefault="000A6FAF" w:rsidP="00F152B1">
      <w:pPr>
        <w:pStyle w:val="ListParagraph"/>
        <w:numPr>
          <w:ilvl w:val="0"/>
          <w:numId w:val="13"/>
        </w:numPr>
        <w:spacing w:after="240" w:line="360" w:lineRule="auto"/>
        <w:jc w:val="both"/>
        <w:rPr>
          <w:rFonts w:ascii="Arial" w:eastAsia="Times New Roman" w:hAnsi="Arial" w:cs="Arial"/>
          <w:sz w:val="24"/>
          <w:szCs w:val="24"/>
        </w:rPr>
      </w:pPr>
      <w:r w:rsidRPr="00267217">
        <w:rPr>
          <w:rFonts w:ascii="Arial" w:hAnsi="Arial" w:cs="Arial"/>
          <w:b/>
          <w:bCs/>
          <w:sz w:val="24"/>
          <w:szCs w:val="24"/>
        </w:rPr>
        <w:t>Limited Statistical Capabilities:</w:t>
      </w:r>
      <w:r w:rsidRPr="00267217">
        <w:rPr>
          <w:rFonts w:ascii="Arial" w:hAnsi="Arial" w:cs="Arial"/>
          <w:sz w:val="24"/>
          <w:szCs w:val="24"/>
        </w:rPr>
        <w:t xml:space="preserve"> </w:t>
      </w:r>
      <w:r w:rsidR="00A95FC8" w:rsidRPr="00267217">
        <w:rPr>
          <w:rFonts w:ascii="Arial" w:eastAsia="Times New Roman" w:hAnsi="Arial" w:cs="Arial"/>
          <w:sz w:val="24"/>
          <w:szCs w:val="24"/>
        </w:rPr>
        <w:t xml:space="preserve">Basic and intermediate analytics can be handled with Excel, while SPSS provides greater statistical capability. </w:t>
      </w:r>
    </w:p>
    <w:p w14:paraId="27AFDAC1" w14:textId="19499F35" w:rsidR="003F14E4" w:rsidRPr="00267217" w:rsidRDefault="000A6FAF" w:rsidP="003F14E4">
      <w:pPr>
        <w:pStyle w:val="ListParagraph"/>
        <w:numPr>
          <w:ilvl w:val="0"/>
          <w:numId w:val="13"/>
        </w:numPr>
        <w:spacing w:after="240" w:line="360" w:lineRule="auto"/>
        <w:jc w:val="both"/>
        <w:rPr>
          <w:rFonts w:ascii="Arial" w:eastAsia="Times New Roman" w:hAnsi="Arial" w:cs="Arial"/>
          <w:sz w:val="24"/>
          <w:szCs w:val="24"/>
        </w:rPr>
      </w:pPr>
      <w:r w:rsidRPr="00267217">
        <w:rPr>
          <w:rFonts w:ascii="Arial" w:hAnsi="Arial" w:cs="Arial"/>
          <w:b/>
          <w:bCs/>
          <w:sz w:val="24"/>
          <w:szCs w:val="24"/>
        </w:rPr>
        <w:lastRenderedPageBreak/>
        <w:t>Data Size Limitation:</w:t>
      </w:r>
      <w:r w:rsidRPr="00267217">
        <w:rPr>
          <w:rFonts w:ascii="Arial" w:hAnsi="Arial" w:cs="Arial"/>
          <w:sz w:val="24"/>
          <w:szCs w:val="24"/>
        </w:rPr>
        <w:t xml:space="preserve"> </w:t>
      </w:r>
      <w:r w:rsidR="00A95FC8" w:rsidRPr="00267217">
        <w:rPr>
          <w:rFonts w:ascii="Arial" w:eastAsia="Times New Roman" w:hAnsi="Arial" w:cs="Arial"/>
          <w:sz w:val="24"/>
          <w:szCs w:val="24"/>
        </w:rPr>
        <w:t xml:space="preserve">Excel is far less capable than SPSS when it comes to the collection and processing of data. </w:t>
      </w:r>
    </w:p>
    <w:p w14:paraId="57F7C531" w14:textId="6A14A9CE" w:rsidR="003F14E4" w:rsidRPr="00267217" w:rsidRDefault="003F14E4" w:rsidP="00267217">
      <w:pPr>
        <w:pStyle w:val="Heading3"/>
        <w:jc w:val="both"/>
        <w:rPr>
          <w:rFonts w:ascii="Arial" w:hAnsi="Arial" w:cs="Arial"/>
          <w:b/>
          <w:color w:val="auto"/>
        </w:rPr>
      </w:pPr>
      <w:bookmarkStart w:id="21" w:name="_Toc165631049"/>
      <w:bookmarkStart w:id="22" w:name="_Hlk165633020"/>
      <w:r w:rsidRPr="00267217">
        <w:rPr>
          <w:rFonts w:ascii="Arial" w:hAnsi="Arial" w:cs="Arial"/>
          <w:b/>
          <w:color w:val="auto"/>
        </w:rPr>
        <w:t>Comparative Table</w:t>
      </w:r>
      <w:bookmarkEnd w:id="21"/>
    </w:p>
    <w:tbl>
      <w:tblPr>
        <w:tblStyle w:val="TableGrid"/>
        <w:tblW w:w="0" w:type="auto"/>
        <w:tblLook w:val="04A0" w:firstRow="1" w:lastRow="0" w:firstColumn="1" w:lastColumn="0" w:noHBand="0" w:noVBand="1"/>
      </w:tblPr>
      <w:tblGrid>
        <w:gridCol w:w="3192"/>
        <w:gridCol w:w="3192"/>
        <w:gridCol w:w="3192"/>
      </w:tblGrid>
      <w:tr w:rsidR="003F14E4" w:rsidRPr="00267217" w14:paraId="722ED823" w14:textId="77777777" w:rsidTr="003F14E4">
        <w:tc>
          <w:tcPr>
            <w:tcW w:w="3192" w:type="dxa"/>
            <w:shd w:val="clear" w:color="auto" w:fill="F2F2F2" w:themeFill="background1" w:themeFillShade="F2"/>
          </w:tcPr>
          <w:p w14:paraId="57C4AFB3" w14:textId="5546B951"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Criteria</w:t>
            </w:r>
          </w:p>
        </w:tc>
        <w:tc>
          <w:tcPr>
            <w:tcW w:w="3192" w:type="dxa"/>
            <w:shd w:val="clear" w:color="auto" w:fill="F2F2F2" w:themeFill="background1" w:themeFillShade="F2"/>
          </w:tcPr>
          <w:p w14:paraId="2F954C3B" w14:textId="15402A7A"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SPSS</w:t>
            </w:r>
          </w:p>
        </w:tc>
        <w:tc>
          <w:tcPr>
            <w:tcW w:w="3192" w:type="dxa"/>
            <w:shd w:val="clear" w:color="auto" w:fill="F2F2F2" w:themeFill="background1" w:themeFillShade="F2"/>
          </w:tcPr>
          <w:p w14:paraId="0D9A43FC" w14:textId="59AA39D3"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Excel</w:t>
            </w:r>
          </w:p>
        </w:tc>
      </w:tr>
      <w:tr w:rsidR="003F14E4" w:rsidRPr="00267217" w14:paraId="6E46E84D" w14:textId="77777777" w:rsidTr="003F14E4">
        <w:tc>
          <w:tcPr>
            <w:tcW w:w="3192" w:type="dxa"/>
          </w:tcPr>
          <w:p w14:paraId="0A269C65" w14:textId="727933A2"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Usability</w:t>
            </w:r>
          </w:p>
        </w:tc>
        <w:tc>
          <w:tcPr>
            <w:tcW w:w="3192" w:type="dxa"/>
          </w:tcPr>
          <w:p w14:paraId="064A94E7" w14:textId="2EBEC1D8"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Requires statistical knowledge</w:t>
            </w:r>
          </w:p>
        </w:tc>
        <w:tc>
          <w:tcPr>
            <w:tcW w:w="3192" w:type="dxa"/>
          </w:tcPr>
          <w:p w14:paraId="763F1CF5" w14:textId="671F35D6"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User-friendly, widely accessible</w:t>
            </w:r>
          </w:p>
        </w:tc>
      </w:tr>
      <w:tr w:rsidR="003F14E4" w:rsidRPr="00267217" w14:paraId="5B0A0F27" w14:textId="77777777" w:rsidTr="003F14E4">
        <w:tc>
          <w:tcPr>
            <w:tcW w:w="3192" w:type="dxa"/>
          </w:tcPr>
          <w:p w14:paraId="314AB135" w14:textId="33613FB0"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Features</w:t>
            </w:r>
          </w:p>
        </w:tc>
        <w:tc>
          <w:tcPr>
            <w:tcW w:w="3192" w:type="dxa"/>
          </w:tcPr>
          <w:p w14:paraId="197D1300" w14:textId="34D520D3"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Advanced statistical tests, output options</w:t>
            </w:r>
          </w:p>
        </w:tc>
        <w:tc>
          <w:tcPr>
            <w:tcW w:w="3192" w:type="dxa"/>
          </w:tcPr>
          <w:p w14:paraId="6E4EAB2F" w14:textId="6F5908FB"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Basic to intermediate statistics, versatile</w:t>
            </w:r>
          </w:p>
        </w:tc>
      </w:tr>
      <w:tr w:rsidR="003F14E4" w:rsidRPr="00267217" w14:paraId="42DF284A" w14:textId="77777777" w:rsidTr="003F14E4">
        <w:tc>
          <w:tcPr>
            <w:tcW w:w="3192" w:type="dxa"/>
          </w:tcPr>
          <w:p w14:paraId="2BF4265B" w14:textId="45BA6637"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Suitability for Large Datasets</w:t>
            </w:r>
          </w:p>
        </w:tc>
        <w:tc>
          <w:tcPr>
            <w:tcW w:w="3192" w:type="dxa"/>
          </w:tcPr>
          <w:p w14:paraId="50704D12" w14:textId="1AF02E84"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Excellent for large datasets</w:t>
            </w:r>
          </w:p>
        </w:tc>
        <w:tc>
          <w:tcPr>
            <w:tcW w:w="3192" w:type="dxa"/>
          </w:tcPr>
          <w:p w14:paraId="7F498779" w14:textId="0B352BF6"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Limited by size and slower with large datasets</w:t>
            </w:r>
          </w:p>
        </w:tc>
      </w:tr>
      <w:tr w:rsidR="003F14E4" w:rsidRPr="00267217" w14:paraId="6D159D97" w14:textId="77777777" w:rsidTr="003F14E4">
        <w:tc>
          <w:tcPr>
            <w:tcW w:w="3192" w:type="dxa"/>
          </w:tcPr>
          <w:p w14:paraId="06197820" w14:textId="11E44414" w:rsidR="003F14E4" w:rsidRPr="00267217" w:rsidRDefault="003F14E4" w:rsidP="003F14E4">
            <w:pPr>
              <w:spacing w:after="240" w:line="360" w:lineRule="auto"/>
              <w:jc w:val="both"/>
              <w:rPr>
                <w:rFonts w:ascii="Arial" w:eastAsia="Times New Roman" w:hAnsi="Arial" w:cs="Arial"/>
                <w:b/>
                <w:bCs/>
                <w:sz w:val="24"/>
                <w:szCs w:val="24"/>
              </w:rPr>
            </w:pPr>
            <w:r w:rsidRPr="00267217">
              <w:rPr>
                <w:rFonts w:ascii="Arial" w:hAnsi="Arial" w:cs="Arial"/>
                <w:b/>
                <w:bCs/>
                <w:sz w:val="24"/>
                <w:szCs w:val="24"/>
              </w:rPr>
              <w:t>Analytical Capabilities</w:t>
            </w:r>
          </w:p>
        </w:tc>
        <w:tc>
          <w:tcPr>
            <w:tcW w:w="3192" w:type="dxa"/>
          </w:tcPr>
          <w:p w14:paraId="1A2223EB" w14:textId="7D146038"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High-end, suitable for complex analyses</w:t>
            </w:r>
          </w:p>
        </w:tc>
        <w:tc>
          <w:tcPr>
            <w:tcW w:w="3192" w:type="dxa"/>
          </w:tcPr>
          <w:p w14:paraId="2AC89C01" w14:textId="11BC43F3" w:rsidR="003F14E4" w:rsidRPr="00267217" w:rsidRDefault="003F14E4" w:rsidP="003F14E4">
            <w:pPr>
              <w:spacing w:after="240" w:line="360" w:lineRule="auto"/>
              <w:jc w:val="both"/>
              <w:rPr>
                <w:rFonts w:ascii="Arial" w:eastAsia="Times New Roman" w:hAnsi="Arial" w:cs="Arial"/>
                <w:sz w:val="24"/>
                <w:szCs w:val="24"/>
              </w:rPr>
            </w:pPr>
            <w:r w:rsidRPr="00267217">
              <w:rPr>
                <w:rFonts w:ascii="Arial" w:hAnsi="Arial" w:cs="Arial"/>
                <w:sz w:val="24"/>
                <w:szCs w:val="24"/>
              </w:rPr>
              <w:t>Suitable for basic to medium complexity analyses</w:t>
            </w:r>
          </w:p>
        </w:tc>
      </w:tr>
      <w:bookmarkEnd w:id="22"/>
    </w:tbl>
    <w:p w14:paraId="00013E76" w14:textId="77777777" w:rsidR="00DB1FEB" w:rsidRPr="00267217" w:rsidRDefault="00DB1FEB" w:rsidP="00B97F33">
      <w:pPr>
        <w:autoSpaceDE w:val="0"/>
        <w:autoSpaceDN w:val="0"/>
        <w:adjustRightInd w:val="0"/>
        <w:spacing w:line="360" w:lineRule="auto"/>
        <w:jc w:val="both"/>
        <w:rPr>
          <w:rFonts w:ascii="Arial" w:hAnsi="Arial" w:cs="Arial"/>
          <w:sz w:val="24"/>
          <w:szCs w:val="24"/>
        </w:rPr>
      </w:pPr>
    </w:p>
    <w:p w14:paraId="5C01F7C5"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40273AEF"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4D97EF7C"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087D7536"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1AF2D9CB"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3AD079A8"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777C92FF" w14:textId="77777777" w:rsidR="006E1FC3" w:rsidRPr="00267217" w:rsidRDefault="006E1FC3" w:rsidP="00B97F33">
      <w:pPr>
        <w:autoSpaceDE w:val="0"/>
        <w:autoSpaceDN w:val="0"/>
        <w:adjustRightInd w:val="0"/>
        <w:spacing w:line="360" w:lineRule="auto"/>
        <w:jc w:val="both"/>
        <w:rPr>
          <w:rFonts w:ascii="Arial" w:hAnsi="Arial" w:cs="Arial"/>
          <w:sz w:val="24"/>
          <w:szCs w:val="24"/>
        </w:rPr>
      </w:pPr>
    </w:p>
    <w:p w14:paraId="4B5EE121" w14:textId="704D419C" w:rsidR="006E1FC3" w:rsidRPr="00267217" w:rsidRDefault="006E1FC3" w:rsidP="00B97F33">
      <w:pPr>
        <w:autoSpaceDE w:val="0"/>
        <w:autoSpaceDN w:val="0"/>
        <w:adjustRightInd w:val="0"/>
        <w:spacing w:line="360" w:lineRule="auto"/>
        <w:jc w:val="both"/>
        <w:rPr>
          <w:rFonts w:ascii="Arial" w:hAnsi="Arial" w:cs="Arial"/>
          <w:sz w:val="24"/>
          <w:szCs w:val="24"/>
        </w:rPr>
      </w:pPr>
    </w:p>
    <w:p w14:paraId="5EDB0058" w14:textId="12A927C8" w:rsidR="00267217" w:rsidRPr="00267217" w:rsidRDefault="00267217" w:rsidP="00B97F33">
      <w:pPr>
        <w:autoSpaceDE w:val="0"/>
        <w:autoSpaceDN w:val="0"/>
        <w:adjustRightInd w:val="0"/>
        <w:spacing w:line="360" w:lineRule="auto"/>
        <w:jc w:val="both"/>
        <w:rPr>
          <w:rFonts w:ascii="Arial" w:hAnsi="Arial" w:cs="Arial"/>
          <w:sz w:val="24"/>
          <w:szCs w:val="24"/>
        </w:rPr>
      </w:pPr>
    </w:p>
    <w:p w14:paraId="7E67E823" w14:textId="734187AA" w:rsidR="00267217" w:rsidRPr="00267217" w:rsidRDefault="00267217" w:rsidP="00B97F33">
      <w:pPr>
        <w:autoSpaceDE w:val="0"/>
        <w:autoSpaceDN w:val="0"/>
        <w:adjustRightInd w:val="0"/>
        <w:spacing w:line="360" w:lineRule="auto"/>
        <w:jc w:val="both"/>
        <w:rPr>
          <w:rFonts w:ascii="Arial" w:hAnsi="Arial" w:cs="Arial"/>
          <w:sz w:val="24"/>
          <w:szCs w:val="24"/>
        </w:rPr>
      </w:pPr>
    </w:p>
    <w:p w14:paraId="33FE75D3" w14:textId="77777777" w:rsidR="00267217" w:rsidRPr="00267217" w:rsidRDefault="00267217" w:rsidP="00B97F33">
      <w:pPr>
        <w:autoSpaceDE w:val="0"/>
        <w:autoSpaceDN w:val="0"/>
        <w:adjustRightInd w:val="0"/>
        <w:spacing w:line="360" w:lineRule="auto"/>
        <w:jc w:val="both"/>
        <w:rPr>
          <w:rFonts w:ascii="Arial" w:hAnsi="Arial" w:cs="Arial"/>
          <w:sz w:val="24"/>
          <w:szCs w:val="24"/>
        </w:rPr>
      </w:pPr>
    </w:p>
    <w:p w14:paraId="30626180" w14:textId="099106CE" w:rsidR="000A6FAF" w:rsidRDefault="000A6FAF" w:rsidP="00267217">
      <w:pPr>
        <w:pStyle w:val="Heading1"/>
        <w:jc w:val="both"/>
        <w:rPr>
          <w:rFonts w:ascii="Arial" w:hAnsi="Arial" w:cs="Arial"/>
          <w:b/>
          <w:lang w:val="en-GB"/>
        </w:rPr>
      </w:pPr>
      <w:bookmarkStart w:id="23" w:name="_Toc165631050"/>
      <w:r w:rsidRPr="00267217">
        <w:rPr>
          <w:rFonts w:ascii="Arial" w:hAnsi="Arial" w:cs="Arial"/>
          <w:b/>
          <w:lang w:val="en-GB"/>
        </w:rPr>
        <w:t>Conclusion</w:t>
      </w:r>
      <w:bookmarkEnd w:id="23"/>
    </w:p>
    <w:p w14:paraId="1BBECD34" w14:textId="77777777" w:rsidR="001C3E8E" w:rsidRPr="001C3E8E" w:rsidRDefault="001C3E8E" w:rsidP="001C3E8E"/>
    <w:p w14:paraId="3A37CDD4" w14:textId="07F0BB54" w:rsidR="006E593E" w:rsidRPr="00267217" w:rsidRDefault="006E593E" w:rsidP="00B97F33">
      <w:pPr>
        <w:spacing w:after="240" w:line="360" w:lineRule="auto"/>
        <w:jc w:val="both"/>
        <w:rPr>
          <w:rFonts w:ascii="Arial" w:eastAsia="Times New Roman" w:hAnsi="Arial" w:cs="Arial"/>
          <w:sz w:val="24"/>
          <w:szCs w:val="24"/>
        </w:rPr>
      </w:pPr>
      <w:r w:rsidRPr="00267217">
        <w:rPr>
          <w:rFonts w:ascii="Arial" w:eastAsia="Times New Roman" w:hAnsi="Arial" w:cs="Arial"/>
          <w:sz w:val="24"/>
          <w:szCs w:val="24"/>
        </w:rPr>
        <w:t xml:space="preserve">This article demonstrates how data analysis can enhance educational and e-commerce decision-making by carefully examining student performance and e-commerce sales data. For the analysis, SPSS and Excel were utilized. Top-selling products and peak sales periods were identified by the e-commerce query. These results offer tactical understandings that could enhance marketing and stocking choices. Significant socioeconomic inequalities in student performance were shown by the educational data analysis, and these findings may be utilized to develop future educational interventions for disadvantaged kids. </w:t>
      </w:r>
    </w:p>
    <w:p w14:paraId="1DA29BC4" w14:textId="544B52B7" w:rsidR="00B709AC" w:rsidRPr="00267217" w:rsidRDefault="006E593E" w:rsidP="00357A48">
      <w:pPr>
        <w:spacing w:after="240" w:line="360" w:lineRule="auto"/>
        <w:jc w:val="both"/>
        <w:rPr>
          <w:rFonts w:eastAsia="Times New Roman" w:cstheme="minorHAnsi"/>
          <w:sz w:val="24"/>
          <w:szCs w:val="24"/>
        </w:rPr>
      </w:pPr>
      <w:r w:rsidRPr="00267217">
        <w:rPr>
          <w:rFonts w:ascii="Arial" w:eastAsia="Times New Roman" w:hAnsi="Arial" w:cs="Arial"/>
          <w:sz w:val="24"/>
          <w:szCs w:val="24"/>
        </w:rPr>
        <w:t xml:space="preserve">It is crucial to remember that data analysis offers helpful insights that can guide resource allocation and the creation of strategic activities in both of these domains when evaluating the results. Two tactics that can be used to increase online commerce revenues are improved product positioning and consumer segmentation. It refers to particular teaching strategies that may help close the achievement gaps that exist between different student populations. These analyses highlight the value of powerful data handling tools such as SPSS and Excel in identifying critical patterns and relationships that inform critical decisions and lead to more successful operational strategies in a range of scenarios. Two of these programs are Excel and SPSS. </w:t>
      </w:r>
      <w:r w:rsidRPr="00267217">
        <w:rPr>
          <w:rFonts w:ascii="Arial" w:eastAsia="Times New Roman" w:hAnsi="Arial" w:cs="Arial"/>
          <w:sz w:val="24"/>
          <w:szCs w:val="24"/>
        </w:rPr>
        <w:br/>
      </w:r>
      <w:r w:rsidRPr="00267217">
        <w:rPr>
          <w:rFonts w:eastAsia="Times New Roman" w:cstheme="minorHAnsi"/>
          <w:sz w:val="24"/>
          <w:szCs w:val="24"/>
        </w:rPr>
        <w:br/>
      </w:r>
    </w:p>
    <w:p w14:paraId="304988A8" w14:textId="77777777" w:rsidR="006E1FC3" w:rsidRPr="00267217" w:rsidRDefault="006E1FC3" w:rsidP="00357A48">
      <w:pPr>
        <w:spacing w:after="240" w:line="360" w:lineRule="auto"/>
        <w:jc w:val="both"/>
        <w:rPr>
          <w:rFonts w:eastAsia="Times New Roman" w:cstheme="minorHAnsi"/>
          <w:sz w:val="24"/>
          <w:szCs w:val="24"/>
        </w:rPr>
      </w:pPr>
    </w:p>
    <w:p w14:paraId="47C6F587" w14:textId="77777777" w:rsidR="006E1FC3" w:rsidRPr="00267217" w:rsidRDefault="006E1FC3" w:rsidP="00357A48">
      <w:pPr>
        <w:spacing w:after="240" w:line="360" w:lineRule="auto"/>
        <w:jc w:val="both"/>
        <w:rPr>
          <w:rFonts w:eastAsia="Times New Roman" w:cstheme="minorHAnsi"/>
          <w:sz w:val="24"/>
          <w:szCs w:val="24"/>
        </w:rPr>
      </w:pPr>
    </w:p>
    <w:p w14:paraId="44DFEFA6" w14:textId="77777777" w:rsidR="006E1FC3" w:rsidRPr="00267217" w:rsidRDefault="006E1FC3" w:rsidP="00357A48">
      <w:pPr>
        <w:spacing w:after="240" w:line="360" w:lineRule="auto"/>
        <w:jc w:val="both"/>
        <w:rPr>
          <w:rFonts w:eastAsia="Times New Roman" w:cstheme="minorHAnsi"/>
          <w:sz w:val="24"/>
          <w:szCs w:val="24"/>
        </w:rPr>
      </w:pPr>
    </w:p>
    <w:p w14:paraId="4A692D73" w14:textId="43FAFD3D" w:rsidR="006E1FC3" w:rsidRPr="00267217" w:rsidRDefault="006E1FC3" w:rsidP="00357A48">
      <w:pPr>
        <w:spacing w:after="240" w:line="360" w:lineRule="auto"/>
        <w:jc w:val="both"/>
        <w:rPr>
          <w:rFonts w:eastAsia="Times New Roman" w:cstheme="minorHAnsi"/>
          <w:sz w:val="24"/>
          <w:szCs w:val="24"/>
        </w:rPr>
      </w:pPr>
    </w:p>
    <w:p w14:paraId="0ED1E1FB" w14:textId="77777777" w:rsidR="00267217" w:rsidRPr="00267217" w:rsidRDefault="00267217" w:rsidP="00357A48">
      <w:pPr>
        <w:spacing w:after="240" w:line="360" w:lineRule="auto"/>
        <w:jc w:val="both"/>
        <w:rPr>
          <w:rFonts w:eastAsia="Times New Roman" w:cstheme="minorHAnsi"/>
          <w:sz w:val="24"/>
          <w:szCs w:val="24"/>
        </w:rPr>
      </w:pPr>
    </w:p>
    <w:bookmarkStart w:id="24" w:name="_Toc165631051" w:displacedByCustomXml="next"/>
    <w:sdt>
      <w:sdtPr>
        <w:rPr>
          <w:rFonts w:asciiTheme="minorHAnsi" w:eastAsiaTheme="minorHAnsi" w:hAnsiTheme="minorHAnsi" w:cstheme="minorHAnsi"/>
          <w:color w:val="auto"/>
          <w:sz w:val="22"/>
          <w:szCs w:val="22"/>
          <w:lang w:val="en-GB"/>
        </w:rPr>
        <w:id w:val="-1793592311"/>
        <w:docPartObj>
          <w:docPartGallery w:val="Bibliographies"/>
          <w:docPartUnique/>
        </w:docPartObj>
      </w:sdtPr>
      <w:sdtEndPr>
        <w:rPr>
          <w:rFonts w:cstheme="minorBidi"/>
        </w:rPr>
      </w:sdtEndPr>
      <w:sdtContent>
        <w:p w14:paraId="03C20812" w14:textId="7008E685" w:rsidR="00B709AC" w:rsidRPr="00267217" w:rsidRDefault="00B709AC" w:rsidP="00000CBA">
          <w:pPr>
            <w:pStyle w:val="Heading1"/>
            <w:spacing w:line="360" w:lineRule="auto"/>
            <w:jc w:val="both"/>
            <w:rPr>
              <w:rFonts w:ascii="Arial" w:hAnsi="Arial" w:cs="Arial"/>
              <w:b/>
              <w:lang w:val="en-GB"/>
            </w:rPr>
          </w:pPr>
          <w:r w:rsidRPr="00267217">
            <w:rPr>
              <w:rFonts w:ascii="Arial" w:hAnsi="Arial" w:cs="Arial"/>
              <w:b/>
              <w:lang w:val="en-GB"/>
            </w:rPr>
            <w:t>References:</w:t>
          </w:r>
          <w:bookmarkEnd w:id="24"/>
        </w:p>
        <w:sdt>
          <w:sdtPr>
            <w:id w:val="-573587230"/>
            <w:bibliography/>
          </w:sdtPr>
          <w:sdtContent>
            <w:p w14:paraId="2C42B4D5"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Brown, M., et al. (2020). Leveraging data in education to inform decision-making: Practices and policies. Routledge.</w:t>
              </w:r>
            </w:p>
            <w:p w14:paraId="16201BCF"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Chaffey, D., &amp; Ellis-Chadwick, F. (2019). Digital Marketing. Pearson Education.</w:t>
              </w:r>
            </w:p>
            <w:p w14:paraId="68D7922A"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Field, A. (2013). Discovering Statistics Using IBM SPSS Statistics. Sage.</w:t>
              </w:r>
            </w:p>
            <w:p w14:paraId="310F376A"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Frye, C. (2018). Excel data analysis: Your visual blueprint for creating and analyzing data, charts and PivotTables. John Wiley &amp; Sons.</w:t>
              </w:r>
            </w:p>
            <w:p w14:paraId="2FCDB566"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George, D., &amp; Mallery, P. (2019). SPSS for Social Scientists. Palgrave Macmillan.</w:t>
              </w:r>
            </w:p>
            <w:p w14:paraId="01B4E65F"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 xml:space="preserve">Hastie, T., </w:t>
              </w:r>
              <w:proofErr w:type="spellStart"/>
              <w:r w:rsidRPr="00191E4C">
                <w:rPr>
                  <w:rFonts w:ascii="Arial" w:hAnsi="Arial" w:cs="Arial"/>
                  <w:sz w:val="24"/>
                  <w:szCs w:val="24"/>
                  <w:lang w:val="en"/>
                </w:rPr>
                <w:t>Tibshirani</w:t>
              </w:r>
              <w:proofErr w:type="spellEnd"/>
              <w:r w:rsidRPr="00191E4C">
                <w:rPr>
                  <w:rFonts w:ascii="Arial" w:hAnsi="Arial" w:cs="Arial"/>
                  <w:sz w:val="24"/>
                  <w:szCs w:val="24"/>
                  <w:lang w:val="en"/>
                </w:rPr>
                <w:t>, R., &amp; Friedman, J. (2009). The Elements of Statistical Learning: Data Mining, Inference, and Prediction. Springer Series in Statistics.</w:t>
              </w:r>
            </w:p>
            <w:p w14:paraId="13F67599"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proofErr w:type="spellStart"/>
              <w:r w:rsidRPr="00191E4C">
                <w:rPr>
                  <w:rFonts w:ascii="Arial" w:hAnsi="Arial" w:cs="Arial"/>
                  <w:sz w:val="24"/>
                  <w:szCs w:val="24"/>
                  <w:lang w:val="en"/>
                </w:rPr>
                <w:t>Kasemsap</w:t>
              </w:r>
              <w:proofErr w:type="spellEnd"/>
              <w:r w:rsidRPr="00191E4C">
                <w:rPr>
                  <w:rFonts w:ascii="Arial" w:hAnsi="Arial" w:cs="Arial"/>
                  <w:sz w:val="24"/>
                  <w:szCs w:val="24"/>
                  <w:lang w:val="en"/>
                </w:rPr>
                <w:t>, K. (2017). The role of data visualization in business intelligence. In Advancing Insights Through Data Visualization, IGI Global, 1-23.</w:t>
              </w:r>
            </w:p>
            <w:p w14:paraId="710A3311"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Kotler, P., &amp; Keller, K. L. (2016). Marketing Management. Pearson Education.</w:t>
              </w:r>
            </w:p>
            <w:p w14:paraId="2F5604C5"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Kubiszewski, V., Costanza, R., &amp; Franco, C. (2013). Beyond GDP: Measuring and achieving global genuine progress. Ecological Economics.</w:t>
              </w:r>
            </w:p>
            <w:p w14:paraId="1201BB22"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Laudon, K. C., &amp; Traver, C. G. (2021). E-commerce 2021: Business, technology, and society. Pearson Education.</w:t>
              </w:r>
            </w:p>
            <w:p w14:paraId="6774B85A"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OECD. (2018). Equity in Education: Breaking Down Barriers to Social Mobility. PISA, OECD Publishing.</w:t>
              </w:r>
            </w:p>
            <w:p w14:paraId="03D14CF6" w14:textId="77777777" w:rsidR="00191E4C" w:rsidRPr="00191E4C" w:rsidRDefault="00191E4C" w:rsidP="00191E4C">
              <w:pPr>
                <w:pStyle w:val="ListParagraph"/>
                <w:numPr>
                  <w:ilvl w:val="0"/>
                  <w:numId w:val="16"/>
                </w:numPr>
                <w:autoSpaceDE w:val="0"/>
                <w:autoSpaceDN w:val="0"/>
                <w:adjustRightInd w:val="0"/>
                <w:spacing w:line="360" w:lineRule="auto"/>
                <w:jc w:val="both"/>
                <w:rPr>
                  <w:rFonts w:ascii="Arial" w:hAnsi="Arial" w:cs="Arial"/>
                  <w:sz w:val="24"/>
                  <w:szCs w:val="24"/>
                  <w:lang w:val="en"/>
                </w:rPr>
              </w:pPr>
              <w:r w:rsidRPr="00191E4C">
                <w:rPr>
                  <w:rFonts w:ascii="Arial" w:hAnsi="Arial" w:cs="Arial"/>
                  <w:sz w:val="24"/>
                  <w:szCs w:val="24"/>
                  <w:lang w:val="en"/>
                </w:rPr>
                <w:t>Peelen, E., &amp; Beltman, R. (2016). Customer Relationship Management. Pearson Education.</w:t>
              </w:r>
            </w:p>
            <w:p w14:paraId="361F6E6A" w14:textId="5D7896E1" w:rsidR="00B709AC" w:rsidRPr="00191E4C" w:rsidRDefault="00191E4C" w:rsidP="00191E4C">
              <w:pPr>
                <w:pStyle w:val="ListParagraph"/>
                <w:numPr>
                  <w:ilvl w:val="0"/>
                  <w:numId w:val="16"/>
                </w:numPr>
                <w:autoSpaceDE w:val="0"/>
                <w:autoSpaceDN w:val="0"/>
                <w:adjustRightInd w:val="0"/>
                <w:spacing w:line="360" w:lineRule="auto"/>
                <w:jc w:val="both"/>
                <w:rPr>
                  <w:rFonts w:ascii="Calibri" w:hAnsi="Calibri" w:cs="Calibri"/>
                  <w:sz w:val="24"/>
                  <w:szCs w:val="24"/>
                  <w:lang w:val="en"/>
                </w:rPr>
              </w:pPr>
              <w:r w:rsidRPr="00191E4C">
                <w:rPr>
                  <w:rFonts w:ascii="Arial" w:hAnsi="Arial" w:cs="Arial"/>
                  <w:sz w:val="24"/>
                  <w:szCs w:val="24"/>
                  <w:lang w:val="en"/>
                </w:rPr>
                <w:t>Sirin, S. R. (2005). Socioeconomic status and academic achievement: A meta-analytic review of research. Review of Educational Research, 75(3), 417-453.</w:t>
              </w:r>
              <w:r w:rsidR="00B709AC" w:rsidRPr="00191E4C">
                <w:rPr>
                  <w:rFonts w:cstheme="minorHAnsi"/>
                </w:rPr>
                <w:fldChar w:fldCharType="begin"/>
              </w:r>
              <w:r w:rsidR="00B709AC" w:rsidRPr="00191E4C">
                <w:rPr>
                  <w:rFonts w:cstheme="minorHAnsi"/>
                </w:rPr>
                <w:instrText xml:space="preserve"> BIBLIOGRAPHY </w:instrText>
              </w:r>
              <w:r w:rsidR="00B709AC" w:rsidRPr="00191E4C">
                <w:rPr>
                  <w:rFonts w:cstheme="minorHAnsi"/>
                </w:rPr>
                <w:fldChar w:fldCharType="end"/>
              </w:r>
            </w:p>
          </w:sdtContent>
        </w:sdt>
      </w:sdtContent>
    </w:sdt>
    <w:p w14:paraId="0EEE3727" w14:textId="77777777" w:rsidR="00FF2DBC" w:rsidRPr="00267217" w:rsidRDefault="00FF2DBC" w:rsidP="00B97F33">
      <w:pPr>
        <w:autoSpaceDE w:val="0"/>
        <w:autoSpaceDN w:val="0"/>
        <w:adjustRightInd w:val="0"/>
        <w:spacing w:line="360" w:lineRule="auto"/>
        <w:jc w:val="both"/>
        <w:rPr>
          <w:rFonts w:cstheme="minorHAnsi"/>
          <w:sz w:val="24"/>
          <w:szCs w:val="24"/>
        </w:rPr>
      </w:pPr>
    </w:p>
    <w:p w14:paraId="68170302" w14:textId="77777777" w:rsidR="00C64C27" w:rsidRPr="00267217" w:rsidRDefault="00C64C27" w:rsidP="00B97F33">
      <w:pPr>
        <w:spacing w:line="360" w:lineRule="auto"/>
        <w:jc w:val="both"/>
        <w:rPr>
          <w:rFonts w:cstheme="minorHAnsi"/>
          <w:sz w:val="24"/>
          <w:szCs w:val="24"/>
        </w:rPr>
      </w:pPr>
    </w:p>
    <w:sectPr w:rsidR="00C64C27" w:rsidRPr="00267217" w:rsidSect="00A25837">
      <w:footerReference w:type="default" r:id="rId15"/>
      <w:pgSz w:w="12240" w:h="15840"/>
      <w:pgMar w:top="1440" w:right="1440" w:bottom="1440" w:left="1440" w:header="720" w:footer="720" w:gutter="0"/>
      <w:pgNumType w:start="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0AECC2" w14:textId="77777777" w:rsidR="00A25837" w:rsidRDefault="00A25837" w:rsidP="00267217">
      <w:pPr>
        <w:spacing w:after="0" w:line="240" w:lineRule="auto"/>
      </w:pPr>
      <w:r>
        <w:separator/>
      </w:r>
    </w:p>
  </w:endnote>
  <w:endnote w:type="continuationSeparator" w:id="0">
    <w:p w14:paraId="22289FC2" w14:textId="77777777" w:rsidR="00A25837" w:rsidRDefault="00A25837" w:rsidP="00267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5097422"/>
      <w:docPartObj>
        <w:docPartGallery w:val="Page Numbers (Bottom of Page)"/>
        <w:docPartUnique/>
      </w:docPartObj>
    </w:sdtPr>
    <w:sdtEndPr>
      <w:rPr>
        <w:noProof/>
      </w:rPr>
    </w:sdtEndPr>
    <w:sdtContent>
      <w:p w14:paraId="164D95A8" w14:textId="0E694EBE" w:rsidR="009F65E9" w:rsidRDefault="009F65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B41A4A" w14:textId="77777777" w:rsidR="009F65E9" w:rsidRDefault="009F6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9F636" w14:textId="77777777" w:rsidR="00A25837" w:rsidRDefault="00A25837" w:rsidP="00267217">
      <w:pPr>
        <w:spacing w:after="0" w:line="240" w:lineRule="auto"/>
      </w:pPr>
      <w:r>
        <w:separator/>
      </w:r>
    </w:p>
  </w:footnote>
  <w:footnote w:type="continuationSeparator" w:id="0">
    <w:p w14:paraId="211A38A2" w14:textId="77777777" w:rsidR="00A25837" w:rsidRDefault="00A25837" w:rsidP="002672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E7CA4"/>
    <w:multiLevelType w:val="hybridMultilevel"/>
    <w:tmpl w:val="CC44D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7F4FDD"/>
    <w:multiLevelType w:val="hybridMultilevel"/>
    <w:tmpl w:val="2A3C90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B12CD8"/>
    <w:multiLevelType w:val="hybridMultilevel"/>
    <w:tmpl w:val="2FD69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CA2BB9"/>
    <w:multiLevelType w:val="hybridMultilevel"/>
    <w:tmpl w:val="05C82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D913BA"/>
    <w:multiLevelType w:val="hybridMultilevel"/>
    <w:tmpl w:val="D4CE7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54767E"/>
    <w:multiLevelType w:val="hybridMultilevel"/>
    <w:tmpl w:val="052E1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9F16C1"/>
    <w:multiLevelType w:val="hybridMultilevel"/>
    <w:tmpl w:val="14BE3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BF092B"/>
    <w:multiLevelType w:val="hybridMultilevel"/>
    <w:tmpl w:val="B8B0D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D84F98"/>
    <w:multiLevelType w:val="hybridMultilevel"/>
    <w:tmpl w:val="892AB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2F1ADC"/>
    <w:multiLevelType w:val="hybridMultilevel"/>
    <w:tmpl w:val="5FE06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465B21"/>
    <w:multiLevelType w:val="hybridMultilevel"/>
    <w:tmpl w:val="723E2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494F22"/>
    <w:multiLevelType w:val="hybridMultilevel"/>
    <w:tmpl w:val="0FA46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6F1FA0"/>
    <w:multiLevelType w:val="hybridMultilevel"/>
    <w:tmpl w:val="EFD694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B92E24"/>
    <w:multiLevelType w:val="hybridMultilevel"/>
    <w:tmpl w:val="7F0EC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7C3B7A"/>
    <w:multiLevelType w:val="hybridMultilevel"/>
    <w:tmpl w:val="A6521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E5723E"/>
    <w:multiLevelType w:val="hybridMultilevel"/>
    <w:tmpl w:val="017AD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2809565">
    <w:abstractNumId w:val="3"/>
  </w:num>
  <w:num w:numId="2" w16cid:durableId="815144486">
    <w:abstractNumId w:val="7"/>
  </w:num>
  <w:num w:numId="3" w16cid:durableId="1823892137">
    <w:abstractNumId w:val="4"/>
  </w:num>
  <w:num w:numId="4" w16cid:durableId="1449347589">
    <w:abstractNumId w:val="5"/>
  </w:num>
  <w:num w:numId="5" w16cid:durableId="1162575672">
    <w:abstractNumId w:val="15"/>
  </w:num>
  <w:num w:numId="6" w16cid:durableId="108135322">
    <w:abstractNumId w:val="2"/>
  </w:num>
  <w:num w:numId="7" w16cid:durableId="502748384">
    <w:abstractNumId w:val="14"/>
  </w:num>
  <w:num w:numId="8" w16cid:durableId="762534467">
    <w:abstractNumId w:val="8"/>
  </w:num>
  <w:num w:numId="9" w16cid:durableId="1656378648">
    <w:abstractNumId w:val="0"/>
  </w:num>
  <w:num w:numId="10" w16cid:durableId="1330717441">
    <w:abstractNumId w:val="10"/>
  </w:num>
  <w:num w:numId="11" w16cid:durableId="2059159302">
    <w:abstractNumId w:val="9"/>
  </w:num>
  <w:num w:numId="12" w16cid:durableId="1174421290">
    <w:abstractNumId w:val="13"/>
  </w:num>
  <w:num w:numId="13" w16cid:durableId="406155464">
    <w:abstractNumId w:val="6"/>
  </w:num>
  <w:num w:numId="14" w16cid:durableId="81688122">
    <w:abstractNumId w:val="12"/>
  </w:num>
  <w:num w:numId="15" w16cid:durableId="1634676650">
    <w:abstractNumId w:val="1"/>
  </w:num>
  <w:num w:numId="16" w16cid:durableId="2039559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fullPage" w:percent="7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A6FAF"/>
    <w:rsid w:val="00000CBA"/>
    <w:rsid w:val="00003608"/>
    <w:rsid w:val="000601CF"/>
    <w:rsid w:val="000718F2"/>
    <w:rsid w:val="00073F85"/>
    <w:rsid w:val="000A2B31"/>
    <w:rsid w:val="000A6E52"/>
    <w:rsid w:val="000A6FAF"/>
    <w:rsid w:val="000C6BFD"/>
    <w:rsid w:val="000D061B"/>
    <w:rsid w:val="0014628B"/>
    <w:rsid w:val="001762FF"/>
    <w:rsid w:val="00186D80"/>
    <w:rsid w:val="00191E4C"/>
    <w:rsid w:val="001A5DD2"/>
    <w:rsid w:val="001C399C"/>
    <w:rsid w:val="001C3E8E"/>
    <w:rsid w:val="00267217"/>
    <w:rsid w:val="002E338E"/>
    <w:rsid w:val="0030484F"/>
    <w:rsid w:val="00357A48"/>
    <w:rsid w:val="00371A99"/>
    <w:rsid w:val="003A2CDD"/>
    <w:rsid w:val="003B7BB4"/>
    <w:rsid w:val="003C5535"/>
    <w:rsid w:val="003D29B0"/>
    <w:rsid w:val="003F14E4"/>
    <w:rsid w:val="00433A5C"/>
    <w:rsid w:val="00435E72"/>
    <w:rsid w:val="00451A03"/>
    <w:rsid w:val="00495DAD"/>
    <w:rsid w:val="004C55CD"/>
    <w:rsid w:val="004C5C9B"/>
    <w:rsid w:val="00540771"/>
    <w:rsid w:val="005C1BAB"/>
    <w:rsid w:val="00620085"/>
    <w:rsid w:val="00671F6D"/>
    <w:rsid w:val="0068313A"/>
    <w:rsid w:val="006E1FC3"/>
    <w:rsid w:val="006E593E"/>
    <w:rsid w:val="00730895"/>
    <w:rsid w:val="007356F5"/>
    <w:rsid w:val="00765752"/>
    <w:rsid w:val="00765ECD"/>
    <w:rsid w:val="00773638"/>
    <w:rsid w:val="00786294"/>
    <w:rsid w:val="007D4DD6"/>
    <w:rsid w:val="00814A8F"/>
    <w:rsid w:val="00815C6A"/>
    <w:rsid w:val="008218E9"/>
    <w:rsid w:val="00854D15"/>
    <w:rsid w:val="00862382"/>
    <w:rsid w:val="00864482"/>
    <w:rsid w:val="008B1F38"/>
    <w:rsid w:val="008D14D1"/>
    <w:rsid w:val="00910440"/>
    <w:rsid w:val="009B5215"/>
    <w:rsid w:val="009C13F4"/>
    <w:rsid w:val="009F65E9"/>
    <w:rsid w:val="00A0053F"/>
    <w:rsid w:val="00A04210"/>
    <w:rsid w:val="00A25837"/>
    <w:rsid w:val="00A336AB"/>
    <w:rsid w:val="00A547E2"/>
    <w:rsid w:val="00A60AD1"/>
    <w:rsid w:val="00A861F6"/>
    <w:rsid w:val="00A95FC8"/>
    <w:rsid w:val="00AC011B"/>
    <w:rsid w:val="00AD41AE"/>
    <w:rsid w:val="00AF5E8B"/>
    <w:rsid w:val="00B03A17"/>
    <w:rsid w:val="00B04021"/>
    <w:rsid w:val="00B45564"/>
    <w:rsid w:val="00B577A5"/>
    <w:rsid w:val="00B709AC"/>
    <w:rsid w:val="00B734A6"/>
    <w:rsid w:val="00B97F33"/>
    <w:rsid w:val="00BE66AD"/>
    <w:rsid w:val="00C1419B"/>
    <w:rsid w:val="00C42C44"/>
    <w:rsid w:val="00C46C45"/>
    <w:rsid w:val="00C64C27"/>
    <w:rsid w:val="00CA4139"/>
    <w:rsid w:val="00D618FA"/>
    <w:rsid w:val="00D77B56"/>
    <w:rsid w:val="00D90E00"/>
    <w:rsid w:val="00DB1FEB"/>
    <w:rsid w:val="00DD4304"/>
    <w:rsid w:val="00E0578B"/>
    <w:rsid w:val="00E12554"/>
    <w:rsid w:val="00EA5B06"/>
    <w:rsid w:val="00F026EB"/>
    <w:rsid w:val="00F11985"/>
    <w:rsid w:val="00F152B1"/>
    <w:rsid w:val="00F62499"/>
    <w:rsid w:val="00F738B4"/>
    <w:rsid w:val="00FD1992"/>
    <w:rsid w:val="00FF2DBC"/>
    <w:rsid w:val="00FF4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6DA17C"/>
  <w15:chartTrackingRefBased/>
  <w15:docId w15:val="{D3B486D5-CAAC-4391-A955-D8171D21C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217"/>
  </w:style>
  <w:style w:type="paragraph" w:styleId="Heading1">
    <w:name w:val="heading 1"/>
    <w:basedOn w:val="Normal"/>
    <w:next w:val="Normal"/>
    <w:link w:val="Heading1Char"/>
    <w:uiPriority w:val="9"/>
    <w:qFormat/>
    <w:rsid w:val="00B709A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A336A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6721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218E9"/>
    <w:pPr>
      <w:autoSpaceDE w:val="0"/>
      <w:autoSpaceDN w:val="0"/>
      <w:adjustRightInd w:val="0"/>
      <w:spacing w:after="0" w:line="240" w:lineRule="auto"/>
    </w:pPr>
    <w:rPr>
      <w:rFonts w:ascii="Arial" w:hAnsi="Arial" w:cs="Arial"/>
      <w:color w:val="000000"/>
      <w:sz w:val="24"/>
      <w:szCs w:val="24"/>
      <w:lang w:val="en-US"/>
    </w:rPr>
  </w:style>
  <w:style w:type="character" w:customStyle="1" w:styleId="Heading1Char">
    <w:name w:val="Heading 1 Char"/>
    <w:basedOn w:val="DefaultParagraphFont"/>
    <w:link w:val="Heading1"/>
    <w:uiPriority w:val="9"/>
    <w:rsid w:val="00B709AC"/>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540771"/>
    <w:pPr>
      <w:ind w:left="720"/>
      <w:contextualSpacing/>
    </w:pPr>
  </w:style>
  <w:style w:type="table" w:styleId="TableGrid">
    <w:name w:val="Table Grid"/>
    <w:basedOn w:val="TableNormal"/>
    <w:uiPriority w:val="59"/>
    <w:rsid w:val="003F14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C6BFD"/>
    <w:pPr>
      <w:spacing w:after="0" w:line="240" w:lineRule="auto"/>
    </w:pPr>
    <w:rPr>
      <w:color w:val="1F497D" w:themeColor="text2"/>
      <w:sz w:val="20"/>
      <w:szCs w:val="20"/>
      <w:lang w:val="en-US"/>
    </w:rPr>
  </w:style>
  <w:style w:type="character" w:customStyle="1" w:styleId="Heading2Char">
    <w:name w:val="Heading 2 Char"/>
    <w:basedOn w:val="DefaultParagraphFont"/>
    <w:link w:val="Heading2"/>
    <w:uiPriority w:val="9"/>
    <w:rsid w:val="00A336A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267217"/>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267217"/>
    <w:pPr>
      <w:outlineLvl w:val="9"/>
    </w:pPr>
  </w:style>
  <w:style w:type="paragraph" w:styleId="TOC1">
    <w:name w:val="toc 1"/>
    <w:basedOn w:val="Normal"/>
    <w:next w:val="Normal"/>
    <w:autoRedefine/>
    <w:uiPriority w:val="39"/>
    <w:unhideWhenUsed/>
    <w:rsid w:val="00267217"/>
    <w:pPr>
      <w:spacing w:after="100"/>
    </w:pPr>
  </w:style>
  <w:style w:type="paragraph" w:styleId="TOC2">
    <w:name w:val="toc 2"/>
    <w:basedOn w:val="Normal"/>
    <w:next w:val="Normal"/>
    <w:autoRedefine/>
    <w:uiPriority w:val="39"/>
    <w:unhideWhenUsed/>
    <w:rsid w:val="00267217"/>
    <w:pPr>
      <w:spacing w:after="100"/>
      <w:ind w:left="220"/>
    </w:pPr>
  </w:style>
  <w:style w:type="paragraph" w:styleId="TOC3">
    <w:name w:val="toc 3"/>
    <w:basedOn w:val="Normal"/>
    <w:next w:val="Normal"/>
    <w:autoRedefine/>
    <w:uiPriority w:val="39"/>
    <w:unhideWhenUsed/>
    <w:rsid w:val="00267217"/>
    <w:pPr>
      <w:spacing w:after="100"/>
      <w:ind w:left="440"/>
    </w:pPr>
  </w:style>
  <w:style w:type="character" w:styleId="Hyperlink">
    <w:name w:val="Hyperlink"/>
    <w:basedOn w:val="DefaultParagraphFont"/>
    <w:uiPriority w:val="99"/>
    <w:unhideWhenUsed/>
    <w:rsid w:val="00267217"/>
    <w:rPr>
      <w:color w:val="0000FF" w:themeColor="hyperlink"/>
      <w:u w:val="single"/>
    </w:rPr>
  </w:style>
  <w:style w:type="paragraph" w:styleId="Header">
    <w:name w:val="header"/>
    <w:basedOn w:val="Normal"/>
    <w:link w:val="HeaderChar"/>
    <w:uiPriority w:val="99"/>
    <w:unhideWhenUsed/>
    <w:rsid w:val="002672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217"/>
  </w:style>
  <w:style w:type="paragraph" w:styleId="Footer">
    <w:name w:val="footer"/>
    <w:basedOn w:val="Normal"/>
    <w:link w:val="FooterChar"/>
    <w:uiPriority w:val="99"/>
    <w:unhideWhenUsed/>
    <w:rsid w:val="002672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217"/>
  </w:style>
  <w:style w:type="character" w:customStyle="1" w:styleId="NoSpacingChar">
    <w:name w:val="No Spacing Char"/>
    <w:basedOn w:val="DefaultParagraphFont"/>
    <w:link w:val="NoSpacing"/>
    <w:uiPriority w:val="1"/>
    <w:rsid w:val="0030484F"/>
    <w:rPr>
      <w:color w:val="1F497D"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65299">
      <w:bodyDiv w:val="1"/>
      <w:marLeft w:val="0"/>
      <w:marRight w:val="0"/>
      <w:marTop w:val="0"/>
      <w:marBottom w:val="0"/>
      <w:divBdr>
        <w:top w:val="none" w:sz="0" w:space="0" w:color="auto"/>
        <w:left w:val="none" w:sz="0" w:space="0" w:color="auto"/>
        <w:bottom w:val="none" w:sz="0" w:space="0" w:color="auto"/>
        <w:right w:val="none" w:sz="0" w:space="0" w:color="auto"/>
      </w:divBdr>
    </w:div>
    <w:div w:id="62141033">
      <w:bodyDiv w:val="1"/>
      <w:marLeft w:val="0"/>
      <w:marRight w:val="0"/>
      <w:marTop w:val="0"/>
      <w:marBottom w:val="0"/>
      <w:divBdr>
        <w:top w:val="none" w:sz="0" w:space="0" w:color="auto"/>
        <w:left w:val="none" w:sz="0" w:space="0" w:color="auto"/>
        <w:bottom w:val="none" w:sz="0" w:space="0" w:color="auto"/>
        <w:right w:val="none" w:sz="0" w:space="0" w:color="auto"/>
      </w:divBdr>
    </w:div>
    <w:div w:id="134642323">
      <w:bodyDiv w:val="1"/>
      <w:marLeft w:val="0"/>
      <w:marRight w:val="0"/>
      <w:marTop w:val="0"/>
      <w:marBottom w:val="0"/>
      <w:divBdr>
        <w:top w:val="none" w:sz="0" w:space="0" w:color="auto"/>
        <w:left w:val="none" w:sz="0" w:space="0" w:color="auto"/>
        <w:bottom w:val="none" w:sz="0" w:space="0" w:color="auto"/>
        <w:right w:val="none" w:sz="0" w:space="0" w:color="auto"/>
      </w:divBdr>
    </w:div>
    <w:div w:id="145980068">
      <w:bodyDiv w:val="1"/>
      <w:marLeft w:val="0"/>
      <w:marRight w:val="0"/>
      <w:marTop w:val="0"/>
      <w:marBottom w:val="0"/>
      <w:divBdr>
        <w:top w:val="none" w:sz="0" w:space="0" w:color="auto"/>
        <w:left w:val="none" w:sz="0" w:space="0" w:color="auto"/>
        <w:bottom w:val="none" w:sz="0" w:space="0" w:color="auto"/>
        <w:right w:val="none" w:sz="0" w:space="0" w:color="auto"/>
      </w:divBdr>
    </w:div>
    <w:div w:id="153691902">
      <w:bodyDiv w:val="1"/>
      <w:marLeft w:val="0"/>
      <w:marRight w:val="0"/>
      <w:marTop w:val="0"/>
      <w:marBottom w:val="0"/>
      <w:divBdr>
        <w:top w:val="none" w:sz="0" w:space="0" w:color="auto"/>
        <w:left w:val="none" w:sz="0" w:space="0" w:color="auto"/>
        <w:bottom w:val="none" w:sz="0" w:space="0" w:color="auto"/>
        <w:right w:val="none" w:sz="0" w:space="0" w:color="auto"/>
      </w:divBdr>
    </w:div>
    <w:div w:id="166988101">
      <w:bodyDiv w:val="1"/>
      <w:marLeft w:val="0"/>
      <w:marRight w:val="0"/>
      <w:marTop w:val="0"/>
      <w:marBottom w:val="0"/>
      <w:divBdr>
        <w:top w:val="none" w:sz="0" w:space="0" w:color="auto"/>
        <w:left w:val="none" w:sz="0" w:space="0" w:color="auto"/>
        <w:bottom w:val="none" w:sz="0" w:space="0" w:color="auto"/>
        <w:right w:val="none" w:sz="0" w:space="0" w:color="auto"/>
      </w:divBdr>
    </w:div>
    <w:div w:id="171074472">
      <w:bodyDiv w:val="1"/>
      <w:marLeft w:val="0"/>
      <w:marRight w:val="0"/>
      <w:marTop w:val="0"/>
      <w:marBottom w:val="0"/>
      <w:divBdr>
        <w:top w:val="none" w:sz="0" w:space="0" w:color="auto"/>
        <w:left w:val="none" w:sz="0" w:space="0" w:color="auto"/>
        <w:bottom w:val="none" w:sz="0" w:space="0" w:color="auto"/>
        <w:right w:val="none" w:sz="0" w:space="0" w:color="auto"/>
      </w:divBdr>
    </w:div>
    <w:div w:id="179852537">
      <w:bodyDiv w:val="1"/>
      <w:marLeft w:val="0"/>
      <w:marRight w:val="0"/>
      <w:marTop w:val="0"/>
      <w:marBottom w:val="0"/>
      <w:divBdr>
        <w:top w:val="none" w:sz="0" w:space="0" w:color="auto"/>
        <w:left w:val="none" w:sz="0" w:space="0" w:color="auto"/>
        <w:bottom w:val="none" w:sz="0" w:space="0" w:color="auto"/>
        <w:right w:val="none" w:sz="0" w:space="0" w:color="auto"/>
      </w:divBdr>
    </w:div>
    <w:div w:id="205215654">
      <w:bodyDiv w:val="1"/>
      <w:marLeft w:val="0"/>
      <w:marRight w:val="0"/>
      <w:marTop w:val="0"/>
      <w:marBottom w:val="0"/>
      <w:divBdr>
        <w:top w:val="none" w:sz="0" w:space="0" w:color="auto"/>
        <w:left w:val="none" w:sz="0" w:space="0" w:color="auto"/>
        <w:bottom w:val="none" w:sz="0" w:space="0" w:color="auto"/>
        <w:right w:val="none" w:sz="0" w:space="0" w:color="auto"/>
      </w:divBdr>
    </w:div>
    <w:div w:id="219946543">
      <w:bodyDiv w:val="1"/>
      <w:marLeft w:val="0"/>
      <w:marRight w:val="0"/>
      <w:marTop w:val="0"/>
      <w:marBottom w:val="0"/>
      <w:divBdr>
        <w:top w:val="none" w:sz="0" w:space="0" w:color="auto"/>
        <w:left w:val="none" w:sz="0" w:space="0" w:color="auto"/>
        <w:bottom w:val="none" w:sz="0" w:space="0" w:color="auto"/>
        <w:right w:val="none" w:sz="0" w:space="0" w:color="auto"/>
      </w:divBdr>
    </w:div>
    <w:div w:id="267739605">
      <w:bodyDiv w:val="1"/>
      <w:marLeft w:val="0"/>
      <w:marRight w:val="0"/>
      <w:marTop w:val="0"/>
      <w:marBottom w:val="0"/>
      <w:divBdr>
        <w:top w:val="none" w:sz="0" w:space="0" w:color="auto"/>
        <w:left w:val="none" w:sz="0" w:space="0" w:color="auto"/>
        <w:bottom w:val="none" w:sz="0" w:space="0" w:color="auto"/>
        <w:right w:val="none" w:sz="0" w:space="0" w:color="auto"/>
      </w:divBdr>
    </w:div>
    <w:div w:id="271716146">
      <w:bodyDiv w:val="1"/>
      <w:marLeft w:val="0"/>
      <w:marRight w:val="0"/>
      <w:marTop w:val="0"/>
      <w:marBottom w:val="0"/>
      <w:divBdr>
        <w:top w:val="none" w:sz="0" w:space="0" w:color="auto"/>
        <w:left w:val="none" w:sz="0" w:space="0" w:color="auto"/>
        <w:bottom w:val="none" w:sz="0" w:space="0" w:color="auto"/>
        <w:right w:val="none" w:sz="0" w:space="0" w:color="auto"/>
      </w:divBdr>
    </w:div>
    <w:div w:id="288826009">
      <w:bodyDiv w:val="1"/>
      <w:marLeft w:val="0"/>
      <w:marRight w:val="0"/>
      <w:marTop w:val="0"/>
      <w:marBottom w:val="0"/>
      <w:divBdr>
        <w:top w:val="none" w:sz="0" w:space="0" w:color="auto"/>
        <w:left w:val="none" w:sz="0" w:space="0" w:color="auto"/>
        <w:bottom w:val="none" w:sz="0" w:space="0" w:color="auto"/>
        <w:right w:val="none" w:sz="0" w:space="0" w:color="auto"/>
      </w:divBdr>
    </w:div>
    <w:div w:id="302926829">
      <w:bodyDiv w:val="1"/>
      <w:marLeft w:val="0"/>
      <w:marRight w:val="0"/>
      <w:marTop w:val="0"/>
      <w:marBottom w:val="0"/>
      <w:divBdr>
        <w:top w:val="none" w:sz="0" w:space="0" w:color="auto"/>
        <w:left w:val="none" w:sz="0" w:space="0" w:color="auto"/>
        <w:bottom w:val="none" w:sz="0" w:space="0" w:color="auto"/>
        <w:right w:val="none" w:sz="0" w:space="0" w:color="auto"/>
      </w:divBdr>
    </w:div>
    <w:div w:id="368722092">
      <w:bodyDiv w:val="1"/>
      <w:marLeft w:val="0"/>
      <w:marRight w:val="0"/>
      <w:marTop w:val="0"/>
      <w:marBottom w:val="0"/>
      <w:divBdr>
        <w:top w:val="none" w:sz="0" w:space="0" w:color="auto"/>
        <w:left w:val="none" w:sz="0" w:space="0" w:color="auto"/>
        <w:bottom w:val="none" w:sz="0" w:space="0" w:color="auto"/>
        <w:right w:val="none" w:sz="0" w:space="0" w:color="auto"/>
      </w:divBdr>
    </w:div>
    <w:div w:id="373695936">
      <w:bodyDiv w:val="1"/>
      <w:marLeft w:val="0"/>
      <w:marRight w:val="0"/>
      <w:marTop w:val="0"/>
      <w:marBottom w:val="0"/>
      <w:divBdr>
        <w:top w:val="none" w:sz="0" w:space="0" w:color="auto"/>
        <w:left w:val="none" w:sz="0" w:space="0" w:color="auto"/>
        <w:bottom w:val="none" w:sz="0" w:space="0" w:color="auto"/>
        <w:right w:val="none" w:sz="0" w:space="0" w:color="auto"/>
      </w:divBdr>
    </w:div>
    <w:div w:id="389815304">
      <w:bodyDiv w:val="1"/>
      <w:marLeft w:val="0"/>
      <w:marRight w:val="0"/>
      <w:marTop w:val="0"/>
      <w:marBottom w:val="0"/>
      <w:divBdr>
        <w:top w:val="none" w:sz="0" w:space="0" w:color="auto"/>
        <w:left w:val="none" w:sz="0" w:space="0" w:color="auto"/>
        <w:bottom w:val="none" w:sz="0" w:space="0" w:color="auto"/>
        <w:right w:val="none" w:sz="0" w:space="0" w:color="auto"/>
      </w:divBdr>
    </w:div>
    <w:div w:id="395204943">
      <w:bodyDiv w:val="1"/>
      <w:marLeft w:val="0"/>
      <w:marRight w:val="0"/>
      <w:marTop w:val="0"/>
      <w:marBottom w:val="0"/>
      <w:divBdr>
        <w:top w:val="none" w:sz="0" w:space="0" w:color="auto"/>
        <w:left w:val="none" w:sz="0" w:space="0" w:color="auto"/>
        <w:bottom w:val="none" w:sz="0" w:space="0" w:color="auto"/>
        <w:right w:val="none" w:sz="0" w:space="0" w:color="auto"/>
      </w:divBdr>
    </w:div>
    <w:div w:id="413433192">
      <w:bodyDiv w:val="1"/>
      <w:marLeft w:val="0"/>
      <w:marRight w:val="0"/>
      <w:marTop w:val="0"/>
      <w:marBottom w:val="0"/>
      <w:divBdr>
        <w:top w:val="none" w:sz="0" w:space="0" w:color="auto"/>
        <w:left w:val="none" w:sz="0" w:space="0" w:color="auto"/>
        <w:bottom w:val="none" w:sz="0" w:space="0" w:color="auto"/>
        <w:right w:val="none" w:sz="0" w:space="0" w:color="auto"/>
      </w:divBdr>
    </w:div>
    <w:div w:id="421991812">
      <w:bodyDiv w:val="1"/>
      <w:marLeft w:val="0"/>
      <w:marRight w:val="0"/>
      <w:marTop w:val="0"/>
      <w:marBottom w:val="0"/>
      <w:divBdr>
        <w:top w:val="none" w:sz="0" w:space="0" w:color="auto"/>
        <w:left w:val="none" w:sz="0" w:space="0" w:color="auto"/>
        <w:bottom w:val="none" w:sz="0" w:space="0" w:color="auto"/>
        <w:right w:val="none" w:sz="0" w:space="0" w:color="auto"/>
      </w:divBdr>
    </w:div>
    <w:div w:id="449395124">
      <w:bodyDiv w:val="1"/>
      <w:marLeft w:val="0"/>
      <w:marRight w:val="0"/>
      <w:marTop w:val="0"/>
      <w:marBottom w:val="0"/>
      <w:divBdr>
        <w:top w:val="none" w:sz="0" w:space="0" w:color="auto"/>
        <w:left w:val="none" w:sz="0" w:space="0" w:color="auto"/>
        <w:bottom w:val="none" w:sz="0" w:space="0" w:color="auto"/>
        <w:right w:val="none" w:sz="0" w:space="0" w:color="auto"/>
      </w:divBdr>
    </w:div>
    <w:div w:id="451173645">
      <w:bodyDiv w:val="1"/>
      <w:marLeft w:val="0"/>
      <w:marRight w:val="0"/>
      <w:marTop w:val="0"/>
      <w:marBottom w:val="0"/>
      <w:divBdr>
        <w:top w:val="none" w:sz="0" w:space="0" w:color="auto"/>
        <w:left w:val="none" w:sz="0" w:space="0" w:color="auto"/>
        <w:bottom w:val="none" w:sz="0" w:space="0" w:color="auto"/>
        <w:right w:val="none" w:sz="0" w:space="0" w:color="auto"/>
      </w:divBdr>
    </w:div>
    <w:div w:id="457376869">
      <w:bodyDiv w:val="1"/>
      <w:marLeft w:val="0"/>
      <w:marRight w:val="0"/>
      <w:marTop w:val="0"/>
      <w:marBottom w:val="0"/>
      <w:divBdr>
        <w:top w:val="none" w:sz="0" w:space="0" w:color="auto"/>
        <w:left w:val="none" w:sz="0" w:space="0" w:color="auto"/>
        <w:bottom w:val="none" w:sz="0" w:space="0" w:color="auto"/>
        <w:right w:val="none" w:sz="0" w:space="0" w:color="auto"/>
      </w:divBdr>
    </w:div>
    <w:div w:id="457577039">
      <w:bodyDiv w:val="1"/>
      <w:marLeft w:val="0"/>
      <w:marRight w:val="0"/>
      <w:marTop w:val="0"/>
      <w:marBottom w:val="0"/>
      <w:divBdr>
        <w:top w:val="none" w:sz="0" w:space="0" w:color="auto"/>
        <w:left w:val="none" w:sz="0" w:space="0" w:color="auto"/>
        <w:bottom w:val="none" w:sz="0" w:space="0" w:color="auto"/>
        <w:right w:val="none" w:sz="0" w:space="0" w:color="auto"/>
      </w:divBdr>
    </w:div>
    <w:div w:id="462431018">
      <w:bodyDiv w:val="1"/>
      <w:marLeft w:val="0"/>
      <w:marRight w:val="0"/>
      <w:marTop w:val="0"/>
      <w:marBottom w:val="0"/>
      <w:divBdr>
        <w:top w:val="none" w:sz="0" w:space="0" w:color="auto"/>
        <w:left w:val="none" w:sz="0" w:space="0" w:color="auto"/>
        <w:bottom w:val="none" w:sz="0" w:space="0" w:color="auto"/>
        <w:right w:val="none" w:sz="0" w:space="0" w:color="auto"/>
      </w:divBdr>
    </w:div>
    <w:div w:id="485362818">
      <w:bodyDiv w:val="1"/>
      <w:marLeft w:val="0"/>
      <w:marRight w:val="0"/>
      <w:marTop w:val="0"/>
      <w:marBottom w:val="0"/>
      <w:divBdr>
        <w:top w:val="none" w:sz="0" w:space="0" w:color="auto"/>
        <w:left w:val="none" w:sz="0" w:space="0" w:color="auto"/>
        <w:bottom w:val="none" w:sz="0" w:space="0" w:color="auto"/>
        <w:right w:val="none" w:sz="0" w:space="0" w:color="auto"/>
      </w:divBdr>
    </w:div>
    <w:div w:id="486173756">
      <w:bodyDiv w:val="1"/>
      <w:marLeft w:val="0"/>
      <w:marRight w:val="0"/>
      <w:marTop w:val="0"/>
      <w:marBottom w:val="0"/>
      <w:divBdr>
        <w:top w:val="none" w:sz="0" w:space="0" w:color="auto"/>
        <w:left w:val="none" w:sz="0" w:space="0" w:color="auto"/>
        <w:bottom w:val="none" w:sz="0" w:space="0" w:color="auto"/>
        <w:right w:val="none" w:sz="0" w:space="0" w:color="auto"/>
      </w:divBdr>
    </w:div>
    <w:div w:id="552693395">
      <w:bodyDiv w:val="1"/>
      <w:marLeft w:val="0"/>
      <w:marRight w:val="0"/>
      <w:marTop w:val="0"/>
      <w:marBottom w:val="0"/>
      <w:divBdr>
        <w:top w:val="none" w:sz="0" w:space="0" w:color="auto"/>
        <w:left w:val="none" w:sz="0" w:space="0" w:color="auto"/>
        <w:bottom w:val="none" w:sz="0" w:space="0" w:color="auto"/>
        <w:right w:val="none" w:sz="0" w:space="0" w:color="auto"/>
      </w:divBdr>
    </w:div>
    <w:div w:id="555747283">
      <w:bodyDiv w:val="1"/>
      <w:marLeft w:val="0"/>
      <w:marRight w:val="0"/>
      <w:marTop w:val="0"/>
      <w:marBottom w:val="0"/>
      <w:divBdr>
        <w:top w:val="none" w:sz="0" w:space="0" w:color="auto"/>
        <w:left w:val="none" w:sz="0" w:space="0" w:color="auto"/>
        <w:bottom w:val="none" w:sz="0" w:space="0" w:color="auto"/>
        <w:right w:val="none" w:sz="0" w:space="0" w:color="auto"/>
      </w:divBdr>
    </w:div>
    <w:div w:id="613439274">
      <w:bodyDiv w:val="1"/>
      <w:marLeft w:val="0"/>
      <w:marRight w:val="0"/>
      <w:marTop w:val="0"/>
      <w:marBottom w:val="0"/>
      <w:divBdr>
        <w:top w:val="none" w:sz="0" w:space="0" w:color="auto"/>
        <w:left w:val="none" w:sz="0" w:space="0" w:color="auto"/>
        <w:bottom w:val="none" w:sz="0" w:space="0" w:color="auto"/>
        <w:right w:val="none" w:sz="0" w:space="0" w:color="auto"/>
      </w:divBdr>
    </w:div>
    <w:div w:id="619922903">
      <w:bodyDiv w:val="1"/>
      <w:marLeft w:val="0"/>
      <w:marRight w:val="0"/>
      <w:marTop w:val="0"/>
      <w:marBottom w:val="0"/>
      <w:divBdr>
        <w:top w:val="none" w:sz="0" w:space="0" w:color="auto"/>
        <w:left w:val="none" w:sz="0" w:space="0" w:color="auto"/>
        <w:bottom w:val="none" w:sz="0" w:space="0" w:color="auto"/>
        <w:right w:val="none" w:sz="0" w:space="0" w:color="auto"/>
      </w:divBdr>
    </w:div>
    <w:div w:id="643319798">
      <w:bodyDiv w:val="1"/>
      <w:marLeft w:val="0"/>
      <w:marRight w:val="0"/>
      <w:marTop w:val="0"/>
      <w:marBottom w:val="0"/>
      <w:divBdr>
        <w:top w:val="none" w:sz="0" w:space="0" w:color="auto"/>
        <w:left w:val="none" w:sz="0" w:space="0" w:color="auto"/>
        <w:bottom w:val="none" w:sz="0" w:space="0" w:color="auto"/>
        <w:right w:val="none" w:sz="0" w:space="0" w:color="auto"/>
      </w:divBdr>
    </w:div>
    <w:div w:id="657147757">
      <w:bodyDiv w:val="1"/>
      <w:marLeft w:val="0"/>
      <w:marRight w:val="0"/>
      <w:marTop w:val="0"/>
      <w:marBottom w:val="0"/>
      <w:divBdr>
        <w:top w:val="none" w:sz="0" w:space="0" w:color="auto"/>
        <w:left w:val="none" w:sz="0" w:space="0" w:color="auto"/>
        <w:bottom w:val="none" w:sz="0" w:space="0" w:color="auto"/>
        <w:right w:val="none" w:sz="0" w:space="0" w:color="auto"/>
      </w:divBdr>
    </w:div>
    <w:div w:id="675617817">
      <w:bodyDiv w:val="1"/>
      <w:marLeft w:val="0"/>
      <w:marRight w:val="0"/>
      <w:marTop w:val="0"/>
      <w:marBottom w:val="0"/>
      <w:divBdr>
        <w:top w:val="none" w:sz="0" w:space="0" w:color="auto"/>
        <w:left w:val="none" w:sz="0" w:space="0" w:color="auto"/>
        <w:bottom w:val="none" w:sz="0" w:space="0" w:color="auto"/>
        <w:right w:val="none" w:sz="0" w:space="0" w:color="auto"/>
      </w:divBdr>
    </w:div>
    <w:div w:id="697437280">
      <w:bodyDiv w:val="1"/>
      <w:marLeft w:val="0"/>
      <w:marRight w:val="0"/>
      <w:marTop w:val="0"/>
      <w:marBottom w:val="0"/>
      <w:divBdr>
        <w:top w:val="none" w:sz="0" w:space="0" w:color="auto"/>
        <w:left w:val="none" w:sz="0" w:space="0" w:color="auto"/>
        <w:bottom w:val="none" w:sz="0" w:space="0" w:color="auto"/>
        <w:right w:val="none" w:sz="0" w:space="0" w:color="auto"/>
      </w:divBdr>
    </w:div>
    <w:div w:id="728919703">
      <w:bodyDiv w:val="1"/>
      <w:marLeft w:val="0"/>
      <w:marRight w:val="0"/>
      <w:marTop w:val="0"/>
      <w:marBottom w:val="0"/>
      <w:divBdr>
        <w:top w:val="none" w:sz="0" w:space="0" w:color="auto"/>
        <w:left w:val="none" w:sz="0" w:space="0" w:color="auto"/>
        <w:bottom w:val="none" w:sz="0" w:space="0" w:color="auto"/>
        <w:right w:val="none" w:sz="0" w:space="0" w:color="auto"/>
      </w:divBdr>
    </w:div>
    <w:div w:id="750664613">
      <w:bodyDiv w:val="1"/>
      <w:marLeft w:val="0"/>
      <w:marRight w:val="0"/>
      <w:marTop w:val="0"/>
      <w:marBottom w:val="0"/>
      <w:divBdr>
        <w:top w:val="none" w:sz="0" w:space="0" w:color="auto"/>
        <w:left w:val="none" w:sz="0" w:space="0" w:color="auto"/>
        <w:bottom w:val="none" w:sz="0" w:space="0" w:color="auto"/>
        <w:right w:val="none" w:sz="0" w:space="0" w:color="auto"/>
      </w:divBdr>
    </w:div>
    <w:div w:id="754283815">
      <w:bodyDiv w:val="1"/>
      <w:marLeft w:val="0"/>
      <w:marRight w:val="0"/>
      <w:marTop w:val="0"/>
      <w:marBottom w:val="0"/>
      <w:divBdr>
        <w:top w:val="none" w:sz="0" w:space="0" w:color="auto"/>
        <w:left w:val="none" w:sz="0" w:space="0" w:color="auto"/>
        <w:bottom w:val="none" w:sz="0" w:space="0" w:color="auto"/>
        <w:right w:val="none" w:sz="0" w:space="0" w:color="auto"/>
      </w:divBdr>
    </w:div>
    <w:div w:id="763456690">
      <w:bodyDiv w:val="1"/>
      <w:marLeft w:val="0"/>
      <w:marRight w:val="0"/>
      <w:marTop w:val="0"/>
      <w:marBottom w:val="0"/>
      <w:divBdr>
        <w:top w:val="none" w:sz="0" w:space="0" w:color="auto"/>
        <w:left w:val="none" w:sz="0" w:space="0" w:color="auto"/>
        <w:bottom w:val="none" w:sz="0" w:space="0" w:color="auto"/>
        <w:right w:val="none" w:sz="0" w:space="0" w:color="auto"/>
      </w:divBdr>
    </w:div>
    <w:div w:id="797843167">
      <w:bodyDiv w:val="1"/>
      <w:marLeft w:val="0"/>
      <w:marRight w:val="0"/>
      <w:marTop w:val="0"/>
      <w:marBottom w:val="0"/>
      <w:divBdr>
        <w:top w:val="none" w:sz="0" w:space="0" w:color="auto"/>
        <w:left w:val="none" w:sz="0" w:space="0" w:color="auto"/>
        <w:bottom w:val="none" w:sz="0" w:space="0" w:color="auto"/>
        <w:right w:val="none" w:sz="0" w:space="0" w:color="auto"/>
      </w:divBdr>
    </w:div>
    <w:div w:id="813328452">
      <w:bodyDiv w:val="1"/>
      <w:marLeft w:val="0"/>
      <w:marRight w:val="0"/>
      <w:marTop w:val="0"/>
      <w:marBottom w:val="0"/>
      <w:divBdr>
        <w:top w:val="none" w:sz="0" w:space="0" w:color="auto"/>
        <w:left w:val="none" w:sz="0" w:space="0" w:color="auto"/>
        <w:bottom w:val="none" w:sz="0" w:space="0" w:color="auto"/>
        <w:right w:val="none" w:sz="0" w:space="0" w:color="auto"/>
      </w:divBdr>
    </w:div>
    <w:div w:id="838884636">
      <w:bodyDiv w:val="1"/>
      <w:marLeft w:val="0"/>
      <w:marRight w:val="0"/>
      <w:marTop w:val="0"/>
      <w:marBottom w:val="0"/>
      <w:divBdr>
        <w:top w:val="none" w:sz="0" w:space="0" w:color="auto"/>
        <w:left w:val="none" w:sz="0" w:space="0" w:color="auto"/>
        <w:bottom w:val="none" w:sz="0" w:space="0" w:color="auto"/>
        <w:right w:val="none" w:sz="0" w:space="0" w:color="auto"/>
      </w:divBdr>
    </w:div>
    <w:div w:id="848522014">
      <w:bodyDiv w:val="1"/>
      <w:marLeft w:val="0"/>
      <w:marRight w:val="0"/>
      <w:marTop w:val="0"/>
      <w:marBottom w:val="0"/>
      <w:divBdr>
        <w:top w:val="none" w:sz="0" w:space="0" w:color="auto"/>
        <w:left w:val="none" w:sz="0" w:space="0" w:color="auto"/>
        <w:bottom w:val="none" w:sz="0" w:space="0" w:color="auto"/>
        <w:right w:val="none" w:sz="0" w:space="0" w:color="auto"/>
      </w:divBdr>
    </w:div>
    <w:div w:id="854928525">
      <w:bodyDiv w:val="1"/>
      <w:marLeft w:val="0"/>
      <w:marRight w:val="0"/>
      <w:marTop w:val="0"/>
      <w:marBottom w:val="0"/>
      <w:divBdr>
        <w:top w:val="none" w:sz="0" w:space="0" w:color="auto"/>
        <w:left w:val="none" w:sz="0" w:space="0" w:color="auto"/>
        <w:bottom w:val="none" w:sz="0" w:space="0" w:color="auto"/>
        <w:right w:val="none" w:sz="0" w:space="0" w:color="auto"/>
      </w:divBdr>
    </w:div>
    <w:div w:id="863442144">
      <w:bodyDiv w:val="1"/>
      <w:marLeft w:val="0"/>
      <w:marRight w:val="0"/>
      <w:marTop w:val="0"/>
      <w:marBottom w:val="0"/>
      <w:divBdr>
        <w:top w:val="none" w:sz="0" w:space="0" w:color="auto"/>
        <w:left w:val="none" w:sz="0" w:space="0" w:color="auto"/>
        <w:bottom w:val="none" w:sz="0" w:space="0" w:color="auto"/>
        <w:right w:val="none" w:sz="0" w:space="0" w:color="auto"/>
      </w:divBdr>
    </w:div>
    <w:div w:id="865100921">
      <w:bodyDiv w:val="1"/>
      <w:marLeft w:val="0"/>
      <w:marRight w:val="0"/>
      <w:marTop w:val="0"/>
      <w:marBottom w:val="0"/>
      <w:divBdr>
        <w:top w:val="none" w:sz="0" w:space="0" w:color="auto"/>
        <w:left w:val="none" w:sz="0" w:space="0" w:color="auto"/>
        <w:bottom w:val="none" w:sz="0" w:space="0" w:color="auto"/>
        <w:right w:val="none" w:sz="0" w:space="0" w:color="auto"/>
      </w:divBdr>
    </w:div>
    <w:div w:id="876700117">
      <w:bodyDiv w:val="1"/>
      <w:marLeft w:val="0"/>
      <w:marRight w:val="0"/>
      <w:marTop w:val="0"/>
      <w:marBottom w:val="0"/>
      <w:divBdr>
        <w:top w:val="none" w:sz="0" w:space="0" w:color="auto"/>
        <w:left w:val="none" w:sz="0" w:space="0" w:color="auto"/>
        <w:bottom w:val="none" w:sz="0" w:space="0" w:color="auto"/>
        <w:right w:val="none" w:sz="0" w:space="0" w:color="auto"/>
      </w:divBdr>
    </w:div>
    <w:div w:id="895553158">
      <w:bodyDiv w:val="1"/>
      <w:marLeft w:val="0"/>
      <w:marRight w:val="0"/>
      <w:marTop w:val="0"/>
      <w:marBottom w:val="0"/>
      <w:divBdr>
        <w:top w:val="none" w:sz="0" w:space="0" w:color="auto"/>
        <w:left w:val="none" w:sz="0" w:space="0" w:color="auto"/>
        <w:bottom w:val="none" w:sz="0" w:space="0" w:color="auto"/>
        <w:right w:val="none" w:sz="0" w:space="0" w:color="auto"/>
      </w:divBdr>
    </w:div>
    <w:div w:id="905460282">
      <w:bodyDiv w:val="1"/>
      <w:marLeft w:val="0"/>
      <w:marRight w:val="0"/>
      <w:marTop w:val="0"/>
      <w:marBottom w:val="0"/>
      <w:divBdr>
        <w:top w:val="none" w:sz="0" w:space="0" w:color="auto"/>
        <w:left w:val="none" w:sz="0" w:space="0" w:color="auto"/>
        <w:bottom w:val="none" w:sz="0" w:space="0" w:color="auto"/>
        <w:right w:val="none" w:sz="0" w:space="0" w:color="auto"/>
      </w:divBdr>
    </w:div>
    <w:div w:id="906574622">
      <w:bodyDiv w:val="1"/>
      <w:marLeft w:val="0"/>
      <w:marRight w:val="0"/>
      <w:marTop w:val="0"/>
      <w:marBottom w:val="0"/>
      <w:divBdr>
        <w:top w:val="none" w:sz="0" w:space="0" w:color="auto"/>
        <w:left w:val="none" w:sz="0" w:space="0" w:color="auto"/>
        <w:bottom w:val="none" w:sz="0" w:space="0" w:color="auto"/>
        <w:right w:val="none" w:sz="0" w:space="0" w:color="auto"/>
      </w:divBdr>
    </w:div>
    <w:div w:id="912005533">
      <w:bodyDiv w:val="1"/>
      <w:marLeft w:val="0"/>
      <w:marRight w:val="0"/>
      <w:marTop w:val="0"/>
      <w:marBottom w:val="0"/>
      <w:divBdr>
        <w:top w:val="none" w:sz="0" w:space="0" w:color="auto"/>
        <w:left w:val="none" w:sz="0" w:space="0" w:color="auto"/>
        <w:bottom w:val="none" w:sz="0" w:space="0" w:color="auto"/>
        <w:right w:val="none" w:sz="0" w:space="0" w:color="auto"/>
      </w:divBdr>
    </w:div>
    <w:div w:id="937299125">
      <w:bodyDiv w:val="1"/>
      <w:marLeft w:val="0"/>
      <w:marRight w:val="0"/>
      <w:marTop w:val="0"/>
      <w:marBottom w:val="0"/>
      <w:divBdr>
        <w:top w:val="none" w:sz="0" w:space="0" w:color="auto"/>
        <w:left w:val="none" w:sz="0" w:space="0" w:color="auto"/>
        <w:bottom w:val="none" w:sz="0" w:space="0" w:color="auto"/>
        <w:right w:val="none" w:sz="0" w:space="0" w:color="auto"/>
      </w:divBdr>
    </w:div>
    <w:div w:id="999969753">
      <w:bodyDiv w:val="1"/>
      <w:marLeft w:val="0"/>
      <w:marRight w:val="0"/>
      <w:marTop w:val="0"/>
      <w:marBottom w:val="0"/>
      <w:divBdr>
        <w:top w:val="none" w:sz="0" w:space="0" w:color="auto"/>
        <w:left w:val="none" w:sz="0" w:space="0" w:color="auto"/>
        <w:bottom w:val="none" w:sz="0" w:space="0" w:color="auto"/>
        <w:right w:val="none" w:sz="0" w:space="0" w:color="auto"/>
      </w:divBdr>
    </w:div>
    <w:div w:id="1038242632">
      <w:bodyDiv w:val="1"/>
      <w:marLeft w:val="0"/>
      <w:marRight w:val="0"/>
      <w:marTop w:val="0"/>
      <w:marBottom w:val="0"/>
      <w:divBdr>
        <w:top w:val="none" w:sz="0" w:space="0" w:color="auto"/>
        <w:left w:val="none" w:sz="0" w:space="0" w:color="auto"/>
        <w:bottom w:val="none" w:sz="0" w:space="0" w:color="auto"/>
        <w:right w:val="none" w:sz="0" w:space="0" w:color="auto"/>
      </w:divBdr>
    </w:div>
    <w:div w:id="1124930856">
      <w:bodyDiv w:val="1"/>
      <w:marLeft w:val="0"/>
      <w:marRight w:val="0"/>
      <w:marTop w:val="0"/>
      <w:marBottom w:val="0"/>
      <w:divBdr>
        <w:top w:val="none" w:sz="0" w:space="0" w:color="auto"/>
        <w:left w:val="none" w:sz="0" w:space="0" w:color="auto"/>
        <w:bottom w:val="none" w:sz="0" w:space="0" w:color="auto"/>
        <w:right w:val="none" w:sz="0" w:space="0" w:color="auto"/>
      </w:divBdr>
    </w:div>
    <w:div w:id="1136413086">
      <w:bodyDiv w:val="1"/>
      <w:marLeft w:val="0"/>
      <w:marRight w:val="0"/>
      <w:marTop w:val="0"/>
      <w:marBottom w:val="0"/>
      <w:divBdr>
        <w:top w:val="none" w:sz="0" w:space="0" w:color="auto"/>
        <w:left w:val="none" w:sz="0" w:space="0" w:color="auto"/>
        <w:bottom w:val="none" w:sz="0" w:space="0" w:color="auto"/>
        <w:right w:val="none" w:sz="0" w:space="0" w:color="auto"/>
      </w:divBdr>
    </w:div>
    <w:div w:id="1180241075">
      <w:bodyDiv w:val="1"/>
      <w:marLeft w:val="0"/>
      <w:marRight w:val="0"/>
      <w:marTop w:val="0"/>
      <w:marBottom w:val="0"/>
      <w:divBdr>
        <w:top w:val="none" w:sz="0" w:space="0" w:color="auto"/>
        <w:left w:val="none" w:sz="0" w:space="0" w:color="auto"/>
        <w:bottom w:val="none" w:sz="0" w:space="0" w:color="auto"/>
        <w:right w:val="none" w:sz="0" w:space="0" w:color="auto"/>
      </w:divBdr>
    </w:div>
    <w:div w:id="1215239419">
      <w:bodyDiv w:val="1"/>
      <w:marLeft w:val="0"/>
      <w:marRight w:val="0"/>
      <w:marTop w:val="0"/>
      <w:marBottom w:val="0"/>
      <w:divBdr>
        <w:top w:val="none" w:sz="0" w:space="0" w:color="auto"/>
        <w:left w:val="none" w:sz="0" w:space="0" w:color="auto"/>
        <w:bottom w:val="none" w:sz="0" w:space="0" w:color="auto"/>
        <w:right w:val="none" w:sz="0" w:space="0" w:color="auto"/>
      </w:divBdr>
    </w:div>
    <w:div w:id="1255892615">
      <w:bodyDiv w:val="1"/>
      <w:marLeft w:val="0"/>
      <w:marRight w:val="0"/>
      <w:marTop w:val="0"/>
      <w:marBottom w:val="0"/>
      <w:divBdr>
        <w:top w:val="none" w:sz="0" w:space="0" w:color="auto"/>
        <w:left w:val="none" w:sz="0" w:space="0" w:color="auto"/>
        <w:bottom w:val="none" w:sz="0" w:space="0" w:color="auto"/>
        <w:right w:val="none" w:sz="0" w:space="0" w:color="auto"/>
      </w:divBdr>
    </w:div>
    <w:div w:id="1258249968">
      <w:bodyDiv w:val="1"/>
      <w:marLeft w:val="0"/>
      <w:marRight w:val="0"/>
      <w:marTop w:val="0"/>
      <w:marBottom w:val="0"/>
      <w:divBdr>
        <w:top w:val="none" w:sz="0" w:space="0" w:color="auto"/>
        <w:left w:val="none" w:sz="0" w:space="0" w:color="auto"/>
        <w:bottom w:val="none" w:sz="0" w:space="0" w:color="auto"/>
        <w:right w:val="none" w:sz="0" w:space="0" w:color="auto"/>
      </w:divBdr>
    </w:div>
    <w:div w:id="1269393527">
      <w:bodyDiv w:val="1"/>
      <w:marLeft w:val="0"/>
      <w:marRight w:val="0"/>
      <w:marTop w:val="0"/>
      <w:marBottom w:val="0"/>
      <w:divBdr>
        <w:top w:val="none" w:sz="0" w:space="0" w:color="auto"/>
        <w:left w:val="none" w:sz="0" w:space="0" w:color="auto"/>
        <w:bottom w:val="none" w:sz="0" w:space="0" w:color="auto"/>
        <w:right w:val="none" w:sz="0" w:space="0" w:color="auto"/>
      </w:divBdr>
    </w:div>
    <w:div w:id="1277248688">
      <w:bodyDiv w:val="1"/>
      <w:marLeft w:val="0"/>
      <w:marRight w:val="0"/>
      <w:marTop w:val="0"/>
      <w:marBottom w:val="0"/>
      <w:divBdr>
        <w:top w:val="none" w:sz="0" w:space="0" w:color="auto"/>
        <w:left w:val="none" w:sz="0" w:space="0" w:color="auto"/>
        <w:bottom w:val="none" w:sz="0" w:space="0" w:color="auto"/>
        <w:right w:val="none" w:sz="0" w:space="0" w:color="auto"/>
      </w:divBdr>
    </w:div>
    <w:div w:id="1284577868">
      <w:bodyDiv w:val="1"/>
      <w:marLeft w:val="0"/>
      <w:marRight w:val="0"/>
      <w:marTop w:val="0"/>
      <w:marBottom w:val="0"/>
      <w:divBdr>
        <w:top w:val="none" w:sz="0" w:space="0" w:color="auto"/>
        <w:left w:val="none" w:sz="0" w:space="0" w:color="auto"/>
        <w:bottom w:val="none" w:sz="0" w:space="0" w:color="auto"/>
        <w:right w:val="none" w:sz="0" w:space="0" w:color="auto"/>
      </w:divBdr>
    </w:div>
    <w:div w:id="1294872637">
      <w:bodyDiv w:val="1"/>
      <w:marLeft w:val="0"/>
      <w:marRight w:val="0"/>
      <w:marTop w:val="0"/>
      <w:marBottom w:val="0"/>
      <w:divBdr>
        <w:top w:val="none" w:sz="0" w:space="0" w:color="auto"/>
        <w:left w:val="none" w:sz="0" w:space="0" w:color="auto"/>
        <w:bottom w:val="none" w:sz="0" w:space="0" w:color="auto"/>
        <w:right w:val="none" w:sz="0" w:space="0" w:color="auto"/>
      </w:divBdr>
    </w:div>
    <w:div w:id="1310205082">
      <w:bodyDiv w:val="1"/>
      <w:marLeft w:val="0"/>
      <w:marRight w:val="0"/>
      <w:marTop w:val="0"/>
      <w:marBottom w:val="0"/>
      <w:divBdr>
        <w:top w:val="none" w:sz="0" w:space="0" w:color="auto"/>
        <w:left w:val="none" w:sz="0" w:space="0" w:color="auto"/>
        <w:bottom w:val="none" w:sz="0" w:space="0" w:color="auto"/>
        <w:right w:val="none" w:sz="0" w:space="0" w:color="auto"/>
      </w:divBdr>
    </w:div>
    <w:div w:id="1320647776">
      <w:bodyDiv w:val="1"/>
      <w:marLeft w:val="0"/>
      <w:marRight w:val="0"/>
      <w:marTop w:val="0"/>
      <w:marBottom w:val="0"/>
      <w:divBdr>
        <w:top w:val="none" w:sz="0" w:space="0" w:color="auto"/>
        <w:left w:val="none" w:sz="0" w:space="0" w:color="auto"/>
        <w:bottom w:val="none" w:sz="0" w:space="0" w:color="auto"/>
        <w:right w:val="none" w:sz="0" w:space="0" w:color="auto"/>
      </w:divBdr>
    </w:div>
    <w:div w:id="1343704273">
      <w:bodyDiv w:val="1"/>
      <w:marLeft w:val="0"/>
      <w:marRight w:val="0"/>
      <w:marTop w:val="0"/>
      <w:marBottom w:val="0"/>
      <w:divBdr>
        <w:top w:val="none" w:sz="0" w:space="0" w:color="auto"/>
        <w:left w:val="none" w:sz="0" w:space="0" w:color="auto"/>
        <w:bottom w:val="none" w:sz="0" w:space="0" w:color="auto"/>
        <w:right w:val="none" w:sz="0" w:space="0" w:color="auto"/>
      </w:divBdr>
    </w:div>
    <w:div w:id="1401059063">
      <w:bodyDiv w:val="1"/>
      <w:marLeft w:val="0"/>
      <w:marRight w:val="0"/>
      <w:marTop w:val="0"/>
      <w:marBottom w:val="0"/>
      <w:divBdr>
        <w:top w:val="none" w:sz="0" w:space="0" w:color="auto"/>
        <w:left w:val="none" w:sz="0" w:space="0" w:color="auto"/>
        <w:bottom w:val="none" w:sz="0" w:space="0" w:color="auto"/>
        <w:right w:val="none" w:sz="0" w:space="0" w:color="auto"/>
      </w:divBdr>
    </w:div>
    <w:div w:id="1409619480">
      <w:bodyDiv w:val="1"/>
      <w:marLeft w:val="0"/>
      <w:marRight w:val="0"/>
      <w:marTop w:val="0"/>
      <w:marBottom w:val="0"/>
      <w:divBdr>
        <w:top w:val="none" w:sz="0" w:space="0" w:color="auto"/>
        <w:left w:val="none" w:sz="0" w:space="0" w:color="auto"/>
        <w:bottom w:val="none" w:sz="0" w:space="0" w:color="auto"/>
        <w:right w:val="none" w:sz="0" w:space="0" w:color="auto"/>
      </w:divBdr>
    </w:div>
    <w:div w:id="1439376684">
      <w:bodyDiv w:val="1"/>
      <w:marLeft w:val="0"/>
      <w:marRight w:val="0"/>
      <w:marTop w:val="0"/>
      <w:marBottom w:val="0"/>
      <w:divBdr>
        <w:top w:val="none" w:sz="0" w:space="0" w:color="auto"/>
        <w:left w:val="none" w:sz="0" w:space="0" w:color="auto"/>
        <w:bottom w:val="none" w:sz="0" w:space="0" w:color="auto"/>
        <w:right w:val="none" w:sz="0" w:space="0" w:color="auto"/>
      </w:divBdr>
    </w:div>
    <w:div w:id="1445077149">
      <w:bodyDiv w:val="1"/>
      <w:marLeft w:val="0"/>
      <w:marRight w:val="0"/>
      <w:marTop w:val="0"/>
      <w:marBottom w:val="0"/>
      <w:divBdr>
        <w:top w:val="none" w:sz="0" w:space="0" w:color="auto"/>
        <w:left w:val="none" w:sz="0" w:space="0" w:color="auto"/>
        <w:bottom w:val="none" w:sz="0" w:space="0" w:color="auto"/>
        <w:right w:val="none" w:sz="0" w:space="0" w:color="auto"/>
      </w:divBdr>
    </w:div>
    <w:div w:id="1519661551">
      <w:bodyDiv w:val="1"/>
      <w:marLeft w:val="0"/>
      <w:marRight w:val="0"/>
      <w:marTop w:val="0"/>
      <w:marBottom w:val="0"/>
      <w:divBdr>
        <w:top w:val="none" w:sz="0" w:space="0" w:color="auto"/>
        <w:left w:val="none" w:sz="0" w:space="0" w:color="auto"/>
        <w:bottom w:val="none" w:sz="0" w:space="0" w:color="auto"/>
        <w:right w:val="none" w:sz="0" w:space="0" w:color="auto"/>
      </w:divBdr>
    </w:div>
    <w:div w:id="1530953355">
      <w:bodyDiv w:val="1"/>
      <w:marLeft w:val="0"/>
      <w:marRight w:val="0"/>
      <w:marTop w:val="0"/>
      <w:marBottom w:val="0"/>
      <w:divBdr>
        <w:top w:val="none" w:sz="0" w:space="0" w:color="auto"/>
        <w:left w:val="none" w:sz="0" w:space="0" w:color="auto"/>
        <w:bottom w:val="none" w:sz="0" w:space="0" w:color="auto"/>
        <w:right w:val="none" w:sz="0" w:space="0" w:color="auto"/>
      </w:divBdr>
    </w:div>
    <w:div w:id="1539394132">
      <w:bodyDiv w:val="1"/>
      <w:marLeft w:val="0"/>
      <w:marRight w:val="0"/>
      <w:marTop w:val="0"/>
      <w:marBottom w:val="0"/>
      <w:divBdr>
        <w:top w:val="none" w:sz="0" w:space="0" w:color="auto"/>
        <w:left w:val="none" w:sz="0" w:space="0" w:color="auto"/>
        <w:bottom w:val="none" w:sz="0" w:space="0" w:color="auto"/>
        <w:right w:val="none" w:sz="0" w:space="0" w:color="auto"/>
      </w:divBdr>
    </w:div>
    <w:div w:id="1553343565">
      <w:bodyDiv w:val="1"/>
      <w:marLeft w:val="0"/>
      <w:marRight w:val="0"/>
      <w:marTop w:val="0"/>
      <w:marBottom w:val="0"/>
      <w:divBdr>
        <w:top w:val="none" w:sz="0" w:space="0" w:color="auto"/>
        <w:left w:val="none" w:sz="0" w:space="0" w:color="auto"/>
        <w:bottom w:val="none" w:sz="0" w:space="0" w:color="auto"/>
        <w:right w:val="none" w:sz="0" w:space="0" w:color="auto"/>
      </w:divBdr>
    </w:div>
    <w:div w:id="1583295633">
      <w:bodyDiv w:val="1"/>
      <w:marLeft w:val="0"/>
      <w:marRight w:val="0"/>
      <w:marTop w:val="0"/>
      <w:marBottom w:val="0"/>
      <w:divBdr>
        <w:top w:val="none" w:sz="0" w:space="0" w:color="auto"/>
        <w:left w:val="none" w:sz="0" w:space="0" w:color="auto"/>
        <w:bottom w:val="none" w:sz="0" w:space="0" w:color="auto"/>
        <w:right w:val="none" w:sz="0" w:space="0" w:color="auto"/>
      </w:divBdr>
    </w:div>
    <w:div w:id="1596523651">
      <w:bodyDiv w:val="1"/>
      <w:marLeft w:val="0"/>
      <w:marRight w:val="0"/>
      <w:marTop w:val="0"/>
      <w:marBottom w:val="0"/>
      <w:divBdr>
        <w:top w:val="none" w:sz="0" w:space="0" w:color="auto"/>
        <w:left w:val="none" w:sz="0" w:space="0" w:color="auto"/>
        <w:bottom w:val="none" w:sz="0" w:space="0" w:color="auto"/>
        <w:right w:val="none" w:sz="0" w:space="0" w:color="auto"/>
      </w:divBdr>
    </w:div>
    <w:div w:id="1617560776">
      <w:bodyDiv w:val="1"/>
      <w:marLeft w:val="0"/>
      <w:marRight w:val="0"/>
      <w:marTop w:val="0"/>
      <w:marBottom w:val="0"/>
      <w:divBdr>
        <w:top w:val="none" w:sz="0" w:space="0" w:color="auto"/>
        <w:left w:val="none" w:sz="0" w:space="0" w:color="auto"/>
        <w:bottom w:val="none" w:sz="0" w:space="0" w:color="auto"/>
        <w:right w:val="none" w:sz="0" w:space="0" w:color="auto"/>
      </w:divBdr>
    </w:div>
    <w:div w:id="1623612206">
      <w:bodyDiv w:val="1"/>
      <w:marLeft w:val="0"/>
      <w:marRight w:val="0"/>
      <w:marTop w:val="0"/>
      <w:marBottom w:val="0"/>
      <w:divBdr>
        <w:top w:val="none" w:sz="0" w:space="0" w:color="auto"/>
        <w:left w:val="none" w:sz="0" w:space="0" w:color="auto"/>
        <w:bottom w:val="none" w:sz="0" w:space="0" w:color="auto"/>
        <w:right w:val="none" w:sz="0" w:space="0" w:color="auto"/>
      </w:divBdr>
    </w:div>
    <w:div w:id="1629581716">
      <w:bodyDiv w:val="1"/>
      <w:marLeft w:val="0"/>
      <w:marRight w:val="0"/>
      <w:marTop w:val="0"/>
      <w:marBottom w:val="0"/>
      <w:divBdr>
        <w:top w:val="none" w:sz="0" w:space="0" w:color="auto"/>
        <w:left w:val="none" w:sz="0" w:space="0" w:color="auto"/>
        <w:bottom w:val="none" w:sz="0" w:space="0" w:color="auto"/>
        <w:right w:val="none" w:sz="0" w:space="0" w:color="auto"/>
      </w:divBdr>
    </w:div>
    <w:div w:id="1693216993">
      <w:bodyDiv w:val="1"/>
      <w:marLeft w:val="0"/>
      <w:marRight w:val="0"/>
      <w:marTop w:val="0"/>
      <w:marBottom w:val="0"/>
      <w:divBdr>
        <w:top w:val="none" w:sz="0" w:space="0" w:color="auto"/>
        <w:left w:val="none" w:sz="0" w:space="0" w:color="auto"/>
        <w:bottom w:val="none" w:sz="0" w:space="0" w:color="auto"/>
        <w:right w:val="none" w:sz="0" w:space="0" w:color="auto"/>
      </w:divBdr>
    </w:div>
    <w:div w:id="1728988809">
      <w:bodyDiv w:val="1"/>
      <w:marLeft w:val="0"/>
      <w:marRight w:val="0"/>
      <w:marTop w:val="0"/>
      <w:marBottom w:val="0"/>
      <w:divBdr>
        <w:top w:val="none" w:sz="0" w:space="0" w:color="auto"/>
        <w:left w:val="none" w:sz="0" w:space="0" w:color="auto"/>
        <w:bottom w:val="none" w:sz="0" w:space="0" w:color="auto"/>
        <w:right w:val="none" w:sz="0" w:space="0" w:color="auto"/>
      </w:divBdr>
    </w:div>
    <w:div w:id="1742290416">
      <w:bodyDiv w:val="1"/>
      <w:marLeft w:val="0"/>
      <w:marRight w:val="0"/>
      <w:marTop w:val="0"/>
      <w:marBottom w:val="0"/>
      <w:divBdr>
        <w:top w:val="none" w:sz="0" w:space="0" w:color="auto"/>
        <w:left w:val="none" w:sz="0" w:space="0" w:color="auto"/>
        <w:bottom w:val="none" w:sz="0" w:space="0" w:color="auto"/>
        <w:right w:val="none" w:sz="0" w:space="0" w:color="auto"/>
      </w:divBdr>
    </w:div>
    <w:div w:id="1815297720">
      <w:bodyDiv w:val="1"/>
      <w:marLeft w:val="0"/>
      <w:marRight w:val="0"/>
      <w:marTop w:val="0"/>
      <w:marBottom w:val="0"/>
      <w:divBdr>
        <w:top w:val="none" w:sz="0" w:space="0" w:color="auto"/>
        <w:left w:val="none" w:sz="0" w:space="0" w:color="auto"/>
        <w:bottom w:val="none" w:sz="0" w:space="0" w:color="auto"/>
        <w:right w:val="none" w:sz="0" w:space="0" w:color="auto"/>
      </w:divBdr>
    </w:div>
    <w:div w:id="1842425123">
      <w:bodyDiv w:val="1"/>
      <w:marLeft w:val="0"/>
      <w:marRight w:val="0"/>
      <w:marTop w:val="0"/>
      <w:marBottom w:val="0"/>
      <w:divBdr>
        <w:top w:val="none" w:sz="0" w:space="0" w:color="auto"/>
        <w:left w:val="none" w:sz="0" w:space="0" w:color="auto"/>
        <w:bottom w:val="none" w:sz="0" w:space="0" w:color="auto"/>
        <w:right w:val="none" w:sz="0" w:space="0" w:color="auto"/>
      </w:divBdr>
    </w:div>
    <w:div w:id="1857424268">
      <w:bodyDiv w:val="1"/>
      <w:marLeft w:val="0"/>
      <w:marRight w:val="0"/>
      <w:marTop w:val="0"/>
      <w:marBottom w:val="0"/>
      <w:divBdr>
        <w:top w:val="none" w:sz="0" w:space="0" w:color="auto"/>
        <w:left w:val="none" w:sz="0" w:space="0" w:color="auto"/>
        <w:bottom w:val="none" w:sz="0" w:space="0" w:color="auto"/>
        <w:right w:val="none" w:sz="0" w:space="0" w:color="auto"/>
      </w:divBdr>
    </w:div>
    <w:div w:id="1867601841">
      <w:bodyDiv w:val="1"/>
      <w:marLeft w:val="0"/>
      <w:marRight w:val="0"/>
      <w:marTop w:val="0"/>
      <w:marBottom w:val="0"/>
      <w:divBdr>
        <w:top w:val="none" w:sz="0" w:space="0" w:color="auto"/>
        <w:left w:val="none" w:sz="0" w:space="0" w:color="auto"/>
        <w:bottom w:val="none" w:sz="0" w:space="0" w:color="auto"/>
        <w:right w:val="none" w:sz="0" w:space="0" w:color="auto"/>
      </w:divBdr>
    </w:div>
    <w:div w:id="1871381992">
      <w:bodyDiv w:val="1"/>
      <w:marLeft w:val="0"/>
      <w:marRight w:val="0"/>
      <w:marTop w:val="0"/>
      <w:marBottom w:val="0"/>
      <w:divBdr>
        <w:top w:val="none" w:sz="0" w:space="0" w:color="auto"/>
        <w:left w:val="none" w:sz="0" w:space="0" w:color="auto"/>
        <w:bottom w:val="none" w:sz="0" w:space="0" w:color="auto"/>
        <w:right w:val="none" w:sz="0" w:space="0" w:color="auto"/>
      </w:divBdr>
    </w:div>
    <w:div w:id="1872961026">
      <w:bodyDiv w:val="1"/>
      <w:marLeft w:val="0"/>
      <w:marRight w:val="0"/>
      <w:marTop w:val="0"/>
      <w:marBottom w:val="0"/>
      <w:divBdr>
        <w:top w:val="none" w:sz="0" w:space="0" w:color="auto"/>
        <w:left w:val="none" w:sz="0" w:space="0" w:color="auto"/>
        <w:bottom w:val="none" w:sz="0" w:space="0" w:color="auto"/>
        <w:right w:val="none" w:sz="0" w:space="0" w:color="auto"/>
      </w:divBdr>
    </w:div>
    <w:div w:id="1880045820">
      <w:bodyDiv w:val="1"/>
      <w:marLeft w:val="0"/>
      <w:marRight w:val="0"/>
      <w:marTop w:val="0"/>
      <w:marBottom w:val="0"/>
      <w:divBdr>
        <w:top w:val="none" w:sz="0" w:space="0" w:color="auto"/>
        <w:left w:val="none" w:sz="0" w:space="0" w:color="auto"/>
        <w:bottom w:val="none" w:sz="0" w:space="0" w:color="auto"/>
        <w:right w:val="none" w:sz="0" w:space="0" w:color="auto"/>
      </w:divBdr>
    </w:div>
    <w:div w:id="1886060702">
      <w:bodyDiv w:val="1"/>
      <w:marLeft w:val="0"/>
      <w:marRight w:val="0"/>
      <w:marTop w:val="0"/>
      <w:marBottom w:val="0"/>
      <w:divBdr>
        <w:top w:val="none" w:sz="0" w:space="0" w:color="auto"/>
        <w:left w:val="none" w:sz="0" w:space="0" w:color="auto"/>
        <w:bottom w:val="none" w:sz="0" w:space="0" w:color="auto"/>
        <w:right w:val="none" w:sz="0" w:space="0" w:color="auto"/>
      </w:divBdr>
    </w:div>
    <w:div w:id="1889605847">
      <w:bodyDiv w:val="1"/>
      <w:marLeft w:val="0"/>
      <w:marRight w:val="0"/>
      <w:marTop w:val="0"/>
      <w:marBottom w:val="0"/>
      <w:divBdr>
        <w:top w:val="none" w:sz="0" w:space="0" w:color="auto"/>
        <w:left w:val="none" w:sz="0" w:space="0" w:color="auto"/>
        <w:bottom w:val="none" w:sz="0" w:space="0" w:color="auto"/>
        <w:right w:val="none" w:sz="0" w:space="0" w:color="auto"/>
      </w:divBdr>
    </w:div>
    <w:div w:id="1904443214">
      <w:bodyDiv w:val="1"/>
      <w:marLeft w:val="0"/>
      <w:marRight w:val="0"/>
      <w:marTop w:val="0"/>
      <w:marBottom w:val="0"/>
      <w:divBdr>
        <w:top w:val="none" w:sz="0" w:space="0" w:color="auto"/>
        <w:left w:val="none" w:sz="0" w:space="0" w:color="auto"/>
        <w:bottom w:val="none" w:sz="0" w:space="0" w:color="auto"/>
        <w:right w:val="none" w:sz="0" w:space="0" w:color="auto"/>
      </w:divBdr>
    </w:div>
    <w:div w:id="1934432618">
      <w:bodyDiv w:val="1"/>
      <w:marLeft w:val="0"/>
      <w:marRight w:val="0"/>
      <w:marTop w:val="0"/>
      <w:marBottom w:val="0"/>
      <w:divBdr>
        <w:top w:val="none" w:sz="0" w:space="0" w:color="auto"/>
        <w:left w:val="none" w:sz="0" w:space="0" w:color="auto"/>
        <w:bottom w:val="none" w:sz="0" w:space="0" w:color="auto"/>
        <w:right w:val="none" w:sz="0" w:space="0" w:color="auto"/>
      </w:divBdr>
    </w:div>
    <w:div w:id="1935743059">
      <w:bodyDiv w:val="1"/>
      <w:marLeft w:val="0"/>
      <w:marRight w:val="0"/>
      <w:marTop w:val="0"/>
      <w:marBottom w:val="0"/>
      <w:divBdr>
        <w:top w:val="none" w:sz="0" w:space="0" w:color="auto"/>
        <w:left w:val="none" w:sz="0" w:space="0" w:color="auto"/>
        <w:bottom w:val="none" w:sz="0" w:space="0" w:color="auto"/>
        <w:right w:val="none" w:sz="0" w:space="0" w:color="auto"/>
      </w:divBdr>
    </w:div>
    <w:div w:id="1976712056">
      <w:bodyDiv w:val="1"/>
      <w:marLeft w:val="0"/>
      <w:marRight w:val="0"/>
      <w:marTop w:val="0"/>
      <w:marBottom w:val="0"/>
      <w:divBdr>
        <w:top w:val="none" w:sz="0" w:space="0" w:color="auto"/>
        <w:left w:val="none" w:sz="0" w:space="0" w:color="auto"/>
        <w:bottom w:val="none" w:sz="0" w:space="0" w:color="auto"/>
        <w:right w:val="none" w:sz="0" w:space="0" w:color="auto"/>
      </w:divBdr>
    </w:div>
    <w:div w:id="1995986684">
      <w:bodyDiv w:val="1"/>
      <w:marLeft w:val="0"/>
      <w:marRight w:val="0"/>
      <w:marTop w:val="0"/>
      <w:marBottom w:val="0"/>
      <w:divBdr>
        <w:top w:val="none" w:sz="0" w:space="0" w:color="auto"/>
        <w:left w:val="none" w:sz="0" w:space="0" w:color="auto"/>
        <w:bottom w:val="none" w:sz="0" w:space="0" w:color="auto"/>
        <w:right w:val="none" w:sz="0" w:space="0" w:color="auto"/>
      </w:divBdr>
    </w:div>
    <w:div w:id="2002729778">
      <w:bodyDiv w:val="1"/>
      <w:marLeft w:val="0"/>
      <w:marRight w:val="0"/>
      <w:marTop w:val="0"/>
      <w:marBottom w:val="0"/>
      <w:divBdr>
        <w:top w:val="none" w:sz="0" w:space="0" w:color="auto"/>
        <w:left w:val="none" w:sz="0" w:space="0" w:color="auto"/>
        <w:bottom w:val="none" w:sz="0" w:space="0" w:color="auto"/>
        <w:right w:val="none" w:sz="0" w:space="0" w:color="auto"/>
      </w:divBdr>
    </w:div>
    <w:div w:id="2016876976">
      <w:bodyDiv w:val="1"/>
      <w:marLeft w:val="0"/>
      <w:marRight w:val="0"/>
      <w:marTop w:val="0"/>
      <w:marBottom w:val="0"/>
      <w:divBdr>
        <w:top w:val="none" w:sz="0" w:space="0" w:color="auto"/>
        <w:left w:val="none" w:sz="0" w:space="0" w:color="auto"/>
        <w:bottom w:val="none" w:sz="0" w:space="0" w:color="auto"/>
        <w:right w:val="none" w:sz="0" w:space="0" w:color="auto"/>
      </w:divBdr>
    </w:div>
    <w:div w:id="2016881959">
      <w:bodyDiv w:val="1"/>
      <w:marLeft w:val="0"/>
      <w:marRight w:val="0"/>
      <w:marTop w:val="0"/>
      <w:marBottom w:val="0"/>
      <w:divBdr>
        <w:top w:val="none" w:sz="0" w:space="0" w:color="auto"/>
        <w:left w:val="none" w:sz="0" w:space="0" w:color="auto"/>
        <w:bottom w:val="none" w:sz="0" w:space="0" w:color="auto"/>
        <w:right w:val="none" w:sz="0" w:space="0" w:color="auto"/>
      </w:divBdr>
    </w:div>
    <w:div w:id="2035184035">
      <w:bodyDiv w:val="1"/>
      <w:marLeft w:val="0"/>
      <w:marRight w:val="0"/>
      <w:marTop w:val="0"/>
      <w:marBottom w:val="0"/>
      <w:divBdr>
        <w:top w:val="none" w:sz="0" w:space="0" w:color="auto"/>
        <w:left w:val="none" w:sz="0" w:space="0" w:color="auto"/>
        <w:bottom w:val="none" w:sz="0" w:space="0" w:color="auto"/>
        <w:right w:val="none" w:sz="0" w:space="0" w:color="auto"/>
      </w:divBdr>
    </w:div>
    <w:div w:id="2049404578">
      <w:bodyDiv w:val="1"/>
      <w:marLeft w:val="0"/>
      <w:marRight w:val="0"/>
      <w:marTop w:val="0"/>
      <w:marBottom w:val="0"/>
      <w:divBdr>
        <w:top w:val="none" w:sz="0" w:space="0" w:color="auto"/>
        <w:left w:val="none" w:sz="0" w:space="0" w:color="auto"/>
        <w:bottom w:val="none" w:sz="0" w:space="0" w:color="auto"/>
        <w:right w:val="none" w:sz="0" w:space="0" w:color="auto"/>
      </w:divBdr>
    </w:div>
    <w:div w:id="2090880600">
      <w:bodyDiv w:val="1"/>
      <w:marLeft w:val="0"/>
      <w:marRight w:val="0"/>
      <w:marTop w:val="0"/>
      <w:marBottom w:val="0"/>
      <w:divBdr>
        <w:top w:val="none" w:sz="0" w:space="0" w:color="auto"/>
        <w:left w:val="none" w:sz="0" w:space="0" w:color="auto"/>
        <w:bottom w:val="none" w:sz="0" w:space="0" w:color="auto"/>
        <w:right w:val="none" w:sz="0" w:space="0" w:color="auto"/>
      </w:divBdr>
    </w:div>
    <w:div w:id="2127116358">
      <w:bodyDiv w:val="1"/>
      <w:marLeft w:val="0"/>
      <w:marRight w:val="0"/>
      <w:marTop w:val="0"/>
      <w:marBottom w:val="0"/>
      <w:divBdr>
        <w:top w:val="none" w:sz="0" w:space="0" w:color="auto"/>
        <w:left w:val="none" w:sz="0" w:space="0" w:color="auto"/>
        <w:bottom w:val="none" w:sz="0" w:space="0" w:color="auto"/>
        <w:right w:val="none" w:sz="0" w:space="0" w:color="auto"/>
      </w:divBdr>
    </w:div>
    <w:div w:id="213012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a\Downloads\Cleaned_Sales_Transaction.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[Cleaned_Sales_Transaction.xlsx]Sales Trend!PivotTable1</c:name>
    <c:fmtId val="-1"/>
  </c:pivotSource>
  <c:chart>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'Sales Trend'!$B$3</c:f>
              <c:strCache>
                <c:ptCount val="1"/>
                <c:pt idx="0">
                  <c:v>Sum of Total Sales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'Sales Trend'!$A$4:$A$6</c:f>
              <c:strCache>
                <c:ptCount val="2"/>
                <c:pt idx="0">
                  <c:v>Dec-2019</c:v>
                </c:pt>
                <c:pt idx="1">
                  <c:v>Nov-2019</c:v>
                </c:pt>
              </c:strCache>
            </c:strRef>
          </c:cat>
          <c:val>
            <c:numRef>
              <c:f>'Sales Trend'!$B$4:$B$6</c:f>
              <c:numCache>
                <c:formatCode>General</c:formatCode>
                <c:ptCount val="2"/>
                <c:pt idx="0">
                  <c:v>1994715.7399994214</c:v>
                </c:pt>
                <c:pt idx="1">
                  <c:v>2727862.409999765</c:v>
                </c:pt>
              </c:numCache>
            </c:numRef>
          </c:val>
          <c:smooth val="0"/>
          <c:extLst>
            <c:ext xmlns:c16="http://schemas.microsoft.com/office/drawing/2014/chart" uri="{C3380CC4-5D6E-409C-BE32-E72D297353CC}">
              <c16:uniqueId val="{00000000-4CD9-4E4E-B613-14ED3E7C1C45}"/>
            </c:ext>
          </c:extLst>
        </c:ser>
        <c:ser>
          <c:idx val="1"/>
          <c:order val="1"/>
          <c:tx>
            <c:strRef>
              <c:f>'Sales Trend'!$C$3</c:f>
              <c:strCache>
                <c:ptCount val="1"/>
                <c:pt idx="0">
                  <c:v>Average of Total Sales2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'Sales Trend'!$A$4:$A$6</c:f>
              <c:strCache>
                <c:ptCount val="2"/>
                <c:pt idx="0">
                  <c:v>Dec-2019</c:v>
                </c:pt>
                <c:pt idx="1">
                  <c:v>Nov-2019</c:v>
                </c:pt>
              </c:strCache>
            </c:strRef>
          </c:cat>
          <c:val>
            <c:numRef>
              <c:f>'Sales Trend'!$C$4:$C$6</c:f>
              <c:numCache>
                <c:formatCode>General</c:formatCode>
                <c:ptCount val="2"/>
                <c:pt idx="0">
                  <c:v>79.274928066108473</c:v>
                </c:pt>
                <c:pt idx="1">
                  <c:v>68.883674907193381</c:v>
                </c:pt>
              </c:numCache>
            </c:numRef>
          </c:val>
          <c:smooth val="0"/>
          <c:extLst>
            <c:ext xmlns:c16="http://schemas.microsoft.com/office/drawing/2014/chart" uri="{C3380CC4-5D6E-409C-BE32-E72D297353CC}">
              <c16:uniqueId val="{00000001-4CD9-4E4E-B613-14ED3E7C1C45}"/>
            </c:ext>
          </c:extLst>
        </c:ser>
        <c:dLbls>
          <c:dLblPos val="ctr"/>
          <c:showLegendKey val="0"/>
          <c:showVal val="1"/>
          <c:showCatName val="0"/>
          <c:showSerName val="0"/>
          <c:showPercent val="0"/>
          <c:showBubbleSize val="0"/>
        </c:dLbls>
        <c:marker val="1"/>
        <c:smooth val="0"/>
        <c:axId val="610920856"/>
        <c:axId val="610930576"/>
      </c:lineChart>
      <c:catAx>
        <c:axId val="610920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930576"/>
        <c:crosses val="autoZero"/>
        <c:auto val="1"/>
        <c:lblAlgn val="ctr"/>
        <c:lblOffset val="100"/>
        <c:noMultiLvlLbl val="0"/>
      </c:catAx>
      <c:valAx>
        <c:axId val="610930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9208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[Cleaned_Sales_Transaction.xlsx]Product analysis!PivotTable3</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'Product analysis'!$B$3</c:f>
              <c:strCache>
                <c:ptCount val="1"/>
                <c:pt idx="0">
                  <c:v>Total</c:v>
                </c:pt>
              </c:strCache>
            </c:strRef>
          </c:tx>
          <c:spPr>
            <a:solidFill>
              <a:schemeClr val="accent1"/>
            </a:solidFill>
            <a:ln>
              <a:noFill/>
            </a:ln>
            <a:effectLst/>
          </c:spPr>
          <c:invertIfNegative val="0"/>
          <c:cat>
            <c:strRef>
              <c:f>'Product analysis'!$A$4:$A$24</c:f>
              <c:strCache>
                <c:ptCount val="20"/>
                <c:pt idx="0">
                  <c:v>Asstd Design 3d Paper Stickers</c:v>
                </c:pt>
                <c:pt idx="1">
                  <c:v>Rabbit Night Light</c:v>
                </c:pt>
                <c:pt idx="2">
                  <c:v>Popcorn Holder</c:v>
                </c:pt>
                <c:pt idx="3">
                  <c:v>Paper Chain Kit 50'S Christmas</c:v>
                </c:pt>
                <c:pt idx="4">
                  <c:v>Disco Ball Christmas Decoration</c:v>
                </c:pt>
                <c:pt idx="5">
                  <c:v>Wooden Star Christmas Scandinavian</c:v>
                </c:pt>
                <c:pt idx="6">
                  <c:v>Assorted Colour Bird Ornament</c:v>
                </c:pt>
                <c:pt idx="7">
                  <c:v>World War 2 Gliders Asstd Designs</c:v>
                </c:pt>
                <c:pt idx="8">
                  <c:v>Wooden Heart Christmas Scandinavian</c:v>
                </c:pt>
                <c:pt idx="9">
                  <c:v>Vintage Doily Jumbo Bag Red</c:v>
                </c:pt>
                <c:pt idx="10">
                  <c:v>Paper Chain Kit Vintage Christmas</c:v>
                </c:pt>
                <c:pt idx="11">
                  <c:v>Cream Hanging Heart T-Light Holder</c:v>
                </c:pt>
                <c:pt idx="12">
                  <c:v>Rotating Silver Angels T-Light Hldr</c:v>
                </c:pt>
                <c:pt idx="13">
                  <c:v>60 Cake Cases Vintage Christmas</c:v>
                </c:pt>
                <c:pt idx="14">
                  <c:v>Jumbo Bag 50'S Christmas</c:v>
                </c:pt>
                <c:pt idx="15">
                  <c:v>Jumbo Bag Red Retrospot</c:v>
                </c:pt>
                <c:pt idx="16">
                  <c:v>Black Record Cover Frame</c:v>
                </c:pt>
                <c:pt idx="17">
                  <c:v>Charlotte Bag Suki Design</c:v>
                </c:pt>
                <c:pt idx="18">
                  <c:v>Christmas Hanging Star With Bell</c:v>
                </c:pt>
                <c:pt idx="19">
                  <c:v>Red Retrospot Charlotte Bag</c:v>
                </c:pt>
              </c:strCache>
            </c:strRef>
          </c:cat>
          <c:val>
            <c:numRef>
              <c:f>'Product analysis'!$B$4:$B$24</c:f>
              <c:numCache>
                <c:formatCode>General</c:formatCode>
                <c:ptCount val="20"/>
                <c:pt idx="0">
                  <c:v>12632</c:v>
                </c:pt>
                <c:pt idx="1">
                  <c:v>11241</c:v>
                </c:pt>
                <c:pt idx="2">
                  <c:v>11238</c:v>
                </c:pt>
                <c:pt idx="3">
                  <c:v>5494</c:v>
                </c:pt>
                <c:pt idx="4">
                  <c:v>3868</c:v>
                </c:pt>
                <c:pt idx="5">
                  <c:v>3675</c:v>
                </c:pt>
                <c:pt idx="6">
                  <c:v>3254</c:v>
                </c:pt>
                <c:pt idx="7">
                  <c:v>3113</c:v>
                </c:pt>
                <c:pt idx="8">
                  <c:v>3112</c:v>
                </c:pt>
                <c:pt idx="9">
                  <c:v>2728</c:v>
                </c:pt>
                <c:pt idx="10">
                  <c:v>2707</c:v>
                </c:pt>
                <c:pt idx="11">
                  <c:v>2614</c:v>
                </c:pt>
                <c:pt idx="12">
                  <c:v>2609</c:v>
                </c:pt>
                <c:pt idx="13">
                  <c:v>2536</c:v>
                </c:pt>
                <c:pt idx="14">
                  <c:v>2485</c:v>
                </c:pt>
                <c:pt idx="15">
                  <c:v>2484</c:v>
                </c:pt>
                <c:pt idx="16">
                  <c:v>2439</c:v>
                </c:pt>
                <c:pt idx="17">
                  <c:v>2391</c:v>
                </c:pt>
                <c:pt idx="18">
                  <c:v>2188</c:v>
                </c:pt>
                <c:pt idx="19">
                  <c:v>2114</c:v>
                </c:pt>
              </c:numCache>
            </c:numRef>
          </c:val>
          <c:extLst>
            <c:ext xmlns:c16="http://schemas.microsoft.com/office/drawing/2014/chart" uri="{C3380CC4-5D6E-409C-BE32-E72D297353CC}">
              <c16:uniqueId val="{00000000-47BE-4BE8-B071-EA6EB51C304B}"/>
            </c:ext>
          </c:extLst>
        </c:ser>
        <c:dLbls>
          <c:showLegendKey val="0"/>
          <c:showVal val="0"/>
          <c:showCatName val="0"/>
          <c:showSerName val="0"/>
          <c:showPercent val="0"/>
          <c:showBubbleSize val="0"/>
        </c:dLbls>
        <c:gapWidth val="182"/>
        <c:axId val="634016824"/>
        <c:axId val="634024024"/>
      </c:barChart>
      <c:catAx>
        <c:axId val="6340168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24024"/>
        <c:crosses val="autoZero"/>
        <c:auto val="1"/>
        <c:lblAlgn val="ctr"/>
        <c:lblOffset val="100"/>
        <c:noMultiLvlLbl val="0"/>
      </c:catAx>
      <c:valAx>
        <c:axId val="634024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168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[Cleaned_Sales_Transaction.xlsx]Product analysis!PivotTable3</c:name>
    <c:fmtId val="-1"/>
  </c:pivotSource>
  <c:chart>
    <c:title>
      <c:layout>
        <c:manualLayout>
          <c:xMode val="edge"/>
          <c:yMode val="edge"/>
          <c:x val="8.3333333333336483E-4"/>
          <c:y val="0.9063867016622921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
        <c:idx val="21"/>
        <c:spPr>
          <a:solidFill>
            <a:schemeClr val="accent1"/>
          </a:solidFill>
          <a:ln w="19050">
            <a:solidFill>
              <a:schemeClr val="lt1"/>
            </a:solidFill>
          </a:ln>
          <a:effectLst/>
        </c:spPr>
      </c:pivotFmt>
      <c:pivotFmt>
        <c:idx val="22"/>
        <c:spPr>
          <a:solidFill>
            <a:schemeClr val="accent1"/>
          </a:solidFill>
          <a:ln w="19050">
            <a:solidFill>
              <a:schemeClr val="lt1"/>
            </a:solidFill>
          </a:ln>
          <a:effectLst/>
        </c:spPr>
      </c:pivotFmt>
      <c:pivotFmt>
        <c:idx val="23"/>
        <c:spPr>
          <a:solidFill>
            <a:schemeClr val="accent1"/>
          </a:solidFill>
          <a:ln w="19050">
            <a:solidFill>
              <a:schemeClr val="lt1"/>
            </a:solidFill>
          </a:ln>
          <a:effectLst/>
        </c:spPr>
      </c:pivotFmt>
      <c:pivotFmt>
        <c:idx val="24"/>
        <c:spPr>
          <a:solidFill>
            <a:schemeClr val="accent1"/>
          </a:solidFill>
          <a:ln w="19050">
            <a:solidFill>
              <a:schemeClr val="lt1"/>
            </a:solidFill>
          </a:ln>
          <a:effectLst/>
        </c:spPr>
      </c:pivotFmt>
      <c:pivotFmt>
        <c:idx val="25"/>
        <c:spPr>
          <a:solidFill>
            <a:schemeClr val="accent1"/>
          </a:solidFill>
          <a:ln w="19050">
            <a:solidFill>
              <a:schemeClr val="lt1"/>
            </a:solidFill>
          </a:ln>
          <a:effectLst/>
        </c:spPr>
      </c:pivotFmt>
      <c:pivotFmt>
        <c:idx val="26"/>
        <c:spPr>
          <a:solidFill>
            <a:schemeClr val="accent1"/>
          </a:solidFill>
          <a:ln w="19050">
            <a:solidFill>
              <a:schemeClr val="lt1"/>
            </a:solidFill>
          </a:ln>
          <a:effectLst/>
        </c:spPr>
      </c:pivotFmt>
      <c:pivotFmt>
        <c:idx val="27"/>
        <c:spPr>
          <a:solidFill>
            <a:schemeClr val="accent1"/>
          </a:solidFill>
          <a:ln w="19050">
            <a:solidFill>
              <a:schemeClr val="lt1"/>
            </a:solidFill>
          </a:ln>
          <a:effectLst/>
        </c:spPr>
      </c:pivotFmt>
      <c:pivotFmt>
        <c:idx val="28"/>
        <c:spPr>
          <a:solidFill>
            <a:schemeClr val="accent1"/>
          </a:solidFill>
          <a:ln w="19050">
            <a:solidFill>
              <a:schemeClr val="lt1"/>
            </a:solidFill>
          </a:ln>
          <a:effectLst/>
        </c:spPr>
      </c:pivotFmt>
      <c:pivotFmt>
        <c:idx val="29"/>
        <c:spPr>
          <a:solidFill>
            <a:schemeClr val="accent1"/>
          </a:solidFill>
          <a:ln w="19050">
            <a:solidFill>
              <a:schemeClr val="lt1"/>
            </a:solidFill>
          </a:ln>
          <a:effectLst/>
        </c:spPr>
      </c:pivotFmt>
      <c:pivotFmt>
        <c:idx val="30"/>
        <c:spPr>
          <a:solidFill>
            <a:schemeClr val="accent1"/>
          </a:solidFill>
          <a:ln w="19050">
            <a:solidFill>
              <a:schemeClr val="lt1"/>
            </a:solidFill>
          </a:ln>
          <a:effectLst/>
        </c:spPr>
      </c:pivotFmt>
      <c:pivotFmt>
        <c:idx val="31"/>
        <c:spPr>
          <a:solidFill>
            <a:schemeClr val="accent1"/>
          </a:solidFill>
          <a:ln w="19050">
            <a:solidFill>
              <a:schemeClr val="lt1"/>
            </a:solidFill>
          </a:ln>
          <a:effectLst/>
        </c:spPr>
      </c:pivotFmt>
      <c:pivotFmt>
        <c:idx val="32"/>
        <c:spPr>
          <a:solidFill>
            <a:schemeClr val="accent1"/>
          </a:solidFill>
          <a:ln w="19050">
            <a:solidFill>
              <a:schemeClr val="lt1"/>
            </a:solidFill>
          </a:ln>
          <a:effectLst/>
        </c:spPr>
      </c:pivotFmt>
      <c:pivotFmt>
        <c:idx val="33"/>
        <c:spPr>
          <a:solidFill>
            <a:schemeClr val="accent1"/>
          </a:solidFill>
          <a:ln w="19050">
            <a:solidFill>
              <a:schemeClr val="lt1"/>
            </a:solidFill>
          </a:ln>
          <a:effectLst/>
        </c:spPr>
      </c:pivotFmt>
      <c:pivotFmt>
        <c:idx val="34"/>
        <c:spPr>
          <a:solidFill>
            <a:schemeClr val="accent1"/>
          </a:solidFill>
          <a:ln w="19050">
            <a:solidFill>
              <a:schemeClr val="lt1"/>
            </a:solidFill>
          </a:ln>
          <a:effectLst/>
        </c:spPr>
      </c:pivotFmt>
      <c:pivotFmt>
        <c:idx val="35"/>
        <c:spPr>
          <a:solidFill>
            <a:schemeClr val="accent1"/>
          </a:solidFill>
          <a:ln w="19050">
            <a:solidFill>
              <a:schemeClr val="lt1"/>
            </a:solidFill>
          </a:ln>
          <a:effectLst/>
        </c:spPr>
      </c:pivotFmt>
      <c:pivotFmt>
        <c:idx val="36"/>
        <c:spPr>
          <a:solidFill>
            <a:schemeClr val="accent1"/>
          </a:solidFill>
          <a:ln w="19050">
            <a:solidFill>
              <a:schemeClr val="lt1"/>
            </a:solidFill>
          </a:ln>
          <a:effectLst/>
        </c:spPr>
      </c:pivotFmt>
      <c:pivotFmt>
        <c:idx val="37"/>
        <c:spPr>
          <a:solidFill>
            <a:schemeClr val="accent1"/>
          </a:solidFill>
          <a:ln w="19050">
            <a:solidFill>
              <a:schemeClr val="lt1"/>
            </a:solidFill>
          </a:ln>
          <a:effectLst/>
        </c:spPr>
      </c:pivotFmt>
      <c:pivotFmt>
        <c:idx val="38"/>
        <c:spPr>
          <a:solidFill>
            <a:schemeClr val="accent1"/>
          </a:solidFill>
          <a:ln w="19050">
            <a:solidFill>
              <a:schemeClr val="lt1"/>
            </a:solidFill>
          </a:ln>
          <a:effectLst/>
        </c:spPr>
      </c:pivotFmt>
      <c:pivotFmt>
        <c:idx val="39"/>
        <c:spPr>
          <a:solidFill>
            <a:schemeClr val="accent1"/>
          </a:solidFill>
          <a:ln w="19050">
            <a:solidFill>
              <a:schemeClr val="lt1"/>
            </a:solidFill>
          </a:ln>
          <a:effectLst/>
        </c:spPr>
      </c:pivotFmt>
      <c:pivotFmt>
        <c:idx val="40"/>
        <c:spPr>
          <a:solidFill>
            <a:schemeClr val="accent1"/>
          </a:solidFill>
          <a:ln w="19050">
            <a:solidFill>
              <a:schemeClr val="lt1"/>
            </a:solidFill>
          </a:ln>
          <a:effectLst/>
        </c:spPr>
      </c:pivotFmt>
      <c:pivotFmt>
        <c:idx val="41"/>
        <c:spPr>
          <a:solidFill>
            <a:schemeClr val="accent1"/>
          </a:solidFill>
          <a:ln w="19050">
            <a:solidFill>
              <a:schemeClr val="lt1"/>
            </a:solidFill>
          </a:ln>
          <a:effectLst/>
        </c:spPr>
      </c:pivotFmt>
      <c:pivotFmt>
        <c:idx val="42"/>
        <c:spPr>
          <a:solidFill>
            <a:schemeClr val="accent1"/>
          </a:solidFill>
          <a:ln w="19050">
            <a:solidFill>
              <a:schemeClr val="lt1"/>
            </a:solidFill>
          </a:ln>
          <a:effectLst/>
        </c:spPr>
      </c:pivotFmt>
      <c:pivotFmt>
        <c:idx val="43"/>
        <c:spPr>
          <a:solidFill>
            <a:schemeClr val="accent1"/>
          </a:solidFill>
          <a:ln w="19050">
            <a:solidFill>
              <a:schemeClr val="lt1"/>
            </a:solidFill>
          </a:ln>
          <a:effectLst/>
        </c:spPr>
      </c:pivotFmt>
      <c:pivotFmt>
        <c:idx val="44"/>
        <c:spPr>
          <a:solidFill>
            <a:schemeClr val="accent1"/>
          </a:solidFill>
          <a:ln w="19050">
            <a:solidFill>
              <a:schemeClr val="lt1"/>
            </a:solidFill>
          </a:ln>
          <a:effectLst/>
        </c:spPr>
      </c:pivotFmt>
      <c:pivotFmt>
        <c:idx val="45"/>
        <c:spPr>
          <a:solidFill>
            <a:schemeClr val="accent1"/>
          </a:solidFill>
          <a:ln w="19050">
            <a:solidFill>
              <a:schemeClr val="lt1"/>
            </a:solidFill>
          </a:ln>
          <a:effectLst/>
        </c:spPr>
      </c:pivotFmt>
      <c:pivotFmt>
        <c:idx val="46"/>
        <c:spPr>
          <a:solidFill>
            <a:schemeClr val="accent1"/>
          </a:solidFill>
          <a:ln w="19050">
            <a:solidFill>
              <a:schemeClr val="lt1"/>
            </a:solidFill>
          </a:ln>
          <a:effectLst/>
        </c:spPr>
      </c:pivotFmt>
      <c:pivotFmt>
        <c:idx val="47"/>
        <c:spPr>
          <a:solidFill>
            <a:schemeClr val="accent1"/>
          </a:solidFill>
          <a:ln w="19050">
            <a:solidFill>
              <a:schemeClr val="lt1"/>
            </a:solidFill>
          </a:ln>
          <a:effectLst/>
        </c:spPr>
      </c:pivotFmt>
      <c:pivotFmt>
        <c:idx val="48"/>
        <c:spPr>
          <a:solidFill>
            <a:schemeClr val="accent1"/>
          </a:solidFill>
          <a:ln w="19050">
            <a:solidFill>
              <a:schemeClr val="lt1"/>
            </a:solidFill>
          </a:ln>
          <a:effectLst/>
        </c:spPr>
      </c:pivotFmt>
      <c:pivotFmt>
        <c:idx val="49"/>
        <c:spPr>
          <a:solidFill>
            <a:schemeClr val="accent1"/>
          </a:solidFill>
          <a:ln w="19050">
            <a:solidFill>
              <a:schemeClr val="lt1"/>
            </a:solidFill>
          </a:ln>
          <a:effectLst/>
        </c:spPr>
      </c:pivotFmt>
      <c:pivotFmt>
        <c:idx val="50"/>
        <c:spPr>
          <a:solidFill>
            <a:schemeClr val="accent1"/>
          </a:solidFill>
          <a:ln w="19050">
            <a:solidFill>
              <a:schemeClr val="lt1"/>
            </a:solidFill>
          </a:ln>
          <a:effectLst/>
        </c:spPr>
      </c:pivotFmt>
      <c:pivotFmt>
        <c:idx val="51"/>
        <c:spPr>
          <a:solidFill>
            <a:schemeClr val="accent1"/>
          </a:solidFill>
          <a:ln w="19050">
            <a:solidFill>
              <a:schemeClr val="lt1"/>
            </a:solidFill>
          </a:ln>
          <a:effectLst/>
        </c:spPr>
      </c:pivotFmt>
      <c:pivotFmt>
        <c:idx val="52"/>
        <c:spPr>
          <a:solidFill>
            <a:schemeClr val="accent1"/>
          </a:solidFill>
          <a:ln w="19050">
            <a:solidFill>
              <a:schemeClr val="lt1"/>
            </a:solidFill>
          </a:ln>
          <a:effectLst/>
        </c:spPr>
      </c:pivotFmt>
      <c:pivotFmt>
        <c:idx val="53"/>
        <c:spPr>
          <a:solidFill>
            <a:schemeClr val="accent1"/>
          </a:solidFill>
          <a:ln w="19050">
            <a:solidFill>
              <a:schemeClr val="lt1"/>
            </a:solidFill>
          </a:ln>
          <a:effectLst/>
        </c:spPr>
      </c:pivotFmt>
      <c:pivotFmt>
        <c:idx val="54"/>
        <c:spPr>
          <a:solidFill>
            <a:schemeClr val="accent1"/>
          </a:solidFill>
          <a:ln w="19050">
            <a:solidFill>
              <a:schemeClr val="lt1"/>
            </a:solidFill>
          </a:ln>
          <a:effectLst/>
        </c:spPr>
      </c:pivotFmt>
      <c:pivotFmt>
        <c:idx val="55"/>
        <c:spPr>
          <a:solidFill>
            <a:schemeClr val="accent1"/>
          </a:solidFill>
          <a:ln w="19050">
            <a:solidFill>
              <a:schemeClr val="lt1"/>
            </a:solidFill>
          </a:ln>
          <a:effectLst/>
        </c:spPr>
      </c:pivotFmt>
      <c:pivotFmt>
        <c:idx val="56"/>
        <c:spPr>
          <a:solidFill>
            <a:schemeClr val="accent1"/>
          </a:solidFill>
          <a:ln w="19050">
            <a:solidFill>
              <a:schemeClr val="lt1"/>
            </a:solidFill>
          </a:ln>
          <a:effectLst/>
        </c:spPr>
      </c:pivotFmt>
      <c:pivotFmt>
        <c:idx val="57"/>
        <c:spPr>
          <a:solidFill>
            <a:schemeClr val="accent1"/>
          </a:solidFill>
          <a:ln w="19050">
            <a:solidFill>
              <a:schemeClr val="lt1"/>
            </a:solidFill>
          </a:ln>
          <a:effectLst/>
        </c:spPr>
      </c:pivotFmt>
      <c:pivotFmt>
        <c:idx val="58"/>
        <c:spPr>
          <a:solidFill>
            <a:schemeClr val="accent1"/>
          </a:solidFill>
          <a:ln w="19050">
            <a:solidFill>
              <a:schemeClr val="lt1"/>
            </a:solidFill>
          </a:ln>
          <a:effectLst/>
        </c:spPr>
      </c:pivotFmt>
      <c:pivotFmt>
        <c:idx val="59"/>
        <c:spPr>
          <a:solidFill>
            <a:schemeClr val="accent1"/>
          </a:solidFill>
          <a:ln w="19050">
            <a:solidFill>
              <a:schemeClr val="lt1"/>
            </a:solidFill>
          </a:ln>
          <a:effectLst/>
        </c:spPr>
      </c:pivotFmt>
      <c:pivotFmt>
        <c:idx val="60"/>
        <c:spPr>
          <a:solidFill>
            <a:schemeClr val="accent1"/>
          </a:solidFill>
          <a:ln w="19050">
            <a:solidFill>
              <a:schemeClr val="lt1"/>
            </a:solidFill>
          </a:ln>
          <a:effectLst/>
        </c:spPr>
      </c:pivotFmt>
      <c:pivotFmt>
        <c:idx val="61"/>
        <c:spPr>
          <a:solidFill>
            <a:schemeClr val="accent1"/>
          </a:solidFill>
          <a:ln w="19050">
            <a:solidFill>
              <a:schemeClr val="lt1"/>
            </a:solidFill>
          </a:ln>
          <a:effectLst/>
        </c:spPr>
      </c:pivotFmt>
      <c:pivotFmt>
        <c:idx val="62"/>
        <c:spPr>
          <a:solidFill>
            <a:schemeClr val="accent1"/>
          </a:solidFill>
          <a:ln w="19050">
            <a:solidFill>
              <a:schemeClr val="lt1"/>
            </a:solidFill>
          </a:ln>
          <a:effectLst/>
        </c:spPr>
      </c:pivotFmt>
      <c:pivotFmt>
        <c:idx val="63"/>
        <c:spPr>
          <a:solidFill>
            <a:schemeClr val="accent1"/>
          </a:solidFill>
          <a:ln w="19050">
            <a:solidFill>
              <a:schemeClr val="lt1"/>
            </a:solidFill>
          </a:ln>
          <a:effectLst/>
        </c:spPr>
      </c:pivotFmt>
      <c:pivotFmt>
        <c:idx val="64"/>
        <c:spPr>
          <a:solidFill>
            <a:schemeClr val="accent1"/>
          </a:solidFill>
          <a:ln w="19050">
            <a:solidFill>
              <a:schemeClr val="lt1"/>
            </a:solidFill>
          </a:ln>
          <a:effectLst/>
        </c:spPr>
      </c:pivotFmt>
      <c:pivotFmt>
        <c:idx val="65"/>
        <c:spPr>
          <a:solidFill>
            <a:schemeClr val="accent1"/>
          </a:solidFill>
          <a:ln w="19050">
            <a:solidFill>
              <a:schemeClr val="lt1"/>
            </a:solidFill>
          </a:ln>
          <a:effectLst/>
        </c:spPr>
      </c:pivotFmt>
      <c:pivotFmt>
        <c:idx val="66"/>
        <c:spPr>
          <a:solidFill>
            <a:schemeClr val="accent1"/>
          </a:solidFill>
          <a:ln w="19050">
            <a:solidFill>
              <a:schemeClr val="lt1"/>
            </a:solidFill>
          </a:ln>
          <a:effectLst/>
        </c:spPr>
      </c:pivotFmt>
      <c:pivotFmt>
        <c:idx val="67"/>
        <c:spPr>
          <a:solidFill>
            <a:schemeClr val="accent1"/>
          </a:solidFill>
          <a:ln w="19050">
            <a:solidFill>
              <a:schemeClr val="lt1"/>
            </a:solidFill>
          </a:ln>
          <a:effectLst/>
        </c:spPr>
      </c:pivotFmt>
      <c:pivotFmt>
        <c:idx val="68"/>
        <c:spPr>
          <a:solidFill>
            <a:schemeClr val="accent1"/>
          </a:solidFill>
          <a:ln w="19050">
            <a:solidFill>
              <a:schemeClr val="lt1"/>
            </a:solidFill>
          </a:ln>
          <a:effectLst/>
        </c:spPr>
      </c:pivotFmt>
      <c:pivotFmt>
        <c:idx val="69"/>
        <c:spPr>
          <a:solidFill>
            <a:schemeClr val="accent1"/>
          </a:solidFill>
          <a:ln w="19050">
            <a:solidFill>
              <a:schemeClr val="lt1"/>
            </a:solidFill>
          </a:ln>
          <a:effectLst/>
        </c:spPr>
      </c:pivotFmt>
      <c:pivotFmt>
        <c:idx val="70"/>
        <c:spPr>
          <a:solidFill>
            <a:schemeClr val="accent1"/>
          </a:solidFill>
          <a:ln w="19050">
            <a:solidFill>
              <a:schemeClr val="lt1"/>
            </a:solidFill>
          </a:ln>
          <a:effectLst/>
        </c:spPr>
      </c:pivotFmt>
      <c:pivotFmt>
        <c:idx val="71"/>
        <c:spPr>
          <a:solidFill>
            <a:schemeClr val="accent1"/>
          </a:solidFill>
          <a:ln w="19050">
            <a:solidFill>
              <a:schemeClr val="lt1"/>
            </a:solidFill>
          </a:ln>
          <a:effectLst/>
        </c:spPr>
      </c:pivotFmt>
      <c:pivotFmt>
        <c:idx val="72"/>
        <c:spPr>
          <a:solidFill>
            <a:schemeClr val="accent1"/>
          </a:solidFill>
          <a:ln w="19050">
            <a:solidFill>
              <a:schemeClr val="lt1"/>
            </a:solidFill>
          </a:ln>
          <a:effectLst/>
        </c:spPr>
      </c:pivotFmt>
      <c:pivotFmt>
        <c:idx val="73"/>
        <c:spPr>
          <a:solidFill>
            <a:schemeClr val="accent1"/>
          </a:solidFill>
          <a:ln w="19050">
            <a:solidFill>
              <a:schemeClr val="lt1"/>
            </a:solidFill>
          </a:ln>
          <a:effectLst/>
        </c:spPr>
      </c:pivotFmt>
      <c:pivotFmt>
        <c:idx val="74"/>
        <c:spPr>
          <a:solidFill>
            <a:schemeClr val="accent1"/>
          </a:solidFill>
          <a:ln w="19050">
            <a:solidFill>
              <a:schemeClr val="lt1"/>
            </a:solidFill>
          </a:ln>
          <a:effectLst/>
        </c:spPr>
      </c:pivotFmt>
      <c:pivotFmt>
        <c:idx val="75"/>
        <c:spPr>
          <a:solidFill>
            <a:schemeClr val="accent1"/>
          </a:solidFill>
          <a:ln w="19050">
            <a:solidFill>
              <a:schemeClr val="lt1"/>
            </a:solidFill>
          </a:ln>
          <a:effectLst/>
        </c:spPr>
      </c:pivotFmt>
      <c:pivotFmt>
        <c:idx val="76"/>
        <c:spPr>
          <a:solidFill>
            <a:schemeClr val="accent1"/>
          </a:solidFill>
          <a:ln w="19050">
            <a:solidFill>
              <a:schemeClr val="lt1"/>
            </a:solidFill>
          </a:ln>
          <a:effectLst/>
        </c:spPr>
      </c:pivotFmt>
      <c:pivotFmt>
        <c:idx val="77"/>
        <c:spPr>
          <a:solidFill>
            <a:schemeClr val="accent1"/>
          </a:solidFill>
          <a:ln w="19050">
            <a:solidFill>
              <a:schemeClr val="lt1"/>
            </a:solidFill>
          </a:ln>
          <a:effectLst/>
        </c:spPr>
      </c:pivotFmt>
      <c:pivotFmt>
        <c:idx val="78"/>
        <c:spPr>
          <a:solidFill>
            <a:schemeClr val="accent1"/>
          </a:solidFill>
          <a:ln w="19050">
            <a:solidFill>
              <a:schemeClr val="lt1"/>
            </a:solidFill>
          </a:ln>
          <a:effectLst/>
        </c:spPr>
      </c:pivotFmt>
      <c:pivotFmt>
        <c:idx val="79"/>
        <c:spPr>
          <a:solidFill>
            <a:schemeClr val="accent1"/>
          </a:solidFill>
          <a:ln w="19050">
            <a:solidFill>
              <a:schemeClr val="lt1"/>
            </a:solidFill>
          </a:ln>
          <a:effectLst/>
        </c:spPr>
      </c:pivotFmt>
      <c:pivotFmt>
        <c:idx val="80"/>
        <c:spPr>
          <a:solidFill>
            <a:schemeClr val="accent1"/>
          </a:solidFill>
          <a:ln w="19050">
            <a:solidFill>
              <a:schemeClr val="lt1"/>
            </a:solidFill>
          </a:ln>
          <a:effectLst/>
        </c:spPr>
      </c:pivotFmt>
      <c:pivotFmt>
        <c:idx val="81"/>
        <c:spPr>
          <a:solidFill>
            <a:schemeClr val="accent1"/>
          </a:solidFill>
          <a:ln w="19050">
            <a:solidFill>
              <a:schemeClr val="lt1"/>
            </a:solidFill>
          </a:ln>
          <a:effectLst/>
        </c:spPr>
      </c:pivotFmt>
      <c:pivotFmt>
        <c:idx val="82"/>
        <c:spPr>
          <a:solidFill>
            <a:schemeClr val="accent1"/>
          </a:solidFill>
          <a:ln w="19050">
            <a:solidFill>
              <a:schemeClr val="lt1"/>
            </a:solidFill>
          </a:ln>
          <a:effectLst/>
        </c:spPr>
      </c:pivotFmt>
      <c:pivotFmt>
        <c:idx val="83"/>
        <c:spPr>
          <a:solidFill>
            <a:schemeClr val="accent1"/>
          </a:solidFill>
          <a:ln w="19050">
            <a:solidFill>
              <a:schemeClr val="lt1"/>
            </a:solidFill>
          </a:ln>
          <a:effectLst/>
        </c:spPr>
      </c:pivotFmt>
      <c:pivotFmt>
        <c:idx val="84"/>
        <c:spPr>
          <a:solidFill>
            <a:schemeClr val="accent1"/>
          </a:solidFill>
          <a:ln w="19050">
            <a:solidFill>
              <a:schemeClr val="lt1"/>
            </a:solidFill>
          </a:ln>
          <a:effectLst/>
        </c:spPr>
      </c:pivotFmt>
      <c:pivotFmt>
        <c:idx val="85"/>
        <c:spPr>
          <a:solidFill>
            <a:schemeClr val="accent1"/>
          </a:solidFill>
          <a:ln w="19050">
            <a:solidFill>
              <a:schemeClr val="lt1"/>
            </a:solidFill>
          </a:ln>
          <a:effectLst/>
        </c:spPr>
      </c:pivotFmt>
      <c:pivotFmt>
        <c:idx val="86"/>
        <c:spPr>
          <a:solidFill>
            <a:schemeClr val="accent1"/>
          </a:solidFill>
          <a:ln w="19050">
            <a:solidFill>
              <a:schemeClr val="lt1"/>
            </a:solidFill>
          </a:ln>
          <a:effectLst/>
        </c:spPr>
      </c:pivotFmt>
      <c:pivotFmt>
        <c:idx val="87"/>
        <c:spPr>
          <a:solidFill>
            <a:schemeClr val="accent1"/>
          </a:solidFill>
          <a:ln w="19050">
            <a:solidFill>
              <a:schemeClr val="lt1"/>
            </a:solidFill>
          </a:ln>
          <a:effectLst/>
        </c:spPr>
      </c:pivotFmt>
      <c:pivotFmt>
        <c:idx val="88"/>
        <c:spPr>
          <a:solidFill>
            <a:schemeClr val="accent1"/>
          </a:solidFill>
          <a:ln w="19050">
            <a:solidFill>
              <a:schemeClr val="lt1"/>
            </a:solidFill>
          </a:ln>
          <a:effectLst/>
        </c:spPr>
      </c:pivotFmt>
      <c:pivotFmt>
        <c:idx val="89"/>
        <c:spPr>
          <a:solidFill>
            <a:schemeClr val="accent1"/>
          </a:solidFill>
          <a:ln w="19050">
            <a:solidFill>
              <a:schemeClr val="lt1"/>
            </a:solidFill>
          </a:ln>
          <a:effectLst/>
        </c:spPr>
      </c:pivotFmt>
      <c:pivotFmt>
        <c:idx val="90"/>
        <c:spPr>
          <a:solidFill>
            <a:schemeClr val="accent1"/>
          </a:solidFill>
          <a:ln w="19050">
            <a:solidFill>
              <a:schemeClr val="lt1"/>
            </a:solidFill>
          </a:ln>
          <a:effectLst/>
        </c:spPr>
      </c:pivotFmt>
      <c:pivotFmt>
        <c:idx val="91"/>
        <c:spPr>
          <a:solidFill>
            <a:schemeClr val="accent1"/>
          </a:solidFill>
          <a:ln w="19050">
            <a:solidFill>
              <a:schemeClr val="lt1"/>
            </a:solidFill>
          </a:ln>
          <a:effectLst/>
        </c:spPr>
      </c:pivotFmt>
      <c:pivotFmt>
        <c:idx val="92"/>
        <c:spPr>
          <a:solidFill>
            <a:schemeClr val="accent1"/>
          </a:solidFill>
          <a:ln w="19050">
            <a:solidFill>
              <a:schemeClr val="lt1"/>
            </a:solidFill>
          </a:ln>
          <a:effectLst/>
        </c:spPr>
      </c:pivotFmt>
      <c:pivotFmt>
        <c:idx val="93"/>
        <c:spPr>
          <a:solidFill>
            <a:schemeClr val="accent1"/>
          </a:solidFill>
          <a:ln w="19050">
            <a:solidFill>
              <a:schemeClr val="lt1"/>
            </a:solidFill>
          </a:ln>
          <a:effectLst/>
        </c:spPr>
      </c:pivotFmt>
      <c:pivotFmt>
        <c:idx val="94"/>
        <c:spPr>
          <a:solidFill>
            <a:schemeClr val="accent1"/>
          </a:solidFill>
          <a:ln w="19050">
            <a:solidFill>
              <a:schemeClr val="lt1"/>
            </a:solidFill>
          </a:ln>
          <a:effectLst/>
        </c:spPr>
      </c:pivotFmt>
      <c:pivotFmt>
        <c:idx val="95"/>
        <c:spPr>
          <a:solidFill>
            <a:schemeClr val="accent1"/>
          </a:solidFill>
          <a:ln w="19050">
            <a:solidFill>
              <a:schemeClr val="lt1"/>
            </a:solidFill>
          </a:ln>
          <a:effectLst/>
        </c:spPr>
      </c:pivotFmt>
      <c:pivotFmt>
        <c:idx val="96"/>
        <c:spPr>
          <a:solidFill>
            <a:schemeClr val="accent1"/>
          </a:solidFill>
          <a:ln w="19050">
            <a:solidFill>
              <a:schemeClr val="lt1"/>
            </a:solidFill>
          </a:ln>
          <a:effectLst/>
        </c:spPr>
      </c:pivotFmt>
      <c:pivotFmt>
        <c:idx val="97"/>
        <c:spPr>
          <a:solidFill>
            <a:schemeClr val="accent1"/>
          </a:solidFill>
          <a:ln w="19050">
            <a:solidFill>
              <a:schemeClr val="lt1"/>
            </a:solidFill>
          </a:ln>
          <a:effectLst/>
        </c:spPr>
      </c:pivotFmt>
      <c:pivotFmt>
        <c:idx val="98"/>
        <c:spPr>
          <a:solidFill>
            <a:schemeClr val="accent1"/>
          </a:solidFill>
          <a:ln w="19050">
            <a:solidFill>
              <a:schemeClr val="lt1"/>
            </a:solidFill>
          </a:ln>
          <a:effectLst/>
        </c:spPr>
      </c:pivotFmt>
      <c:pivotFmt>
        <c:idx val="99"/>
        <c:spPr>
          <a:solidFill>
            <a:schemeClr val="accent1"/>
          </a:solidFill>
          <a:ln w="19050">
            <a:solidFill>
              <a:schemeClr val="lt1"/>
            </a:solidFill>
          </a:ln>
          <a:effectLst/>
        </c:spPr>
      </c:pivotFmt>
      <c:pivotFmt>
        <c:idx val="100"/>
        <c:spPr>
          <a:solidFill>
            <a:schemeClr val="accent1"/>
          </a:solidFill>
          <a:ln w="19050">
            <a:solidFill>
              <a:schemeClr val="lt1"/>
            </a:solidFill>
          </a:ln>
          <a:effectLst/>
        </c:spPr>
      </c:pivotFmt>
      <c:pivotFmt>
        <c:idx val="101"/>
        <c:spPr>
          <a:solidFill>
            <a:schemeClr val="accent1"/>
          </a:solidFill>
          <a:ln w="19050">
            <a:solidFill>
              <a:schemeClr val="lt1"/>
            </a:solidFill>
          </a:ln>
          <a:effectLst/>
        </c:spPr>
      </c:pivotFmt>
      <c:pivotFmt>
        <c:idx val="102"/>
        <c:spPr>
          <a:solidFill>
            <a:schemeClr val="accent1"/>
          </a:solidFill>
          <a:ln w="19050">
            <a:solidFill>
              <a:schemeClr val="lt1"/>
            </a:solidFill>
          </a:ln>
          <a:effectLst/>
        </c:spPr>
      </c:pivotFmt>
      <c:pivotFmt>
        <c:idx val="103"/>
        <c:spPr>
          <a:solidFill>
            <a:schemeClr val="accent1"/>
          </a:solidFill>
          <a:ln w="19050">
            <a:solidFill>
              <a:schemeClr val="lt1"/>
            </a:solidFill>
          </a:ln>
          <a:effectLst/>
        </c:spPr>
      </c:pivotFmt>
      <c:pivotFmt>
        <c:idx val="104"/>
        <c:spPr>
          <a:solidFill>
            <a:schemeClr val="accent1"/>
          </a:solidFill>
          <a:ln w="19050">
            <a:solidFill>
              <a:schemeClr val="lt1"/>
            </a:solidFill>
          </a:ln>
          <a:effectLst/>
        </c:spPr>
      </c:pivotFmt>
      <c:pivotFmt>
        <c:idx val="105"/>
        <c:spPr>
          <a:solidFill>
            <a:schemeClr val="accent1"/>
          </a:solidFill>
          <a:ln w="19050">
            <a:solidFill>
              <a:schemeClr val="lt1"/>
            </a:solidFill>
          </a:ln>
          <a:effectLst/>
        </c:spPr>
      </c:pivotFmt>
      <c:pivotFmt>
        <c:idx val="106"/>
        <c:spPr>
          <a:solidFill>
            <a:schemeClr val="accent1"/>
          </a:solidFill>
          <a:ln w="19050">
            <a:solidFill>
              <a:schemeClr val="lt1"/>
            </a:solidFill>
          </a:ln>
          <a:effectLst/>
        </c:spPr>
      </c:pivotFmt>
      <c:pivotFmt>
        <c:idx val="107"/>
        <c:spPr>
          <a:solidFill>
            <a:schemeClr val="accent1"/>
          </a:solidFill>
          <a:ln w="19050">
            <a:solidFill>
              <a:schemeClr val="lt1"/>
            </a:solidFill>
          </a:ln>
          <a:effectLst/>
        </c:spPr>
      </c:pivotFmt>
      <c:pivotFmt>
        <c:idx val="108"/>
        <c:spPr>
          <a:solidFill>
            <a:schemeClr val="accent1"/>
          </a:solidFill>
          <a:ln w="19050">
            <a:solidFill>
              <a:schemeClr val="lt1"/>
            </a:solidFill>
          </a:ln>
          <a:effectLst/>
        </c:spPr>
      </c:pivotFmt>
      <c:pivotFmt>
        <c:idx val="109"/>
        <c:spPr>
          <a:solidFill>
            <a:schemeClr val="accent1"/>
          </a:solidFill>
          <a:ln w="19050">
            <a:solidFill>
              <a:schemeClr val="lt1"/>
            </a:solidFill>
          </a:ln>
          <a:effectLst/>
        </c:spPr>
      </c:pivotFmt>
      <c:pivotFmt>
        <c:idx val="110"/>
        <c:spPr>
          <a:solidFill>
            <a:schemeClr val="accent1"/>
          </a:solidFill>
          <a:ln w="19050">
            <a:solidFill>
              <a:schemeClr val="lt1"/>
            </a:solidFill>
          </a:ln>
          <a:effectLst/>
        </c:spPr>
      </c:pivotFmt>
      <c:pivotFmt>
        <c:idx val="111"/>
        <c:spPr>
          <a:solidFill>
            <a:schemeClr val="accent1"/>
          </a:solidFill>
          <a:ln w="19050">
            <a:solidFill>
              <a:schemeClr val="lt1"/>
            </a:solidFill>
          </a:ln>
          <a:effectLst/>
        </c:spPr>
      </c:pivotFmt>
      <c:pivotFmt>
        <c:idx val="112"/>
        <c:spPr>
          <a:solidFill>
            <a:schemeClr val="accent1"/>
          </a:solidFill>
          <a:ln w="19050">
            <a:solidFill>
              <a:schemeClr val="lt1"/>
            </a:solidFill>
          </a:ln>
          <a:effectLst/>
        </c:spPr>
      </c:pivotFmt>
      <c:pivotFmt>
        <c:idx val="113"/>
        <c:spPr>
          <a:solidFill>
            <a:schemeClr val="accent1"/>
          </a:solidFill>
          <a:ln w="19050">
            <a:solidFill>
              <a:schemeClr val="lt1"/>
            </a:solidFill>
          </a:ln>
          <a:effectLst/>
        </c:spPr>
      </c:pivotFmt>
      <c:pivotFmt>
        <c:idx val="114"/>
        <c:spPr>
          <a:solidFill>
            <a:schemeClr val="accent1"/>
          </a:solidFill>
          <a:ln w="19050">
            <a:solidFill>
              <a:schemeClr val="lt1"/>
            </a:solidFill>
          </a:ln>
          <a:effectLst/>
        </c:spPr>
      </c:pivotFmt>
      <c:pivotFmt>
        <c:idx val="115"/>
        <c:spPr>
          <a:solidFill>
            <a:schemeClr val="accent1"/>
          </a:solidFill>
          <a:ln w="19050">
            <a:solidFill>
              <a:schemeClr val="lt1"/>
            </a:solidFill>
          </a:ln>
          <a:effectLst/>
        </c:spPr>
      </c:pivotFmt>
      <c:pivotFmt>
        <c:idx val="116"/>
        <c:spPr>
          <a:solidFill>
            <a:schemeClr val="accent1"/>
          </a:solidFill>
          <a:ln w="19050">
            <a:solidFill>
              <a:schemeClr val="lt1"/>
            </a:solidFill>
          </a:ln>
          <a:effectLst/>
        </c:spPr>
      </c:pivotFmt>
      <c:pivotFmt>
        <c:idx val="117"/>
        <c:spPr>
          <a:solidFill>
            <a:schemeClr val="accent1"/>
          </a:solidFill>
          <a:ln w="19050">
            <a:solidFill>
              <a:schemeClr val="lt1"/>
            </a:solidFill>
          </a:ln>
          <a:effectLst/>
        </c:spPr>
      </c:pivotFmt>
      <c:pivotFmt>
        <c:idx val="118"/>
        <c:spPr>
          <a:solidFill>
            <a:schemeClr val="accent1"/>
          </a:solidFill>
          <a:ln w="19050">
            <a:solidFill>
              <a:schemeClr val="lt1"/>
            </a:solidFill>
          </a:ln>
          <a:effectLst/>
        </c:spPr>
      </c:pivotFmt>
      <c:pivotFmt>
        <c:idx val="119"/>
        <c:spPr>
          <a:solidFill>
            <a:schemeClr val="accent1"/>
          </a:solidFill>
          <a:ln w="19050">
            <a:solidFill>
              <a:schemeClr val="lt1"/>
            </a:solidFill>
          </a:ln>
          <a:effectLst/>
        </c:spPr>
      </c:pivotFmt>
      <c:pivotFmt>
        <c:idx val="120"/>
        <c:spPr>
          <a:solidFill>
            <a:schemeClr val="accent1"/>
          </a:solidFill>
          <a:ln w="19050">
            <a:solidFill>
              <a:schemeClr val="lt1"/>
            </a:solidFill>
          </a:ln>
          <a:effectLst/>
        </c:spPr>
      </c:pivotFmt>
      <c:pivotFmt>
        <c:idx val="121"/>
        <c:spPr>
          <a:solidFill>
            <a:schemeClr val="accent1"/>
          </a:solidFill>
          <a:ln w="19050">
            <a:solidFill>
              <a:schemeClr val="lt1"/>
            </a:solidFill>
          </a:ln>
          <a:effectLst/>
        </c:spPr>
      </c:pivotFmt>
      <c:pivotFmt>
        <c:idx val="122"/>
        <c:spPr>
          <a:solidFill>
            <a:schemeClr val="accent1"/>
          </a:solidFill>
          <a:ln w="19050">
            <a:solidFill>
              <a:schemeClr val="lt1"/>
            </a:solidFill>
          </a:ln>
          <a:effectLst/>
        </c:spPr>
      </c:pivotFmt>
      <c:pivotFmt>
        <c:idx val="123"/>
        <c:spPr>
          <a:solidFill>
            <a:schemeClr val="accent1"/>
          </a:solidFill>
          <a:ln w="19050">
            <a:solidFill>
              <a:schemeClr val="lt1"/>
            </a:solidFill>
          </a:ln>
          <a:effectLst/>
        </c:spPr>
      </c:pivotFmt>
      <c:pivotFmt>
        <c:idx val="124"/>
        <c:spPr>
          <a:solidFill>
            <a:schemeClr val="accent1"/>
          </a:solidFill>
          <a:ln w="19050">
            <a:solidFill>
              <a:schemeClr val="lt1"/>
            </a:solidFill>
          </a:ln>
          <a:effectLst/>
        </c:spPr>
      </c:pivotFmt>
      <c:pivotFmt>
        <c:idx val="125"/>
        <c:spPr>
          <a:solidFill>
            <a:schemeClr val="accent1"/>
          </a:solidFill>
          <a:ln w="19050">
            <a:solidFill>
              <a:schemeClr val="lt1"/>
            </a:solidFill>
          </a:ln>
          <a:effectLst/>
        </c:spPr>
      </c:pivotFmt>
      <c:pivotFmt>
        <c:idx val="126"/>
        <c:spPr>
          <a:solidFill>
            <a:schemeClr val="accent1"/>
          </a:solidFill>
          <a:ln w="19050">
            <a:solidFill>
              <a:schemeClr val="lt1"/>
            </a:solidFill>
          </a:ln>
          <a:effectLst/>
        </c:spPr>
      </c:pivotFmt>
      <c:pivotFmt>
        <c:idx val="127"/>
        <c:spPr>
          <a:solidFill>
            <a:schemeClr val="accent1"/>
          </a:solidFill>
          <a:ln w="19050">
            <a:solidFill>
              <a:schemeClr val="lt1"/>
            </a:solidFill>
          </a:ln>
          <a:effectLst/>
        </c:spPr>
      </c:pivotFmt>
      <c:pivotFmt>
        <c:idx val="128"/>
        <c:spPr>
          <a:solidFill>
            <a:schemeClr val="accent1"/>
          </a:solidFill>
          <a:ln w="19050">
            <a:solidFill>
              <a:schemeClr val="lt1"/>
            </a:solidFill>
          </a:ln>
          <a:effectLst/>
        </c:spPr>
      </c:pivotFmt>
      <c:pivotFmt>
        <c:idx val="129"/>
        <c:spPr>
          <a:solidFill>
            <a:schemeClr val="accent1"/>
          </a:solidFill>
          <a:ln w="19050">
            <a:solidFill>
              <a:schemeClr val="lt1"/>
            </a:solidFill>
          </a:ln>
          <a:effectLst/>
        </c:spPr>
      </c:pivotFmt>
      <c:pivotFmt>
        <c:idx val="130"/>
        <c:spPr>
          <a:solidFill>
            <a:schemeClr val="accent1"/>
          </a:solidFill>
          <a:ln w="19050">
            <a:solidFill>
              <a:schemeClr val="lt1"/>
            </a:solidFill>
          </a:ln>
          <a:effectLst/>
        </c:spPr>
      </c:pivotFmt>
      <c:pivotFmt>
        <c:idx val="131"/>
        <c:spPr>
          <a:solidFill>
            <a:schemeClr val="accent1"/>
          </a:solidFill>
          <a:ln w="19050">
            <a:solidFill>
              <a:schemeClr val="lt1"/>
            </a:solidFill>
          </a:ln>
          <a:effectLst/>
        </c:spPr>
      </c:pivotFmt>
      <c:pivotFmt>
        <c:idx val="132"/>
        <c:spPr>
          <a:solidFill>
            <a:schemeClr val="accent1"/>
          </a:solidFill>
          <a:ln w="19050">
            <a:solidFill>
              <a:schemeClr val="lt1"/>
            </a:solidFill>
          </a:ln>
          <a:effectLst/>
        </c:spPr>
      </c:pivotFmt>
      <c:pivotFmt>
        <c:idx val="133"/>
        <c:spPr>
          <a:solidFill>
            <a:schemeClr val="accent1"/>
          </a:solidFill>
          <a:ln w="19050">
            <a:solidFill>
              <a:schemeClr val="lt1"/>
            </a:solidFill>
          </a:ln>
          <a:effectLst/>
        </c:spPr>
      </c:pivotFmt>
      <c:pivotFmt>
        <c:idx val="134"/>
        <c:spPr>
          <a:solidFill>
            <a:schemeClr val="accent1"/>
          </a:solidFill>
          <a:ln w="19050">
            <a:solidFill>
              <a:schemeClr val="lt1"/>
            </a:solidFill>
          </a:ln>
          <a:effectLst/>
        </c:spPr>
      </c:pivotFmt>
      <c:pivotFmt>
        <c:idx val="135"/>
        <c:spPr>
          <a:solidFill>
            <a:schemeClr val="accent1"/>
          </a:solidFill>
          <a:ln w="19050">
            <a:solidFill>
              <a:schemeClr val="lt1"/>
            </a:solidFill>
          </a:ln>
          <a:effectLst/>
        </c:spPr>
      </c:pivotFmt>
      <c:pivotFmt>
        <c:idx val="136"/>
        <c:spPr>
          <a:solidFill>
            <a:schemeClr val="accent1"/>
          </a:solidFill>
          <a:ln w="19050">
            <a:solidFill>
              <a:schemeClr val="lt1"/>
            </a:solidFill>
          </a:ln>
          <a:effectLst/>
        </c:spPr>
      </c:pivotFmt>
      <c:pivotFmt>
        <c:idx val="137"/>
        <c:spPr>
          <a:solidFill>
            <a:schemeClr val="accent1"/>
          </a:solidFill>
          <a:ln w="19050">
            <a:solidFill>
              <a:schemeClr val="lt1"/>
            </a:solidFill>
          </a:ln>
          <a:effectLst/>
        </c:spPr>
      </c:pivotFmt>
      <c:pivotFmt>
        <c:idx val="138"/>
        <c:spPr>
          <a:solidFill>
            <a:schemeClr val="accent1"/>
          </a:solidFill>
          <a:ln w="19050">
            <a:solidFill>
              <a:schemeClr val="lt1"/>
            </a:solidFill>
          </a:ln>
          <a:effectLst/>
        </c:spPr>
      </c:pivotFmt>
      <c:pivotFmt>
        <c:idx val="139"/>
        <c:spPr>
          <a:solidFill>
            <a:schemeClr val="accent1"/>
          </a:solidFill>
          <a:ln w="19050">
            <a:solidFill>
              <a:schemeClr val="lt1"/>
            </a:solidFill>
          </a:ln>
          <a:effectLst/>
        </c:spPr>
      </c:pivotFmt>
      <c:pivotFmt>
        <c:idx val="140"/>
        <c:spPr>
          <a:solidFill>
            <a:schemeClr val="accent1"/>
          </a:solidFill>
          <a:ln w="19050">
            <a:solidFill>
              <a:schemeClr val="lt1"/>
            </a:solidFill>
          </a:ln>
          <a:effectLst/>
        </c:spPr>
      </c:pivotFmt>
      <c:pivotFmt>
        <c:idx val="141"/>
        <c:spPr>
          <a:solidFill>
            <a:schemeClr val="accent1"/>
          </a:solidFill>
          <a:ln w="19050">
            <a:solidFill>
              <a:schemeClr val="lt1"/>
            </a:solidFill>
          </a:ln>
          <a:effectLst/>
        </c:spPr>
      </c:pivotFmt>
      <c:pivotFmt>
        <c:idx val="142"/>
        <c:spPr>
          <a:solidFill>
            <a:schemeClr val="accent1"/>
          </a:solidFill>
          <a:ln w="19050">
            <a:solidFill>
              <a:schemeClr val="lt1"/>
            </a:solidFill>
          </a:ln>
          <a:effectLst/>
        </c:spPr>
      </c:pivotFmt>
      <c:pivotFmt>
        <c:idx val="143"/>
        <c:spPr>
          <a:solidFill>
            <a:schemeClr val="accent1"/>
          </a:solidFill>
          <a:ln w="19050">
            <a:solidFill>
              <a:schemeClr val="lt1"/>
            </a:solidFill>
          </a:ln>
          <a:effectLst/>
        </c:spPr>
      </c:pivotFmt>
      <c:pivotFmt>
        <c:idx val="144"/>
        <c:spPr>
          <a:solidFill>
            <a:schemeClr val="accent1"/>
          </a:solidFill>
          <a:ln w="19050">
            <a:solidFill>
              <a:schemeClr val="lt1"/>
            </a:solidFill>
          </a:ln>
          <a:effectLst/>
        </c:spPr>
      </c:pivotFmt>
      <c:pivotFmt>
        <c:idx val="145"/>
        <c:spPr>
          <a:solidFill>
            <a:schemeClr val="accent1"/>
          </a:solidFill>
          <a:ln w="19050">
            <a:solidFill>
              <a:schemeClr val="lt1"/>
            </a:solidFill>
          </a:ln>
          <a:effectLst/>
        </c:spPr>
      </c:pivotFmt>
      <c:pivotFmt>
        <c:idx val="146"/>
        <c:spPr>
          <a:solidFill>
            <a:schemeClr val="accent1"/>
          </a:solidFill>
          <a:ln w="19050">
            <a:solidFill>
              <a:schemeClr val="lt1"/>
            </a:solidFill>
          </a:ln>
          <a:effectLst/>
        </c:spPr>
      </c:pivotFmt>
      <c:pivotFmt>
        <c:idx val="147"/>
        <c:spPr>
          <a:solidFill>
            <a:schemeClr val="accent1"/>
          </a:solidFill>
          <a:ln w="19050">
            <a:solidFill>
              <a:schemeClr val="lt1"/>
            </a:solidFill>
          </a:ln>
          <a:effectLst/>
        </c:spPr>
      </c:pivotFmt>
      <c:pivotFmt>
        <c:idx val="148"/>
        <c:spPr>
          <a:solidFill>
            <a:schemeClr val="accent1"/>
          </a:solidFill>
          <a:ln w="19050">
            <a:solidFill>
              <a:schemeClr val="lt1"/>
            </a:solidFill>
          </a:ln>
          <a:effectLst/>
        </c:spPr>
      </c:pivotFmt>
      <c:pivotFmt>
        <c:idx val="149"/>
        <c:spPr>
          <a:solidFill>
            <a:schemeClr val="accent1"/>
          </a:solidFill>
          <a:ln w="19050">
            <a:solidFill>
              <a:schemeClr val="lt1"/>
            </a:solidFill>
          </a:ln>
          <a:effectLst/>
        </c:spPr>
      </c:pivotFmt>
      <c:pivotFmt>
        <c:idx val="150"/>
        <c:spPr>
          <a:solidFill>
            <a:schemeClr val="accent1"/>
          </a:solidFill>
          <a:ln w="19050">
            <a:solidFill>
              <a:schemeClr val="lt1"/>
            </a:solidFill>
          </a:ln>
          <a:effectLst/>
        </c:spPr>
      </c:pivotFmt>
      <c:pivotFmt>
        <c:idx val="151"/>
        <c:spPr>
          <a:solidFill>
            <a:schemeClr val="accent1"/>
          </a:solidFill>
          <a:ln w="19050">
            <a:solidFill>
              <a:schemeClr val="lt1"/>
            </a:solidFill>
          </a:ln>
          <a:effectLst/>
        </c:spPr>
      </c:pivotFmt>
      <c:pivotFmt>
        <c:idx val="152"/>
        <c:spPr>
          <a:solidFill>
            <a:schemeClr val="accent1"/>
          </a:solidFill>
          <a:ln w="19050">
            <a:solidFill>
              <a:schemeClr val="lt1"/>
            </a:solidFill>
          </a:ln>
          <a:effectLst/>
        </c:spPr>
      </c:pivotFmt>
      <c:pivotFmt>
        <c:idx val="153"/>
        <c:spPr>
          <a:solidFill>
            <a:schemeClr val="accent1"/>
          </a:solidFill>
          <a:ln w="19050">
            <a:solidFill>
              <a:schemeClr val="lt1"/>
            </a:solidFill>
          </a:ln>
          <a:effectLst/>
        </c:spPr>
      </c:pivotFmt>
      <c:pivotFmt>
        <c:idx val="154"/>
        <c:spPr>
          <a:solidFill>
            <a:schemeClr val="accent1"/>
          </a:solidFill>
          <a:ln w="19050">
            <a:solidFill>
              <a:schemeClr val="lt1"/>
            </a:solidFill>
          </a:ln>
          <a:effectLst/>
        </c:spPr>
      </c:pivotFmt>
      <c:pivotFmt>
        <c:idx val="155"/>
        <c:spPr>
          <a:solidFill>
            <a:schemeClr val="accent1"/>
          </a:solidFill>
          <a:ln w="19050">
            <a:solidFill>
              <a:schemeClr val="lt1"/>
            </a:solidFill>
          </a:ln>
          <a:effectLst/>
        </c:spPr>
      </c:pivotFmt>
      <c:pivotFmt>
        <c:idx val="156"/>
        <c:spPr>
          <a:solidFill>
            <a:schemeClr val="accent1"/>
          </a:solidFill>
          <a:ln w="19050">
            <a:solidFill>
              <a:schemeClr val="lt1"/>
            </a:solidFill>
          </a:ln>
          <a:effectLst/>
        </c:spPr>
      </c:pivotFmt>
      <c:pivotFmt>
        <c:idx val="157"/>
        <c:spPr>
          <a:solidFill>
            <a:schemeClr val="accent1"/>
          </a:solidFill>
          <a:ln w="19050">
            <a:solidFill>
              <a:schemeClr val="lt1"/>
            </a:solidFill>
          </a:ln>
          <a:effectLst/>
        </c:spPr>
      </c:pivotFmt>
      <c:pivotFmt>
        <c:idx val="158"/>
        <c:spPr>
          <a:solidFill>
            <a:schemeClr val="accent1"/>
          </a:solidFill>
          <a:ln w="19050">
            <a:solidFill>
              <a:schemeClr val="lt1"/>
            </a:solidFill>
          </a:ln>
          <a:effectLst/>
        </c:spPr>
      </c:pivotFmt>
      <c:pivotFmt>
        <c:idx val="159"/>
        <c:spPr>
          <a:solidFill>
            <a:schemeClr val="accent1"/>
          </a:solidFill>
          <a:ln w="19050">
            <a:solidFill>
              <a:schemeClr val="lt1"/>
            </a:solidFill>
          </a:ln>
          <a:effectLst/>
        </c:spPr>
      </c:pivotFmt>
      <c:pivotFmt>
        <c:idx val="160"/>
        <c:spPr>
          <a:solidFill>
            <a:schemeClr val="accent1"/>
          </a:solidFill>
          <a:ln w="19050">
            <a:solidFill>
              <a:schemeClr val="lt1"/>
            </a:solidFill>
          </a:ln>
          <a:effectLst/>
        </c:spPr>
      </c:pivotFmt>
      <c:pivotFmt>
        <c:idx val="161"/>
        <c:spPr>
          <a:solidFill>
            <a:schemeClr val="accent1"/>
          </a:solidFill>
          <a:ln w="19050">
            <a:solidFill>
              <a:schemeClr val="lt1"/>
            </a:solidFill>
          </a:ln>
          <a:effectLst/>
        </c:spPr>
      </c:pivotFmt>
      <c:pivotFmt>
        <c:idx val="162"/>
        <c:spPr>
          <a:solidFill>
            <a:schemeClr val="accent1"/>
          </a:solidFill>
          <a:ln w="19050">
            <a:solidFill>
              <a:schemeClr val="lt1"/>
            </a:solidFill>
          </a:ln>
          <a:effectLst/>
        </c:spPr>
      </c:pivotFmt>
      <c:pivotFmt>
        <c:idx val="163"/>
        <c:spPr>
          <a:solidFill>
            <a:schemeClr val="accent1"/>
          </a:solidFill>
          <a:ln w="19050">
            <a:solidFill>
              <a:schemeClr val="lt1"/>
            </a:solidFill>
          </a:ln>
          <a:effectLst/>
        </c:spPr>
      </c:pivotFmt>
      <c:pivotFmt>
        <c:idx val="164"/>
        <c:spPr>
          <a:solidFill>
            <a:schemeClr val="accent1"/>
          </a:solidFill>
          <a:ln w="19050">
            <a:solidFill>
              <a:schemeClr val="lt1"/>
            </a:solidFill>
          </a:ln>
          <a:effectLst/>
        </c:spPr>
      </c:pivotFmt>
      <c:pivotFmt>
        <c:idx val="165"/>
        <c:spPr>
          <a:solidFill>
            <a:schemeClr val="accent1"/>
          </a:solidFill>
          <a:ln w="19050">
            <a:solidFill>
              <a:schemeClr val="lt1"/>
            </a:solidFill>
          </a:ln>
          <a:effectLst/>
        </c:spPr>
      </c:pivotFmt>
      <c:pivotFmt>
        <c:idx val="166"/>
        <c:spPr>
          <a:solidFill>
            <a:schemeClr val="accent1"/>
          </a:solidFill>
          <a:ln w="19050">
            <a:solidFill>
              <a:schemeClr val="lt1"/>
            </a:solidFill>
          </a:ln>
          <a:effectLst/>
        </c:spPr>
      </c:pivotFmt>
      <c:pivotFmt>
        <c:idx val="167"/>
        <c:spPr>
          <a:solidFill>
            <a:schemeClr val="accent1"/>
          </a:solidFill>
          <a:ln w="19050">
            <a:solidFill>
              <a:schemeClr val="lt1"/>
            </a:solidFill>
          </a:ln>
          <a:effectLst/>
        </c:spPr>
      </c:pivotFmt>
      <c:pivotFmt>
        <c:idx val="168"/>
        <c:spPr>
          <a:solidFill>
            <a:schemeClr val="accent1"/>
          </a:solidFill>
          <a:ln w="19050">
            <a:solidFill>
              <a:schemeClr val="lt1"/>
            </a:solidFill>
          </a:ln>
          <a:effectLst/>
        </c:spPr>
      </c:pivotFmt>
      <c:pivotFmt>
        <c:idx val="169"/>
        <c:spPr>
          <a:solidFill>
            <a:schemeClr val="accent1"/>
          </a:solidFill>
          <a:ln w="19050">
            <a:solidFill>
              <a:schemeClr val="lt1"/>
            </a:solidFill>
          </a:ln>
          <a:effectLst/>
        </c:spPr>
      </c:pivotFmt>
      <c:pivotFmt>
        <c:idx val="170"/>
        <c:spPr>
          <a:solidFill>
            <a:schemeClr val="accent1"/>
          </a:solidFill>
          <a:ln w="19050">
            <a:solidFill>
              <a:schemeClr val="lt1"/>
            </a:solidFill>
          </a:ln>
          <a:effectLst/>
        </c:spPr>
      </c:pivotFmt>
      <c:pivotFmt>
        <c:idx val="171"/>
        <c:spPr>
          <a:solidFill>
            <a:schemeClr val="accent1"/>
          </a:solidFill>
          <a:ln w="19050">
            <a:solidFill>
              <a:schemeClr val="lt1"/>
            </a:solidFill>
          </a:ln>
          <a:effectLst/>
        </c:spPr>
      </c:pivotFmt>
      <c:pivotFmt>
        <c:idx val="172"/>
        <c:spPr>
          <a:solidFill>
            <a:schemeClr val="accent1"/>
          </a:solidFill>
          <a:ln w="19050">
            <a:solidFill>
              <a:schemeClr val="lt1"/>
            </a:solidFill>
          </a:ln>
          <a:effectLst/>
        </c:spPr>
      </c:pivotFmt>
      <c:pivotFmt>
        <c:idx val="173"/>
        <c:spPr>
          <a:solidFill>
            <a:schemeClr val="accent1"/>
          </a:solidFill>
          <a:ln w="19050">
            <a:solidFill>
              <a:schemeClr val="lt1"/>
            </a:solidFill>
          </a:ln>
          <a:effectLst/>
        </c:spPr>
      </c:pivotFmt>
      <c:pivotFmt>
        <c:idx val="174"/>
        <c:spPr>
          <a:solidFill>
            <a:schemeClr val="accent1"/>
          </a:solidFill>
          <a:ln w="19050">
            <a:solidFill>
              <a:schemeClr val="lt1"/>
            </a:solidFill>
          </a:ln>
          <a:effectLst/>
        </c:spPr>
      </c:pivotFmt>
      <c:pivotFmt>
        <c:idx val="175"/>
        <c:spPr>
          <a:solidFill>
            <a:schemeClr val="accent1"/>
          </a:solidFill>
          <a:ln w="19050">
            <a:solidFill>
              <a:schemeClr val="lt1"/>
            </a:solidFill>
          </a:ln>
          <a:effectLst/>
        </c:spPr>
      </c:pivotFmt>
      <c:pivotFmt>
        <c:idx val="176"/>
        <c:spPr>
          <a:solidFill>
            <a:schemeClr val="accent1"/>
          </a:solidFill>
          <a:ln w="19050">
            <a:solidFill>
              <a:schemeClr val="lt1"/>
            </a:solidFill>
          </a:ln>
          <a:effectLst/>
        </c:spPr>
      </c:pivotFmt>
      <c:pivotFmt>
        <c:idx val="177"/>
        <c:spPr>
          <a:solidFill>
            <a:schemeClr val="accent1"/>
          </a:solidFill>
          <a:ln w="19050">
            <a:solidFill>
              <a:schemeClr val="lt1"/>
            </a:solidFill>
          </a:ln>
          <a:effectLst/>
        </c:spPr>
      </c:pivotFmt>
      <c:pivotFmt>
        <c:idx val="178"/>
        <c:spPr>
          <a:solidFill>
            <a:schemeClr val="accent1"/>
          </a:solidFill>
          <a:ln w="19050">
            <a:solidFill>
              <a:schemeClr val="lt1"/>
            </a:solidFill>
          </a:ln>
          <a:effectLst/>
        </c:spPr>
      </c:pivotFmt>
      <c:pivotFmt>
        <c:idx val="179"/>
        <c:spPr>
          <a:solidFill>
            <a:schemeClr val="accent1"/>
          </a:solidFill>
          <a:ln w="19050">
            <a:solidFill>
              <a:schemeClr val="lt1"/>
            </a:solidFill>
          </a:ln>
          <a:effectLst/>
        </c:spPr>
      </c:pivotFmt>
      <c:pivotFmt>
        <c:idx val="180"/>
        <c:spPr>
          <a:solidFill>
            <a:schemeClr val="accent1"/>
          </a:solidFill>
          <a:ln w="19050">
            <a:solidFill>
              <a:schemeClr val="lt1"/>
            </a:solidFill>
          </a:ln>
          <a:effectLst/>
        </c:spPr>
      </c:pivotFmt>
      <c:pivotFmt>
        <c:idx val="181"/>
        <c:spPr>
          <a:solidFill>
            <a:schemeClr val="accent1"/>
          </a:solidFill>
          <a:ln w="19050">
            <a:solidFill>
              <a:schemeClr val="lt1"/>
            </a:solidFill>
          </a:ln>
          <a:effectLst/>
        </c:spPr>
      </c:pivotFmt>
      <c:pivotFmt>
        <c:idx val="182"/>
        <c:spPr>
          <a:solidFill>
            <a:schemeClr val="accent1"/>
          </a:solidFill>
          <a:ln w="19050">
            <a:solidFill>
              <a:schemeClr val="lt1"/>
            </a:solidFill>
          </a:ln>
          <a:effectLst/>
        </c:spPr>
      </c:pivotFmt>
      <c:pivotFmt>
        <c:idx val="183"/>
        <c:spPr>
          <a:solidFill>
            <a:schemeClr val="accent1"/>
          </a:solidFill>
          <a:ln w="19050">
            <a:solidFill>
              <a:schemeClr val="lt1"/>
            </a:solidFill>
          </a:ln>
          <a:effectLst/>
        </c:spPr>
      </c:pivotFmt>
      <c:pivotFmt>
        <c:idx val="184"/>
        <c:spPr>
          <a:solidFill>
            <a:schemeClr val="accent1"/>
          </a:solidFill>
          <a:ln w="19050">
            <a:solidFill>
              <a:schemeClr val="lt1"/>
            </a:solidFill>
          </a:ln>
          <a:effectLst/>
        </c:spPr>
      </c:pivotFmt>
      <c:pivotFmt>
        <c:idx val="185"/>
        <c:spPr>
          <a:solidFill>
            <a:schemeClr val="accent1"/>
          </a:solidFill>
          <a:ln w="19050">
            <a:solidFill>
              <a:schemeClr val="lt1"/>
            </a:solidFill>
          </a:ln>
          <a:effectLst/>
        </c:spPr>
      </c:pivotFmt>
      <c:pivotFmt>
        <c:idx val="186"/>
        <c:spPr>
          <a:solidFill>
            <a:schemeClr val="accent1"/>
          </a:solidFill>
          <a:ln w="19050">
            <a:solidFill>
              <a:schemeClr val="lt1"/>
            </a:solidFill>
          </a:ln>
          <a:effectLst/>
        </c:spPr>
      </c:pivotFmt>
      <c:pivotFmt>
        <c:idx val="187"/>
        <c:spPr>
          <a:solidFill>
            <a:schemeClr val="accent1"/>
          </a:solidFill>
          <a:ln w="19050">
            <a:solidFill>
              <a:schemeClr val="lt1"/>
            </a:solidFill>
          </a:ln>
          <a:effectLst/>
        </c:spPr>
      </c:pivotFmt>
      <c:pivotFmt>
        <c:idx val="188"/>
        <c:spPr>
          <a:solidFill>
            <a:schemeClr val="accent1"/>
          </a:solidFill>
          <a:ln w="19050">
            <a:solidFill>
              <a:schemeClr val="lt1"/>
            </a:solidFill>
          </a:ln>
          <a:effectLst/>
        </c:spPr>
      </c:pivotFmt>
      <c:pivotFmt>
        <c:idx val="189"/>
        <c:spPr>
          <a:solidFill>
            <a:schemeClr val="accent1"/>
          </a:solidFill>
          <a:ln w="19050">
            <a:solidFill>
              <a:schemeClr val="lt1"/>
            </a:solidFill>
          </a:ln>
          <a:effectLst/>
        </c:spPr>
      </c:pivotFmt>
      <c:pivotFmt>
        <c:idx val="190"/>
        <c:spPr>
          <a:solidFill>
            <a:schemeClr val="accent1"/>
          </a:solidFill>
          <a:ln w="19050">
            <a:solidFill>
              <a:schemeClr val="lt1"/>
            </a:solidFill>
          </a:ln>
          <a:effectLst/>
        </c:spPr>
      </c:pivotFmt>
      <c:pivotFmt>
        <c:idx val="191"/>
        <c:spPr>
          <a:solidFill>
            <a:schemeClr val="accent1"/>
          </a:solidFill>
          <a:ln w="19050">
            <a:solidFill>
              <a:schemeClr val="lt1"/>
            </a:solidFill>
          </a:ln>
          <a:effectLst/>
        </c:spPr>
      </c:pivotFmt>
      <c:pivotFmt>
        <c:idx val="192"/>
        <c:spPr>
          <a:solidFill>
            <a:schemeClr val="accent1"/>
          </a:solidFill>
          <a:ln w="19050">
            <a:solidFill>
              <a:schemeClr val="lt1"/>
            </a:solidFill>
          </a:ln>
          <a:effectLst/>
        </c:spPr>
      </c:pivotFmt>
      <c:pivotFmt>
        <c:idx val="193"/>
        <c:spPr>
          <a:solidFill>
            <a:schemeClr val="accent1"/>
          </a:solidFill>
          <a:ln w="19050">
            <a:solidFill>
              <a:schemeClr val="lt1"/>
            </a:solidFill>
          </a:ln>
          <a:effectLst/>
        </c:spPr>
      </c:pivotFmt>
      <c:pivotFmt>
        <c:idx val="194"/>
        <c:spPr>
          <a:solidFill>
            <a:schemeClr val="accent1"/>
          </a:solidFill>
          <a:ln w="19050">
            <a:solidFill>
              <a:schemeClr val="lt1"/>
            </a:solidFill>
          </a:ln>
          <a:effectLst/>
        </c:spPr>
      </c:pivotFmt>
      <c:pivotFmt>
        <c:idx val="195"/>
        <c:spPr>
          <a:solidFill>
            <a:schemeClr val="accent1"/>
          </a:solidFill>
          <a:ln w="19050">
            <a:solidFill>
              <a:schemeClr val="lt1"/>
            </a:solidFill>
          </a:ln>
          <a:effectLst/>
        </c:spPr>
      </c:pivotFmt>
      <c:pivotFmt>
        <c:idx val="196"/>
        <c:spPr>
          <a:solidFill>
            <a:schemeClr val="accent1"/>
          </a:solidFill>
          <a:ln w="19050">
            <a:solidFill>
              <a:schemeClr val="lt1"/>
            </a:solidFill>
          </a:ln>
          <a:effectLst/>
        </c:spPr>
      </c:pivotFmt>
      <c:pivotFmt>
        <c:idx val="197"/>
        <c:spPr>
          <a:solidFill>
            <a:schemeClr val="accent1"/>
          </a:solidFill>
          <a:ln w="19050">
            <a:solidFill>
              <a:schemeClr val="lt1"/>
            </a:solidFill>
          </a:ln>
          <a:effectLst/>
        </c:spPr>
      </c:pivotFmt>
      <c:pivotFmt>
        <c:idx val="198"/>
        <c:spPr>
          <a:solidFill>
            <a:schemeClr val="accent1"/>
          </a:solidFill>
          <a:ln w="19050">
            <a:solidFill>
              <a:schemeClr val="lt1"/>
            </a:solidFill>
          </a:ln>
          <a:effectLst/>
        </c:spPr>
      </c:pivotFmt>
      <c:pivotFmt>
        <c:idx val="199"/>
        <c:spPr>
          <a:solidFill>
            <a:schemeClr val="accent1"/>
          </a:solidFill>
          <a:ln w="19050">
            <a:solidFill>
              <a:schemeClr val="lt1"/>
            </a:solidFill>
          </a:ln>
          <a:effectLst/>
        </c:spPr>
      </c:pivotFmt>
      <c:pivotFmt>
        <c:idx val="200"/>
        <c:spPr>
          <a:solidFill>
            <a:schemeClr val="accent1"/>
          </a:solidFill>
          <a:ln w="19050">
            <a:solidFill>
              <a:schemeClr val="lt1"/>
            </a:solidFill>
          </a:ln>
          <a:effectLst/>
        </c:spPr>
      </c:pivotFmt>
      <c:pivotFmt>
        <c:idx val="201"/>
        <c:spPr>
          <a:solidFill>
            <a:schemeClr val="accent1"/>
          </a:solidFill>
          <a:ln w="19050">
            <a:solidFill>
              <a:schemeClr val="lt1"/>
            </a:solidFill>
          </a:ln>
          <a:effectLst/>
        </c:spPr>
      </c:pivotFmt>
      <c:pivotFmt>
        <c:idx val="202"/>
        <c:spPr>
          <a:solidFill>
            <a:schemeClr val="accent1"/>
          </a:solidFill>
          <a:ln w="19050">
            <a:solidFill>
              <a:schemeClr val="lt1"/>
            </a:solidFill>
          </a:ln>
          <a:effectLst/>
        </c:spPr>
      </c:pivotFmt>
      <c:pivotFmt>
        <c:idx val="203"/>
        <c:spPr>
          <a:solidFill>
            <a:schemeClr val="accent1"/>
          </a:solidFill>
          <a:ln w="19050">
            <a:solidFill>
              <a:schemeClr val="lt1"/>
            </a:solidFill>
          </a:ln>
          <a:effectLst/>
        </c:spPr>
      </c:pivotFmt>
      <c:pivotFmt>
        <c:idx val="204"/>
        <c:spPr>
          <a:solidFill>
            <a:schemeClr val="accent1"/>
          </a:solidFill>
          <a:ln w="19050">
            <a:solidFill>
              <a:schemeClr val="lt1"/>
            </a:solidFill>
          </a:ln>
          <a:effectLst/>
        </c:spPr>
      </c:pivotFmt>
      <c:pivotFmt>
        <c:idx val="205"/>
        <c:spPr>
          <a:solidFill>
            <a:schemeClr val="accent1"/>
          </a:solidFill>
          <a:ln w="19050">
            <a:solidFill>
              <a:schemeClr val="lt1"/>
            </a:solidFill>
          </a:ln>
          <a:effectLst/>
        </c:spPr>
      </c:pivotFmt>
      <c:pivotFmt>
        <c:idx val="206"/>
        <c:spPr>
          <a:solidFill>
            <a:schemeClr val="accent1"/>
          </a:solidFill>
          <a:ln w="19050">
            <a:solidFill>
              <a:schemeClr val="lt1"/>
            </a:solidFill>
          </a:ln>
          <a:effectLst/>
        </c:spPr>
      </c:pivotFmt>
      <c:pivotFmt>
        <c:idx val="207"/>
        <c:spPr>
          <a:solidFill>
            <a:schemeClr val="accent1"/>
          </a:solidFill>
          <a:ln w="19050">
            <a:solidFill>
              <a:schemeClr val="lt1"/>
            </a:solidFill>
          </a:ln>
          <a:effectLst/>
        </c:spPr>
      </c:pivotFmt>
      <c:pivotFmt>
        <c:idx val="208"/>
        <c:spPr>
          <a:solidFill>
            <a:schemeClr val="accent1"/>
          </a:solidFill>
          <a:ln w="19050">
            <a:solidFill>
              <a:schemeClr val="lt1"/>
            </a:solidFill>
          </a:ln>
          <a:effectLst/>
        </c:spPr>
      </c:pivotFmt>
      <c:pivotFmt>
        <c:idx val="209"/>
        <c:spPr>
          <a:solidFill>
            <a:schemeClr val="accent1"/>
          </a:solidFill>
          <a:ln w="19050">
            <a:solidFill>
              <a:schemeClr val="lt1"/>
            </a:solidFill>
          </a:ln>
          <a:effectLst/>
        </c:spPr>
      </c:pivotFmt>
      <c:pivotFmt>
        <c:idx val="210"/>
        <c:spPr>
          <a:solidFill>
            <a:schemeClr val="accent1"/>
          </a:solidFill>
          <a:ln w="19050">
            <a:solidFill>
              <a:schemeClr val="lt1"/>
            </a:solidFill>
          </a:ln>
          <a:effectLst/>
        </c:spPr>
      </c:pivotFmt>
      <c:pivotFmt>
        <c:idx val="211"/>
        <c:spPr>
          <a:solidFill>
            <a:schemeClr val="accent1"/>
          </a:solidFill>
          <a:ln w="19050">
            <a:solidFill>
              <a:schemeClr val="lt1"/>
            </a:solidFill>
          </a:ln>
          <a:effectLst/>
        </c:spPr>
      </c:pivotFmt>
      <c:pivotFmt>
        <c:idx val="212"/>
        <c:spPr>
          <a:solidFill>
            <a:schemeClr val="accent1"/>
          </a:solidFill>
          <a:ln w="19050">
            <a:solidFill>
              <a:schemeClr val="lt1"/>
            </a:solidFill>
          </a:ln>
          <a:effectLst/>
        </c:spPr>
      </c:pivotFmt>
      <c:pivotFmt>
        <c:idx val="213"/>
        <c:spPr>
          <a:solidFill>
            <a:schemeClr val="accent1"/>
          </a:solidFill>
          <a:ln w="19050">
            <a:solidFill>
              <a:schemeClr val="lt1"/>
            </a:solidFill>
          </a:ln>
          <a:effectLst/>
        </c:spPr>
      </c:pivotFmt>
      <c:pivotFmt>
        <c:idx val="214"/>
        <c:spPr>
          <a:solidFill>
            <a:schemeClr val="accent1"/>
          </a:solidFill>
          <a:ln w="19050">
            <a:solidFill>
              <a:schemeClr val="lt1"/>
            </a:solidFill>
          </a:ln>
          <a:effectLst/>
        </c:spPr>
      </c:pivotFmt>
      <c:pivotFmt>
        <c:idx val="215"/>
        <c:spPr>
          <a:solidFill>
            <a:schemeClr val="accent1"/>
          </a:solidFill>
          <a:ln w="19050">
            <a:solidFill>
              <a:schemeClr val="lt1"/>
            </a:solidFill>
          </a:ln>
          <a:effectLst/>
        </c:spPr>
      </c:pivotFmt>
      <c:pivotFmt>
        <c:idx val="216"/>
        <c:spPr>
          <a:solidFill>
            <a:schemeClr val="accent1"/>
          </a:solidFill>
          <a:ln w="19050">
            <a:solidFill>
              <a:schemeClr val="lt1"/>
            </a:solidFill>
          </a:ln>
          <a:effectLst/>
        </c:spPr>
      </c:pivotFmt>
      <c:pivotFmt>
        <c:idx val="217"/>
        <c:spPr>
          <a:solidFill>
            <a:schemeClr val="accent1"/>
          </a:solidFill>
          <a:ln w="19050">
            <a:solidFill>
              <a:schemeClr val="lt1"/>
            </a:solidFill>
          </a:ln>
          <a:effectLst/>
        </c:spPr>
      </c:pivotFmt>
      <c:pivotFmt>
        <c:idx val="218"/>
        <c:spPr>
          <a:solidFill>
            <a:schemeClr val="accent1"/>
          </a:solidFill>
          <a:ln w="19050">
            <a:solidFill>
              <a:schemeClr val="lt1"/>
            </a:solidFill>
          </a:ln>
          <a:effectLst/>
        </c:spPr>
      </c:pivotFmt>
      <c:pivotFmt>
        <c:idx val="219"/>
        <c:spPr>
          <a:solidFill>
            <a:schemeClr val="accent1"/>
          </a:solidFill>
          <a:ln w="19050">
            <a:solidFill>
              <a:schemeClr val="lt1"/>
            </a:solidFill>
          </a:ln>
          <a:effectLst/>
        </c:spPr>
      </c:pivotFmt>
      <c:pivotFmt>
        <c:idx val="220"/>
        <c:spPr>
          <a:solidFill>
            <a:schemeClr val="accent1"/>
          </a:solidFill>
          <a:ln w="19050">
            <a:solidFill>
              <a:schemeClr val="lt1"/>
            </a:solidFill>
          </a:ln>
          <a:effectLst/>
        </c:spPr>
      </c:pivotFmt>
      <c:pivotFmt>
        <c:idx val="221"/>
        <c:spPr>
          <a:solidFill>
            <a:schemeClr val="accent1"/>
          </a:solidFill>
          <a:ln w="19050">
            <a:solidFill>
              <a:schemeClr val="lt1"/>
            </a:solidFill>
          </a:ln>
          <a:effectLst/>
        </c:spPr>
      </c:pivotFmt>
      <c:pivotFmt>
        <c:idx val="222"/>
        <c:spPr>
          <a:solidFill>
            <a:schemeClr val="accent1"/>
          </a:solidFill>
          <a:ln w="19050">
            <a:solidFill>
              <a:schemeClr val="lt1"/>
            </a:solidFill>
          </a:ln>
          <a:effectLst/>
        </c:spPr>
      </c:pivotFmt>
      <c:pivotFmt>
        <c:idx val="223"/>
        <c:spPr>
          <a:solidFill>
            <a:schemeClr val="accent1"/>
          </a:solidFill>
          <a:ln w="19050">
            <a:solidFill>
              <a:schemeClr val="lt1"/>
            </a:solidFill>
          </a:ln>
          <a:effectLst/>
        </c:spPr>
      </c:pivotFmt>
      <c:pivotFmt>
        <c:idx val="224"/>
        <c:spPr>
          <a:solidFill>
            <a:schemeClr val="accent1"/>
          </a:solidFill>
          <a:ln w="19050">
            <a:solidFill>
              <a:schemeClr val="lt1"/>
            </a:solidFill>
          </a:ln>
          <a:effectLst/>
        </c:spPr>
      </c:pivotFmt>
      <c:pivotFmt>
        <c:idx val="225"/>
        <c:spPr>
          <a:solidFill>
            <a:schemeClr val="accent1"/>
          </a:solidFill>
          <a:ln w="19050">
            <a:solidFill>
              <a:schemeClr val="lt1"/>
            </a:solidFill>
          </a:ln>
          <a:effectLst/>
        </c:spPr>
      </c:pivotFmt>
      <c:pivotFmt>
        <c:idx val="226"/>
        <c:spPr>
          <a:solidFill>
            <a:schemeClr val="accent1"/>
          </a:solidFill>
          <a:ln w="19050">
            <a:solidFill>
              <a:schemeClr val="lt1"/>
            </a:solidFill>
          </a:ln>
          <a:effectLst/>
        </c:spPr>
      </c:pivotFmt>
      <c:pivotFmt>
        <c:idx val="227"/>
        <c:spPr>
          <a:solidFill>
            <a:schemeClr val="accent1"/>
          </a:solidFill>
          <a:ln w="19050">
            <a:solidFill>
              <a:schemeClr val="lt1"/>
            </a:solidFill>
          </a:ln>
          <a:effectLst/>
        </c:spPr>
      </c:pivotFmt>
      <c:pivotFmt>
        <c:idx val="228"/>
        <c:spPr>
          <a:solidFill>
            <a:schemeClr val="accent1"/>
          </a:solidFill>
          <a:ln w="19050">
            <a:solidFill>
              <a:schemeClr val="lt1"/>
            </a:solidFill>
          </a:ln>
          <a:effectLst/>
        </c:spPr>
      </c:pivotFmt>
      <c:pivotFmt>
        <c:idx val="229"/>
        <c:spPr>
          <a:solidFill>
            <a:schemeClr val="accent1"/>
          </a:solidFill>
          <a:ln w="19050">
            <a:solidFill>
              <a:schemeClr val="lt1"/>
            </a:solidFill>
          </a:ln>
          <a:effectLst/>
        </c:spPr>
      </c:pivotFmt>
      <c:pivotFmt>
        <c:idx val="230"/>
        <c:spPr>
          <a:solidFill>
            <a:schemeClr val="accent1"/>
          </a:solidFill>
          <a:ln w="19050">
            <a:solidFill>
              <a:schemeClr val="lt1"/>
            </a:solidFill>
          </a:ln>
          <a:effectLst/>
        </c:spPr>
      </c:pivotFmt>
      <c:pivotFmt>
        <c:idx val="231"/>
        <c:spPr>
          <a:solidFill>
            <a:schemeClr val="accent1"/>
          </a:solidFill>
          <a:ln w="19050">
            <a:solidFill>
              <a:schemeClr val="lt1"/>
            </a:solidFill>
          </a:ln>
          <a:effectLst/>
        </c:spPr>
      </c:pivotFmt>
      <c:pivotFmt>
        <c:idx val="232"/>
        <c:spPr>
          <a:solidFill>
            <a:schemeClr val="accent1"/>
          </a:solidFill>
          <a:ln w="19050">
            <a:solidFill>
              <a:schemeClr val="lt1"/>
            </a:solidFill>
          </a:ln>
          <a:effectLst/>
        </c:spPr>
      </c:pivotFmt>
      <c:pivotFmt>
        <c:idx val="233"/>
        <c:spPr>
          <a:solidFill>
            <a:schemeClr val="accent1"/>
          </a:solidFill>
          <a:ln w="19050">
            <a:solidFill>
              <a:schemeClr val="lt1"/>
            </a:solidFill>
          </a:ln>
          <a:effectLst/>
        </c:spPr>
      </c:pivotFmt>
      <c:pivotFmt>
        <c:idx val="234"/>
        <c:spPr>
          <a:solidFill>
            <a:schemeClr val="accent1"/>
          </a:solidFill>
          <a:ln w="19050">
            <a:solidFill>
              <a:schemeClr val="lt1"/>
            </a:solidFill>
          </a:ln>
          <a:effectLst/>
        </c:spPr>
      </c:pivotFmt>
      <c:pivotFmt>
        <c:idx val="235"/>
        <c:spPr>
          <a:solidFill>
            <a:schemeClr val="accent1"/>
          </a:solidFill>
          <a:ln w="19050">
            <a:solidFill>
              <a:schemeClr val="lt1"/>
            </a:solidFill>
          </a:ln>
          <a:effectLst/>
        </c:spPr>
      </c:pivotFmt>
      <c:pivotFmt>
        <c:idx val="236"/>
        <c:spPr>
          <a:solidFill>
            <a:schemeClr val="accent1"/>
          </a:solidFill>
          <a:ln w="19050">
            <a:solidFill>
              <a:schemeClr val="lt1"/>
            </a:solidFill>
          </a:ln>
          <a:effectLst/>
        </c:spPr>
      </c:pivotFmt>
      <c:pivotFmt>
        <c:idx val="237"/>
        <c:spPr>
          <a:solidFill>
            <a:schemeClr val="accent1"/>
          </a:solidFill>
          <a:ln w="19050">
            <a:solidFill>
              <a:schemeClr val="lt1"/>
            </a:solidFill>
          </a:ln>
          <a:effectLst/>
        </c:spPr>
      </c:pivotFmt>
      <c:pivotFmt>
        <c:idx val="238"/>
        <c:spPr>
          <a:solidFill>
            <a:schemeClr val="accent1"/>
          </a:solidFill>
          <a:ln w="19050">
            <a:solidFill>
              <a:schemeClr val="lt1"/>
            </a:solidFill>
          </a:ln>
          <a:effectLst/>
        </c:spPr>
      </c:pivotFmt>
      <c:pivotFmt>
        <c:idx val="239"/>
        <c:spPr>
          <a:solidFill>
            <a:schemeClr val="accent1"/>
          </a:solidFill>
          <a:ln w="19050">
            <a:solidFill>
              <a:schemeClr val="lt1"/>
            </a:solidFill>
          </a:ln>
          <a:effectLst/>
        </c:spPr>
      </c:pivotFmt>
      <c:pivotFmt>
        <c:idx val="240"/>
        <c:spPr>
          <a:solidFill>
            <a:schemeClr val="accent1"/>
          </a:solidFill>
          <a:ln w="19050">
            <a:solidFill>
              <a:schemeClr val="lt1"/>
            </a:solidFill>
          </a:ln>
          <a:effectLst/>
        </c:spPr>
      </c:pivotFmt>
      <c:pivotFmt>
        <c:idx val="241"/>
        <c:spPr>
          <a:solidFill>
            <a:schemeClr val="accent1"/>
          </a:solidFill>
          <a:ln w="19050">
            <a:solidFill>
              <a:schemeClr val="lt1"/>
            </a:solidFill>
          </a:ln>
          <a:effectLst/>
        </c:spPr>
      </c:pivotFmt>
      <c:pivotFmt>
        <c:idx val="242"/>
        <c:spPr>
          <a:solidFill>
            <a:schemeClr val="accent1"/>
          </a:solidFill>
          <a:ln w="19050">
            <a:solidFill>
              <a:schemeClr val="lt1"/>
            </a:solidFill>
          </a:ln>
          <a:effectLst/>
        </c:spPr>
      </c:pivotFmt>
      <c:pivotFmt>
        <c:idx val="243"/>
        <c:spPr>
          <a:solidFill>
            <a:schemeClr val="accent1"/>
          </a:solidFill>
          <a:ln w="19050">
            <a:solidFill>
              <a:schemeClr val="lt1"/>
            </a:solidFill>
          </a:ln>
          <a:effectLst/>
        </c:spPr>
      </c:pivotFmt>
      <c:pivotFmt>
        <c:idx val="244"/>
        <c:spPr>
          <a:solidFill>
            <a:schemeClr val="accent1"/>
          </a:solidFill>
          <a:ln w="19050">
            <a:solidFill>
              <a:schemeClr val="lt1"/>
            </a:solidFill>
          </a:ln>
          <a:effectLst/>
        </c:spPr>
      </c:pivotFmt>
      <c:pivotFmt>
        <c:idx val="245"/>
        <c:spPr>
          <a:solidFill>
            <a:schemeClr val="accent1"/>
          </a:solidFill>
          <a:ln w="19050">
            <a:solidFill>
              <a:schemeClr val="lt1"/>
            </a:solidFill>
          </a:ln>
          <a:effectLst/>
        </c:spPr>
      </c:pivotFmt>
      <c:pivotFmt>
        <c:idx val="246"/>
        <c:spPr>
          <a:solidFill>
            <a:schemeClr val="accent1"/>
          </a:solidFill>
          <a:ln w="19050">
            <a:solidFill>
              <a:schemeClr val="lt1"/>
            </a:solidFill>
          </a:ln>
          <a:effectLst/>
        </c:spPr>
      </c:pivotFmt>
      <c:pivotFmt>
        <c:idx val="247"/>
        <c:spPr>
          <a:solidFill>
            <a:schemeClr val="accent1"/>
          </a:solidFill>
          <a:ln w="19050">
            <a:solidFill>
              <a:schemeClr val="lt1"/>
            </a:solidFill>
          </a:ln>
          <a:effectLst/>
        </c:spPr>
      </c:pivotFmt>
      <c:pivotFmt>
        <c:idx val="248"/>
        <c:spPr>
          <a:solidFill>
            <a:schemeClr val="accent1"/>
          </a:solidFill>
          <a:ln w="19050">
            <a:solidFill>
              <a:schemeClr val="lt1"/>
            </a:solidFill>
          </a:ln>
          <a:effectLst/>
        </c:spPr>
      </c:pivotFmt>
      <c:pivotFmt>
        <c:idx val="249"/>
        <c:spPr>
          <a:solidFill>
            <a:schemeClr val="accent1"/>
          </a:solidFill>
          <a:ln w="19050">
            <a:solidFill>
              <a:schemeClr val="lt1"/>
            </a:solidFill>
          </a:ln>
          <a:effectLst/>
        </c:spPr>
      </c:pivotFmt>
      <c:pivotFmt>
        <c:idx val="250"/>
        <c:spPr>
          <a:solidFill>
            <a:schemeClr val="accent1"/>
          </a:solidFill>
          <a:ln w="19050">
            <a:solidFill>
              <a:schemeClr val="lt1"/>
            </a:solidFill>
          </a:ln>
          <a:effectLst/>
        </c:spPr>
      </c:pivotFmt>
      <c:pivotFmt>
        <c:idx val="251"/>
        <c:spPr>
          <a:solidFill>
            <a:schemeClr val="accent1"/>
          </a:solidFill>
          <a:ln w="19050">
            <a:solidFill>
              <a:schemeClr val="lt1"/>
            </a:solidFill>
          </a:ln>
          <a:effectLst/>
        </c:spPr>
      </c:pivotFmt>
      <c:pivotFmt>
        <c:idx val="252"/>
        <c:spPr>
          <a:solidFill>
            <a:schemeClr val="accent1"/>
          </a:solidFill>
          <a:ln w="19050">
            <a:solidFill>
              <a:schemeClr val="lt1"/>
            </a:solidFill>
          </a:ln>
          <a:effectLst/>
        </c:spPr>
      </c:pivotFmt>
      <c:pivotFmt>
        <c:idx val="253"/>
        <c:spPr>
          <a:solidFill>
            <a:schemeClr val="accent1"/>
          </a:solidFill>
          <a:ln w="19050">
            <a:solidFill>
              <a:schemeClr val="lt1"/>
            </a:solidFill>
          </a:ln>
          <a:effectLst/>
        </c:spPr>
      </c:pivotFmt>
      <c:pivotFmt>
        <c:idx val="254"/>
        <c:spPr>
          <a:solidFill>
            <a:schemeClr val="accent1"/>
          </a:solidFill>
          <a:ln w="19050">
            <a:solidFill>
              <a:schemeClr val="lt1"/>
            </a:solidFill>
          </a:ln>
          <a:effectLst/>
        </c:spPr>
      </c:pivotFmt>
      <c:pivotFmt>
        <c:idx val="255"/>
        <c:spPr>
          <a:solidFill>
            <a:schemeClr val="accent1"/>
          </a:solidFill>
          <a:ln w="19050">
            <a:solidFill>
              <a:schemeClr val="lt1"/>
            </a:solidFill>
          </a:ln>
          <a:effectLst/>
        </c:spPr>
      </c:pivotFmt>
      <c:pivotFmt>
        <c:idx val="256"/>
        <c:spPr>
          <a:solidFill>
            <a:schemeClr val="accent1"/>
          </a:solidFill>
          <a:ln w="19050">
            <a:solidFill>
              <a:schemeClr val="lt1"/>
            </a:solidFill>
          </a:ln>
          <a:effectLst/>
        </c:spPr>
      </c:pivotFmt>
      <c:pivotFmt>
        <c:idx val="257"/>
        <c:spPr>
          <a:solidFill>
            <a:schemeClr val="accent1"/>
          </a:solidFill>
          <a:ln w="19050">
            <a:solidFill>
              <a:schemeClr val="lt1"/>
            </a:solidFill>
          </a:ln>
          <a:effectLst/>
        </c:spPr>
      </c:pivotFmt>
      <c:pivotFmt>
        <c:idx val="258"/>
        <c:spPr>
          <a:solidFill>
            <a:schemeClr val="accent1"/>
          </a:solidFill>
          <a:ln w="19050">
            <a:solidFill>
              <a:schemeClr val="lt1"/>
            </a:solidFill>
          </a:ln>
          <a:effectLst/>
        </c:spPr>
      </c:pivotFmt>
      <c:pivotFmt>
        <c:idx val="259"/>
        <c:spPr>
          <a:solidFill>
            <a:schemeClr val="accent1"/>
          </a:solidFill>
          <a:ln w="19050">
            <a:solidFill>
              <a:schemeClr val="lt1"/>
            </a:solidFill>
          </a:ln>
          <a:effectLst/>
        </c:spPr>
      </c:pivotFmt>
      <c:pivotFmt>
        <c:idx val="260"/>
        <c:spPr>
          <a:solidFill>
            <a:schemeClr val="accent1"/>
          </a:solidFill>
          <a:ln w="19050">
            <a:solidFill>
              <a:schemeClr val="lt1"/>
            </a:solidFill>
          </a:ln>
          <a:effectLst/>
        </c:spPr>
      </c:pivotFmt>
      <c:pivotFmt>
        <c:idx val="261"/>
        <c:spPr>
          <a:solidFill>
            <a:schemeClr val="accent1"/>
          </a:solidFill>
          <a:ln w="19050">
            <a:solidFill>
              <a:schemeClr val="lt1"/>
            </a:solidFill>
          </a:ln>
          <a:effectLst/>
        </c:spPr>
      </c:pivotFmt>
      <c:pivotFmt>
        <c:idx val="262"/>
        <c:spPr>
          <a:solidFill>
            <a:schemeClr val="accent1"/>
          </a:solidFill>
          <a:ln w="19050">
            <a:solidFill>
              <a:schemeClr val="lt1"/>
            </a:solidFill>
          </a:ln>
          <a:effectLst/>
        </c:spPr>
      </c:pivotFmt>
      <c:pivotFmt>
        <c:idx val="263"/>
        <c:spPr>
          <a:solidFill>
            <a:schemeClr val="accent1"/>
          </a:solidFill>
          <a:ln w="19050">
            <a:solidFill>
              <a:schemeClr val="lt1"/>
            </a:solidFill>
          </a:ln>
          <a:effectLst/>
        </c:spPr>
      </c:pivotFmt>
      <c:pivotFmt>
        <c:idx val="264"/>
        <c:spPr>
          <a:solidFill>
            <a:schemeClr val="accent1"/>
          </a:solidFill>
          <a:ln w="19050">
            <a:solidFill>
              <a:schemeClr val="lt1"/>
            </a:solidFill>
          </a:ln>
          <a:effectLst/>
        </c:spPr>
      </c:pivotFmt>
      <c:pivotFmt>
        <c:idx val="265"/>
        <c:spPr>
          <a:solidFill>
            <a:schemeClr val="accent1"/>
          </a:solidFill>
          <a:ln w="19050">
            <a:solidFill>
              <a:schemeClr val="lt1"/>
            </a:solidFill>
          </a:ln>
          <a:effectLst/>
        </c:spPr>
      </c:pivotFmt>
      <c:pivotFmt>
        <c:idx val="266"/>
        <c:spPr>
          <a:solidFill>
            <a:schemeClr val="accent1"/>
          </a:solidFill>
          <a:ln w="19050">
            <a:solidFill>
              <a:schemeClr val="lt1"/>
            </a:solidFill>
          </a:ln>
          <a:effectLst/>
        </c:spPr>
      </c:pivotFmt>
      <c:pivotFmt>
        <c:idx val="267"/>
        <c:spPr>
          <a:solidFill>
            <a:schemeClr val="accent1"/>
          </a:solidFill>
          <a:ln w="19050">
            <a:solidFill>
              <a:schemeClr val="lt1"/>
            </a:solidFill>
          </a:ln>
          <a:effectLst/>
        </c:spPr>
      </c:pivotFmt>
      <c:pivotFmt>
        <c:idx val="268"/>
        <c:spPr>
          <a:solidFill>
            <a:schemeClr val="accent1"/>
          </a:solidFill>
          <a:ln w="19050">
            <a:solidFill>
              <a:schemeClr val="lt1"/>
            </a:solidFill>
          </a:ln>
          <a:effectLst/>
        </c:spPr>
      </c:pivotFmt>
      <c:pivotFmt>
        <c:idx val="269"/>
        <c:spPr>
          <a:solidFill>
            <a:schemeClr val="accent1"/>
          </a:solidFill>
          <a:ln w="19050">
            <a:solidFill>
              <a:schemeClr val="lt1"/>
            </a:solidFill>
          </a:ln>
          <a:effectLst/>
        </c:spPr>
      </c:pivotFmt>
      <c:pivotFmt>
        <c:idx val="270"/>
        <c:spPr>
          <a:solidFill>
            <a:schemeClr val="accent1"/>
          </a:solidFill>
          <a:ln w="19050">
            <a:solidFill>
              <a:schemeClr val="lt1"/>
            </a:solidFill>
          </a:ln>
          <a:effectLst/>
        </c:spPr>
      </c:pivotFmt>
      <c:pivotFmt>
        <c:idx val="271"/>
        <c:spPr>
          <a:solidFill>
            <a:schemeClr val="accent1"/>
          </a:solidFill>
          <a:ln w="19050">
            <a:solidFill>
              <a:schemeClr val="lt1"/>
            </a:solidFill>
          </a:ln>
          <a:effectLst/>
        </c:spPr>
      </c:pivotFmt>
      <c:pivotFmt>
        <c:idx val="272"/>
        <c:spPr>
          <a:solidFill>
            <a:schemeClr val="accent1"/>
          </a:solidFill>
          <a:ln w="19050">
            <a:solidFill>
              <a:schemeClr val="lt1"/>
            </a:solidFill>
          </a:ln>
          <a:effectLst/>
        </c:spPr>
      </c:pivotFmt>
      <c:pivotFmt>
        <c:idx val="273"/>
        <c:spPr>
          <a:solidFill>
            <a:schemeClr val="accent1"/>
          </a:solidFill>
          <a:ln w="19050">
            <a:solidFill>
              <a:schemeClr val="lt1"/>
            </a:solidFill>
          </a:ln>
          <a:effectLst/>
        </c:spPr>
      </c:pivotFmt>
      <c:pivotFmt>
        <c:idx val="274"/>
        <c:spPr>
          <a:solidFill>
            <a:schemeClr val="accent1"/>
          </a:solidFill>
          <a:ln w="19050">
            <a:solidFill>
              <a:schemeClr val="lt1"/>
            </a:solidFill>
          </a:ln>
          <a:effectLst/>
        </c:spPr>
      </c:pivotFmt>
      <c:pivotFmt>
        <c:idx val="275"/>
        <c:spPr>
          <a:solidFill>
            <a:schemeClr val="accent1"/>
          </a:solidFill>
          <a:ln w="19050">
            <a:solidFill>
              <a:schemeClr val="lt1"/>
            </a:solidFill>
          </a:ln>
          <a:effectLst/>
        </c:spPr>
      </c:pivotFmt>
      <c:pivotFmt>
        <c:idx val="276"/>
        <c:spPr>
          <a:solidFill>
            <a:schemeClr val="accent1"/>
          </a:solidFill>
          <a:ln w="19050">
            <a:solidFill>
              <a:schemeClr val="lt1"/>
            </a:solidFill>
          </a:ln>
          <a:effectLst/>
        </c:spPr>
      </c:pivotFmt>
      <c:pivotFmt>
        <c:idx val="277"/>
        <c:spPr>
          <a:solidFill>
            <a:schemeClr val="accent1"/>
          </a:solidFill>
          <a:ln w="19050">
            <a:solidFill>
              <a:schemeClr val="lt1"/>
            </a:solidFill>
          </a:ln>
          <a:effectLst/>
        </c:spPr>
      </c:pivotFmt>
      <c:pivotFmt>
        <c:idx val="278"/>
        <c:spPr>
          <a:solidFill>
            <a:schemeClr val="accent1"/>
          </a:solidFill>
          <a:ln w="19050">
            <a:solidFill>
              <a:schemeClr val="lt1"/>
            </a:solidFill>
          </a:ln>
          <a:effectLst/>
        </c:spPr>
      </c:pivotFmt>
      <c:pivotFmt>
        <c:idx val="279"/>
        <c:spPr>
          <a:solidFill>
            <a:schemeClr val="accent1"/>
          </a:solidFill>
          <a:ln w="19050">
            <a:solidFill>
              <a:schemeClr val="lt1"/>
            </a:solidFill>
          </a:ln>
          <a:effectLst/>
        </c:spPr>
      </c:pivotFmt>
      <c:pivotFmt>
        <c:idx val="280"/>
        <c:spPr>
          <a:solidFill>
            <a:schemeClr val="accent1"/>
          </a:solidFill>
          <a:ln w="19050">
            <a:solidFill>
              <a:schemeClr val="lt1"/>
            </a:solidFill>
          </a:ln>
          <a:effectLst/>
        </c:spPr>
      </c:pivotFmt>
      <c:pivotFmt>
        <c:idx val="281"/>
        <c:spPr>
          <a:solidFill>
            <a:schemeClr val="accent1"/>
          </a:solidFill>
          <a:ln w="19050">
            <a:solidFill>
              <a:schemeClr val="lt1"/>
            </a:solidFill>
          </a:ln>
          <a:effectLst/>
        </c:spPr>
      </c:pivotFmt>
      <c:pivotFmt>
        <c:idx val="282"/>
        <c:spPr>
          <a:solidFill>
            <a:schemeClr val="accent1"/>
          </a:solidFill>
          <a:ln w="19050">
            <a:solidFill>
              <a:schemeClr val="lt1"/>
            </a:solidFill>
          </a:ln>
          <a:effectLst/>
        </c:spPr>
      </c:pivotFmt>
      <c:pivotFmt>
        <c:idx val="283"/>
        <c:spPr>
          <a:solidFill>
            <a:schemeClr val="accent1"/>
          </a:solidFill>
          <a:ln w="19050">
            <a:solidFill>
              <a:schemeClr val="lt1"/>
            </a:solidFill>
          </a:ln>
          <a:effectLst/>
        </c:spPr>
      </c:pivotFmt>
      <c:pivotFmt>
        <c:idx val="284"/>
        <c:spPr>
          <a:solidFill>
            <a:schemeClr val="accent1"/>
          </a:solidFill>
          <a:ln w="19050">
            <a:solidFill>
              <a:schemeClr val="lt1"/>
            </a:solidFill>
          </a:ln>
          <a:effectLst/>
        </c:spPr>
      </c:pivotFmt>
      <c:pivotFmt>
        <c:idx val="285"/>
        <c:spPr>
          <a:solidFill>
            <a:schemeClr val="accent1"/>
          </a:solidFill>
          <a:ln w="19050">
            <a:solidFill>
              <a:schemeClr val="lt1"/>
            </a:solidFill>
          </a:ln>
          <a:effectLst/>
        </c:spPr>
      </c:pivotFmt>
      <c:pivotFmt>
        <c:idx val="286"/>
        <c:spPr>
          <a:solidFill>
            <a:schemeClr val="accent1"/>
          </a:solidFill>
          <a:ln w="19050">
            <a:solidFill>
              <a:schemeClr val="lt1"/>
            </a:solidFill>
          </a:ln>
          <a:effectLst/>
        </c:spPr>
      </c:pivotFmt>
      <c:pivotFmt>
        <c:idx val="287"/>
        <c:spPr>
          <a:solidFill>
            <a:schemeClr val="accent1"/>
          </a:solidFill>
          <a:ln w="19050">
            <a:solidFill>
              <a:schemeClr val="lt1"/>
            </a:solidFill>
          </a:ln>
          <a:effectLst/>
        </c:spPr>
      </c:pivotFmt>
      <c:pivotFmt>
        <c:idx val="288"/>
        <c:spPr>
          <a:solidFill>
            <a:schemeClr val="accent1"/>
          </a:solidFill>
          <a:ln w="19050">
            <a:solidFill>
              <a:schemeClr val="lt1"/>
            </a:solidFill>
          </a:ln>
          <a:effectLst/>
        </c:spPr>
      </c:pivotFmt>
      <c:pivotFmt>
        <c:idx val="289"/>
        <c:spPr>
          <a:solidFill>
            <a:schemeClr val="accent1"/>
          </a:solidFill>
          <a:ln w="19050">
            <a:solidFill>
              <a:schemeClr val="lt1"/>
            </a:solidFill>
          </a:ln>
          <a:effectLst/>
        </c:spPr>
      </c:pivotFmt>
      <c:pivotFmt>
        <c:idx val="290"/>
        <c:spPr>
          <a:solidFill>
            <a:schemeClr val="accent1"/>
          </a:solidFill>
          <a:ln w="19050">
            <a:solidFill>
              <a:schemeClr val="lt1"/>
            </a:solidFill>
          </a:ln>
          <a:effectLst/>
        </c:spPr>
      </c:pivotFmt>
      <c:pivotFmt>
        <c:idx val="291"/>
        <c:spPr>
          <a:solidFill>
            <a:schemeClr val="accent1"/>
          </a:solidFill>
          <a:ln w="19050">
            <a:solidFill>
              <a:schemeClr val="lt1"/>
            </a:solidFill>
          </a:ln>
          <a:effectLst/>
        </c:spPr>
      </c:pivotFmt>
      <c:pivotFmt>
        <c:idx val="292"/>
        <c:spPr>
          <a:solidFill>
            <a:schemeClr val="accent1"/>
          </a:solidFill>
          <a:ln w="19050">
            <a:solidFill>
              <a:schemeClr val="lt1"/>
            </a:solidFill>
          </a:ln>
          <a:effectLst/>
        </c:spPr>
      </c:pivotFmt>
      <c:pivotFmt>
        <c:idx val="293"/>
        <c:spPr>
          <a:solidFill>
            <a:schemeClr val="accent1"/>
          </a:solidFill>
          <a:ln w="19050">
            <a:solidFill>
              <a:schemeClr val="lt1"/>
            </a:solidFill>
          </a:ln>
          <a:effectLst/>
        </c:spPr>
      </c:pivotFmt>
      <c:pivotFmt>
        <c:idx val="294"/>
        <c:spPr>
          <a:solidFill>
            <a:schemeClr val="accent1"/>
          </a:solidFill>
          <a:ln w="19050">
            <a:solidFill>
              <a:schemeClr val="lt1"/>
            </a:solidFill>
          </a:ln>
          <a:effectLst/>
        </c:spPr>
      </c:pivotFmt>
      <c:pivotFmt>
        <c:idx val="295"/>
        <c:spPr>
          <a:solidFill>
            <a:schemeClr val="accent1"/>
          </a:solidFill>
          <a:ln w="19050">
            <a:solidFill>
              <a:schemeClr val="lt1"/>
            </a:solidFill>
          </a:ln>
          <a:effectLst/>
        </c:spPr>
      </c:pivotFmt>
      <c:pivotFmt>
        <c:idx val="296"/>
        <c:spPr>
          <a:solidFill>
            <a:schemeClr val="accent1"/>
          </a:solidFill>
          <a:ln w="19050">
            <a:solidFill>
              <a:schemeClr val="lt1"/>
            </a:solidFill>
          </a:ln>
          <a:effectLst/>
        </c:spPr>
      </c:pivotFmt>
      <c:pivotFmt>
        <c:idx val="297"/>
        <c:spPr>
          <a:solidFill>
            <a:schemeClr val="accent1"/>
          </a:solidFill>
          <a:ln w="19050">
            <a:solidFill>
              <a:schemeClr val="lt1"/>
            </a:solidFill>
          </a:ln>
          <a:effectLst/>
        </c:spPr>
      </c:pivotFmt>
      <c:pivotFmt>
        <c:idx val="298"/>
        <c:spPr>
          <a:solidFill>
            <a:schemeClr val="accent1"/>
          </a:solidFill>
          <a:ln w="19050">
            <a:solidFill>
              <a:schemeClr val="lt1"/>
            </a:solidFill>
          </a:ln>
          <a:effectLst/>
        </c:spPr>
      </c:pivotFmt>
      <c:pivotFmt>
        <c:idx val="299"/>
        <c:spPr>
          <a:solidFill>
            <a:schemeClr val="accent1"/>
          </a:solidFill>
          <a:ln w="19050">
            <a:solidFill>
              <a:schemeClr val="lt1"/>
            </a:solidFill>
          </a:ln>
          <a:effectLst/>
        </c:spPr>
      </c:pivotFmt>
      <c:pivotFmt>
        <c:idx val="300"/>
        <c:spPr>
          <a:solidFill>
            <a:schemeClr val="accent1"/>
          </a:solidFill>
          <a:ln w="19050">
            <a:solidFill>
              <a:schemeClr val="lt1"/>
            </a:solidFill>
          </a:ln>
          <a:effectLst/>
        </c:spPr>
      </c:pivotFmt>
      <c:pivotFmt>
        <c:idx val="301"/>
        <c:spPr>
          <a:solidFill>
            <a:schemeClr val="accent1"/>
          </a:solidFill>
          <a:ln w="19050">
            <a:solidFill>
              <a:schemeClr val="lt1"/>
            </a:solidFill>
          </a:ln>
          <a:effectLst/>
        </c:spPr>
      </c:pivotFmt>
      <c:pivotFmt>
        <c:idx val="302"/>
        <c:spPr>
          <a:solidFill>
            <a:schemeClr val="accent1"/>
          </a:solidFill>
          <a:ln w="19050">
            <a:solidFill>
              <a:schemeClr val="lt1"/>
            </a:solidFill>
          </a:ln>
          <a:effectLst/>
        </c:spPr>
      </c:pivotFmt>
      <c:pivotFmt>
        <c:idx val="303"/>
        <c:spPr>
          <a:solidFill>
            <a:schemeClr val="accent1"/>
          </a:solidFill>
          <a:ln w="19050">
            <a:solidFill>
              <a:schemeClr val="lt1"/>
            </a:solidFill>
          </a:ln>
          <a:effectLst/>
        </c:spPr>
      </c:pivotFmt>
      <c:pivotFmt>
        <c:idx val="304"/>
        <c:spPr>
          <a:solidFill>
            <a:schemeClr val="accent1"/>
          </a:solidFill>
          <a:ln w="19050">
            <a:solidFill>
              <a:schemeClr val="lt1"/>
            </a:solidFill>
          </a:ln>
          <a:effectLst/>
        </c:spPr>
      </c:pivotFmt>
      <c:pivotFmt>
        <c:idx val="305"/>
        <c:spPr>
          <a:solidFill>
            <a:schemeClr val="accent1"/>
          </a:solidFill>
          <a:ln w="19050">
            <a:solidFill>
              <a:schemeClr val="lt1"/>
            </a:solidFill>
          </a:ln>
          <a:effectLst/>
        </c:spPr>
      </c:pivotFmt>
      <c:pivotFmt>
        <c:idx val="306"/>
        <c:spPr>
          <a:solidFill>
            <a:schemeClr val="accent1"/>
          </a:solidFill>
          <a:ln w="19050">
            <a:solidFill>
              <a:schemeClr val="lt1"/>
            </a:solidFill>
          </a:ln>
          <a:effectLst/>
        </c:spPr>
      </c:pivotFmt>
      <c:pivotFmt>
        <c:idx val="307"/>
        <c:spPr>
          <a:solidFill>
            <a:schemeClr val="accent1"/>
          </a:solidFill>
          <a:ln w="19050">
            <a:solidFill>
              <a:schemeClr val="lt1"/>
            </a:solidFill>
          </a:ln>
          <a:effectLst/>
        </c:spPr>
      </c:pivotFmt>
      <c:pivotFmt>
        <c:idx val="308"/>
        <c:spPr>
          <a:solidFill>
            <a:schemeClr val="accent1"/>
          </a:solidFill>
          <a:ln w="19050">
            <a:solidFill>
              <a:schemeClr val="lt1"/>
            </a:solidFill>
          </a:ln>
          <a:effectLst/>
        </c:spPr>
      </c:pivotFmt>
      <c:pivotFmt>
        <c:idx val="309"/>
        <c:spPr>
          <a:solidFill>
            <a:schemeClr val="accent1"/>
          </a:solidFill>
          <a:ln w="19050">
            <a:solidFill>
              <a:schemeClr val="lt1"/>
            </a:solidFill>
          </a:ln>
          <a:effectLst/>
        </c:spPr>
      </c:pivotFmt>
      <c:pivotFmt>
        <c:idx val="310"/>
        <c:spPr>
          <a:solidFill>
            <a:schemeClr val="accent1"/>
          </a:solidFill>
          <a:ln w="19050">
            <a:solidFill>
              <a:schemeClr val="lt1"/>
            </a:solidFill>
          </a:ln>
          <a:effectLst/>
        </c:spPr>
      </c:pivotFmt>
      <c:pivotFmt>
        <c:idx val="311"/>
        <c:spPr>
          <a:solidFill>
            <a:schemeClr val="accent1"/>
          </a:solidFill>
          <a:ln w="19050">
            <a:solidFill>
              <a:schemeClr val="lt1"/>
            </a:solidFill>
          </a:ln>
          <a:effectLst/>
        </c:spPr>
      </c:pivotFmt>
      <c:pivotFmt>
        <c:idx val="312"/>
        <c:spPr>
          <a:solidFill>
            <a:schemeClr val="accent1"/>
          </a:solidFill>
          <a:ln w="19050">
            <a:solidFill>
              <a:schemeClr val="lt1"/>
            </a:solidFill>
          </a:ln>
          <a:effectLst/>
        </c:spPr>
      </c:pivotFmt>
      <c:pivotFmt>
        <c:idx val="313"/>
        <c:spPr>
          <a:solidFill>
            <a:schemeClr val="accent1"/>
          </a:solidFill>
          <a:ln w="19050">
            <a:solidFill>
              <a:schemeClr val="lt1"/>
            </a:solidFill>
          </a:ln>
          <a:effectLst/>
        </c:spPr>
      </c:pivotFmt>
      <c:pivotFmt>
        <c:idx val="314"/>
        <c:spPr>
          <a:solidFill>
            <a:schemeClr val="accent1"/>
          </a:solidFill>
          <a:ln w="19050">
            <a:solidFill>
              <a:schemeClr val="lt1"/>
            </a:solidFill>
          </a:ln>
          <a:effectLst/>
        </c:spPr>
      </c:pivotFmt>
      <c:pivotFmt>
        <c:idx val="315"/>
        <c:spPr>
          <a:solidFill>
            <a:schemeClr val="accent1"/>
          </a:solidFill>
          <a:ln w="19050">
            <a:solidFill>
              <a:schemeClr val="lt1"/>
            </a:solidFill>
          </a:ln>
          <a:effectLst/>
        </c:spPr>
      </c:pivotFmt>
      <c:pivotFmt>
        <c:idx val="316"/>
        <c:spPr>
          <a:solidFill>
            <a:schemeClr val="accent1"/>
          </a:solidFill>
          <a:ln w="19050">
            <a:solidFill>
              <a:schemeClr val="lt1"/>
            </a:solidFill>
          </a:ln>
          <a:effectLst/>
        </c:spPr>
      </c:pivotFmt>
      <c:pivotFmt>
        <c:idx val="317"/>
        <c:spPr>
          <a:solidFill>
            <a:schemeClr val="accent1"/>
          </a:solidFill>
          <a:ln w="19050">
            <a:solidFill>
              <a:schemeClr val="lt1"/>
            </a:solidFill>
          </a:ln>
          <a:effectLst/>
        </c:spPr>
      </c:pivotFmt>
      <c:pivotFmt>
        <c:idx val="318"/>
        <c:spPr>
          <a:solidFill>
            <a:schemeClr val="accent1"/>
          </a:solidFill>
          <a:ln w="19050">
            <a:solidFill>
              <a:schemeClr val="lt1"/>
            </a:solidFill>
          </a:ln>
          <a:effectLst/>
        </c:spPr>
      </c:pivotFmt>
      <c:pivotFmt>
        <c:idx val="319"/>
        <c:spPr>
          <a:solidFill>
            <a:schemeClr val="accent1"/>
          </a:solidFill>
          <a:ln w="19050">
            <a:solidFill>
              <a:schemeClr val="lt1"/>
            </a:solidFill>
          </a:ln>
          <a:effectLst/>
        </c:spPr>
      </c:pivotFmt>
      <c:pivotFmt>
        <c:idx val="320"/>
        <c:spPr>
          <a:solidFill>
            <a:schemeClr val="accent1"/>
          </a:solidFill>
          <a:ln w="19050">
            <a:solidFill>
              <a:schemeClr val="lt1"/>
            </a:solidFill>
          </a:ln>
          <a:effectLst/>
        </c:spPr>
      </c:pivotFmt>
      <c:pivotFmt>
        <c:idx val="321"/>
        <c:spPr>
          <a:solidFill>
            <a:schemeClr val="accent1"/>
          </a:solidFill>
          <a:ln w="19050">
            <a:solidFill>
              <a:schemeClr val="lt1"/>
            </a:solidFill>
          </a:ln>
          <a:effectLst/>
        </c:spPr>
      </c:pivotFmt>
      <c:pivotFmt>
        <c:idx val="322"/>
        <c:spPr>
          <a:solidFill>
            <a:schemeClr val="accent1"/>
          </a:solidFill>
          <a:ln w="19050">
            <a:solidFill>
              <a:schemeClr val="lt1"/>
            </a:solidFill>
          </a:ln>
          <a:effectLst/>
        </c:spPr>
      </c:pivotFmt>
      <c:pivotFmt>
        <c:idx val="323"/>
        <c:spPr>
          <a:solidFill>
            <a:schemeClr val="accent1"/>
          </a:solidFill>
          <a:ln w="19050">
            <a:solidFill>
              <a:schemeClr val="lt1"/>
            </a:solidFill>
          </a:ln>
          <a:effectLst/>
        </c:spPr>
      </c:pivotFmt>
      <c:pivotFmt>
        <c:idx val="324"/>
        <c:spPr>
          <a:solidFill>
            <a:schemeClr val="accent1"/>
          </a:solidFill>
          <a:ln w="19050">
            <a:solidFill>
              <a:schemeClr val="lt1"/>
            </a:solidFill>
          </a:ln>
          <a:effectLst/>
        </c:spPr>
      </c:pivotFmt>
      <c:pivotFmt>
        <c:idx val="325"/>
        <c:spPr>
          <a:solidFill>
            <a:schemeClr val="accent1"/>
          </a:solidFill>
          <a:ln w="19050">
            <a:solidFill>
              <a:schemeClr val="lt1"/>
            </a:solidFill>
          </a:ln>
          <a:effectLst/>
        </c:spPr>
      </c:pivotFmt>
      <c:pivotFmt>
        <c:idx val="326"/>
        <c:spPr>
          <a:solidFill>
            <a:schemeClr val="accent1"/>
          </a:solidFill>
          <a:ln w="19050">
            <a:solidFill>
              <a:schemeClr val="lt1"/>
            </a:solidFill>
          </a:ln>
          <a:effectLst/>
        </c:spPr>
      </c:pivotFmt>
      <c:pivotFmt>
        <c:idx val="327"/>
        <c:spPr>
          <a:solidFill>
            <a:schemeClr val="accent1"/>
          </a:solidFill>
          <a:ln w="19050">
            <a:solidFill>
              <a:schemeClr val="lt1"/>
            </a:solidFill>
          </a:ln>
          <a:effectLst/>
        </c:spPr>
      </c:pivotFmt>
      <c:pivotFmt>
        <c:idx val="328"/>
        <c:spPr>
          <a:solidFill>
            <a:schemeClr val="accent1"/>
          </a:solidFill>
          <a:ln w="19050">
            <a:solidFill>
              <a:schemeClr val="lt1"/>
            </a:solidFill>
          </a:ln>
          <a:effectLst/>
        </c:spPr>
      </c:pivotFmt>
      <c:pivotFmt>
        <c:idx val="329"/>
        <c:spPr>
          <a:solidFill>
            <a:schemeClr val="accent1"/>
          </a:solidFill>
          <a:ln w="19050">
            <a:solidFill>
              <a:schemeClr val="lt1"/>
            </a:solidFill>
          </a:ln>
          <a:effectLst/>
        </c:spPr>
      </c:pivotFmt>
      <c:pivotFmt>
        <c:idx val="330"/>
        <c:spPr>
          <a:solidFill>
            <a:schemeClr val="accent1"/>
          </a:solidFill>
          <a:ln w="19050">
            <a:solidFill>
              <a:schemeClr val="lt1"/>
            </a:solidFill>
          </a:ln>
          <a:effectLst/>
        </c:spPr>
      </c:pivotFmt>
      <c:pivotFmt>
        <c:idx val="331"/>
        <c:spPr>
          <a:solidFill>
            <a:schemeClr val="accent1"/>
          </a:solidFill>
          <a:ln w="19050">
            <a:solidFill>
              <a:schemeClr val="lt1"/>
            </a:solidFill>
          </a:ln>
          <a:effectLst/>
        </c:spPr>
      </c:pivotFmt>
      <c:pivotFmt>
        <c:idx val="332"/>
        <c:spPr>
          <a:solidFill>
            <a:schemeClr val="accent1"/>
          </a:solidFill>
          <a:ln w="19050">
            <a:solidFill>
              <a:schemeClr val="lt1"/>
            </a:solidFill>
          </a:ln>
          <a:effectLst/>
        </c:spPr>
      </c:pivotFmt>
      <c:pivotFmt>
        <c:idx val="333"/>
        <c:spPr>
          <a:solidFill>
            <a:schemeClr val="accent1"/>
          </a:solidFill>
          <a:ln w="19050">
            <a:solidFill>
              <a:schemeClr val="lt1"/>
            </a:solidFill>
          </a:ln>
          <a:effectLst/>
        </c:spPr>
      </c:pivotFmt>
      <c:pivotFmt>
        <c:idx val="334"/>
        <c:spPr>
          <a:solidFill>
            <a:schemeClr val="accent1"/>
          </a:solidFill>
          <a:ln w="19050">
            <a:solidFill>
              <a:schemeClr val="lt1"/>
            </a:solidFill>
          </a:ln>
          <a:effectLst/>
        </c:spPr>
      </c:pivotFmt>
      <c:pivotFmt>
        <c:idx val="335"/>
        <c:spPr>
          <a:solidFill>
            <a:schemeClr val="accent1"/>
          </a:solidFill>
          <a:ln w="19050">
            <a:solidFill>
              <a:schemeClr val="lt1"/>
            </a:solidFill>
          </a:ln>
          <a:effectLst/>
        </c:spPr>
      </c:pivotFmt>
      <c:pivotFmt>
        <c:idx val="336"/>
        <c:spPr>
          <a:solidFill>
            <a:schemeClr val="accent1"/>
          </a:solidFill>
          <a:ln w="19050">
            <a:solidFill>
              <a:schemeClr val="lt1"/>
            </a:solidFill>
          </a:ln>
          <a:effectLst/>
        </c:spPr>
      </c:pivotFmt>
      <c:pivotFmt>
        <c:idx val="337"/>
        <c:spPr>
          <a:solidFill>
            <a:schemeClr val="accent1"/>
          </a:solidFill>
          <a:ln w="19050">
            <a:solidFill>
              <a:schemeClr val="lt1"/>
            </a:solidFill>
          </a:ln>
          <a:effectLst/>
        </c:spPr>
      </c:pivotFmt>
      <c:pivotFmt>
        <c:idx val="338"/>
        <c:spPr>
          <a:solidFill>
            <a:schemeClr val="accent1"/>
          </a:solidFill>
          <a:ln w="19050">
            <a:solidFill>
              <a:schemeClr val="lt1"/>
            </a:solidFill>
          </a:ln>
          <a:effectLst/>
        </c:spPr>
      </c:pivotFmt>
      <c:pivotFmt>
        <c:idx val="339"/>
        <c:spPr>
          <a:solidFill>
            <a:schemeClr val="accent1"/>
          </a:solidFill>
          <a:ln w="19050">
            <a:solidFill>
              <a:schemeClr val="lt1"/>
            </a:solidFill>
          </a:ln>
          <a:effectLst/>
        </c:spPr>
      </c:pivotFmt>
      <c:pivotFmt>
        <c:idx val="340"/>
        <c:spPr>
          <a:solidFill>
            <a:schemeClr val="accent1"/>
          </a:solidFill>
          <a:ln w="19050">
            <a:solidFill>
              <a:schemeClr val="lt1"/>
            </a:solidFill>
          </a:ln>
          <a:effectLst/>
        </c:spPr>
      </c:pivotFmt>
      <c:pivotFmt>
        <c:idx val="341"/>
        <c:spPr>
          <a:solidFill>
            <a:schemeClr val="accent1"/>
          </a:solidFill>
          <a:ln w="19050">
            <a:solidFill>
              <a:schemeClr val="lt1"/>
            </a:solidFill>
          </a:ln>
          <a:effectLst/>
        </c:spPr>
      </c:pivotFmt>
      <c:pivotFmt>
        <c:idx val="342"/>
        <c:spPr>
          <a:solidFill>
            <a:schemeClr val="accent1"/>
          </a:solidFill>
          <a:ln w="19050">
            <a:solidFill>
              <a:schemeClr val="lt1"/>
            </a:solidFill>
          </a:ln>
          <a:effectLst/>
        </c:spPr>
      </c:pivotFmt>
      <c:pivotFmt>
        <c:idx val="343"/>
        <c:spPr>
          <a:solidFill>
            <a:schemeClr val="accent1"/>
          </a:solidFill>
          <a:ln w="19050">
            <a:solidFill>
              <a:schemeClr val="lt1"/>
            </a:solidFill>
          </a:ln>
          <a:effectLst/>
        </c:spPr>
      </c:pivotFmt>
      <c:pivotFmt>
        <c:idx val="344"/>
        <c:spPr>
          <a:solidFill>
            <a:schemeClr val="accent1"/>
          </a:solidFill>
          <a:ln w="19050">
            <a:solidFill>
              <a:schemeClr val="lt1"/>
            </a:solidFill>
          </a:ln>
          <a:effectLst/>
        </c:spPr>
      </c:pivotFmt>
      <c:pivotFmt>
        <c:idx val="345"/>
        <c:spPr>
          <a:solidFill>
            <a:schemeClr val="accent1"/>
          </a:solidFill>
          <a:ln w="19050">
            <a:solidFill>
              <a:schemeClr val="lt1"/>
            </a:solidFill>
          </a:ln>
          <a:effectLst/>
        </c:spPr>
      </c:pivotFmt>
      <c:pivotFmt>
        <c:idx val="346"/>
        <c:spPr>
          <a:solidFill>
            <a:schemeClr val="accent1"/>
          </a:solidFill>
          <a:ln w="19050">
            <a:solidFill>
              <a:schemeClr val="lt1"/>
            </a:solidFill>
          </a:ln>
          <a:effectLst/>
        </c:spPr>
      </c:pivotFmt>
      <c:pivotFmt>
        <c:idx val="347"/>
        <c:spPr>
          <a:solidFill>
            <a:schemeClr val="accent1"/>
          </a:solidFill>
          <a:ln w="19050">
            <a:solidFill>
              <a:schemeClr val="lt1"/>
            </a:solidFill>
          </a:ln>
          <a:effectLst/>
        </c:spPr>
      </c:pivotFmt>
      <c:pivotFmt>
        <c:idx val="348"/>
        <c:spPr>
          <a:solidFill>
            <a:schemeClr val="accent1"/>
          </a:solidFill>
          <a:ln w="19050">
            <a:solidFill>
              <a:schemeClr val="lt1"/>
            </a:solidFill>
          </a:ln>
          <a:effectLst/>
        </c:spPr>
      </c:pivotFmt>
      <c:pivotFmt>
        <c:idx val="349"/>
        <c:spPr>
          <a:solidFill>
            <a:schemeClr val="accent1"/>
          </a:solidFill>
          <a:ln w="19050">
            <a:solidFill>
              <a:schemeClr val="lt1"/>
            </a:solidFill>
          </a:ln>
          <a:effectLst/>
        </c:spPr>
      </c:pivotFmt>
      <c:pivotFmt>
        <c:idx val="350"/>
        <c:spPr>
          <a:solidFill>
            <a:schemeClr val="accent1"/>
          </a:solidFill>
          <a:ln w="19050">
            <a:solidFill>
              <a:schemeClr val="lt1"/>
            </a:solidFill>
          </a:ln>
          <a:effectLst/>
        </c:spPr>
      </c:pivotFmt>
      <c:pivotFmt>
        <c:idx val="351"/>
        <c:spPr>
          <a:solidFill>
            <a:schemeClr val="accent1"/>
          </a:solidFill>
          <a:ln w="19050">
            <a:solidFill>
              <a:schemeClr val="lt1"/>
            </a:solidFill>
          </a:ln>
          <a:effectLst/>
        </c:spPr>
      </c:pivotFmt>
      <c:pivotFmt>
        <c:idx val="352"/>
        <c:spPr>
          <a:solidFill>
            <a:schemeClr val="accent1"/>
          </a:solidFill>
          <a:ln w="19050">
            <a:solidFill>
              <a:schemeClr val="lt1"/>
            </a:solidFill>
          </a:ln>
          <a:effectLst/>
        </c:spPr>
      </c:pivotFmt>
      <c:pivotFmt>
        <c:idx val="353"/>
        <c:spPr>
          <a:solidFill>
            <a:schemeClr val="accent1"/>
          </a:solidFill>
          <a:ln w="19050">
            <a:solidFill>
              <a:schemeClr val="lt1"/>
            </a:solidFill>
          </a:ln>
          <a:effectLst/>
        </c:spPr>
      </c:pivotFmt>
      <c:pivotFmt>
        <c:idx val="354"/>
        <c:spPr>
          <a:solidFill>
            <a:schemeClr val="accent1"/>
          </a:solidFill>
          <a:ln w="19050">
            <a:solidFill>
              <a:schemeClr val="lt1"/>
            </a:solidFill>
          </a:ln>
          <a:effectLst/>
        </c:spPr>
      </c:pivotFmt>
      <c:pivotFmt>
        <c:idx val="355"/>
        <c:spPr>
          <a:solidFill>
            <a:schemeClr val="accent1"/>
          </a:solidFill>
          <a:ln w="19050">
            <a:solidFill>
              <a:schemeClr val="lt1"/>
            </a:solidFill>
          </a:ln>
          <a:effectLst/>
        </c:spPr>
      </c:pivotFmt>
      <c:pivotFmt>
        <c:idx val="356"/>
        <c:spPr>
          <a:solidFill>
            <a:schemeClr val="accent1"/>
          </a:solidFill>
          <a:ln w="19050">
            <a:solidFill>
              <a:schemeClr val="lt1"/>
            </a:solidFill>
          </a:ln>
          <a:effectLst/>
        </c:spPr>
      </c:pivotFmt>
      <c:pivotFmt>
        <c:idx val="357"/>
        <c:spPr>
          <a:solidFill>
            <a:schemeClr val="accent1"/>
          </a:solidFill>
          <a:ln w="19050">
            <a:solidFill>
              <a:schemeClr val="lt1"/>
            </a:solidFill>
          </a:ln>
          <a:effectLst/>
        </c:spPr>
      </c:pivotFmt>
      <c:pivotFmt>
        <c:idx val="358"/>
        <c:spPr>
          <a:solidFill>
            <a:schemeClr val="accent1"/>
          </a:solidFill>
          <a:ln w="19050">
            <a:solidFill>
              <a:schemeClr val="lt1"/>
            </a:solidFill>
          </a:ln>
          <a:effectLst/>
        </c:spPr>
      </c:pivotFmt>
      <c:pivotFmt>
        <c:idx val="359"/>
        <c:spPr>
          <a:solidFill>
            <a:schemeClr val="accent1"/>
          </a:solidFill>
          <a:ln w="19050">
            <a:solidFill>
              <a:schemeClr val="lt1"/>
            </a:solidFill>
          </a:ln>
          <a:effectLst/>
        </c:spPr>
      </c:pivotFmt>
      <c:pivotFmt>
        <c:idx val="360"/>
        <c:spPr>
          <a:solidFill>
            <a:schemeClr val="accent1"/>
          </a:solidFill>
          <a:ln w="19050">
            <a:solidFill>
              <a:schemeClr val="lt1"/>
            </a:solidFill>
          </a:ln>
          <a:effectLst/>
        </c:spPr>
      </c:pivotFmt>
      <c:pivotFmt>
        <c:idx val="361"/>
        <c:spPr>
          <a:solidFill>
            <a:schemeClr val="accent1"/>
          </a:solidFill>
          <a:ln w="19050">
            <a:solidFill>
              <a:schemeClr val="lt1"/>
            </a:solidFill>
          </a:ln>
          <a:effectLst/>
        </c:spPr>
      </c:pivotFmt>
      <c:pivotFmt>
        <c:idx val="362"/>
        <c:spPr>
          <a:solidFill>
            <a:schemeClr val="accent1"/>
          </a:solidFill>
          <a:ln w="19050">
            <a:solidFill>
              <a:schemeClr val="lt1"/>
            </a:solidFill>
          </a:ln>
          <a:effectLst/>
        </c:spPr>
      </c:pivotFmt>
      <c:pivotFmt>
        <c:idx val="363"/>
        <c:spPr>
          <a:solidFill>
            <a:schemeClr val="accent1"/>
          </a:solidFill>
          <a:ln w="19050">
            <a:solidFill>
              <a:schemeClr val="lt1"/>
            </a:solidFill>
          </a:ln>
          <a:effectLst/>
        </c:spPr>
      </c:pivotFmt>
      <c:pivotFmt>
        <c:idx val="364"/>
        <c:spPr>
          <a:solidFill>
            <a:schemeClr val="accent1"/>
          </a:solidFill>
          <a:ln w="19050">
            <a:solidFill>
              <a:schemeClr val="lt1"/>
            </a:solidFill>
          </a:ln>
          <a:effectLst/>
        </c:spPr>
      </c:pivotFmt>
      <c:pivotFmt>
        <c:idx val="365"/>
        <c:spPr>
          <a:solidFill>
            <a:schemeClr val="accent1"/>
          </a:solidFill>
          <a:ln w="19050">
            <a:solidFill>
              <a:schemeClr val="lt1"/>
            </a:solidFill>
          </a:ln>
          <a:effectLst/>
        </c:spPr>
      </c:pivotFmt>
      <c:pivotFmt>
        <c:idx val="366"/>
        <c:spPr>
          <a:solidFill>
            <a:schemeClr val="accent1"/>
          </a:solidFill>
          <a:ln w="19050">
            <a:solidFill>
              <a:schemeClr val="lt1"/>
            </a:solidFill>
          </a:ln>
          <a:effectLst/>
        </c:spPr>
      </c:pivotFmt>
      <c:pivotFmt>
        <c:idx val="367"/>
        <c:spPr>
          <a:solidFill>
            <a:schemeClr val="accent1"/>
          </a:solidFill>
          <a:ln w="19050">
            <a:solidFill>
              <a:schemeClr val="lt1"/>
            </a:solidFill>
          </a:ln>
          <a:effectLst/>
        </c:spPr>
      </c:pivotFmt>
      <c:pivotFmt>
        <c:idx val="368"/>
        <c:spPr>
          <a:solidFill>
            <a:schemeClr val="accent1"/>
          </a:solidFill>
          <a:ln w="19050">
            <a:solidFill>
              <a:schemeClr val="lt1"/>
            </a:solidFill>
          </a:ln>
          <a:effectLst/>
        </c:spPr>
      </c:pivotFmt>
      <c:pivotFmt>
        <c:idx val="369"/>
        <c:spPr>
          <a:solidFill>
            <a:schemeClr val="accent1"/>
          </a:solidFill>
          <a:ln w="19050">
            <a:solidFill>
              <a:schemeClr val="lt1"/>
            </a:solidFill>
          </a:ln>
          <a:effectLst/>
        </c:spPr>
      </c:pivotFmt>
      <c:pivotFmt>
        <c:idx val="370"/>
        <c:spPr>
          <a:solidFill>
            <a:schemeClr val="accent1"/>
          </a:solidFill>
          <a:ln w="19050">
            <a:solidFill>
              <a:schemeClr val="lt1"/>
            </a:solidFill>
          </a:ln>
          <a:effectLst/>
        </c:spPr>
      </c:pivotFmt>
      <c:pivotFmt>
        <c:idx val="371"/>
        <c:spPr>
          <a:solidFill>
            <a:schemeClr val="accent1"/>
          </a:solidFill>
          <a:ln w="19050">
            <a:solidFill>
              <a:schemeClr val="lt1"/>
            </a:solidFill>
          </a:ln>
          <a:effectLst/>
        </c:spPr>
      </c:pivotFmt>
      <c:pivotFmt>
        <c:idx val="372"/>
        <c:spPr>
          <a:solidFill>
            <a:schemeClr val="accent1"/>
          </a:solidFill>
          <a:ln w="19050">
            <a:solidFill>
              <a:schemeClr val="lt1"/>
            </a:solidFill>
          </a:ln>
          <a:effectLst/>
        </c:spPr>
      </c:pivotFmt>
      <c:pivotFmt>
        <c:idx val="373"/>
        <c:spPr>
          <a:solidFill>
            <a:schemeClr val="accent1"/>
          </a:solidFill>
          <a:ln w="19050">
            <a:solidFill>
              <a:schemeClr val="lt1"/>
            </a:solidFill>
          </a:ln>
          <a:effectLst/>
        </c:spPr>
      </c:pivotFmt>
      <c:pivotFmt>
        <c:idx val="374"/>
        <c:spPr>
          <a:solidFill>
            <a:schemeClr val="accent1"/>
          </a:solidFill>
          <a:ln w="19050">
            <a:solidFill>
              <a:schemeClr val="lt1"/>
            </a:solidFill>
          </a:ln>
          <a:effectLst/>
        </c:spPr>
      </c:pivotFmt>
      <c:pivotFmt>
        <c:idx val="375"/>
        <c:spPr>
          <a:solidFill>
            <a:schemeClr val="accent1"/>
          </a:solidFill>
          <a:ln w="19050">
            <a:solidFill>
              <a:schemeClr val="lt1"/>
            </a:solidFill>
          </a:ln>
          <a:effectLst/>
        </c:spPr>
      </c:pivotFmt>
      <c:pivotFmt>
        <c:idx val="376"/>
        <c:spPr>
          <a:solidFill>
            <a:schemeClr val="accent1"/>
          </a:solidFill>
          <a:ln w="19050">
            <a:solidFill>
              <a:schemeClr val="lt1"/>
            </a:solidFill>
          </a:ln>
          <a:effectLst/>
        </c:spPr>
      </c:pivotFmt>
      <c:pivotFmt>
        <c:idx val="377"/>
        <c:spPr>
          <a:solidFill>
            <a:schemeClr val="accent1"/>
          </a:solidFill>
          <a:ln w="19050">
            <a:solidFill>
              <a:schemeClr val="lt1"/>
            </a:solidFill>
          </a:ln>
          <a:effectLst/>
        </c:spPr>
      </c:pivotFmt>
      <c:pivotFmt>
        <c:idx val="378"/>
        <c:spPr>
          <a:solidFill>
            <a:schemeClr val="accent1"/>
          </a:solidFill>
          <a:ln w="19050">
            <a:solidFill>
              <a:schemeClr val="lt1"/>
            </a:solidFill>
          </a:ln>
          <a:effectLst/>
        </c:spPr>
      </c:pivotFmt>
      <c:pivotFmt>
        <c:idx val="379"/>
        <c:spPr>
          <a:solidFill>
            <a:schemeClr val="accent1"/>
          </a:solidFill>
          <a:ln w="19050">
            <a:solidFill>
              <a:schemeClr val="lt1"/>
            </a:solidFill>
          </a:ln>
          <a:effectLst/>
        </c:spPr>
      </c:pivotFmt>
      <c:pivotFmt>
        <c:idx val="380"/>
        <c:spPr>
          <a:solidFill>
            <a:schemeClr val="accent1"/>
          </a:solidFill>
          <a:ln w="19050">
            <a:solidFill>
              <a:schemeClr val="lt1"/>
            </a:solidFill>
          </a:ln>
          <a:effectLst/>
        </c:spPr>
      </c:pivotFmt>
      <c:pivotFmt>
        <c:idx val="381"/>
        <c:spPr>
          <a:solidFill>
            <a:schemeClr val="accent1"/>
          </a:solidFill>
          <a:ln w="19050">
            <a:solidFill>
              <a:schemeClr val="lt1"/>
            </a:solidFill>
          </a:ln>
          <a:effectLst/>
        </c:spPr>
      </c:pivotFmt>
      <c:pivotFmt>
        <c:idx val="382"/>
        <c:spPr>
          <a:solidFill>
            <a:schemeClr val="accent1"/>
          </a:solidFill>
          <a:ln w="19050">
            <a:solidFill>
              <a:schemeClr val="lt1"/>
            </a:solidFill>
          </a:ln>
          <a:effectLst/>
        </c:spPr>
      </c:pivotFmt>
      <c:pivotFmt>
        <c:idx val="383"/>
        <c:spPr>
          <a:solidFill>
            <a:schemeClr val="accent1"/>
          </a:solidFill>
          <a:ln w="19050">
            <a:solidFill>
              <a:schemeClr val="lt1"/>
            </a:solidFill>
          </a:ln>
          <a:effectLst/>
        </c:spPr>
      </c:pivotFmt>
      <c:pivotFmt>
        <c:idx val="384"/>
        <c:spPr>
          <a:solidFill>
            <a:schemeClr val="accent1"/>
          </a:solidFill>
          <a:ln w="19050">
            <a:solidFill>
              <a:schemeClr val="lt1"/>
            </a:solidFill>
          </a:ln>
          <a:effectLst/>
        </c:spPr>
      </c:pivotFmt>
      <c:pivotFmt>
        <c:idx val="385"/>
        <c:spPr>
          <a:solidFill>
            <a:schemeClr val="accent1"/>
          </a:solidFill>
          <a:ln w="19050">
            <a:solidFill>
              <a:schemeClr val="lt1"/>
            </a:solidFill>
          </a:ln>
          <a:effectLst/>
        </c:spPr>
      </c:pivotFmt>
      <c:pivotFmt>
        <c:idx val="386"/>
        <c:spPr>
          <a:solidFill>
            <a:schemeClr val="accent1"/>
          </a:solidFill>
          <a:ln w="19050">
            <a:solidFill>
              <a:schemeClr val="lt1"/>
            </a:solidFill>
          </a:ln>
          <a:effectLst/>
        </c:spPr>
      </c:pivotFmt>
      <c:pivotFmt>
        <c:idx val="387"/>
        <c:spPr>
          <a:solidFill>
            <a:schemeClr val="accent1"/>
          </a:solidFill>
          <a:ln w="19050">
            <a:solidFill>
              <a:schemeClr val="lt1"/>
            </a:solidFill>
          </a:ln>
          <a:effectLst/>
        </c:spPr>
      </c:pivotFmt>
      <c:pivotFmt>
        <c:idx val="388"/>
        <c:spPr>
          <a:solidFill>
            <a:schemeClr val="accent1"/>
          </a:solidFill>
          <a:ln w="19050">
            <a:solidFill>
              <a:schemeClr val="lt1"/>
            </a:solidFill>
          </a:ln>
          <a:effectLst/>
        </c:spPr>
      </c:pivotFmt>
      <c:pivotFmt>
        <c:idx val="389"/>
        <c:spPr>
          <a:solidFill>
            <a:schemeClr val="accent1"/>
          </a:solidFill>
          <a:ln w="19050">
            <a:solidFill>
              <a:schemeClr val="lt1"/>
            </a:solidFill>
          </a:ln>
          <a:effectLst/>
        </c:spPr>
      </c:pivotFmt>
      <c:pivotFmt>
        <c:idx val="390"/>
        <c:spPr>
          <a:solidFill>
            <a:schemeClr val="accent1"/>
          </a:solidFill>
          <a:ln w="19050">
            <a:solidFill>
              <a:schemeClr val="lt1"/>
            </a:solidFill>
          </a:ln>
          <a:effectLst/>
        </c:spPr>
      </c:pivotFmt>
      <c:pivotFmt>
        <c:idx val="391"/>
        <c:spPr>
          <a:solidFill>
            <a:schemeClr val="accent1"/>
          </a:solidFill>
          <a:ln w="19050">
            <a:solidFill>
              <a:schemeClr val="lt1"/>
            </a:solidFill>
          </a:ln>
          <a:effectLst/>
        </c:spPr>
      </c:pivotFmt>
      <c:pivotFmt>
        <c:idx val="392"/>
        <c:spPr>
          <a:solidFill>
            <a:schemeClr val="accent1"/>
          </a:solidFill>
          <a:ln w="19050">
            <a:solidFill>
              <a:schemeClr val="lt1"/>
            </a:solidFill>
          </a:ln>
          <a:effectLst/>
        </c:spPr>
      </c:pivotFmt>
      <c:pivotFmt>
        <c:idx val="393"/>
        <c:spPr>
          <a:solidFill>
            <a:schemeClr val="accent1"/>
          </a:solidFill>
          <a:ln w="19050">
            <a:solidFill>
              <a:schemeClr val="lt1"/>
            </a:solidFill>
          </a:ln>
          <a:effectLst/>
        </c:spPr>
      </c:pivotFmt>
      <c:pivotFmt>
        <c:idx val="394"/>
        <c:spPr>
          <a:solidFill>
            <a:schemeClr val="accent1"/>
          </a:solidFill>
          <a:ln w="19050">
            <a:solidFill>
              <a:schemeClr val="lt1"/>
            </a:solidFill>
          </a:ln>
          <a:effectLst/>
        </c:spPr>
      </c:pivotFmt>
      <c:pivotFmt>
        <c:idx val="395"/>
        <c:spPr>
          <a:solidFill>
            <a:schemeClr val="accent1"/>
          </a:solidFill>
          <a:ln w="19050">
            <a:solidFill>
              <a:schemeClr val="lt1"/>
            </a:solidFill>
          </a:ln>
          <a:effectLst/>
        </c:spPr>
      </c:pivotFmt>
      <c:pivotFmt>
        <c:idx val="396"/>
        <c:spPr>
          <a:solidFill>
            <a:schemeClr val="accent1"/>
          </a:solidFill>
          <a:ln w="19050">
            <a:solidFill>
              <a:schemeClr val="lt1"/>
            </a:solidFill>
          </a:ln>
          <a:effectLst/>
        </c:spPr>
      </c:pivotFmt>
      <c:pivotFmt>
        <c:idx val="397"/>
        <c:spPr>
          <a:solidFill>
            <a:schemeClr val="accent1"/>
          </a:solidFill>
          <a:ln w="19050">
            <a:solidFill>
              <a:schemeClr val="lt1"/>
            </a:solidFill>
          </a:ln>
          <a:effectLst/>
        </c:spPr>
      </c:pivotFmt>
      <c:pivotFmt>
        <c:idx val="398"/>
        <c:spPr>
          <a:solidFill>
            <a:schemeClr val="accent1"/>
          </a:solidFill>
          <a:ln w="19050">
            <a:solidFill>
              <a:schemeClr val="lt1"/>
            </a:solidFill>
          </a:ln>
          <a:effectLst/>
        </c:spPr>
      </c:pivotFmt>
      <c:pivotFmt>
        <c:idx val="399"/>
        <c:spPr>
          <a:solidFill>
            <a:schemeClr val="accent1"/>
          </a:solidFill>
          <a:ln w="19050">
            <a:solidFill>
              <a:schemeClr val="lt1"/>
            </a:solidFill>
          </a:ln>
          <a:effectLst/>
        </c:spPr>
      </c:pivotFmt>
      <c:pivotFmt>
        <c:idx val="400"/>
        <c:spPr>
          <a:solidFill>
            <a:schemeClr val="accent1"/>
          </a:solidFill>
          <a:ln w="19050">
            <a:solidFill>
              <a:schemeClr val="lt1"/>
            </a:solidFill>
          </a:ln>
          <a:effectLst/>
        </c:spPr>
      </c:pivotFmt>
      <c:pivotFmt>
        <c:idx val="401"/>
        <c:spPr>
          <a:solidFill>
            <a:schemeClr val="accent1"/>
          </a:solidFill>
          <a:ln w="19050">
            <a:solidFill>
              <a:schemeClr val="lt1"/>
            </a:solidFill>
          </a:ln>
          <a:effectLst/>
        </c:spPr>
      </c:pivotFmt>
      <c:pivotFmt>
        <c:idx val="402"/>
        <c:spPr>
          <a:solidFill>
            <a:schemeClr val="accent1"/>
          </a:solidFill>
          <a:ln w="19050">
            <a:solidFill>
              <a:schemeClr val="lt1"/>
            </a:solidFill>
          </a:ln>
          <a:effectLst/>
        </c:spPr>
      </c:pivotFmt>
      <c:pivotFmt>
        <c:idx val="403"/>
        <c:spPr>
          <a:solidFill>
            <a:schemeClr val="accent1"/>
          </a:solidFill>
          <a:ln w="19050">
            <a:solidFill>
              <a:schemeClr val="lt1"/>
            </a:solidFill>
          </a:ln>
          <a:effectLst/>
        </c:spPr>
      </c:pivotFmt>
      <c:pivotFmt>
        <c:idx val="404"/>
        <c:spPr>
          <a:solidFill>
            <a:schemeClr val="accent1"/>
          </a:solidFill>
          <a:ln w="19050">
            <a:solidFill>
              <a:schemeClr val="lt1"/>
            </a:solidFill>
          </a:ln>
          <a:effectLst/>
        </c:spPr>
      </c:pivotFmt>
      <c:pivotFmt>
        <c:idx val="405"/>
        <c:spPr>
          <a:solidFill>
            <a:schemeClr val="accent1"/>
          </a:solidFill>
          <a:ln w="19050">
            <a:solidFill>
              <a:schemeClr val="lt1"/>
            </a:solidFill>
          </a:ln>
          <a:effectLst/>
        </c:spPr>
      </c:pivotFmt>
      <c:pivotFmt>
        <c:idx val="406"/>
        <c:spPr>
          <a:solidFill>
            <a:schemeClr val="accent1"/>
          </a:solidFill>
          <a:ln w="19050">
            <a:solidFill>
              <a:schemeClr val="lt1"/>
            </a:solidFill>
          </a:ln>
          <a:effectLst/>
        </c:spPr>
      </c:pivotFmt>
      <c:pivotFmt>
        <c:idx val="407"/>
        <c:spPr>
          <a:solidFill>
            <a:schemeClr val="accent1"/>
          </a:solidFill>
          <a:ln w="19050">
            <a:solidFill>
              <a:schemeClr val="lt1"/>
            </a:solidFill>
          </a:ln>
          <a:effectLst/>
        </c:spPr>
      </c:pivotFmt>
      <c:pivotFmt>
        <c:idx val="408"/>
        <c:spPr>
          <a:solidFill>
            <a:schemeClr val="accent1"/>
          </a:solidFill>
          <a:ln w="19050">
            <a:solidFill>
              <a:schemeClr val="lt1"/>
            </a:solidFill>
          </a:ln>
          <a:effectLst/>
        </c:spPr>
      </c:pivotFmt>
      <c:pivotFmt>
        <c:idx val="409"/>
        <c:spPr>
          <a:solidFill>
            <a:schemeClr val="accent1"/>
          </a:solidFill>
          <a:ln w="19050">
            <a:solidFill>
              <a:schemeClr val="lt1"/>
            </a:solidFill>
          </a:ln>
          <a:effectLst/>
        </c:spPr>
      </c:pivotFmt>
      <c:pivotFmt>
        <c:idx val="410"/>
        <c:spPr>
          <a:solidFill>
            <a:schemeClr val="accent1"/>
          </a:solidFill>
          <a:ln w="19050">
            <a:solidFill>
              <a:schemeClr val="lt1"/>
            </a:solidFill>
          </a:ln>
          <a:effectLst/>
        </c:spPr>
      </c:pivotFmt>
      <c:pivotFmt>
        <c:idx val="411"/>
        <c:spPr>
          <a:solidFill>
            <a:schemeClr val="accent1"/>
          </a:solidFill>
          <a:ln w="19050">
            <a:solidFill>
              <a:schemeClr val="lt1"/>
            </a:solidFill>
          </a:ln>
          <a:effectLst/>
        </c:spPr>
      </c:pivotFmt>
      <c:pivotFmt>
        <c:idx val="412"/>
        <c:spPr>
          <a:solidFill>
            <a:schemeClr val="accent1"/>
          </a:solidFill>
          <a:ln w="19050">
            <a:solidFill>
              <a:schemeClr val="lt1"/>
            </a:solidFill>
          </a:ln>
          <a:effectLst/>
        </c:spPr>
      </c:pivotFmt>
      <c:pivotFmt>
        <c:idx val="413"/>
        <c:spPr>
          <a:solidFill>
            <a:schemeClr val="accent1"/>
          </a:solidFill>
          <a:ln w="19050">
            <a:solidFill>
              <a:schemeClr val="lt1"/>
            </a:solidFill>
          </a:ln>
          <a:effectLst/>
        </c:spPr>
      </c:pivotFmt>
      <c:pivotFmt>
        <c:idx val="414"/>
        <c:spPr>
          <a:solidFill>
            <a:schemeClr val="accent1"/>
          </a:solidFill>
          <a:ln w="19050">
            <a:solidFill>
              <a:schemeClr val="lt1"/>
            </a:solidFill>
          </a:ln>
          <a:effectLst/>
        </c:spPr>
      </c:pivotFmt>
      <c:pivotFmt>
        <c:idx val="415"/>
        <c:spPr>
          <a:solidFill>
            <a:schemeClr val="accent1"/>
          </a:solidFill>
          <a:ln w="19050">
            <a:solidFill>
              <a:schemeClr val="lt1"/>
            </a:solidFill>
          </a:ln>
          <a:effectLst/>
        </c:spPr>
      </c:pivotFmt>
      <c:pivotFmt>
        <c:idx val="416"/>
        <c:spPr>
          <a:solidFill>
            <a:schemeClr val="accent1"/>
          </a:solidFill>
          <a:ln w="19050">
            <a:solidFill>
              <a:schemeClr val="lt1"/>
            </a:solidFill>
          </a:ln>
          <a:effectLst/>
        </c:spPr>
      </c:pivotFmt>
      <c:pivotFmt>
        <c:idx val="417"/>
        <c:spPr>
          <a:solidFill>
            <a:schemeClr val="accent1"/>
          </a:solidFill>
          <a:ln w="19050">
            <a:solidFill>
              <a:schemeClr val="lt1"/>
            </a:solidFill>
          </a:ln>
          <a:effectLst/>
        </c:spPr>
      </c:pivotFmt>
      <c:pivotFmt>
        <c:idx val="418"/>
        <c:spPr>
          <a:solidFill>
            <a:schemeClr val="accent1"/>
          </a:solidFill>
          <a:ln w="19050">
            <a:solidFill>
              <a:schemeClr val="lt1"/>
            </a:solidFill>
          </a:ln>
          <a:effectLst/>
        </c:spPr>
      </c:pivotFmt>
      <c:pivotFmt>
        <c:idx val="419"/>
        <c:spPr>
          <a:solidFill>
            <a:schemeClr val="accent1"/>
          </a:solidFill>
          <a:ln w="19050">
            <a:solidFill>
              <a:schemeClr val="lt1"/>
            </a:solidFill>
          </a:ln>
          <a:effectLst/>
        </c:spPr>
      </c:pivotFmt>
      <c:pivotFmt>
        <c:idx val="420"/>
        <c:spPr>
          <a:solidFill>
            <a:schemeClr val="accent1"/>
          </a:solidFill>
          <a:ln w="19050">
            <a:solidFill>
              <a:schemeClr val="lt1"/>
            </a:solidFill>
          </a:ln>
          <a:effectLst/>
        </c:spPr>
      </c:pivotFmt>
      <c:pivotFmt>
        <c:idx val="421"/>
        <c:spPr>
          <a:solidFill>
            <a:schemeClr val="accent1"/>
          </a:solidFill>
          <a:ln w="19050">
            <a:solidFill>
              <a:schemeClr val="lt1"/>
            </a:solidFill>
          </a:ln>
          <a:effectLst/>
        </c:spPr>
      </c:pivotFmt>
      <c:pivotFmt>
        <c:idx val="422"/>
        <c:spPr>
          <a:solidFill>
            <a:schemeClr val="accent1"/>
          </a:solidFill>
          <a:ln w="19050">
            <a:solidFill>
              <a:schemeClr val="lt1"/>
            </a:solidFill>
          </a:ln>
          <a:effectLst/>
        </c:spPr>
      </c:pivotFmt>
      <c:pivotFmt>
        <c:idx val="423"/>
        <c:spPr>
          <a:solidFill>
            <a:schemeClr val="accent1"/>
          </a:solidFill>
          <a:ln w="19050">
            <a:solidFill>
              <a:schemeClr val="lt1"/>
            </a:solidFill>
          </a:ln>
          <a:effectLst/>
        </c:spPr>
      </c:pivotFmt>
      <c:pivotFmt>
        <c:idx val="424"/>
        <c:spPr>
          <a:solidFill>
            <a:schemeClr val="accent1"/>
          </a:solidFill>
          <a:ln w="19050">
            <a:solidFill>
              <a:schemeClr val="lt1"/>
            </a:solidFill>
          </a:ln>
          <a:effectLst/>
        </c:spPr>
      </c:pivotFmt>
      <c:pivotFmt>
        <c:idx val="425"/>
        <c:spPr>
          <a:solidFill>
            <a:schemeClr val="accent1"/>
          </a:solidFill>
          <a:ln w="19050">
            <a:solidFill>
              <a:schemeClr val="lt1"/>
            </a:solidFill>
          </a:ln>
          <a:effectLst/>
        </c:spPr>
      </c:pivotFmt>
      <c:pivotFmt>
        <c:idx val="426"/>
        <c:spPr>
          <a:solidFill>
            <a:schemeClr val="accent1"/>
          </a:solidFill>
          <a:ln w="19050">
            <a:solidFill>
              <a:schemeClr val="lt1"/>
            </a:solidFill>
          </a:ln>
          <a:effectLst/>
        </c:spPr>
      </c:pivotFmt>
      <c:pivotFmt>
        <c:idx val="427"/>
        <c:spPr>
          <a:solidFill>
            <a:schemeClr val="accent1"/>
          </a:solidFill>
          <a:ln w="19050">
            <a:solidFill>
              <a:schemeClr val="lt1"/>
            </a:solidFill>
          </a:ln>
          <a:effectLst/>
        </c:spPr>
      </c:pivotFmt>
      <c:pivotFmt>
        <c:idx val="428"/>
        <c:spPr>
          <a:solidFill>
            <a:schemeClr val="accent1"/>
          </a:solidFill>
          <a:ln w="19050">
            <a:solidFill>
              <a:schemeClr val="lt1"/>
            </a:solidFill>
          </a:ln>
          <a:effectLst/>
        </c:spPr>
      </c:pivotFmt>
      <c:pivotFmt>
        <c:idx val="429"/>
        <c:spPr>
          <a:solidFill>
            <a:schemeClr val="accent1"/>
          </a:solidFill>
          <a:ln w="19050">
            <a:solidFill>
              <a:schemeClr val="lt1"/>
            </a:solidFill>
          </a:ln>
          <a:effectLst/>
        </c:spPr>
      </c:pivotFmt>
      <c:pivotFmt>
        <c:idx val="430"/>
        <c:spPr>
          <a:solidFill>
            <a:schemeClr val="accent1"/>
          </a:solidFill>
          <a:ln w="19050">
            <a:solidFill>
              <a:schemeClr val="lt1"/>
            </a:solidFill>
          </a:ln>
          <a:effectLst/>
        </c:spPr>
      </c:pivotFmt>
      <c:pivotFmt>
        <c:idx val="431"/>
        <c:spPr>
          <a:solidFill>
            <a:schemeClr val="accent1"/>
          </a:solidFill>
          <a:ln w="19050">
            <a:solidFill>
              <a:schemeClr val="lt1"/>
            </a:solidFill>
          </a:ln>
          <a:effectLst/>
        </c:spPr>
      </c:pivotFmt>
      <c:pivotFmt>
        <c:idx val="432"/>
        <c:spPr>
          <a:solidFill>
            <a:schemeClr val="accent1"/>
          </a:solidFill>
          <a:ln w="19050">
            <a:solidFill>
              <a:schemeClr val="lt1"/>
            </a:solidFill>
          </a:ln>
          <a:effectLst/>
        </c:spPr>
      </c:pivotFmt>
      <c:pivotFmt>
        <c:idx val="433"/>
        <c:spPr>
          <a:solidFill>
            <a:schemeClr val="accent1"/>
          </a:solidFill>
          <a:ln w="19050">
            <a:solidFill>
              <a:schemeClr val="lt1"/>
            </a:solidFill>
          </a:ln>
          <a:effectLst/>
        </c:spPr>
      </c:pivotFmt>
      <c:pivotFmt>
        <c:idx val="434"/>
        <c:spPr>
          <a:solidFill>
            <a:schemeClr val="accent1"/>
          </a:solidFill>
          <a:ln w="19050">
            <a:solidFill>
              <a:schemeClr val="lt1"/>
            </a:solidFill>
          </a:ln>
          <a:effectLst/>
        </c:spPr>
      </c:pivotFmt>
      <c:pivotFmt>
        <c:idx val="435"/>
        <c:spPr>
          <a:solidFill>
            <a:schemeClr val="accent1"/>
          </a:solidFill>
          <a:ln w="19050">
            <a:solidFill>
              <a:schemeClr val="lt1"/>
            </a:solidFill>
          </a:ln>
          <a:effectLst/>
        </c:spPr>
      </c:pivotFmt>
      <c:pivotFmt>
        <c:idx val="436"/>
        <c:spPr>
          <a:solidFill>
            <a:schemeClr val="accent1"/>
          </a:solidFill>
          <a:ln w="19050">
            <a:solidFill>
              <a:schemeClr val="lt1"/>
            </a:solidFill>
          </a:ln>
          <a:effectLst/>
        </c:spPr>
      </c:pivotFmt>
      <c:pivotFmt>
        <c:idx val="437"/>
        <c:spPr>
          <a:solidFill>
            <a:schemeClr val="accent1"/>
          </a:solidFill>
          <a:ln w="19050">
            <a:solidFill>
              <a:schemeClr val="lt1"/>
            </a:solidFill>
          </a:ln>
          <a:effectLst/>
        </c:spPr>
      </c:pivotFmt>
      <c:pivotFmt>
        <c:idx val="438"/>
        <c:spPr>
          <a:solidFill>
            <a:schemeClr val="accent1"/>
          </a:solidFill>
          <a:ln w="19050">
            <a:solidFill>
              <a:schemeClr val="lt1"/>
            </a:solidFill>
          </a:ln>
          <a:effectLst/>
        </c:spPr>
      </c:pivotFmt>
      <c:pivotFmt>
        <c:idx val="439"/>
        <c:spPr>
          <a:solidFill>
            <a:schemeClr val="accent1"/>
          </a:solidFill>
          <a:ln w="19050">
            <a:solidFill>
              <a:schemeClr val="lt1"/>
            </a:solidFill>
          </a:ln>
          <a:effectLst/>
        </c:spPr>
      </c:pivotFmt>
      <c:pivotFmt>
        <c:idx val="440"/>
        <c:spPr>
          <a:solidFill>
            <a:schemeClr val="accent1"/>
          </a:solidFill>
          <a:ln w="19050">
            <a:solidFill>
              <a:schemeClr val="lt1"/>
            </a:solidFill>
          </a:ln>
          <a:effectLst/>
        </c:spPr>
      </c:pivotFmt>
      <c:pivotFmt>
        <c:idx val="441"/>
        <c:spPr>
          <a:solidFill>
            <a:schemeClr val="accent1"/>
          </a:solidFill>
          <a:ln w="19050">
            <a:solidFill>
              <a:schemeClr val="lt1"/>
            </a:solidFill>
          </a:ln>
          <a:effectLst/>
        </c:spPr>
      </c:pivotFmt>
      <c:pivotFmt>
        <c:idx val="442"/>
        <c:spPr>
          <a:solidFill>
            <a:schemeClr val="accent1"/>
          </a:solidFill>
          <a:ln w="19050">
            <a:solidFill>
              <a:schemeClr val="lt1"/>
            </a:solidFill>
          </a:ln>
          <a:effectLst/>
        </c:spPr>
      </c:pivotFmt>
      <c:pivotFmt>
        <c:idx val="443"/>
        <c:spPr>
          <a:solidFill>
            <a:schemeClr val="accent1"/>
          </a:solidFill>
          <a:ln w="19050">
            <a:solidFill>
              <a:schemeClr val="lt1"/>
            </a:solidFill>
          </a:ln>
          <a:effectLst/>
        </c:spPr>
      </c:pivotFmt>
      <c:pivotFmt>
        <c:idx val="444"/>
        <c:spPr>
          <a:solidFill>
            <a:schemeClr val="accent1"/>
          </a:solidFill>
          <a:ln w="19050">
            <a:solidFill>
              <a:schemeClr val="lt1"/>
            </a:solidFill>
          </a:ln>
          <a:effectLst/>
        </c:spPr>
      </c:pivotFmt>
      <c:pivotFmt>
        <c:idx val="445"/>
        <c:spPr>
          <a:solidFill>
            <a:schemeClr val="accent1"/>
          </a:solidFill>
          <a:ln w="19050">
            <a:solidFill>
              <a:schemeClr val="lt1"/>
            </a:solidFill>
          </a:ln>
          <a:effectLst/>
        </c:spPr>
      </c:pivotFmt>
      <c:pivotFmt>
        <c:idx val="446"/>
        <c:spPr>
          <a:solidFill>
            <a:schemeClr val="accent1"/>
          </a:solidFill>
          <a:ln w="19050">
            <a:solidFill>
              <a:schemeClr val="lt1"/>
            </a:solidFill>
          </a:ln>
          <a:effectLst/>
        </c:spPr>
      </c:pivotFmt>
      <c:pivotFmt>
        <c:idx val="447"/>
        <c:spPr>
          <a:solidFill>
            <a:schemeClr val="accent1"/>
          </a:solidFill>
          <a:ln w="19050">
            <a:solidFill>
              <a:schemeClr val="lt1"/>
            </a:solidFill>
          </a:ln>
          <a:effectLst/>
        </c:spPr>
      </c:pivotFmt>
      <c:pivotFmt>
        <c:idx val="448"/>
        <c:spPr>
          <a:solidFill>
            <a:schemeClr val="accent1"/>
          </a:solidFill>
          <a:ln w="19050">
            <a:solidFill>
              <a:schemeClr val="lt1"/>
            </a:solidFill>
          </a:ln>
          <a:effectLst/>
        </c:spPr>
      </c:pivotFmt>
      <c:pivotFmt>
        <c:idx val="449"/>
        <c:spPr>
          <a:solidFill>
            <a:schemeClr val="accent1"/>
          </a:solidFill>
          <a:ln w="19050">
            <a:solidFill>
              <a:schemeClr val="lt1"/>
            </a:solidFill>
          </a:ln>
          <a:effectLst/>
        </c:spPr>
      </c:pivotFmt>
      <c:pivotFmt>
        <c:idx val="450"/>
        <c:spPr>
          <a:solidFill>
            <a:schemeClr val="accent1"/>
          </a:solidFill>
          <a:ln w="19050">
            <a:solidFill>
              <a:schemeClr val="lt1"/>
            </a:solidFill>
          </a:ln>
          <a:effectLst/>
        </c:spPr>
      </c:pivotFmt>
      <c:pivotFmt>
        <c:idx val="451"/>
        <c:spPr>
          <a:solidFill>
            <a:schemeClr val="accent1"/>
          </a:solidFill>
          <a:ln w="19050">
            <a:solidFill>
              <a:schemeClr val="lt1"/>
            </a:solidFill>
          </a:ln>
          <a:effectLst/>
        </c:spPr>
      </c:pivotFmt>
      <c:pivotFmt>
        <c:idx val="452"/>
        <c:spPr>
          <a:solidFill>
            <a:schemeClr val="accent1"/>
          </a:solidFill>
          <a:ln w="19050">
            <a:solidFill>
              <a:schemeClr val="lt1"/>
            </a:solidFill>
          </a:ln>
          <a:effectLst/>
        </c:spPr>
      </c:pivotFmt>
      <c:pivotFmt>
        <c:idx val="453"/>
        <c:spPr>
          <a:solidFill>
            <a:schemeClr val="accent1"/>
          </a:solidFill>
          <a:ln w="19050">
            <a:solidFill>
              <a:schemeClr val="lt1"/>
            </a:solidFill>
          </a:ln>
          <a:effectLst/>
        </c:spPr>
      </c:pivotFmt>
      <c:pivotFmt>
        <c:idx val="454"/>
        <c:spPr>
          <a:solidFill>
            <a:schemeClr val="accent1"/>
          </a:solidFill>
          <a:ln w="19050">
            <a:solidFill>
              <a:schemeClr val="lt1"/>
            </a:solidFill>
          </a:ln>
          <a:effectLst/>
        </c:spPr>
      </c:pivotFmt>
      <c:pivotFmt>
        <c:idx val="455"/>
        <c:spPr>
          <a:solidFill>
            <a:schemeClr val="accent1"/>
          </a:solidFill>
          <a:ln w="19050">
            <a:solidFill>
              <a:schemeClr val="lt1"/>
            </a:solidFill>
          </a:ln>
          <a:effectLst/>
        </c:spPr>
      </c:pivotFmt>
      <c:pivotFmt>
        <c:idx val="456"/>
        <c:spPr>
          <a:solidFill>
            <a:schemeClr val="accent1"/>
          </a:solidFill>
          <a:ln w="19050">
            <a:solidFill>
              <a:schemeClr val="lt1"/>
            </a:solidFill>
          </a:ln>
          <a:effectLst/>
        </c:spPr>
      </c:pivotFmt>
      <c:pivotFmt>
        <c:idx val="457"/>
        <c:spPr>
          <a:solidFill>
            <a:schemeClr val="accent1"/>
          </a:solidFill>
          <a:ln w="19050">
            <a:solidFill>
              <a:schemeClr val="lt1"/>
            </a:solidFill>
          </a:ln>
          <a:effectLst/>
        </c:spPr>
      </c:pivotFmt>
      <c:pivotFmt>
        <c:idx val="458"/>
        <c:spPr>
          <a:solidFill>
            <a:schemeClr val="accent1"/>
          </a:solidFill>
          <a:ln w="19050">
            <a:solidFill>
              <a:schemeClr val="lt1"/>
            </a:solidFill>
          </a:ln>
          <a:effectLst/>
        </c:spPr>
      </c:pivotFmt>
      <c:pivotFmt>
        <c:idx val="459"/>
        <c:spPr>
          <a:solidFill>
            <a:schemeClr val="accent1"/>
          </a:solidFill>
          <a:ln w="19050">
            <a:solidFill>
              <a:schemeClr val="lt1"/>
            </a:solidFill>
          </a:ln>
          <a:effectLst/>
        </c:spPr>
      </c:pivotFmt>
      <c:pivotFmt>
        <c:idx val="460"/>
        <c:spPr>
          <a:solidFill>
            <a:schemeClr val="accent1"/>
          </a:solidFill>
          <a:ln w="19050">
            <a:solidFill>
              <a:schemeClr val="lt1"/>
            </a:solidFill>
          </a:ln>
          <a:effectLst/>
        </c:spPr>
      </c:pivotFmt>
      <c:pivotFmt>
        <c:idx val="461"/>
        <c:spPr>
          <a:solidFill>
            <a:schemeClr val="accent1"/>
          </a:solidFill>
          <a:ln w="19050">
            <a:solidFill>
              <a:schemeClr val="lt1"/>
            </a:solidFill>
          </a:ln>
          <a:effectLst/>
        </c:spPr>
      </c:pivotFmt>
      <c:pivotFmt>
        <c:idx val="462"/>
        <c:spPr>
          <a:solidFill>
            <a:schemeClr val="accent1"/>
          </a:solidFill>
          <a:ln w="19050">
            <a:solidFill>
              <a:schemeClr val="lt1"/>
            </a:solidFill>
          </a:ln>
          <a:effectLst/>
        </c:spPr>
      </c:pivotFmt>
      <c:pivotFmt>
        <c:idx val="463"/>
        <c:spPr>
          <a:solidFill>
            <a:schemeClr val="accent1"/>
          </a:solidFill>
          <a:ln w="19050">
            <a:solidFill>
              <a:schemeClr val="lt1"/>
            </a:solidFill>
          </a:ln>
          <a:effectLst/>
        </c:spPr>
      </c:pivotFmt>
      <c:pivotFmt>
        <c:idx val="464"/>
        <c:spPr>
          <a:solidFill>
            <a:schemeClr val="accent1"/>
          </a:solidFill>
          <a:ln w="19050">
            <a:solidFill>
              <a:schemeClr val="lt1"/>
            </a:solidFill>
          </a:ln>
          <a:effectLst/>
        </c:spPr>
      </c:pivotFmt>
      <c:pivotFmt>
        <c:idx val="465"/>
        <c:spPr>
          <a:solidFill>
            <a:schemeClr val="accent1"/>
          </a:solidFill>
          <a:ln w="19050">
            <a:solidFill>
              <a:schemeClr val="lt1"/>
            </a:solidFill>
          </a:ln>
          <a:effectLst/>
        </c:spPr>
      </c:pivotFmt>
      <c:pivotFmt>
        <c:idx val="466"/>
        <c:spPr>
          <a:solidFill>
            <a:schemeClr val="accent1"/>
          </a:solidFill>
          <a:ln w="19050">
            <a:solidFill>
              <a:schemeClr val="lt1"/>
            </a:solidFill>
          </a:ln>
          <a:effectLst/>
        </c:spPr>
      </c:pivotFmt>
      <c:pivotFmt>
        <c:idx val="467"/>
        <c:spPr>
          <a:solidFill>
            <a:schemeClr val="accent1"/>
          </a:solidFill>
          <a:ln w="19050">
            <a:solidFill>
              <a:schemeClr val="lt1"/>
            </a:solidFill>
          </a:ln>
          <a:effectLst/>
        </c:spPr>
      </c:pivotFmt>
      <c:pivotFmt>
        <c:idx val="468"/>
        <c:spPr>
          <a:solidFill>
            <a:schemeClr val="accent1"/>
          </a:solidFill>
          <a:ln w="19050">
            <a:solidFill>
              <a:schemeClr val="lt1"/>
            </a:solidFill>
          </a:ln>
          <a:effectLst/>
        </c:spPr>
      </c:pivotFmt>
      <c:pivotFmt>
        <c:idx val="469"/>
        <c:spPr>
          <a:solidFill>
            <a:schemeClr val="accent1"/>
          </a:solidFill>
          <a:ln w="19050">
            <a:solidFill>
              <a:schemeClr val="lt1"/>
            </a:solidFill>
          </a:ln>
          <a:effectLst/>
        </c:spPr>
      </c:pivotFmt>
      <c:pivotFmt>
        <c:idx val="470"/>
        <c:spPr>
          <a:solidFill>
            <a:schemeClr val="accent1"/>
          </a:solidFill>
          <a:ln w="19050">
            <a:solidFill>
              <a:schemeClr val="lt1"/>
            </a:solidFill>
          </a:ln>
          <a:effectLst/>
        </c:spPr>
      </c:pivotFmt>
      <c:pivotFmt>
        <c:idx val="471"/>
        <c:spPr>
          <a:solidFill>
            <a:schemeClr val="accent1"/>
          </a:solidFill>
          <a:ln w="19050">
            <a:solidFill>
              <a:schemeClr val="lt1"/>
            </a:solidFill>
          </a:ln>
          <a:effectLst/>
        </c:spPr>
      </c:pivotFmt>
      <c:pivotFmt>
        <c:idx val="472"/>
        <c:spPr>
          <a:solidFill>
            <a:schemeClr val="accent1"/>
          </a:solidFill>
          <a:ln w="19050">
            <a:solidFill>
              <a:schemeClr val="lt1"/>
            </a:solidFill>
          </a:ln>
          <a:effectLst/>
        </c:spPr>
      </c:pivotFmt>
      <c:pivotFmt>
        <c:idx val="473"/>
        <c:spPr>
          <a:solidFill>
            <a:schemeClr val="accent1"/>
          </a:solidFill>
          <a:ln w="19050">
            <a:solidFill>
              <a:schemeClr val="lt1"/>
            </a:solidFill>
          </a:ln>
          <a:effectLst/>
        </c:spPr>
      </c:pivotFmt>
      <c:pivotFmt>
        <c:idx val="474"/>
        <c:spPr>
          <a:solidFill>
            <a:schemeClr val="accent1"/>
          </a:solidFill>
          <a:ln w="19050">
            <a:solidFill>
              <a:schemeClr val="lt1"/>
            </a:solidFill>
          </a:ln>
          <a:effectLst/>
        </c:spPr>
      </c:pivotFmt>
      <c:pivotFmt>
        <c:idx val="475"/>
        <c:spPr>
          <a:solidFill>
            <a:schemeClr val="accent1"/>
          </a:solidFill>
          <a:ln w="19050">
            <a:solidFill>
              <a:schemeClr val="lt1"/>
            </a:solidFill>
          </a:ln>
          <a:effectLst/>
        </c:spPr>
      </c:pivotFmt>
      <c:pivotFmt>
        <c:idx val="476"/>
        <c:spPr>
          <a:solidFill>
            <a:schemeClr val="accent1"/>
          </a:solidFill>
          <a:ln w="19050">
            <a:solidFill>
              <a:schemeClr val="lt1"/>
            </a:solidFill>
          </a:ln>
          <a:effectLst/>
        </c:spPr>
      </c:pivotFmt>
      <c:pivotFmt>
        <c:idx val="477"/>
        <c:spPr>
          <a:solidFill>
            <a:schemeClr val="accent1"/>
          </a:solidFill>
          <a:ln w="19050">
            <a:solidFill>
              <a:schemeClr val="lt1"/>
            </a:solidFill>
          </a:ln>
          <a:effectLst/>
        </c:spPr>
      </c:pivotFmt>
      <c:pivotFmt>
        <c:idx val="478"/>
        <c:spPr>
          <a:solidFill>
            <a:schemeClr val="accent1"/>
          </a:solidFill>
          <a:ln w="19050">
            <a:solidFill>
              <a:schemeClr val="lt1"/>
            </a:solidFill>
          </a:ln>
          <a:effectLst/>
        </c:spPr>
      </c:pivotFmt>
      <c:pivotFmt>
        <c:idx val="479"/>
        <c:spPr>
          <a:solidFill>
            <a:schemeClr val="accent1"/>
          </a:solidFill>
          <a:ln w="19050">
            <a:solidFill>
              <a:schemeClr val="lt1"/>
            </a:solidFill>
          </a:ln>
          <a:effectLst/>
        </c:spPr>
      </c:pivotFmt>
      <c:pivotFmt>
        <c:idx val="480"/>
        <c:spPr>
          <a:solidFill>
            <a:schemeClr val="accent1"/>
          </a:solidFill>
          <a:ln w="19050">
            <a:solidFill>
              <a:schemeClr val="lt1"/>
            </a:solidFill>
          </a:ln>
          <a:effectLst/>
        </c:spPr>
      </c:pivotFmt>
      <c:pivotFmt>
        <c:idx val="481"/>
        <c:spPr>
          <a:solidFill>
            <a:schemeClr val="accent1"/>
          </a:solidFill>
          <a:ln w="19050">
            <a:solidFill>
              <a:schemeClr val="lt1"/>
            </a:solidFill>
          </a:ln>
          <a:effectLst/>
        </c:spPr>
      </c:pivotFmt>
      <c:pivotFmt>
        <c:idx val="482"/>
        <c:spPr>
          <a:solidFill>
            <a:schemeClr val="accent1"/>
          </a:solidFill>
          <a:ln w="19050">
            <a:solidFill>
              <a:schemeClr val="lt1"/>
            </a:solidFill>
          </a:ln>
          <a:effectLst/>
        </c:spPr>
      </c:pivotFmt>
      <c:pivotFmt>
        <c:idx val="483"/>
        <c:spPr>
          <a:solidFill>
            <a:schemeClr val="accent1"/>
          </a:solidFill>
          <a:ln w="19050">
            <a:solidFill>
              <a:schemeClr val="lt1"/>
            </a:solidFill>
          </a:ln>
          <a:effectLst/>
        </c:spPr>
      </c:pivotFmt>
      <c:pivotFmt>
        <c:idx val="484"/>
        <c:spPr>
          <a:solidFill>
            <a:schemeClr val="accent1"/>
          </a:solidFill>
          <a:ln w="19050">
            <a:solidFill>
              <a:schemeClr val="lt1"/>
            </a:solidFill>
          </a:ln>
          <a:effectLst/>
        </c:spPr>
      </c:pivotFmt>
      <c:pivotFmt>
        <c:idx val="485"/>
        <c:spPr>
          <a:solidFill>
            <a:schemeClr val="accent1"/>
          </a:solidFill>
          <a:ln w="19050">
            <a:solidFill>
              <a:schemeClr val="lt1"/>
            </a:solidFill>
          </a:ln>
          <a:effectLst/>
        </c:spPr>
      </c:pivotFmt>
      <c:pivotFmt>
        <c:idx val="486"/>
        <c:spPr>
          <a:solidFill>
            <a:schemeClr val="accent1"/>
          </a:solidFill>
          <a:ln w="19050">
            <a:solidFill>
              <a:schemeClr val="lt1"/>
            </a:solidFill>
          </a:ln>
          <a:effectLst/>
        </c:spPr>
      </c:pivotFmt>
      <c:pivotFmt>
        <c:idx val="487"/>
        <c:spPr>
          <a:solidFill>
            <a:schemeClr val="accent1"/>
          </a:solidFill>
          <a:ln w="19050">
            <a:solidFill>
              <a:schemeClr val="lt1"/>
            </a:solidFill>
          </a:ln>
          <a:effectLst/>
        </c:spPr>
      </c:pivotFmt>
      <c:pivotFmt>
        <c:idx val="488"/>
        <c:spPr>
          <a:solidFill>
            <a:schemeClr val="accent1"/>
          </a:solidFill>
          <a:ln w="19050">
            <a:solidFill>
              <a:schemeClr val="lt1"/>
            </a:solidFill>
          </a:ln>
          <a:effectLst/>
        </c:spPr>
      </c:pivotFmt>
      <c:pivotFmt>
        <c:idx val="489"/>
        <c:spPr>
          <a:solidFill>
            <a:schemeClr val="accent1"/>
          </a:solidFill>
          <a:ln w="19050">
            <a:solidFill>
              <a:schemeClr val="lt1"/>
            </a:solidFill>
          </a:ln>
          <a:effectLst/>
        </c:spPr>
      </c:pivotFmt>
      <c:pivotFmt>
        <c:idx val="490"/>
        <c:spPr>
          <a:solidFill>
            <a:schemeClr val="accent1"/>
          </a:solidFill>
          <a:ln w="19050">
            <a:solidFill>
              <a:schemeClr val="lt1"/>
            </a:solidFill>
          </a:ln>
          <a:effectLst/>
        </c:spPr>
      </c:pivotFmt>
      <c:pivotFmt>
        <c:idx val="491"/>
        <c:spPr>
          <a:solidFill>
            <a:schemeClr val="accent1"/>
          </a:solidFill>
          <a:ln w="19050">
            <a:solidFill>
              <a:schemeClr val="lt1"/>
            </a:solidFill>
          </a:ln>
          <a:effectLst/>
        </c:spPr>
      </c:pivotFmt>
      <c:pivotFmt>
        <c:idx val="492"/>
        <c:spPr>
          <a:solidFill>
            <a:schemeClr val="accent1"/>
          </a:solidFill>
          <a:ln w="19050">
            <a:solidFill>
              <a:schemeClr val="lt1"/>
            </a:solidFill>
          </a:ln>
          <a:effectLst/>
        </c:spPr>
      </c:pivotFmt>
      <c:pivotFmt>
        <c:idx val="493"/>
        <c:spPr>
          <a:solidFill>
            <a:schemeClr val="accent1"/>
          </a:solidFill>
          <a:ln w="19050">
            <a:solidFill>
              <a:schemeClr val="lt1"/>
            </a:solidFill>
          </a:ln>
          <a:effectLst/>
        </c:spPr>
      </c:pivotFmt>
      <c:pivotFmt>
        <c:idx val="494"/>
        <c:spPr>
          <a:solidFill>
            <a:schemeClr val="accent1"/>
          </a:solidFill>
          <a:ln w="19050">
            <a:solidFill>
              <a:schemeClr val="lt1"/>
            </a:solidFill>
          </a:ln>
          <a:effectLst/>
        </c:spPr>
      </c:pivotFmt>
      <c:pivotFmt>
        <c:idx val="495"/>
        <c:spPr>
          <a:solidFill>
            <a:schemeClr val="accent1"/>
          </a:solidFill>
          <a:ln w="19050">
            <a:solidFill>
              <a:schemeClr val="lt1"/>
            </a:solidFill>
          </a:ln>
          <a:effectLst/>
        </c:spPr>
      </c:pivotFmt>
      <c:pivotFmt>
        <c:idx val="496"/>
        <c:spPr>
          <a:solidFill>
            <a:schemeClr val="accent1"/>
          </a:solidFill>
          <a:ln w="19050">
            <a:solidFill>
              <a:schemeClr val="lt1"/>
            </a:solidFill>
          </a:ln>
          <a:effectLst/>
        </c:spPr>
      </c:pivotFmt>
      <c:pivotFmt>
        <c:idx val="497"/>
        <c:spPr>
          <a:solidFill>
            <a:schemeClr val="accent1"/>
          </a:solidFill>
          <a:ln w="19050">
            <a:solidFill>
              <a:schemeClr val="lt1"/>
            </a:solidFill>
          </a:ln>
          <a:effectLst/>
        </c:spPr>
      </c:pivotFmt>
      <c:pivotFmt>
        <c:idx val="498"/>
        <c:spPr>
          <a:solidFill>
            <a:schemeClr val="accent1"/>
          </a:solidFill>
          <a:ln w="19050">
            <a:solidFill>
              <a:schemeClr val="lt1"/>
            </a:solidFill>
          </a:ln>
          <a:effectLst/>
        </c:spPr>
      </c:pivotFmt>
      <c:pivotFmt>
        <c:idx val="499"/>
        <c:spPr>
          <a:solidFill>
            <a:schemeClr val="accent1"/>
          </a:solidFill>
          <a:ln w="19050">
            <a:solidFill>
              <a:schemeClr val="lt1"/>
            </a:solidFill>
          </a:ln>
          <a:effectLst/>
        </c:spPr>
      </c:pivotFmt>
      <c:pivotFmt>
        <c:idx val="500"/>
        <c:spPr>
          <a:solidFill>
            <a:schemeClr val="accent1"/>
          </a:solidFill>
          <a:ln w="19050">
            <a:solidFill>
              <a:schemeClr val="lt1"/>
            </a:solidFill>
          </a:ln>
          <a:effectLst/>
        </c:spPr>
      </c:pivotFmt>
      <c:pivotFmt>
        <c:idx val="501"/>
        <c:spPr>
          <a:solidFill>
            <a:schemeClr val="accent1"/>
          </a:solidFill>
          <a:ln w="19050">
            <a:solidFill>
              <a:schemeClr val="lt1"/>
            </a:solidFill>
          </a:ln>
          <a:effectLst/>
        </c:spPr>
      </c:pivotFmt>
      <c:pivotFmt>
        <c:idx val="502"/>
        <c:spPr>
          <a:solidFill>
            <a:schemeClr val="accent1"/>
          </a:solidFill>
          <a:ln w="19050">
            <a:solidFill>
              <a:schemeClr val="lt1"/>
            </a:solidFill>
          </a:ln>
          <a:effectLst/>
        </c:spPr>
      </c:pivotFmt>
      <c:pivotFmt>
        <c:idx val="503"/>
        <c:spPr>
          <a:solidFill>
            <a:schemeClr val="accent1"/>
          </a:solidFill>
          <a:ln w="19050">
            <a:solidFill>
              <a:schemeClr val="lt1"/>
            </a:solidFill>
          </a:ln>
          <a:effectLst/>
        </c:spPr>
      </c:pivotFmt>
      <c:pivotFmt>
        <c:idx val="504"/>
        <c:spPr>
          <a:solidFill>
            <a:schemeClr val="accent1"/>
          </a:solidFill>
          <a:ln w="19050">
            <a:solidFill>
              <a:schemeClr val="lt1"/>
            </a:solidFill>
          </a:ln>
          <a:effectLst/>
        </c:spPr>
      </c:pivotFmt>
      <c:pivotFmt>
        <c:idx val="505"/>
        <c:spPr>
          <a:solidFill>
            <a:schemeClr val="accent1"/>
          </a:solidFill>
          <a:ln w="19050">
            <a:solidFill>
              <a:schemeClr val="lt1"/>
            </a:solidFill>
          </a:ln>
          <a:effectLst/>
        </c:spPr>
      </c:pivotFmt>
      <c:pivotFmt>
        <c:idx val="506"/>
        <c:spPr>
          <a:solidFill>
            <a:schemeClr val="accent1"/>
          </a:solidFill>
          <a:ln w="19050">
            <a:solidFill>
              <a:schemeClr val="lt1"/>
            </a:solidFill>
          </a:ln>
          <a:effectLst/>
        </c:spPr>
      </c:pivotFmt>
      <c:pivotFmt>
        <c:idx val="507"/>
        <c:spPr>
          <a:solidFill>
            <a:schemeClr val="accent1"/>
          </a:solidFill>
          <a:ln w="19050">
            <a:solidFill>
              <a:schemeClr val="lt1"/>
            </a:solidFill>
          </a:ln>
          <a:effectLst/>
        </c:spPr>
      </c:pivotFmt>
      <c:pivotFmt>
        <c:idx val="508"/>
        <c:spPr>
          <a:solidFill>
            <a:schemeClr val="accent1"/>
          </a:solidFill>
          <a:ln w="19050">
            <a:solidFill>
              <a:schemeClr val="lt1"/>
            </a:solidFill>
          </a:ln>
          <a:effectLst/>
        </c:spPr>
      </c:pivotFmt>
      <c:pivotFmt>
        <c:idx val="509"/>
        <c:spPr>
          <a:solidFill>
            <a:schemeClr val="accent1"/>
          </a:solidFill>
          <a:ln w="19050">
            <a:solidFill>
              <a:schemeClr val="lt1"/>
            </a:solidFill>
          </a:ln>
          <a:effectLst/>
        </c:spPr>
      </c:pivotFmt>
      <c:pivotFmt>
        <c:idx val="510"/>
        <c:spPr>
          <a:solidFill>
            <a:schemeClr val="accent1"/>
          </a:solidFill>
          <a:ln w="19050">
            <a:solidFill>
              <a:schemeClr val="lt1"/>
            </a:solidFill>
          </a:ln>
          <a:effectLst/>
        </c:spPr>
      </c:pivotFmt>
      <c:pivotFmt>
        <c:idx val="511"/>
        <c:spPr>
          <a:solidFill>
            <a:schemeClr val="accent1"/>
          </a:solidFill>
          <a:ln w="19050">
            <a:solidFill>
              <a:schemeClr val="lt1"/>
            </a:solidFill>
          </a:ln>
          <a:effectLst/>
        </c:spPr>
      </c:pivotFmt>
      <c:pivotFmt>
        <c:idx val="512"/>
        <c:spPr>
          <a:solidFill>
            <a:schemeClr val="accent1"/>
          </a:solidFill>
          <a:ln w="19050">
            <a:solidFill>
              <a:schemeClr val="lt1"/>
            </a:solidFill>
          </a:ln>
          <a:effectLst/>
        </c:spPr>
      </c:pivotFmt>
      <c:pivotFmt>
        <c:idx val="513"/>
        <c:spPr>
          <a:solidFill>
            <a:schemeClr val="accent1"/>
          </a:solidFill>
          <a:ln w="19050">
            <a:solidFill>
              <a:schemeClr val="lt1"/>
            </a:solidFill>
          </a:ln>
          <a:effectLst/>
        </c:spPr>
      </c:pivotFmt>
      <c:pivotFmt>
        <c:idx val="514"/>
        <c:spPr>
          <a:solidFill>
            <a:schemeClr val="accent1"/>
          </a:solidFill>
          <a:ln w="19050">
            <a:solidFill>
              <a:schemeClr val="lt1"/>
            </a:solidFill>
          </a:ln>
          <a:effectLst/>
        </c:spPr>
      </c:pivotFmt>
      <c:pivotFmt>
        <c:idx val="515"/>
        <c:spPr>
          <a:solidFill>
            <a:schemeClr val="accent1"/>
          </a:solidFill>
          <a:ln w="19050">
            <a:solidFill>
              <a:schemeClr val="lt1"/>
            </a:solidFill>
          </a:ln>
          <a:effectLst/>
        </c:spPr>
      </c:pivotFmt>
      <c:pivotFmt>
        <c:idx val="516"/>
        <c:spPr>
          <a:solidFill>
            <a:schemeClr val="accent1"/>
          </a:solidFill>
          <a:ln w="19050">
            <a:solidFill>
              <a:schemeClr val="lt1"/>
            </a:solidFill>
          </a:ln>
          <a:effectLst/>
        </c:spPr>
      </c:pivotFmt>
      <c:pivotFmt>
        <c:idx val="517"/>
        <c:spPr>
          <a:solidFill>
            <a:schemeClr val="accent1"/>
          </a:solidFill>
          <a:ln w="19050">
            <a:solidFill>
              <a:schemeClr val="lt1"/>
            </a:solidFill>
          </a:ln>
          <a:effectLst/>
        </c:spPr>
      </c:pivotFmt>
      <c:pivotFmt>
        <c:idx val="518"/>
        <c:spPr>
          <a:solidFill>
            <a:schemeClr val="accent1"/>
          </a:solidFill>
          <a:ln w="19050">
            <a:solidFill>
              <a:schemeClr val="lt1"/>
            </a:solidFill>
          </a:ln>
          <a:effectLst/>
        </c:spPr>
      </c:pivotFmt>
      <c:pivotFmt>
        <c:idx val="519"/>
        <c:spPr>
          <a:solidFill>
            <a:schemeClr val="accent1"/>
          </a:solidFill>
          <a:ln w="19050">
            <a:solidFill>
              <a:schemeClr val="lt1"/>
            </a:solidFill>
          </a:ln>
          <a:effectLst/>
        </c:spPr>
      </c:pivotFmt>
      <c:pivotFmt>
        <c:idx val="520"/>
        <c:spPr>
          <a:solidFill>
            <a:schemeClr val="accent1"/>
          </a:solidFill>
          <a:ln w="19050">
            <a:solidFill>
              <a:schemeClr val="lt1"/>
            </a:solidFill>
          </a:ln>
          <a:effectLst/>
        </c:spPr>
      </c:pivotFmt>
      <c:pivotFmt>
        <c:idx val="521"/>
        <c:spPr>
          <a:solidFill>
            <a:schemeClr val="accent1"/>
          </a:solidFill>
          <a:ln w="19050">
            <a:solidFill>
              <a:schemeClr val="lt1"/>
            </a:solidFill>
          </a:ln>
          <a:effectLst/>
        </c:spPr>
      </c:pivotFmt>
      <c:pivotFmt>
        <c:idx val="522"/>
        <c:spPr>
          <a:solidFill>
            <a:schemeClr val="accent1"/>
          </a:solidFill>
          <a:ln w="19050">
            <a:solidFill>
              <a:schemeClr val="lt1"/>
            </a:solidFill>
          </a:ln>
          <a:effectLst/>
        </c:spPr>
      </c:pivotFmt>
      <c:pivotFmt>
        <c:idx val="523"/>
        <c:spPr>
          <a:solidFill>
            <a:schemeClr val="accent1"/>
          </a:solidFill>
          <a:ln w="19050">
            <a:solidFill>
              <a:schemeClr val="lt1"/>
            </a:solidFill>
          </a:ln>
          <a:effectLst/>
        </c:spPr>
      </c:pivotFmt>
      <c:pivotFmt>
        <c:idx val="524"/>
        <c:spPr>
          <a:solidFill>
            <a:schemeClr val="accent1"/>
          </a:solidFill>
          <a:ln w="19050">
            <a:solidFill>
              <a:schemeClr val="lt1"/>
            </a:solidFill>
          </a:ln>
          <a:effectLst/>
        </c:spPr>
      </c:pivotFmt>
      <c:pivotFmt>
        <c:idx val="525"/>
        <c:spPr>
          <a:solidFill>
            <a:schemeClr val="accent1"/>
          </a:solidFill>
          <a:ln w="19050">
            <a:solidFill>
              <a:schemeClr val="lt1"/>
            </a:solidFill>
          </a:ln>
          <a:effectLst/>
        </c:spPr>
      </c:pivotFmt>
      <c:pivotFmt>
        <c:idx val="526"/>
        <c:spPr>
          <a:solidFill>
            <a:schemeClr val="accent1"/>
          </a:solidFill>
          <a:ln w="19050">
            <a:solidFill>
              <a:schemeClr val="lt1"/>
            </a:solidFill>
          </a:ln>
          <a:effectLst/>
        </c:spPr>
      </c:pivotFmt>
      <c:pivotFmt>
        <c:idx val="527"/>
        <c:spPr>
          <a:solidFill>
            <a:schemeClr val="accent1"/>
          </a:solidFill>
          <a:ln w="19050">
            <a:solidFill>
              <a:schemeClr val="lt1"/>
            </a:solidFill>
          </a:ln>
          <a:effectLst/>
        </c:spPr>
      </c:pivotFmt>
      <c:pivotFmt>
        <c:idx val="528"/>
        <c:spPr>
          <a:solidFill>
            <a:schemeClr val="accent1"/>
          </a:solidFill>
          <a:ln w="19050">
            <a:solidFill>
              <a:schemeClr val="lt1"/>
            </a:solidFill>
          </a:ln>
          <a:effectLst/>
        </c:spPr>
      </c:pivotFmt>
      <c:pivotFmt>
        <c:idx val="529"/>
        <c:spPr>
          <a:solidFill>
            <a:schemeClr val="accent1"/>
          </a:solidFill>
          <a:ln w="19050">
            <a:solidFill>
              <a:schemeClr val="lt1"/>
            </a:solidFill>
          </a:ln>
          <a:effectLst/>
        </c:spPr>
      </c:pivotFmt>
      <c:pivotFmt>
        <c:idx val="530"/>
        <c:spPr>
          <a:solidFill>
            <a:schemeClr val="accent1"/>
          </a:solidFill>
          <a:ln w="19050">
            <a:solidFill>
              <a:schemeClr val="lt1"/>
            </a:solidFill>
          </a:ln>
          <a:effectLst/>
        </c:spPr>
      </c:pivotFmt>
      <c:pivotFmt>
        <c:idx val="531"/>
        <c:spPr>
          <a:solidFill>
            <a:schemeClr val="accent1"/>
          </a:solidFill>
          <a:ln w="19050">
            <a:solidFill>
              <a:schemeClr val="lt1"/>
            </a:solidFill>
          </a:ln>
          <a:effectLst/>
        </c:spPr>
      </c:pivotFmt>
      <c:pivotFmt>
        <c:idx val="532"/>
        <c:spPr>
          <a:solidFill>
            <a:schemeClr val="accent1"/>
          </a:solidFill>
          <a:ln w="19050">
            <a:solidFill>
              <a:schemeClr val="lt1"/>
            </a:solidFill>
          </a:ln>
          <a:effectLst/>
        </c:spPr>
      </c:pivotFmt>
      <c:pivotFmt>
        <c:idx val="533"/>
        <c:spPr>
          <a:solidFill>
            <a:schemeClr val="accent1"/>
          </a:solidFill>
          <a:ln w="19050">
            <a:solidFill>
              <a:schemeClr val="lt1"/>
            </a:solidFill>
          </a:ln>
          <a:effectLst/>
        </c:spPr>
      </c:pivotFmt>
      <c:pivotFmt>
        <c:idx val="534"/>
        <c:spPr>
          <a:solidFill>
            <a:schemeClr val="accent1"/>
          </a:solidFill>
          <a:ln w="19050">
            <a:solidFill>
              <a:schemeClr val="lt1"/>
            </a:solidFill>
          </a:ln>
          <a:effectLst/>
        </c:spPr>
      </c:pivotFmt>
      <c:pivotFmt>
        <c:idx val="535"/>
        <c:spPr>
          <a:solidFill>
            <a:schemeClr val="accent1"/>
          </a:solidFill>
          <a:ln w="19050">
            <a:solidFill>
              <a:schemeClr val="lt1"/>
            </a:solidFill>
          </a:ln>
          <a:effectLst/>
        </c:spPr>
      </c:pivotFmt>
      <c:pivotFmt>
        <c:idx val="536"/>
        <c:spPr>
          <a:solidFill>
            <a:schemeClr val="accent1"/>
          </a:solidFill>
          <a:ln w="19050">
            <a:solidFill>
              <a:schemeClr val="lt1"/>
            </a:solidFill>
          </a:ln>
          <a:effectLst/>
        </c:spPr>
      </c:pivotFmt>
      <c:pivotFmt>
        <c:idx val="537"/>
        <c:spPr>
          <a:solidFill>
            <a:schemeClr val="accent1"/>
          </a:solidFill>
          <a:ln w="19050">
            <a:solidFill>
              <a:schemeClr val="lt1"/>
            </a:solidFill>
          </a:ln>
          <a:effectLst/>
        </c:spPr>
      </c:pivotFmt>
      <c:pivotFmt>
        <c:idx val="538"/>
        <c:spPr>
          <a:solidFill>
            <a:schemeClr val="accent1"/>
          </a:solidFill>
          <a:ln w="19050">
            <a:solidFill>
              <a:schemeClr val="lt1"/>
            </a:solidFill>
          </a:ln>
          <a:effectLst/>
        </c:spPr>
      </c:pivotFmt>
      <c:pivotFmt>
        <c:idx val="539"/>
        <c:spPr>
          <a:solidFill>
            <a:schemeClr val="accent1"/>
          </a:solidFill>
          <a:ln w="19050">
            <a:solidFill>
              <a:schemeClr val="lt1"/>
            </a:solidFill>
          </a:ln>
          <a:effectLst/>
        </c:spPr>
      </c:pivotFmt>
      <c:pivotFmt>
        <c:idx val="540"/>
        <c:spPr>
          <a:solidFill>
            <a:schemeClr val="accent1"/>
          </a:solidFill>
          <a:ln w="19050">
            <a:solidFill>
              <a:schemeClr val="lt1"/>
            </a:solidFill>
          </a:ln>
          <a:effectLst/>
        </c:spPr>
      </c:pivotFmt>
      <c:pivotFmt>
        <c:idx val="541"/>
        <c:spPr>
          <a:solidFill>
            <a:schemeClr val="accent1"/>
          </a:solidFill>
          <a:ln w="19050">
            <a:solidFill>
              <a:schemeClr val="lt1"/>
            </a:solidFill>
          </a:ln>
          <a:effectLst/>
        </c:spPr>
      </c:pivotFmt>
      <c:pivotFmt>
        <c:idx val="542"/>
        <c:spPr>
          <a:solidFill>
            <a:schemeClr val="accent1"/>
          </a:solidFill>
          <a:ln w="19050">
            <a:solidFill>
              <a:schemeClr val="lt1"/>
            </a:solidFill>
          </a:ln>
          <a:effectLst/>
        </c:spPr>
      </c:pivotFmt>
      <c:pivotFmt>
        <c:idx val="543"/>
        <c:spPr>
          <a:solidFill>
            <a:schemeClr val="accent1"/>
          </a:solidFill>
          <a:ln w="19050">
            <a:solidFill>
              <a:schemeClr val="lt1"/>
            </a:solidFill>
          </a:ln>
          <a:effectLst/>
        </c:spPr>
      </c:pivotFmt>
      <c:pivotFmt>
        <c:idx val="544"/>
        <c:spPr>
          <a:solidFill>
            <a:schemeClr val="accent1"/>
          </a:solidFill>
          <a:ln w="19050">
            <a:solidFill>
              <a:schemeClr val="lt1"/>
            </a:solidFill>
          </a:ln>
          <a:effectLst/>
        </c:spPr>
      </c:pivotFmt>
      <c:pivotFmt>
        <c:idx val="545"/>
        <c:spPr>
          <a:solidFill>
            <a:schemeClr val="accent1"/>
          </a:solidFill>
          <a:ln w="19050">
            <a:solidFill>
              <a:schemeClr val="lt1"/>
            </a:solidFill>
          </a:ln>
          <a:effectLst/>
        </c:spPr>
      </c:pivotFmt>
      <c:pivotFmt>
        <c:idx val="546"/>
        <c:spPr>
          <a:solidFill>
            <a:schemeClr val="accent1"/>
          </a:solidFill>
          <a:ln w="19050">
            <a:solidFill>
              <a:schemeClr val="lt1"/>
            </a:solidFill>
          </a:ln>
          <a:effectLst/>
        </c:spPr>
      </c:pivotFmt>
      <c:pivotFmt>
        <c:idx val="547"/>
        <c:spPr>
          <a:solidFill>
            <a:schemeClr val="accent1"/>
          </a:solidFill>
          <a:ln w="19050">
            <a:solidFill>
              <a:schemeClr val="lt1"/>
            </a:solidFill>
          </a:ln>
          <a:effectLst/>
        </c:spPr>
      </c:pivotFmt>
      <c:pivotFmt>
        <c:idx val="548"/>
        <c:spPr>
          <a:solidFill>
            <a:schemeClr val="accent1"/>
          </a:solidFill>
          <a:ln w="19050">
            <a:solidFill>
              <a:schemeClr val="lt1"/>
            </a:solidFill>
          </a:ln>
          <a:effectLst/>
        </c:spPr>
      </c:pivotFmt>
      <c:pivotFmt>
        <c:idx val="549"/>
        <c:spPr>
          <a:solidFill>
            <a:schemeClr val="accent1"/>
          </a:solidFill>
          <a:ln w="19050">
            <a:solidFill>
              <a:schemeClr val="lt1"/>
            </a:solidFill>
          </a:ln>
          <a:effectLst/>
        </c:spPr>
      </c:pivotFmt>
      <c:pivotFmt>
        <c:idx val="550"/>
        <c:spPr>
          <a:solidFill>
            <a:schemeClr val="accent1"/>
          </a:solidFill>
          <a:ln w="19050">
            <a:solidFill>
              <a:schemeClr val="lt1"/>
            </a:solidFill>
          </a:ln>
          <a:effectLst/>
        </c:spPr>
      </c:pivotFmt>
      <c:pivotFmt>
        <c:idx val="551"/>
        <c:spPr>
          <a:solidFill>
            <a:schemeClr val="accent1"/>
          </a:solidFill>
          <a:ln w="19050">
            <a:solidFill>
              <a:schemeClr val="lt1"/>
            </a:solidFill>
          </a:ln>
          <a:effectLst/>
        </c:spPr>
      </c:pivotFmt>
      <c:pivotFmt>
        <c:idx val="552"/>
        <c:spPr>
          <a:solidFill>
            <a:schemeClr val="accent1"/>
          </a:solidFill>
          <a:ln w="19050">
            <a:solidFill>
              <a:schemeClr val="lt1"/>
            </a:solidFill>
          </a:ln>
          <a:effectLst/>
        </c:spPr>
      </c:pivotFmt>
      <c:pivotFmt>
        <c:idx val="553"/>
        <c:spPr>
          <a:solidFill>
            <a:schemeClr val="accent1"/>
          </a:solidFill>
          <a:ln w="19050">
            <a:solidFill>
              <a:schemeClr val="lt1"/>
            </a:solidFill>
          </a:ln>
          <a:effectLst/>
        </c:spPr>
      </c:pivotFmt>
      <c:pivotFmt>
        <c:idx val="554"/>
        <c:spPr>
          <a:solidFill>
            <a:schemeClr val="accent1"/>
          </a:solidFill>
          <a:ln w="19050">
            <a:solidFill>
              <a:schemeClr val="lt1"/>
            </a:solidFill>
          </a:ln>
          <a:effectLst/>
        </c:spPr>
      </c:pivotFmt>
      <c:pivotFmt>
        <c:idx val="555"/>
        <c:spPr>
          <a:solidFill>
            <a:schemeClr val="accent1"/>
          </a:solidFill>
          <a:ln w="19050">
            <a:solidFill>
              <a:schemeClr val="lt1"/>
            </a:solidFill>
          </a:ln>
          <a:effectLst/>
        </c:spPr>
      </c:pivotFmt>
      <c:pivotFmt>
        <c:idx val="556"/>
        <c:spPr>
          <a:solidFill>
            <a:schemeClr val="accent1"/>
          </a:solidFill>
          <a:ln w="19050">
            <a:solidFill>
              <a:schemeClr val="lt1"/>
            </a:solidFill>
          </a:ln>
          <a:effectLst/>
        </c:spPr>
      </c:pivotFmt>
      <c:pivotFmt>
        <c:idx val="557"/>
        <c:spPr>
          <a:solidFill>
            <a:schemeClr val="accent1"/>
          </a:solidFill>
          <a:ln w="19050">
            <a:solidFill>
              <a:schemeClr val="lt1"/>
            </a:solidFill>
          </a:ln>
          <a:effectLst/>
        </c:spPr>
      </c:pivotFmt>
      <c:pivotFmt>
        <c:idx val="558"/>
        <c:spPr>
          <a:solidFill>
            <a:schemeClr val="accent1"/>
          </a:solidFill>
          <a:ln w="19050">
            <a:solidFill>
              <a:schemeClr val="lt1"/>
            </a:solidFill>
          </a:ln>
          <a:effectLst/>
        </c:spPr>
      </c:pivotFmt>
      <c:pivotFmt>
        <c:idx val="559"/>
        <c:spPr>
          <a:solidFill>
            <a:schemeClr val="accent1"/>
          </a:solidFill>
          <a:ln w="19050">
            <a:solidFill>
              <a:schemeClr val="lt1"/>
            </a:solidFill>
          </a:ln>
          <a:effectLst/>
        </c:spPr>
      </c:pivotFmt>
      <c:pivotFmt>
        <c:idx val="560"/>
        <c:spPr>
          <a:solidFill>
            <a:schemeClr val="accent1"/>
          </a:solidFill>
          <a:ln w="19050">
            <a:solidFill>
              <a:schemeClr val="lt1"/>
            </a:solidFill>
          </a:ln>
          <a:effectLst/>
        </c:spPr>
      </c:pivotFmt>
      <c:pivotFmt>
        <c:idx val="561"/>
        <c:spPr>
          <a:solidFill>
            <a:schemeClr val="accent1"/>
          </a:solidFill>
          <a:ln w="19050">
            <a:solidFill>
              <a:schemeClr val="lt1"/>
            </a:solidFill>
          </a:ln>
          <a:effectLst/>
        </c:spPr>
      </c:pivotFmt>
      <c:pivotFmt>
        <c:idx val="562"/>
        <c:spPr>
          <a:solidFill>
            <a:schemeClr val="accent1"/>
          </a:solidFill>
          <a:ln w="19050">
            <a:solidFill>
              <a:schemeClr val="lt1"/>
            </a:solidFill>
          </a:ln>
          <a:effectLst/>
        </c:spPr>
      </c:pivotFmt>
      <c:pivotFmt>
        <c:idx val="563"/>
        <c:spPr>
          <a:solidFill>
            <a:schemeClr val="accent1"/>
          </a:solidFill>
          <a:ln w="19050">
            <a:solidFill>
              <a:schemeClr val="lt1"/>
            </a:solidFill>
          </a:ln>
          <a:effectLst/>
        </c:spPr>
      </c:pivotFmt>
      <c:pivotFmt>
        <c:idx val="564"/>
        <c:spPr>
          <a:solidFill>
            <a:schemeClr val="accent1"/>
          </a:solidFill>
          <a:ln w="19050">
            <a:solidFill>
              <a:schemeClr val="lt1"/>
            </a:solidFill>
          </a:ln>
          <a:effectLst/>
        </c:spPr>
      </c:pivotFmt>
      <c:pivotFmt>
        <c:idx val="565"/>
        <c:spPr>
          <a:solidFill>
            <a:schemeClr val="accent1"/>
          </a:solidFill>
          <a:ln w="19050">
            <a:solidFill>
              <a:schemeClr val="lt1"/>
            </a:solidFill>
          </a:ln>
          <a:effectLst/>
        </c:spPr>
      </c:pivotFmt>
      <c:pivotFmt>
        <c:idx val="566"/>
        <c:spPr>
          <a:solidFill>
            <a:schemeClr val="accent1"/>
          </a:solidFill>
          <a:ln w="19050">
            <a:solidFill>
              <a:schemeClr val="lt1"/>
            </a:solidFill>
          </a:ln>
          <a:effectLst/>
        </c:spPr>
      </c:pivotFmt>
      <c:pivotFmt>
        <c:idx val="567"/>
        <c:spPr>
          <a:solidFill>
            <a:schemeClr val="accent1"/>
          </a:solidFill>
          <a:ln w="19050">
            <a:solidFill>
              <a:schemeClr val="lt1"/>
            </a:solidFill>
          </a:ln>
          <a:effectLst/>
        </c:spPr>
      </c:pivotFmt>
      <c:pivotFmt>
        <c:idx val="568"/>
        <c:spPr>
          <a:solidFill>
            <a:schemeClr val="accent1"/>
          </a:solidFill>
          <a:ln w="19050">
            <a:solidFill>
              <a:schemeClr val="lt1"/>
            </a:solidFill>
          </a:ln>
          <a:effectLst/>
        </c:spPr>
      </c:pivotFmt>
      <c:pivotFmt>
        <c:idx val="569"/>
        <c:spPr>
          <a:solidFill>
            <a:schemeClr val="accent1"/>
          </a:solidFill>
          <a:ln w="19050">
            <a:solidFill>
              <a:schemeClr val="lt1"/>
            </a:solidFill>
          </a:ln>
          <a:effectLst/>
        </c:spPr>
      </c:pivotFmt>
      <c:pivotFmt>
        <c:idx val="570"/>
        <c:spPr>
          <a:solidFill>
            <a:schemeClr val="accent1"/>
          </a:solidFill>
          <a:ln w="19050">
            <a:solidFill>
              <a:schemeClr val="lt1"/>
            </a:solidFill>
          </a:ln>
          <a:effectLst/>
        </c:spPr>
      </c:pivotFmt>
      <c:pivotFmt>
        <c:idx val="571"/>
        <c:spPr>
          <a:solidFill>
            <a:schemeClr val="accent1"/>
          </a:solidFill>
          <a:ln w="19050">
            <a:solidFill>
              <a:schemeClr val="lt1"/>
            </a:solidFill>
          </a:ln>
          <a:effectLst/>
        </c:spPr>
      </c:pivotFmt>
      <c:pivotFmt>
        <c:idx val="572"/>
        <c:spPr>
          <a:solidFill>
            <a:schemeClr val="accent1"/>
          </a:solidFill>
          <a:ln w="19050">
            <a:solidFill>
              <a:schemeClr val="lt1"/>
            </a:solidFill>
          </a:ln>
          <a:effectLst/>
        </c:spPr>
      </c:pivotFmt>
      <c:pivotFmt>
        <c:idx val="573"/>
        <c:spPr>
          <a:solidFill>
            <a:schemeClr val="accent1"/>
          </a:solidFill>
          <a:ln w="19050">
            <a:solidFill>
              <a:schemeClr val="lt1"/>
            </a:solidFill>
          </a:ln>
          <a:effectLst/>
        </c:spPr>
      </c:pivotFmt>
      <c:pivotFmt>
        <c:idx val="574"/>
        <c:spPr>
          <a:solidFill>
            <a:schemeClr val="accent1"/>
          </a:solidFill>
          <a:ln w="19050">
            <a:solidFill>
              <a:schemeClr val="lt1"/>
            </a:solidFill>
          </a:ln>
          <a:effectLst/>
        </c:spPr>
      </c:pivotFmt>
      <c:pivotFmt>
        <c:idx val="575"/>
        <c:spPr>
          <a:solidFill>
            <a:schemeClr val="accent1"/>
          </a:solidFill>
          <a:ln w="19050">
            <a:solidFill>
              <a:schemeClr val="lt1"/>
            </a:solidFill>
          </a:ln>
          <a:effectLst/>
        </c:spPr>
      </c:pivotFmt>
      <c:pivotFmt>
        <c:idx val="576"/>
        <c:spPr>
          <a:solidFill>
            <a:schemeClr val="accent1"/>
          </a:solidFill>
          <a:ln w="19050">
            <a:solidFill>
              <a:schemeClr val="lt1"/>
            </a:solidFill>
          </a:ln>
          <a:effectLst/>
        </c:spPr>
      </c:pivotFmt>
      <c:pivotFmt>
        <c:idx val="577"/>
        <c:spPr>
          <a:solidFill>
            <a:schemeClr val="accent1"/>
          </a:solidFill>
          <a:ln w="19050">
            <a:solidFill>
              <a:schemeClr val="lt1"/>
            </a:solidFill>
          </a:ln>
          <a:effectLst/>
        </c:spPr>
      </c:pivotFmt>
      <c:pivotFmt>
        <c:idx val="578"/>
        <c:spPr>
          <a:solidFill>
            <a:schemeClr val="accent1"/>
          </a:solidFill>
          <a:ln w="19050">
            <a:solidFill>
              <a:schemeClr val="lt1"/>
            </a:solidFill>
          </a:ln>
          <a:effectLst/>
        </c:spPr>
      </c:pivotFmt>
      <c:pivotFmt>
        <c:idx val="579"/>
        <c:spPr>
          <a:solidFill>
            <a:schemeClr val="accent1"/>
          </a:solidFill>
          <a:ln w="19050">
            <a:solidFill>
              <a:schemeClr val="lt1"/>
            </a:solidFill>
          </a:ln>
          <a:effectLst/>
        </c:spPr>
      </c:pivotFmt>
      <c:pivotFmt>
        <c:idx val="580"/>
        <c:spPr>
          <a:solidFill>
            <a:schemeClr val="accent1"/>
          </a:solidFill>
          <a:ln w="19050">
            <a:solidFill>
              <a:schemeClr val="lt1"/>
            </a:solidFill>
          </a:ln>
          <a:effectLst/>
        </c:spPr>
      </c:pivotFmt>
      <c:pivotFmt>
        <c:idx val="581"/>
        <c:spPr>
          <a:solidFill>
            <a:schemeClr val="accent1"/>
          </a:solidFill>
          <a:ln w="19050">
            <a:solidFill>
              <a:schemeClr val="lt1"/>
            </a:solidFill>
          </a:ln>
          <a:effectLst/>
        </c:spPr>
      </c:pivotFmt>
      <c:pivotFmt>
        <c:idx val="582"/>
        <c:spPr>
          <a:solidFill>
            <a:schemeClr val="accent1"/>
          </a:solidFill>
          <a:ln w="19050">
            <a:solidFill>
              <a:schemeClr val="lt1"/>
            </a:solidFill>
          </a:ln>
          <a:effectLst/>
        </c:spPr>
      </c:pivotFmt>
      <c:pivotFmt>
        <c:idx val="583"/>
        <c:spPr>
          <a:solidFill>
            <a:schemeClr val="accent1"/>
          </a:solidFill>
          <a:ln w="19050">
            <a:solidFill>
              <a:schemeClr val="lt1"/>
            </a:solidFill>
          </a:ln>
          <a:effectLst/>
        </c:spPr>
      </c:pivotFmt>
      <c:pivotFmt>
        <c:idx val="584"/>
        <c:spPr>
          <a:solidFill>
            <a:schemeClr val="accent1"/>
          </a:solidFill>
          <a:ln w="19050">
            <a:solidFill>
              <a:schemeClr val="lt1"/>
            </a:solidFill>
          </a:ln>
          <a:effectLst/>
        </c:spPr>
      </c:pivotFmt>
      <c:pivotFmt>
        <c:idx val="585"/>
        <c:spPr>
          <a:solidFill>
            <a:schemeClr val="accent1"/>
          </a:solidFill>
          <a:ln w="19050">
            <a:solidFill>
              <a:schemeClr val="lt1"/>
            </a:solidFill>
          </a:ln>
          <a:effectLst/>
        </c:spPr>
      </c:pivotFmt>
      <c:pivotFmt>
        <c:idx val="586"/>
        <c:spPr>
          <a:solidFill>
            <a:schemeClr val="accent1"/>
          </a:solidFill>
          <a:ln w="19050">
            <a:solidFill>
              <a:schemeClr val="lt1"/>
            </a:solidFill>
          </a:ln>
          <a:effectLst/>
        </c:spPr>
      </c:pivotFmt>
      <c:pivotFmt>
        <c:idx val="587"/>
        <c:spPr>
          <a:solidFill>
            <a:schemeClr val="accent1"/>
          </a:solidFill>
          <a:ln w="19050">
            <a:solidFill>
              <a:schemeClr val="lt1"/>
            </a:solidFill>
          </a:ln>
          <a:effectLst/>
        </c:spPr>
      </c:pivotFmt>
      <c:pivotFmt>
        <c:idx val="588"/>
        <c:spPr>
          <a:solidFill>
            <a:schemeClr val="accent1"/>
          </a:solidFill>
          <a:ln w="19050">
            <a:solidFill>
              <a:schemeClr val="lt1"/>
            </a:solidFill>
          </a:ln>
          <a:effectLst/>
        </c:spPr>
      </c:pivotFmt>
      <c:pivotFmt>
        <c:idx val="589"/>
        <c:spPr>
          <a:solidFill>
            <a:schemeClr val="accent1"/>
          </a:solidFill>
          <a:ln w="19050">
            <a:solidFill>
              <a:schemeClr val="lt1"/>
            </a:solidFill>
          </a:ln>
          <a:effectLst/>
        </c:spPr>
      </c:pivotFmt>
      <c:pivotFmt>
        <c:idx val="590"/>
        <c:spPr>
          <a:solidFill>
            <a:schemeClr val="accent1"/>
          </a:solidFill>
          <a:ln w="19050">
            <a:solidFill>
              <a:schemeClr val="lt1"/>
            </a:solidFill>
          </a:ln>
          <a:effectLst/>
        </c:spPr>
      </c:pivotFmt>
      <c:pivotFmt>
        <c:idx val="591"/>
        <c:spPr>
          <a:solidFill>
            <a:schemeClr val="accent1"/>
          </a:solidFill>
          <a:ln w="19050">
            <a:solidFill>
              <a:schemeClr val="lt1"/>
            </a:solidFill>
          </a:ln>
          <a:effectLst/>
        </c:spPr>
      </c:pivotFmt>
      <c:pivotFmt>
        <c:idx val="592"/>
        <c:spPr>
          <a:solidFill>
            <a:schemeClr val="accent1"/>
          </a:solidFill>
          <a:ln w="19050">
            <a:solidFill>
              <a:schemeClr val="lt1"/>
            </a:solidFill>
          </a:ln>
          <a:effectLst/>
        </c:spPr>
      </c:pivotFmt>
      <c:pivotFmt>
        <c:idx val="593"/>
        <c:spPr>
          <a:solidFill>
            <a:schemeClr val="accent1"/>
          </a:solidFill>
          <a:ln w="19050">
            <a:solidFill>
              <a:schemeClr val="lt1"/>
            </a:solidFill>
          </a:ln>
          <a:effectLst/>
        </c:spPr>
      </c:pivotFmt>
      <c:pivotFmt>
        <c:idx val="594"/>
        <c:spPr>
          <a:solidFill>
            <a:schemeClr val="accent1"/>
          </a:solidFill>
          <a:ln w="19050">
            <a:solidFill>
              <a:schemeClr val="lt1"/>
            </a:solidFill>
          </a:ln>
          <a:effectLst/>
        </c:spPr>
      </c:pivotFmt>
      <c:pivotFmt>
        <c:idx val="595"/>
        <c:spPr>
          <a:solidFill>
            <a:schemeClr val="accent1"/>
          </a:solidFill>
          <a:ln w="19050">
            <a:solidFill>
              <a:schemeClr val="lt1"/>
            </a:solidFill>
          </a:ln>
          <a:effectLst/>
        </c:spPr>
      </c:pivotFmt>
      <c:pivotFmt>
        <c:idx val="596"/>
        <c:spPr>
          <a:solidFill>
            <a:schemeClr val="accent1"/>
          </a:solidFill>
          <a:ln w="19050">
            <a:solidFill>
              <a:schemeClr val="lt1"/>
            </a:solidFill>
          </a:ln>
          <a:effectLst/>
        </c:spPr>
      </c:pivotFmt>
      <c:pivotFmt>
        <c:idx val="597"/>
        <c:spPr>
          <a:solidFill>
            <a:schemeClr val="accent1"/>
          </a:solidFill>
          <a:ln w="19050">
            <a:solidFill>
              <a:schemeClr val="lt1"/>
            </a:solidFill>
          </a:ln>
          <a:effectLst/>
        </c:spPr>
      </c:pivotFmt>
      <c:pivotFmt>
        <c:idx val="598"/>
        <c:spPr>
          <a:solidFill>
            <a:schemeClr val="accent1"/>
          </a:solidFill>
          <a:ln w="19050">
            <a:solidFill>
              <a:schemeClr val="lt1"/>
            </a:solidFill>
          </a:ln>
          <a:effectLst/>
        </c:spPr>
      </c:pivotFmt>
      <c:pivotFmt>
        <c:idx val="599"/>
        <c:spPr>
          <a:solidFill>
            <a:schemeClr val="accent1"/>
          </a:solidFill>
          <a:ln w="19050">
            <a:solidFill>
              <a:schemeClr val="lt1"/>
            </a:solidFill>
          </a:ln>
          <a:effectLst/>
        </c:spPr>
      </c:pivotFmt>
      <c:pivotFmt>
        <c:idx val="600"/>
        <c:spPr>
          <a:solidFill>
            <a:schemeClr val="accent1"/>
          </a:solidFill>
          <a:ln w="19050">
            <a:solidFill>
              <a:schemeClr val="lt1"/>
            </a:solidFill>
          </a:ln>
          <a:effectLst/>
        </c:spPr>
      </c:pivotFmt>
      <c:pivotFmt>
        <c:idx val="601"/>
        <c:spPr>
          <a:solidFill>
            <a:schemeClr val="accent1"/>
          </a:solidFill>
          <a:ln w="19050">
            <a:solidFill>
              <a:schemeClr val="lt1"/>
            </a:solidFill>
          </a:ln>
          <a:effectLst/>
        </c:spPr>
      </c:pivotFmt>
      <c:pivotFmt>
        <c:idx val="602"/>
        <c:spPr>
          <a:solidFill>
            <a:schemeClr val="accent1"/>
          </a:solidFill>
          <a:ln w="19050">
            <a:solidFill>
              <a:schemeClr val="lt1"/>
            </a:solidFill>
          </a:ln>
          <a:effectLst/>
        </c:spPr>
      </c:pivotFmt>
      <c:pivotFmt>
        <c:idx val="603"/>
        <c:spPr>
          <a:solidFill>
            <a:schemeClr val="accent1"/>
          </a:solidFill>
          <a:ln w="19050">
            <a:solidFill>
              <a:schemeClr val="lt1"/>
            </a:solidFill>
          </a:ln>
          <a:effectLst/>
        </c:spPr>
      </c:pivotFmt>
      <c:pivotFmt>
        <c:idx val="604"/>
        <c:spPr>
          <a:solidFill>
            <a:schemeClr val="accent1"/>
          </a:solidFill>
          <a:ln w="19050">
            <a:solidFill>
              <a:schemeClr val="lt1"/>
            </a:solidFill>
          </a:ln>
          <a:effectLst/>
        </c:spPr>
      </c:pivotFmt>
      <c:pivotFmt>
        <c:idx val="605"/>
        <c:spPr>
          <a:solidFill>
            <a:schemeClr val="accent1"/>
          </a:solidFill>
          <a:ln w="19050">
            <a:solidFill>
              <a:schemeClr val="lt1"/>
            </a:solidFill>
          </a:ln>
          <a:effectLst/>
        </c:spPr>
      </c:pivotFmt>
      <c:pivotFmt>
        <c:idx val="606"/>
        <c:spPr>
          <a:solidFill>
            <a:schemeClr val="accent1"/>
          </a:solidFill>
          <a:ln w="19050">
            <a:solidFill>
              <a:schemeClr val="lt1"/>
            </a:solidFill>
          </a:ln>
          <a:effectLst/>
        </c:spPr>
      </c:pivotFmt>
      <c:pivotFmt>
        <c:idx val="607"/>
        <c:spPr>
          <a:solidFill>
            <a:schemeClr val="accent1"/>
          </a:solidFill>
          <a:ln w="19050">
            <a:solidFill>
              <a:schemeClr val="lt1"/>
            </a:solidFill>
          </a:ln>
          <a:effectLst/>
        </c:spPr>
      </c:pivotFmt>
      <c:pivotFmt>
        <c:idx val="608"/>
        <c:spPr>
          <a:solidFill>
            <a:schemeClr val="accent1"/>
          </a:solidFill>
          <a:ln w="19050">
            <a:solidFill>
              <a:schemeClr val="lt1"/>
            </a:solidFill>
          </a:ln>
          <a:effectLst/>
        </c:spPr>
      </c:pivotFmt>
      <c:pivotFmt>
        <c:idx val="609"/>
        <c:spPr>
          <a:solidFill>
            <a:schemeClr val="accent1"/>
          </a:solidFill>
          <a:ln w="19050">
            <a:solidFill>
              <a:schemeClr val="lt1"/>
            </a:solidFill>
          </a:ln>
          <a:effectLst/>
        </c:spPr>
      </c:pivotFmt>
      <c:pivotFmt>
        <c:idx val="610"/>
        <c:spPr>
          <a:solidFill>
            <a:schemeClr val="accent1"/>
          </a:solidFill>
          <a:ln w="19050">
            <a:solidFill>
              <a:schemeClr val="lt1"/>
            </a:solidFill>
          </a:ln>
          <a:effectLst/>
        </c:spPr>
      </c:pivotFmt>
      <c:pivotFmt>
        <c:idx val="611"/>
        <c:spPr>
          <a:solidFill>
            <a:schemeClr val="accent1"/>
          </a:solidFill>
          <a:ln w="19050">
            <a:solidFill>
              <a:schemeClr val="lt1"/>
            </a:solidFill>
          </a:ln>
          <a:effectLst/>
        </c:spPr>
      </c:pivotFmt>
      <c:pivotFmt>
        <c:idx val="612"/>
        <c:spPr>
          <a:solidFill>
            <a:schemeClr val="accent1"/>
          </a:solidFill>
          <a:ln w="19050">
            <a:solidFill>
              <a:schemeClr val="lt1"/>
            </a:solidFill>
          </a:ln>
          <a:effectLst/>
        </c:spPr>
      </c:pivotFmt>
      <c:pivotFmt>
        <c:idx val="613"/>
        <c:spPr>
          <a:solidFill>
            <a:schemeClr val="accent1"/>
          </a:solidFill>
          <a:ln w="19050">
            <a:solidFill>
              <a:schemeClr val="lt1"/>
            </a:solidFill>
          </a:ln>
          <a:effectLst/>
        </c:spPr>
      </c:pivotFmt>
      <c:pivotFmt>
        <c:idx val="614"/>
        <c:spPr>
          <a:solidFill>
            <a:schemeClr val="accent1"/>
          </a:solidFill>
          <a:ln w="19050">
            <a:solidFill>
              <a:schemeClr val="lt1"/>
            </a:solidFill>
          </a:ln>
          <a:effectLst/>
        </c:spPr>
      </c:pivotFmt>
      <c:pivotFmt>
        <c:idx val="615"/>
        <c:spPr>
          <a:solidFill>
            <a:schemeClr val="accent1"/>
          </a:solidFill>
          <a:ln w="19050">
            <a:solidFill>
              <a:schemeClr val="lt1"/>
            </a:solidFill>
          </a:ln>
          <a:effectLst/>
        </c:spPr>
      </c:pivotFmt>
      <c:pivotFmt>
        <c:idx val="616"/>
        <c:spPr>
          <a:solidFill>
            <a:schemeClr val="accent1"/>
          </a:solidFill>
          <a:ln w="19050">
            <a:solidFill>
              <a:schemeClr val="lt1"/>
            </a:solidFill>
          </a:ln>
          <a:effectLst/>
        </c:spPr>
      </c:pivotFmt>
      <c:pivotFmt>
        <c:idx val="617"/>
        <c:spPr>
          <a:solidFill>
            <a:schemeClr val="accent1"/>
          </a:solidFill>
          <a:ln w="19050">
            <a:solidFill>
              <a:schemeClr val="lt1"/>
            </a:solidFill>
          </a:ln>
          <a:effectLst/>
        </c:spPr>
      </c:pivotFmt>
      <c:pivotFmt>
        <c:idx val="618"/>
        <c:spPr>
          <a:solidFill>
            <a:schemeClr val="accent1"/>
          </a:solidFill>
          <a:ln w="19050">
            <a:solidFill>
              <a:schemeClr val="lt1"/>
            </a:solidFill>
          </a:ln>
          <a:effectLst/>
        </c:spPr>
      </c:pivotFmt>
      <c:pivotFmt>
        <c:idx val="619"/>
        <c:spPr>
          <a:solidFill>
            <a:schemeClr val="accent1"/>
          </a:solidFill>
          <a:ln w="19050">
            <a:solidFill>
              <a:schemeClr val="lt1"/>
            </a:solidFill>
          </a:ln>
          <a:effectLst/>
        </c:spPr>
      </c:pivotFmt>
      <c:pivotFmt>
        <c:idx val="620"/>
        <c:spPr>
          <a:solidFill>
            <a:schemeClr val="accent1"/>
          </a:solidFill>
          <a:ln w="19050">
            <a:solidFill>
              <a:schemeClr val="lt1"/>
            </a:solidFill>
          </a:ln>
          <a:effectLst/>
        </c:spPr>
      </c:pivotFmt>
      <c:pivotFmt>
        <c:idx val="621"/>
        <c:spPr>
          <a:solidFill>
            <a:schemeClr val="accent1"/>
          </a:solidFill>
          <a:ln w="19050">
            <a:solidFill>
              <a:schemeClr val="lt1"/>
            </a:solidFill>
          </a:ln>
          <a:effectLst/>
        </c:spPr>
      </c:pivotFmt>
      <c:pivotFmt>
        <c:idx val="622"/>
        <c:spPr>
          <a:solidFill>
            <a:schemeClr val="accent1"/>
          </a:solidFill>
          <a:ln w="19050">
            <a:solidFill>
              <a:schemeClr val="lt1"/>
            </a:solidFill>
          </a:ln>
          <a:effectLst/>
        </c:spPr>
      </c:pivotFmt>
      <c:pivotFmt>
        <c:idx val="623"/>
        <c:spPr>
          <a:solidFill>
            <a:schemeClr val="accent1"/>
          </a:solidFill>
          <a:ln w="19050">
            <a:solidFill>
              <a:schemeClr val="lt1"/>
            </a:solidFill>
          </a:ln>
          <a:effectLst/>
        </c:spPr>
      </c:pivotFmt>
      <c:pivotFmt>
        <c:idx val="624"/>
        <c:spPr>
          <a:solidFill>
            <a:schemeClr val="accent1"/>
          </a:solidFill>
          <a:ln w="19050">
            <a:solidFill>
              <a:schemeClr val="lt1"/>
            </a:solidFill>
          </a:ln>
          <a:effectLst/>
        </c:spPr>
      </c:pivotFmt>
      <c:pivotFmt>
        <c:idx val="625"/>
        <c:spPr>
          <a:solidFill>
            <a:schemeClr val="accent1"/>
          </a:solidFill>
          <a:ln w="19050">
            <a:solidFill>
              <a:schemeClr val="lt1"/>
            </a:solidFill>
          </a:ln>
          <a:effectLst/>
        </c:spPr>
      </c:pivotFmt>
      <c:pivotFmt>
        <c:idx val="626"/>
        <c:spPr>
          <a:solidFill>
            <a:schemeClr val="accent1"/>
          </a:solidFill>
          <a:ln w="19050">
            <a:solidFill>
              <a:schemeClr val="lt1"/>
            </a:solidFill>
          </a:ln>
          <a:effectLst/>
        </c:spPr>
      </c:pivotFmt>
      <c:pivotFmt>
        <c:idx val="627"/>
        <c:spPr>
          <a:solidFill>
            <a:schemeClr val="accent1"/>
          </a:solidFill>
          <a:ln w="19050">
            <a:solidFill>
              <a:schemeClr val="lt1"/>
            </a:solidFill>
          </a:ln>
          <a:effectLst/>
        </c:spPr>
      </c:pivotFmt>
      <c:pivotFmt>
        <c:idx val="628"/>
        <c:spPr>
          <a:solidFill>
            <a:schemeClr val="accent1"/>
          </a:solidFill>
          <a:ln w="19050">
            <a:solidFill>
              <a:schemeClr val="lt1"/>
            </a:solidFill>
          </a:ln>
          <a:effectLst/>
        </c:spPr>
      </c:pivotFmt>
      <c:pivotFmt>
        <c:idx val="629"/>
        <c:spPr>
          <a:solidFill>
            <a:schemeClr val="accent1"/>
          </a:solidFill>
          <a:ln w="19050">
            <a:solidFill>
              <a:schemeClr val="lt1"/>
            </a:solidFill>
          </a:ln>
          <a:effectLst/>
        </c:spPr>
      </c:pivotFmt>
      <c:pivotFmt>
        <c:idx val="630"/>
        <c:spPr>
          <a:solidFill>
            <a:schemeClr val="accent1"/>
          </a:solidFill>
          <a:ln w="19050">
            <a:solidFill>
              <a:schemeClr val="lt1"/>
            </a:solidFill>
          </a:ln>
          <a:effectLst/>
        </c:spPr>
      </c:pivotFmt>
      <c:pivotFmt>
        <c:idx val="631"/>
        <c:spPr>
          <a:solidFill>
            <a:schemeClr val="accent1"/>
          </a:solidFill>
          <a:ln w="19050">
            <a:solidFill>
              <a:schemeClr val="lt1"/>
            </a:solidFill>
          </a:ln>
          <a:effectLst/>
        </c:spPr>
      </c:pivotFmt>
      <c:pivotFmt>
        <c:idx val="632"/>
        <c:spPr>
          <a:solidFill>
            <a:schemeClr val="accent1"/>
          </a:solidFill>
          <a:ln w="19050">
            <a:solidFill>
              <a:schemeClr val="lt1"/>
            </a:solidFill>
          </a:ln>
          <a:effectLst/>
        </c:spPr>
      </c:pivotFmt>
      <c:pivotFmt>
        <c:idx val="633"/>
        <c:spPr>
          <a:solidFill>
            <a:schemeClr val="accent1"/>
          </a:solidFill>
          <a:ln w="19050">
            <a:solidFill>
              <a:schemeClr val="lt1"/>
            </a:solidFill>
          </a:ln>
          <a:effectLst/>
        </c:spPr>
      </c:pivotFmt>
      <c:pivotFmt>
        <c:idx val="634"/>
        <c:spPr>
          <a:solidFill>
            <a:schemeClr val="accent1"/>
          </a:solidFill>
          <a:ln w="19050">
            <a:solidFill>
              <a:schemeClr val="lt1"/>
            </a:solidFill>
          </a:ln>
          <a:effectLst/>
        </c:spPr>
      </c:pivotFmt>
      <c:pivotFmt>
        <c:idx val="635"/>
        <c:spPr>
          <a:solidFill>
            <a:schemeClr val="accent1"/>
          </a:solidFill>
          <a:ln w="19050">
            <a:solidFill>
              <a:schemeClr val="lt1"/>
            </a:solidFill>
          </a:ln>
          <a:effectLst/>
        </c:spPr>
      </c:pivotFmt>
      <c:pivotFmt>
        <c:idx val="636"/>
        <c:spPr>
          <a:solidFill>
            <a:schemeClr val="accent1"/>
          </a:solidFill>
          <a:ln w="19050">
            <a:solidFill>
              <a:schemeClr val="lt1"/>
            </a:solidFill>
          </a:ln>
          <a:effectLst/>
        </c:spPr>
      </c:pivotFmt>
      <c:pivotFmt>
        <c:idx val="637"/>
        <c:spPr>
          <a:solidFill>
            <a:schemeClr val="accent1"/>
          </a:solidFill>
          <a:ln w="19050">
            <a:solidFill>
              <a:schemeClr val="lt1"/>
            </a:solidFill>
          </a:ln>
          <a:effectLst/>
        </c:spPr>
      </c:pivotFmt>
      <c:pivotFmt>
        <c:idx val="638"/>
        <c:spPr>
          <a:solidFill>
            <a:schemeClr val="accent1"/>
          </a:solidFill>
          <a:ln w="19050">
            <a:solidFill>
              <a:schemeClr val="lt1"/>
            </a:solidFill>
          </a:ln>
          <a:effectLst/>
        </c:spPr>
      </c:pivotFmt>
      <c:pivotFmt>
        <c:idx val="639"/>
        <c:spPr>
          <a:solidFill>
            <a:schemeClr val="accent1"/>
          </a:solidFill>
          <a:ln w="19050">
            <a:solidFill>
              <a:schemeClr val="lt1"/>
            </a:solidFill>
          </a:ln>
          <a:effectLst/>
        </c:spPr>
      </c:pivotFmt>
      <c:pivotFmt>
        <c:idx val="640"/>
        <c:spPr>
          <a:solidFill>
            <a:schemeClr val="accent1"/>
          </a:solidFill>
          <a:ln w="19050">
            <a:solidFill>
              <a:schemeClr val="lt1"/>
            </a:solidFill>
          </a:ln>
          <a:effectLst/>
        </c:spPr>
      </c:pivotFmt>
      <c:pivotFmt>
        <c:idx val="641"/>
        <c:spPr>
          <a:solidFill>
            <a:schemeClr val="accent1"/>
          </a:solidFill>
          <a:ln w="19050">
            <a:solidFill>
              <a:schemeClr val="lt1"/>
            </a:solidFill>
          </a:ln>
          <a:effectLst/>
        </c:spPr>
      </c:pivotFmt>
      <c:pivotFmt>
        <c:idx val="642"/>
        <c:spPr>
          <a:solidFill>
            <a:schemeClr val="accent1"/>
          </a:solidFill>
          <a:ln w="19050">
            <a:solidFill>
              <a:schemeClr val="lt1"/>
            </a:solidFill>
          </a:ln>
          <a:effectLst/>
        </c:spPr>
      </c:pivotFmt>
      <c:pivotFmt>
        <c:idx val="643"/>
        <c:spPr>
          <a:solidFill>
            <a:schemeClr val="accent1"/>
          </a:solidFill>
          <a:ln w="19050">
            <a:solidFill>
              <a:schemeClr val="lt1"/>
            </a:solidFill>
          </a:ln>
          <a:effectLst/>
        </c:spPr>
      </c:pivotFmt>
      <c:pivotFmt>
        <c:idx val="644"/>
        <c:spPr>
          <a:solidFill>
            <a:schemeClr val="accent1"/>
          </a:solidFill>
          <a:ln w="19050">
            <a:solidFill>
              <a:schemeClr val="lt1"/>
            </a:solidFill>
          </a:ln>
          <a:effectLst/>
        </c:spPr>
      </c:pivotFmt>
      <c:pivotFmt>
        <c:idx val="645"/>
        <c:spPr>
          <a:solidFill>
            <a:schemeClr val="accent1"/>
          </a:solidFill>
          <a:ln w="19050">
            <a:solidFill>
              <a:schemeClr val="lt1"/>
            </a:solidFill>
          </a:ln>
          <a:effectLst/>
        </c:spPr>
      </c:pivotFmt>
      <c:pivotFmt>
        <c:idx val="646"/>
        <c:spPr>
          <a:solidFill>
            <a:schemeClr val="accent1"/>
          </a:solidFill>
          <a:ln w="19050">
            <a:solidFill>
              <a:schemeClr val="lt1"/>
            </a:solidFill>
          </a:ln>
          <a:effectLst/>
        </c:spPr>
      </c:pivotFmt>
      <c:pivotFmt>
        <c:idx val="647"/>
        <c:spPr>
          <a:solidFill>
            <a:schemeClr val="accent1"/>
          </a:solidFill>
          <a:ln w="19050">
            <a:solidFill>
              <a:schemeClr val="lt1"/>
            </a:solidFill>
          </a:ln>
          <a:effectLst/>
        </c:spPr>
      </c:pivotFmt>
      <c:pivotFmt>
        <c:idx val="648"/>
        <c:spPr>
          <a:solidFill>
            <a:schemeClr val="accent1"/>
          </a:solidFill>
          <a:ln w="19050">
            <a:solidFill>
              <a:schemeClr val="lt1"/>
            </a:solidFill>
          </a:ln>
          <a:effectLst/>
        </c:spPr>
      </c:pivotFmt>
      <c:pivotFmt>
        <c:idx val="649"/>
        <c:spPr>
          <a:solidFill>
            <a:schemeClr val="accent1"/>
          </a:solidFill>
          <a:ln w="19050">
            <a:solidFill>
              <a:schemeClr val="lt1"/>
            </a:solidFill>
          </a:ln>
          <a:effectLst/>
        </c:spPr>
      </c:pivotFmt>
      <c:pivotFmt>
        <c:idx val="650"/>
        <c:spPr>
          <a:solidFill>
            <a:schemeClr val="accent1"/>
          </a:solidFill>
          <a:ln w="19050">
            <a:solidFill>
              <a:schemeClr val="lt1"/>
            </a:solidFill>
          </a:ln>
          <a:effectLst/>
        </c:spPr>
      </c:pivotFmt>
      <c:pivotFmt>
        <c:idx val="651"/>
        <c:spPr>
          <a:solidFill>
            <a:schemeClr val="accent1"/>
          </a:solidFill>
          <a:ln w="19050">
            <a:solidFill>
              <a:schemeClr val="lt1"/>
            </a:solidFill>
          </a:ln>
          <a:effectLst/>
        </c:spPr>
      </c:pivotFmt>
      <c:pivotFmt>
        <c:idx val="652"/>
        <c:spPr>
          <a:solidFill>
            <a:schemeClr val="accent1"/>
          </a:solidFill>
          <a:ln w="19050">
            <a:solidFill>
              <a:schemeClr val="lt1"/>
            </a:solidFill>
          </a:ln>
          <a:effectLst/>
        </c:spPr>
      </c:pivotFmt>
      <c:pivotFmt>
        <c:idx val="653"/>
        <c:spPr>
          <a:solidFill>
            <a:schemeClr val="accent1"/>
          </a:solidFill>
          <a:ln w="19050">
            <a:solidFill>
              <a:schemeClr val="lt1"/>
            </a:solidFill>
          </a:ln>
          <a:effectLst/>
        </c:spPr>
      </c:pivotFmt>
      <c:pivotFmt>
        <c:idx val="654"/>
        <c:spPr>
          <a:solidFill>
            <a:schemeClr val="accent1"/>
          </a:solidFill>
          <a:ln w="19050">
            <a:solidFill>
              <a:schemeClr val="lt1"/>
            </a:solidFill>
          </a:ln>
          <a:effectLst/>
        </c:spPr>
      </c:pivotFmt>
      <c:pivotFmt>
        <c:idx val="655"/>
        <c:spPr>
          <a:solidFill>
            <a:schemeClr val="accent1"/>
          </a:solidFill>
          <a:ln w="19050">
            <a:solidFill>
              <a:schemeClr val="lt1"/>
            </a:solidFill>
          </a:ln>
          <a:effectLst/>
        </c:spPr>
      </c:pivotFmt>
      <c:pivotFmt>
        <c:idx val="656"/>
        <c:spPr>
          <a:solidFill>
            <a:schemeClr val="accent1"/>
          </a:solidFill>
          <a:ln w="19050">
            <a:solidFill>
              <a:schemeClr val="lt1"/>
            </a:solidFill>
          </a:ln>
          <a:effectLst/>
        </c:spPr>
      </c:pivotFmt>
      <c:pivotFmt>
        <c:idx val="657"/>
        <c:spPr>
          <a:solidFill>
            <a:schemeClr val="accent1"/>
          </a:solidFill>
          <a:ln w="19050">
            <a:solidFill>
              <a:schemeClr val="lt1"/>
            </a:solidFill>
          </a:ln>
          <a:effectLst/>
        </c:spPr>
      </c:pivotFmt>
      <c:pivotFmt>
        <c:idx val="658"/>
        <c:spPr>
          <a:solidFill>
            <a:schemeClr val="accent1"/>
          </a:solidFill>
          <a:ln w="19050">
            <a:solidFill>
              <a:schemeClr val="lt1"/>
            </a:solidFill>
          </a:ln>
          <a:effectLst/>
        </c:spPr>
      </c:pivotFmt>
      <c:pivotFmt>
        <c:idx val="659"/>
        <c:spPr>
          <a:solidFill>
            <a:schemeClr val="accent1"/>
          </a:solidFill>
          <a:ln w="19050">
            <a:solidFill>
              <a:schemeClr val="lt1"/>
            </a:solidFill>
          </a:ln>
          <a:effectLst/>
        </c:spPr>
      </c:pivotFmt>
      <c:pivotFmt>
        <c:idx val="660"/>
        <c:spPr>
          <a:solidFill>
            <a:schemeClr val="accent1"/>
          </a:solidFill>
          <a:ln w="19050">
            <a:solidFill>
              <a:schemeClr val="lt1"/>
            </a:solidFill>
          </a:ln>
          <a:effectLst/>
        </c:spPr>
      </c:pivotFmt>
      <c:pivotFmt>
        <c:idx val="661"/>
        <c:spPr>
          <a:solidFill>
            <a:schemeClr val="accent1"/>
          </a:solidFill>
          <a:ln w="19050">
            <a:solidFill>
              <a:schemeClr val="lt1"/>
            </a:solidFill>
          </a:ln>
          <a:effectLst/>
        </c:spPr>
      </c:pivotFmt>
      <c:pivotFmt>
        <c:idx val="662"/>
        <c:spPr>
          <a:solidFill>
            <a:schemeClr val="accent1"/>
          </a:solidFill>
          <a:ln w="19050">
            <a:solidFill>
              <a:schemeClr val="lt1"/>
            </a:solidFill>
          </a:ln>
          <a:effectLst/>
        </c:spPr>
      </c:pivotFmt>
      <c:pivotFmt>
        <c:idx val="663"/>
        <c:spPr>
          <a:solidFill>
            <a:schemeClr val="accent1"/>
          </a:solidFill>
          <a:ln w="19050">
            <a:solidFill>
              <a:schemeClr val="lt1"/>
            </a:solidFill>
          </a:ln>
          <a:effectLst/>
        </c:spPr>
      </c:pivotFmt>
      <c:pivotFmt>
        <c:idx val="664"/>
        <c:spPr>
          <a:solidFill>
            <a:schemeClr val="accent1"/>
          </a:solidFill>
          <a:ln w="19050">
            <a:solidFill>
              <a:schemeClr val="lt1"/>
            </a:solidFill>
          </a:ln>
          <a:effectLst/>
        </c:spPr>
      </c:pivotFmt>
      <c:pivotFmt>
        <c:idx val="665"/>
        <c:spPr>
          <a:solidFill>
            <a:schemeClr val="accent1"/>
          </a:solidFill>
          <a:ln w="19050">
            <a:solidFill>
              <a:schemeClr val="lt1"/>
            </a:solidFill>
          </a:ln>
          <a:effectLst/>
        </c:spPr>
      </c:pivotFmt>
      <c:pivotFmt>
        <c:idx val="666"/>
        <c:spPr>
          <a:solidFill>
            <a:schemeClr val="accent1"/>
          </a:solidFill>
          <a:ln w="19050">
            <a:solidFill>
              <a:schemeClr val="lt1"/>
            </a:solidFill>
          </a:ln>
          <a:effectLst/>
        </c:spPr>
      </c:pivotFmt>
      <c:pivotFmt>
        <c:idx val="667"/>
        <c:spPr>
          <a:solidFill>
            <a:schemeClr val="accent1"/>
          </a:solidFill>
          <a:ln w="19050">
            <a:solidFill>
              <a:schemeClr val="lt1"/>
            </a:solidFill>
          </a:ln>
          <a:effectLst/>
        </c:spPr>
      </c:pivotFmt>
      <c:pivotFmt>
        <c:idx val="668"/>
        <c:spPr>
          <a:solidFill>
            <a:schemeClr val="accent1"/>
          </a:solidFill>
          <a:ln w="19050">
            <a:solidFill>
              <a:schemeClr val="lt1"/>
            </a:solidFill>
          </a:ln>
          <a:effectLst/>
        </c:spPr>
      </c:pivotFmt>
      <c:pivotFmt>
        <c:idx val="669"/>
        <c:spPr>
          <a:solidFill>
            <a:schemeClr val="accent1"/>
          </a:solidFill>
          <a:ln w="19050">
            <a:solidFill>
              <a:schemeClr val="lt1"/>
            </a:solidFill>
          </a:ln>
          <a:effectLst/>
        </c:spPr>
      </c:pivotFmt>
      <c:pivotFmt>
        <c:idx val="670"/>
        <c:spPr>
          <a:solidFill>
            <a:schemeClr val="accent1"/>
          </a:solidFill>
          <a:ln w="19050">
            <a:solidFill>
              <a:schemeClr val="lt1"/>
            </a:solidFill>
          </a:ln>
          <a:effectLst/>
        </c:spPr>
      </c:pivotFmt>
      <c:pivotFmt>
        <c:idx val="671"/>
        <c:spPr>
          <a:solidFill>
            <a:schemeClr val="accent1"/>
          </a:solidFill>
          <a:ln w="19050">
            <a:solidFill>
              <a:schemeClr val="lt1"/>
            </a:solidFill>
          </a:ln>
          <a:effectLst/>
        </c:spPr>
      </c:pivotFmt>
      <c:pivotFmt>
        <c:idx val="672"/>
        <c:spPr>
          <a:solidFill>
            <a:schemeClr val="accent1"/>
          </a:solidFill>
          <a:ln w="19050">
            <a:solidFill>
              <a:schemeClr val="lt1"/>
            </a:solidFill>
          </a:ln>
          <a:effectLst/>
        </c:spPr>
      </c:pivotFmt>
      <c:pivotFmt>
        <c:idx val="673"/>
        <c:spPr>
          <a:solidFill>
            <a:schemeClr val="accent1"/>
          </a:solidFill>
          <a:ln w="19050">
            <a:solidFill>
              <a:schemeClr val="lt1"/>
            </a:solidFill>
          </a:ln>
          <a:effectLst/>
        </c:spPr>
      </c:pivotFmt>
      <c:pivotFmt>
        <c:idx val="674"/>
        <c:spPr>
          <a:solidFill>
            <a:schemeClr val="accent1"/>
          </a:solidFill>
          <a:ln w="19050">
            <a:solidFill>
              <a:schemeClr val="lt1"/>
            </a:solidFill>
          </a:ln>
          <a:effectLst/>
        </c:spPr>
      </c:pivotFmt>
      <c:pivotFmt>
        <c:idx val="675"/>
        <c:spPr>
          <a:solidFill>
            <a:schemeClr val="accent1"/>
          </a:solidFill>
          <a:ln w="19050">
            <a:solidFill>
              <a:schemeClr val="lt1"/>
            </a:solidFill>
          </a:ln>
          <a:effectLst/>
        </c:spPr>
      </c:pivotFmt>
      <c:pivotFmt>
        <c:idx val="676"/>
        <c:spPr>
          <a:solidFill>
            <a:schemeClr val="accent1"/>
          </a:solidFill>
          <a:ln w="19050">
            <a:solidFill>
              <a:schemeClr val="lt1"/>
            </a:solidFill>
          </a:ln>
          <a:effectLst/>
        </c:spPr>
      </c:pivotFmt>
      <c:pivotFmt>
        <c:idx val="677"/>
        <c:spPr>
          <a:solidFill>
            <a:schemeClr val="accent1"/>
          </a:solidFill>
          <a:ln w="19050">
            <a:solidFill>
              <a:schemeClr val="lt1"/>
            </a:solidFill>
          </a:ln>
          <a:effectLst/>
        </c:spPr>
      </c:pivotFmt>
      <c:pivotFmt>
        <c:idx val="678"/>
        <c:spPr>
          <a:solidFill>
            <a:schemeClr val="accent1"/>
          </a:solidFill>
          <a:ln w="19050">
            <a:solidFill>
              <a:schemeClr val="lt1"/>
            </a:solidFill>
          </a:ln>
          <a:effectLst/>
        </c:spPr>
      </c:pivotFmt>
      <c:pivotFmt>
        <c:idx val="679"/>
        <c:spPr>
          <a:solidFill>
            <a:schemeClr val="accent1"/>
          </a:solidFill>
          <a:ln w="19050">
            <a:solidFill>
              <a:schemeClr val="lt1"/>
            </a:solidFill>
          </a:ln>
          <a:effectLst/>
        </c:spPr>
      </c:pivotFmt>
      <c:pivotFmt>
        <c:idx val="680"/>
        <c:spPr>
          <a:solidFill>
            <a:schemeClr val="accent1"/>
          </a:solidFill>
          <a:ln w="19050">
            <a:solidFill>
              <a:schemeClr val="lt1"/>
            </a:solidFill>
          </a:ln>
          <a:effectLst/>
        </c:spPr>
      </c:pivotFmt>
      <c:pivotFmt>
        <c:idx val="681"/>
        <c:spPr>
          <a:solidFill>
            <a:schemeClr val="accent1"/>
          </a:solidFill>
          <a:ln w="19050">
            <a:solidFill>
              <a:schemeClr val="lt1"/>
            </a:solidFill>
          </a:ln>
          <a:effectLst/>
        </c:spPr>
      </c:pivotFmt>
      <c:pivotFmt>
        <c:idx val="682"/>
        <c:spPr>
          <a:solidFill>
            <a:schemeClr val="accent1"/>
          </a:solidFill>
          <a:ln w="19050">
            <a:solidFill>
              <a:schemeClr val="lt1"/>
            </a:solidFill>
          </a:ln>
          <a:effectLst/>
        </c:spPr>
      </c:pivotFmt>
      <c:pivotFmt>
        <c:idx val="683"/>
        <c:spPr>
          <a:solidFill>
            <a:schemeClr val="accent1"/>
          </a:solidFill>
          <a:ln w="19050">
            <a:solidFill>
              <a:schemeClr val="lt1"/>
            </a:solidFill>
          </a:ln>
          <a:effectLst/>
        </c:spPr>
      </c:pivotFmt>
      <c:pivotFmt>
        <c:idx val="684"/>
        <c:spPr>
          <a:solidFill>
            <a:schemeClr val="accent1"/>
          </a:solidFill>
          <a:ln w="19050">
            <a:solidFill>
              <a:schemeClr val="lt1"/>
            </a:solidFill>
          </a:ln>
          <a:effectLst/>
        </c:spPr>
      </c:pivotFmt>
      <c:pivotFmt>
        <c:idx val="685"/>
        <c:spPr>
          <a:solidFill>
            <a:schemeClr val="accent1"/>
          </a:solidFill>
          <a:ln w="19050">
            <a:solidFill>
              <a:schemeClr val="lt1"/>
            </a:solidFill>
          </a:ln>
          <a:effectLst/>
        </c:spPr>
      </c:pivotFmt>
      <c:pivotFmt>
        <c:idx val="686"/>
        <c:spPr>
          <a:solidFill>
            <a:schemeClr val="accent1"/>
          </a:solidFill>
          <a:ln w="19050">
            <a:solidFill>
              <a:schemeClr val="lt1"/>
            </a:solidFill>
          </a:ln>
          <a:effectLst/>
        </c:spPr>
      </c:pivotFmt>
      <c:pivotFmt>
        <c:idx val="687"/>
        <c:spPr>
          <a:solidFill>
            <a:schemeClr val="accent1"/>
          </a:solidFill>
          <a:ln w="19050">
            <a:solidFill>
              <a:schemeClr val="lt1"/>
            </a:solidFill>
          </a:ln>
          <a:effectLst/>
        </c:spPr>
      </c:pivotFmt>
      <c:pivotFmt>
        <c:idx val="688"/>
        <c:spPr>
          <a:solidFill>
            <a:schemeClr val="accent1"/>
          </a:solidFill>
          <a:ln w="19050">
            <a:solidFill>
              <a:schemeClr val="lt1"/>
            </a:solidFill>
          </a:ln>
          <a:effectLst/>
        </c:spPr>
      </c:pivotFmt>
      <c:pivotFmt>
        <c:idx val="689"/>
        <c:spPr>
          <a:solidFill>
            <a:schemeClr val="accent1"/>
          </a:solidFill>
          <a:ln w="19050">
            <a:solidFill>
              <a:schemeClr val="lt1"/>
            </a:solidFill>
          </a:ln>
          <a:effectLst/>
        </c:spPr>
      </c:pivotFmt>
      <c:pivotFmt>
        <c:idx val="690"/>
        <c:spPr>
          <a:solidFill>
            <a:schemeClr val="accent1"/>
          </a:solidFill>
          <a:ln w="19050">
            <a:solidFill>
              <a:schemeClr val="lt1"/>
            </a:solidFill>
          </a:ln>
          <a:effectLst/>
        </c:spPr>
      </c:pivotFmt>
      <c:pivotFmt>
        <c:idx val="691"/>
        <c:spPr>
          <a:solidFill>
            <a:schemeClr val="accent1"/>
          </a:solidFill>
          <a:ln w="19050">
            <a:solidFill>
              <a:schemeClr val="lt1"/>
            </a:solidFill>
          </a:ln>
          <a:effectLst/>
        </c:spPr>
      </c:pivotFmt>
      <c:pivotFmt>
        <c:idx val="692"/>
        <c:spPr>
          <a:solidFill>
            <a:schemeClr val="accent1"/>
          </a:solidFill>
          <a:ln w="19050">
            <a:solidFill>
              <a:schemeClr val="lt1"/>
            </a:solidFill>
          </a:ln>
          <a:effectLst/>
        </c:spPr>
      </c:pivotFmt>
      <c:pivotFmt>
        <c:idx val="693"/>
        <c:spPr>
          <a:solidFill>
            <a:schemeClr val="accent1"/>
          </a:solidFill>
          <a:ln w="19050">
            <a:solidFill>
              <a:schemeClr val="lt1"/>
            </a:solidFill>
          </a:ln>
          <a:effectLst/>
        </c:spPr>
      </c:pivotFmt>
      <c:pivotFmt>
        <c:idx val="694"/>
        <c:spPr>
          <a:solidFill>
            <a:schemeClr val="accent1"/>
          </a:solidFill>
          <a:ln w="19050">
            <a:solidFill>
              <a:schemeClr val="lt1"/>
            </a:solidFill>
          </a:ln>
          <a:effectLst/>
        </c:spPr>
      </c:pivotFmt>
      <c:pivotFmt>
        <c:idx val="695"/>
        <c:spPr>
          <a:solidFill>
            <a:schemeClr val="accent1"/>
          </a:solidFill>
          <a:ln w="19050">
            <a:solidFill>
              <a:schemeClr val="lt1"/>
            </a:solidFill>
          </a:ln>
          <a:effectLst/>
        </c:spPr>
      </c:pivotFmt>
      <c:pivotFmt>
        <c:idx val="696"/>
        <c:spPr>
          <a:solidFill>
            <a:schemeClr val="accent1"/>
          </a:solidFill>
          <a:ln w="19050">
            <a:solidFill>
              <a:schemeClr val="lt1"/>
            </a:solidFill>
          </a:ln>
          <a:effectLst/>
        </c:spPr>
      </c:pivotFmt>
      <c:pivotFmt>
        <c:idx val="697"/>
        <c:spPr>
          <a:solidFill>
            <a:schemeClr val="accent1"/>
          </a:solidFill>
          <a:ln w="19050">
            <a:solidFill>
              <a:schemeClr val="lt1"/>
            </a:solidFill>
          </a:ln>
          <a:effectLst/>
        </c:spPr>
      </c:pivotFmt>
      <c:pivotFmt>
        <c:idx val="698"/>
        <c:spPr>
          <a:solidFill>
            <a:schemeClr val="accent1"/>
          </a:solidFill>
          <a:ln w="19050">
            <a:solidFill>
              <a:schemeClr val="lt1"/>
            </a:solidFill>
          </a:ln>
          <a:effectLst/>
        </c:spPr>
      </c:pivotFmt>
      <c:pivotFmt>
        <c:idx val="699"/>
        <c:spPr>
          <a:solidFill>
            <a:schemeClr val="accent1"/>
          </a:solidFill>
          <a:ln w="19050">
            <a:solidFill>
              <a:schemeClr val="lt1"/>
            </a:solidFill>
          </a:ln>
          <a:effectLst/>
        </c:spPr>
      </c:pivotFmt>
      <c:pivotFmt>
        <c:idx val="700"/>
        <c:spPr>
          <a:solidFill>
            <a:schemeClr val="accent1"/>
          </a:solidFill>
          <a:ln w="19050">
            <a:solidFill>
              <a:schemeClr val="lt1"/>
            </a:solidFill>
          </a:ln>
          <a:effectLst/>
        </c:spPr>
      </c:pivotFmt>
      <c:pivotFmt>
        <c:idx val="701"/>
        <c:spPr>
          <a:solidFill>
            <a:schemeClr val="accent1"/>
          </a:solidFill>
          <a:ln w="19050">
            <a:solidFill>
              <a:schemeClr val="lt1"/>
            </a:solidFill>
          </a:ln>
          <a:effectLst/>
        </c:spPr>
      </c:pivotFmt>
      <c:pivotFmt>
        <c:idx val="702"/>
        <c:spPr>
          <a:solidFill>
            <a:schemeClr val="accent1"/>
          </a:solidFill>
          <a:ln w="19050">
            <a:solidFill>
              <a:schemeClr val="lt1"/>
            </a:solidFill>
          </a:ln>
          <a:effectLst/>
        </c:spPr>
      </c:pivotFmt>
      <c:pivotFmt>
        <c:idx val="703"/>
        <c:spPr>
          <a:solidFill>
            <a:schemeClr val="accent1"/>
          </a:solidFill>
          <a:ln w="19050">
            <a:solidFill>
              <a:schemeClr val="lt1"/>
            </a:solidFill>
          </a:ln>
          <a:effectLst/>
        </c:spPr>
      </c:pivotFmt>
      <c:pivotFmt>
        <c:idx val="704"/>
        <c:spPr>
          <a:solidFill>
            <a:schemeClr val="accent1"/>
          </a:solidFill>
          <a:ln w="19050">
            <a:solidFill>
              <a:schemeClr val="lt1"/>
            </a:solidFill>
          </a:ln>
          <a:effectLst/>
        </c:spPr>
      </c:pivotFmt>
      <c:pivotFmt>
        <c:idx val="705"/>
        <c:spPr>
          <a:solidFill>
            <a:schemeClr val="accent1"/>
          </a:solidFill>
          <a:ln w="19050">
            <a:solidFill>
              <a:schemeClr val="lt1"/>
            </a:solidFill>
          </a:ln>
          <a:effectLst/>
        </c:spPr>
      </c:pivotFmt>
      <c:pivotFmt>
        <c:idx val="706"/>
        <c:spPr>
          <a:solidFill>
            <a:schemeClr val="accent1"/>
          </a:solidFill>
          <a:ln w="19050">
            <a:solidFill>
              <a:schemeClr val="lt1"/>
            </a:solidFill>
          </a:ln>
          <a:effectLst/>
        </c:spPr>
      </c:pivotFmt>
      <c:pivotFmt>
        <c:idx val="707"/>
        <c:spPr>
          <a:solidFill>
            <a:schemeClr val="accent1"/>
          </a:solidFill>
          <a:ln w="19050">
            <a:solidFill>
              <a:schemeClr val="lt1"/>
            </a:solidFill>
          </a:ln>
          <a:effectLst/>
        </c:spPr>
      </c:pivotFmt>
      <c:pivotFmt>
        <c:idx val="708"/>
        <c:spPr>
          <a:solidFill>
            <a:schemeClr val="accent1"/>
          </a:solidFill>
          <a:ln w="19050">
            <a:solidFill>
              <a:schemeClr val="lt1"/>
            </a:solidFill>
          </a:ln>
          <a:effectLst/>
        </c:spPr>
      </c:pivotFmt>
      <c:pivotFmt>
        <c:idx val="709"/>
        <c:spPr>
          <a:solidFill>
            <a:schemeClr val="accent1"/>
          </a:solidFill>
          <a:ln w="19050">
            <a:solidFill>
              <a:schemeClr val="lt1"/>
            </a:solidFill>
          </a:ln>
          <a:effectLst/>
        </c:spPr>
      </c:pivotFmt>
      <c:pivotFmt>
        <c:idx val="710"/>
        <c:spPr>
          <a:solidFill>
            <a:schemeClr val="accent1"/>
          </a:solidFill>
          <a:ln w="19050">
            <a:solidFill>
              <a:schemeClr val="lt1"/>
            </a:solidFill>
          </a:ln>
          <a:effectLst/>
        </c:spPr>
      </c:pivotFmt>
      <c:pivotFmt>
        <c:idx val="711"/>
        <c:spPr>
          <a:solidFill>
            <a:schemeClr val="accent1"/>
          </a:solidFill>
          <a:ln w="19050">
            <a:solidFill>
              <a:schemeClr val="lt1"/>
            </a:solidFill>
          </a:ln>
          <a:effectLst/>
        </c:spPr>
      </c:pivotFmt>
      <c:pivotFmt>
        <c:idx val="712"/>
        <c:spPr>
          <a:solidFill>
            <a:schemeClr val="accent1"/>
          </a:solidFill>
          <a:ln w="19050">
            <a:solidFill>
              <a:schemeClr val="lt1"/>
            </a:solidFill>
          </a:ln>
          <a:effectLst/>
        </c:spPr>
      </c:pivotFmt>
      <c:pivotFmt>
        <c:idx val="713"/>
        <c:spPr>
          <a:solidFill>
            <a:schemeClr val="accent1"/>
          </a:solidFill>
          <a:ln w="19050">
            <a:solidFill>
              <a:schemeClr val="lt1"/>
            </a:solidFill>
          </a:ln>
          <a:effectLst/>
        </c:spPr>
      </c:pivotFmt>
      <c:pivotFmt>
        <c:idx val="714"/>
        <c:spPr>
          <a:solidFill>
            <a:schemeClr val="accent1"/>
          </a:solidFill>
          <a:ln w="19050">
            <a:solidFill>
              <a:schemeClr val="lt1"/>
            </a:solidFill>
          </a:ln>
          <a:effectLst/>
        </c:spPr>
      </c:pivotFmt>
      <c:pivotFmt>
        <c:idx val="715"/>
        <c:spPr>
          <a:solidFill>
            <a:schemeClr val="accent1"/>
          </a:solidFill>
          <a:ln w="19050">
            <a:solidFill>
              <a:schemeClr val="lt1"/>
            </a:solidFill>
          </a:ln>
          <a:effectLst/>
        </c:spPr>
      </c:pivotFmt>
      <c:pivotFmt>
        <c:idx val="716"/>
        <c:spPr>
          <a:solidFill>
            <a:schemeClr val="accent1"/>
          </a:solidFill>
          <a:ln w="19050">
            <a:solidFill>
              <a:schemeClr val="lt1"/>
            </a:solidFill>
          </a:ln>
          <a:effectLst/>
        </c:spPr>
      </c:pivotFmt>
      <c:pivotFmt>
        <c:idx val="717"/>
        <c:spPr>
          <a:solidFill>
            <a:schemeClr val="accent1"/>
          </a:solidFill>
          <a:ln w="19050">
            <a:solidFill>
              <a:schemeClr val="lt1"/>
            </a:solidFill>
          </a:ln>
          <a:effectLst/>
        </c:spPr>
      </c:pivotFmt>
      <c:pivotFmt>
        <c:idx val="718"/>
        <c:spPr>
          <a:solidFill>
            <a:schemeClr val="accent1"/>
          </a:solidFill>
          <a:ln w="19050">
            <a:solidFill>
              <a:schemeClr val="lt1"/>
            </a:solidFill>
          </a:ln>
          <a:effectLst/>
        </c:spPr>
      </c:pivotFmt>
      <c:pivotFmt>
        <c:idx val="719"/>
        <c:spPr>
          <a:solidFill>
            <a:schemeClr val="accent1"/>
          </a:solidFill>
          <a:ln w="19050">
            <a:solidFill>
              <a:schemeClr val="lt1"/>
            </a:solidFill>
          </a:ln>
          <a:effectLst/>
        </c:spPr>
      </c:pivotFmt>
      <c:pivotFmt>
        <c:idx val="720"/>
        <c:spPr>
          <a:solidFill>
            <a:schemeClr val="accent1"/>
          </a:solidFill>
          <a:ln w="19050">
            <a:solidFill>
              <a:schemeClr val="lt1"/>
            </a:solidFill>
          </a:ln>
          <a:effectLst/>
        </c:spPr>
      </c:pivotFmt>
      <c:pivotFmt>
        <c:idx val="721"/>
        <c:spPr>
          <a:solidFill>
            <a:schemeClr val="accent1"/>
          </a:solidFill>
          <a:ln w="19050">
            <a:solidFill>
              <a:schemeClr val="lt1"/>
            </a:solidFill>
          </a:ln>
          <a:effectLst/>
        </c:spPr>
      </c:pivotFmt>
      <c:pivotFmt>
        <c:idx val="722"/>
        <c:spPr>
          <a:solidFill>
            <a:schemeClr val="accent1"/>
          </a:solidFill>
          <a:ln w="19050">
            <a:solidFill>
              <a:schemeClr val="lt1"/>
            </a:solidFill>
          </a:ln>
          <a:effectLst/>
        </c:spPr>
      </c:pivotFmt>
      <c:pivotFmt>
        <c:idx val="723"/>
        <c:spPr>
          <a:solidFill>
            <a:schemeClr val="accent1"/>
          </a:solidFill>
          <a:ln w="19050">
            <a:solidFill>
              <a:schemeClr val="lt1"/>
            </a:solidFill>
          </a:ln>
          <a:effectLst/>
        </c:spPr>
      </c:pivotFmt>
      <c:pivotFmt>
        <c:idx val="724"/>
        <c:spPr>
          <a:solidFill>
            <a:schemeClr val="accent1"/>
          </a:solidFill>
          <a:ln w="19050">
            <a:solidFill>
              <a:schemeClr val="lt1"/>
            </a:solidFill>
          </a:ln>
          <a:effectLst/>
        </c:spPr>
      </c:pivotFmt>
      <c:pivotFmt>
        <c:idx val="725"/>
        <c:spPr>
          <a:solidFill>
            <a:schemeClr val="accent1"/>
          </a:solidFill>
          <a:ln w="19050">
            <a:solidFill>
              <a:schemeClr val="lt1"/>
            </a:solidFill>
          </a:ln>
          <a:effectLst/>
        </c:spPr>
      </c:pivotFmt>
      <c:pivotFmt>
        <c:idx val="726"/>
        <c:spPr>
          <a:solidFill>
            <a:schemeClr val="accent1"/>
          </a:solidFill>
          <a:ln w="19050">
            <a:solidFill>
              <a:schemeClr val="lt1"/>
            </a:solidFill>
          </a:ln>
          <a:effectLst/>
        </c:spPr>
      </c:pivotFmt>
      <c:pivotFmt>
        <c:idx val="727"/>
        <c:spPr>
          <a:solidFill>
            <a:schemeClr val="accent1"/>
          </a:solidFill>
          <a:ln w="19050">
            <a:solidFill>
              <a:schemeClr val="lt1"/>
            </a:solidFill>
          </a:ln>
          <a:effectLst/>
        </c:spPr>
      </c:pivotFmt>
      <c:pivotFmt>
        <c:idx val="728"/>
        <c:spPr>
          <a:solidFill>
            <a:schemeClr val="accent1"/>
          </a:solidFill>
          <a:ln w="19050">
            <a:solidFill>
              <a:schemeClr val="lt1"/>
            </a:solidFill>
          </a:ln>
          <a:effectLst/>
        </c:spPr>
      </c:pivotFmt>
      <c:pivotFmt>
        <c:idx val="729"/>
        <c:spPr>
          <a:solidFill>
            <a:schemeClr val="accent1"/>
          </a:solidFill>
          <a:ln w="19050">
            <a:solidFill>
              <a:schemeClr val="lt1"/>
            </a:solidFill>
          </a:ln>
          <a:effectLst/>
        </c:spPr>
      </c:pivotFmt>
      <c:pivotFmt>
        <c:idx val="730"/>
        <c:spPr>
          <a:solidFill>
            <a:schemeClr val="accent1"/>
          </a:solidFill>
          <a:ln w="19050">
            <a:solidFill>
              <a:schemeClr val="lt1"/>
            </a:solidFill>
          </a:ln>
          <a:effectLst/>
        </c:spPr>
      </c:pivotFmt>
      <c:pivotFmt>
        <c:idx val="731"/>
        <c:spPr>
          <a:solidFill>
            <a:schemeClr val="accent1"/>
          </a:solidFill>
          <a:ln w="19050">
            <a:solidFill>
              <a:schemeClr val="lt1"/>
            </a:solidFill>
          </a:ln>
          <a:effectLst/>
        </c:spPr>
      </c:pivotFmt>
      <c:pivotFmt>
        <c:idx val="732"/>
        <c:spPr>
          <a:solidFill>
            <a:schemeClr val="accent1"/>
          </a:solidFill>
          <a:ln w="19050">
            <a:solidFill>
              <a:schemeClr val="lt1"/>
            </a:solidFill>
          </a:ln>
          <a:effectLst/>
        </c:spPr>
      </c:pivotFmt>
      <c:pivotFmt>
        <c:idx val="733"/>
        <c:spPr>
          <a:solidFill>
            <a:schemeClr val="accent1"/>
          </a:solidFill>
          <a:ln w="19050">
            <a:solidFill>
              <a:schemeClr val="lt1"/>
            </a:solidFill>
          </a:ln>
          <a:effectLst/>
        </c:spPr>
      </c:pivotFmt>
      <c:pivotFmt>
        <c:idx val="734"/>
        <c:spPr>
          <a:solidFill>
            <a:schemeClr val="accent1"/>
          </a:solidFill>
          <a:ln w="19050">
            <a:solidFill>
              <a:schemeClr val="lt1"/>
            </a:solidFill>
          </a:ln>
          <a:effectLst/>
        </c:spPr>
      </c:pivotFmt>
      <c:pivotFmt>
        <c:idx val="735"/>
        <c:spPr>
          <a:solidFill>
            <a:schemeClr val="accent1"/>
          </a:solidFill>
          <a:ln w="19050">
            <a:solidFill>
              <a:schemeClr val="lt1"/>
            </a:solidFill>
          </a:ln>
          <a:effectLst/>
        </c:spPr>
      </c:pivotFmt>
      <c:pivotFmt>
        <c:idx val="736"/>
        <c:spPr>
          <a:solidFill>
            <a:schemeClr val="accent1"/>
          </a:solidFill>
          <a:ln w="19050">
            <a:solidFill>
              <a:schemeClr val="lt1"/>
            </a:solidFill>
          </a:ln>
          <a:effectLst/>
        </c:spPr>
      </c:pivotFmt>
      <c:pivotFmt>
        <c:idx val="737"/>
        <c:spPr>
          <a:solidFill>
            <a:schemeClr val="accent1"/>
          </a:solidFill>
          <a:ln w="19050">
            <a:solidFill>
              <a:schemeClr val="lt1"/>
            </a:solidFill>
          </a:ln>
          <a:effectLst/>
        </c:spPr>
      </c:pivotFmt>
      <c:pivotFmt>
        <c:idx val="738"/>
        <c:spPr>
          <a:solidFill>
            <a:schemeClr val="accent1"/>
          </a:solidFill>
          <a:ln w="19050">
            <a:solidFill>
              <a:schemeClr val="lt1"/>
            </a:solidFill>
          </a:ln>
          <a:effectLst/>
        </c:spPr>
      </c:pivotFmt>
      <c:pivotFmt>
        <c:idx val="739"/>
        <c:spPr>
          <a:solidFill>
            <a:schemeClr val="accent1"/>
          </a:solidFill>
          <a:ln w="19050">
            <a:solidFill>
              <a:schemeClr val="lt1"/>
            </a:solidFill>
          </a:ln>
          <a:effectLst/>
        </c:spPr>
      </c:pivotFmt>
      <c:pivotFmt>
        <c:idx val="740"/>
        <c:spPr>
          <a:solidFill>
            <a:schemeClr val="accent1"/>
          </a:solidFill>
          <a:ln w="19050">
            <a:solidFill>
              <a:schemeClr val="lt1"/>
            </a:solidFill>
          </a:ln>
          <a:effectLst/>
        </c:spPr>
      </c:pivotFmt>
      <c:pivotFmt>
        <c:idx val="741"/>
        <c:spPr>
          <a:solidFill>
            <a:schemeClr val="accent1"/>
          </a:solidFill>
          <a:ln w="19050">
            <a:solidFill>
              <a:schemeClr val="lt1"/>
            </a:solidFill>
          </a:ln>
          <a:effectLst/>
        </c:spPr>
      </c:pivotFmt>
      <c:pivotFmt>
        <c:idx val="742"/>
        <c:spPr>
          <a:solidFill>
            <a:schemeClr val="accent1"/>
          </a:solidFill>
          <a:ln w="19050">
            <a:solidFill>
              <a:schemeClr val="lt1"/>
            </a:solidFill>
          </a:ln>
          <a:effectLst/>
        </c:spPr>
      </c:pivotFmt>
      <c:pivotFmt>
        <c:idx val="743"/>
        <c:spPr>
          <a:solidFill>
            <a:schemeClr val="accent1"/>
          </a:solidFill>
          <a:ln w="19050">
            <a:solidFill>
              <a:schemeClr val="lt1"/>
            </a:solidFill>
          </a:ln>
          <a:effectLst/>
        </c:spPr>
      </c:pivotFmt>
      <c:pivotFmt>
        <c:idx val="744"/>
        <c:spPr>
          <a:solidFill>
            <a:schemeClr val="accent1"/>
          </a:solidFill>
          <a:ln w="19050">
            <a:solidFill>
              <a:schemeClr val="lt1"/>
            </a:solidFill>
          </a:ln>
          <a:effectLst/>
        </c:spPr>
      </c:pivotFmt>
      <c:pivotFmt>
        <c:idx val="745"/>
        <c:spPr>
          <a:solidFill>
            <a:schemeClr val="accent1"/>
          </a:solidFill>
          <a:ln w="19050">
            <a:solidFill>
              <a:schemeClr val="lt1"/>
            </a:solidFill>
          </a:ln>
          <a:effectLst/>
        </c:spPr>
      </c:pivotFmt>
      <c:pivotFmt>
        <c:idx val="746"/>
        <c:spPr>
          <a:solidFill>
            <a:schemeClr val="accent1"/>
          </a:solidFill>
          <a:ln w="19050">
            <a:solidFill>
              <a:schemeClr val="lt1"/>
            </a:solidFill>
          </a:ln>
          <a:effectLst/>
        </c:spPr>
      </c:pivotFmt>
      <c:pivotFmt>
        <c:idx val="747"/>
        <c:spPr>
          <a:solidFill>
            <a:schemeClr val="accent1"/>
          </a:solidFill>
          <a:ln w="19050">
            <a:solidFill>
              <a:schemeClr val="lt1"/>
            </a:solidFill>
          </a:ln>
          <a:effectLst/>
        </c:spPr>
      </c:pivotFmt>
      <c:pivotFmt>
        <c:idx val="748"/>
        <c:spPr>
          <a:solidFill>
            <a:schemeClr val="accent1"/>
          </a:solidFill>
          <a:ln w="19050">
            <a:solidFill>
              <a:schemeClr val="lt1"/>
            </a:solidFill>
          </a:ln>
          <a:effectLst/>
        </c:spPr>
      </c:pivotFmt>
      <c:pivotFmt>
        <c:idx val="749"/>
        <c:spPr>
          <a:solidFill>
            <a:schemeClr val="accent1"/>
          </a:solidFill>
          <a:ln w="19050">
            <a:solidFill>
              <a:schemeClr val="lt1"/>
            </a:solidFill>
          </a:ln>
          <a:effectLst/>
        </c:spPr>
      </c:pivotFmt>
      <c:pivotFmt>
        <c:idx val="750"/>
        <c:spPr>
          <a:solidFill>
            <a:schemeClr val="accent1"/>
          </a:solidFill>
          <a:ln w="19050">
            <a:solidFill>
              <a:schemeClr val="lt1"/>
            </a:solidFill>
          </a:ln>
          <a:effectLst/>
        </c:spPr>
      </c:pivotFmt>
      <c:pivotFmt>
        <c:idx val="751"/>
        <c:spPr>
          <a:solidFill>
            <a:schemeClr val="accent1"/>
          </a:solidFill>
          <a:ln w="19050">
            <a:solidFill>
              <a:schemeClr val="lt1"/>
            </a:solidFill>
          </a:ln>
          <a:effectLst/>
        </c:spPr>
      </c:pivotFmt>
      <c:pivotFmt>
        <c:idx val="752"/>
        <c:spPr>
          <a:solidFill>
            <a:schemeClr val="accent1"/>
          </a:solidFill>
          <a:ln w="19050">
            <a:solidFill>
              <a:schemeClr val="lt1"/>
            </a:solidFill>
          </a:ln>
          <a:effectLst/>
        </c:spPr>
      </c:pivotFmt>
      <c:pivotFmt>
        <c:idx val="753"/>
        <c:spPr>
          <a:solidFill>
            <a:schemeClr val="accent1"/>
          </a:solidFill>
          <a:ln w="19050">
            <a:solidFill>
              <a:schemeClr val="lt1"/>
            </a:solidFill>
          </a:ln>
          <a:effectLst/>
        </c:spPr>
      </c:pivotFmt>
      <c:pivotFmt>
        <c:idx val="754"/>
        <c:spPr>
          <a:solidFill>
            <a:schemeClr val="accent1"/>
          </a:solidFill>
          <a:ln w="19050">
            <a:solidFill>
              <a:schemeClr val="lt1"/>
            </a:solidFill>
          </a:ln>
          <a:effectLst/>
        </c:spPr>
      </c:pivotFmt>
      <c:pivotFmt>
        <c:idx val="755"/>
        <c:spPr>
          <a:solidFill>
            <a:schemeClr val="accent1"/>
          </a:solidFill>
          <a:ln w="19050">
            <a:solidFill>
              <a:schemeClr val="lt1"/>
            </a:solidFill>
          </a:ln>
          <a:effectLst/>
        </c:spPr>
      </c:pivotFmt>
      <c:pivotFmt>
        <c:idx val="756"/>
        <c:spPr>
          <a:solidFill>
            <a:schemeClr val="accent1"/>
          </a:solidFill>
          <a:ln w="19050">
            <a:solidFill>
              <a:schemeClr val="lt1"/>
            </a:solidFill>
          </a:ln>
          <a:effectLst/>
        </c:spPr>
      </c:pivotFmt>
      <c:pivotFmt>
        <c:idx val="757"/>
        <c:spPr>
          <a:solidFill>
            <a:schemeClr val="accent1"/>
          </a:solidFill>
          <a:ln w="19050">
            <a:solidFill>
              <a:schemeClr val="lt1"/>
            </a:solidFill>
          </a:ln>
          <a:effectLst/>
        </c:spPr>
      </c:pivotFmt>
      <c:pivotFmt>
        <c:idx val="758"/>
        <c:spPr>
          <a:solidFill>
            <a:schemeClr val="accent1"/>
          </a:solidFill>
          <a:ln w="19050">
            <a:solidFill>
              <a:schemeClr val="lt1"/>
            </a:solidFill>
          </a:ln>
          <a:effectLst/>
        </c:spPr>
      </c:pivotFmt>
      <c:pivotFmt>
        <c:idx val="759"/>
        <c:spPr>
          <a:solidFill>
            <a:schemeClr val="accent1"/>
          </a:solidFill>
          <a:ln w="19050">
            <a:solidFill>
              <a:schemeClr val="lt1"/>
            </a:solidFill>
          </a:ln>
          <a:effectLst/>
        </c:spPr>
      </c:pivotFmt>
      <c:pivotFmt>
        <c:idx val="760"/>
        <c:spPr>
          <a:solidFill>
            <a:schemeClr val="accent1"/>
          </a:solidFill>
          <a:ln w="19050">
            <a:solidFill>
              <a:schemeClr val="lt1"/>
            </a:solidFill>
          </a:ln>
          <a:effectLst/>
        </c:spPr>
      </c:pivotFmt>
      <c:pivotFmt>
        <c:idx val="761"/>
        <c:spPr>
          <a:solidFill>
            <a:schemeClr val="accent1"/>
          </a:solidFill>
          <a:ln w="19050">
            <a:solidFill>
              <a:schemeClr val="lt1"/>
            </a:solidFill>
          </a:ln>
          <a:effectLst/>
        </c:spPr>
      </c:pivotFmt>
      <c:pivotFmt>
        <c:idx val="762"/>
        <c:spPr>
          <a:solidFill>
            <a:schemeClr val="accent1"/>
          </a:solidFill>
          <a:ln w="19050">
            <a:solidFill>
              <a:schemeClr val="lt1"/>
            </a:solidFill>
          </a:ln>
          <a:effectLst/>
        </c:spPr>
      </c:pivotFmt>
      <c:pivotFmt>
        <c:idx val="763"/>
        <c:spPr>
          <a:solidFill>
            <a:schemeClr val="accent1"/>
          </a:solidFill>
          <a:ln w="19050">
            <a:solidFill>
              <a:schemeClr val="lt1"/>
            </a:solidFill>
          </a:ln>
          <a:effectLst/>
        </c:spPr>
      </c:pivotFmt>
      <c:pivotFmt>
        <c:idx val="764"/>
        <c:spPr>
          <a:solidFill>
            <a:schemeClr val="accent1"/>
          </a:solidFill>
          <a:ln w="19050">
            <a:solidFill>
              <a:schemeClr val="lt1"/>
            </a:solidFill>
          </a:ln>
          <a:effectLst/>
        </c:spPr>
      </c:pivotFmt>
      <c:pivotFmt>
        <c:idx val="765"/>
        <c:spPr>
          <a:solidFill>
            <a:schemeClr val="accent1"/>
          </a:solidFill>
          <a:ln w="19050">
            <a:solidFill>
              <a:schemeClr val="lt1"/>
            </a:solidFill>
          </a:ln>
          <a:effectLst/>
        </c:spPr>
      </c:pivotFmt>
      <c:pivotFmt>
        <c:idx val="766"/>
        <c:spPr>
          <a:solidFill>
            <a:schemeClr val="accent1"/>
          </a:solidFill>
          <a:ln w="19050">
            <a:solidFill>
              <a:schemeClr val="lt1"/>
            </a:solidFill>
          </a:ln>
          <a:effectLst/>
        </c:spPr>
      </c:pivotFmt>
      <c:pivotFmt>
        <c:idx val="767"/>
        <c:spPr>
          <a:solidFill>
            <a:schemeClr val="accent1"/>
          </a:solidFill>
          <a:ln w="19050">
            <a:solidFill>
              <a:schemeClr val="lt1"/>
            </a:solidFill>
          </a:ln>
          <a:effectLst/>
        </c:spPr>
      </c:pivotFmt>
      <c:pivotFmt>
        <c:idx val="768"/>
        <c:spPr>
          <a:solidFill>
            <a:schemeClr val="accent1"/>
          </a:solidFill>
          <a:ln w="19050">
            <a:solidFill>
              <a:schemeClr val="lt1"/>
            </a:solidFill>
          </a:ln>
          <a:effectLst/>
        </c:spPr>
      </c:pivotFmt>
      <c:pivotFmt>
        <c:idx val="769"/>
        <c:spPr>
          <a:solidFill>
            <a:schemeClr val="accent1"/>
          </a:solidFill>
          <a:ln w="19050">
            <a:solidFill>
              <a:schemeClr val="lt1"/>
            </a:solidFill>
          </a:ln>
          <a:effectLst/>
        </c:spPr>
      </c:pivotFmt>
      <c:pivotFmt>
        <c:idx val="770"/>
        <c:spPr>
          <a:solidFill>
            <a:schemeClr val="accent1"/>
          </a:solidFill>
          <a:ln w="19050">
            <a:solidFill>
              <a:schemeClr val="lt1"/>
            </a:solidFill>
          </a:ln>
          <a:effectLst/>
        </c:spPr>
      </c:pivotFmt>
      <c:pivotFmt>
        <c:idx val="771"/>
        <c:spPr>
          <a:solidFill>
            <a:schemeClr val="accent1"/>
          </a:solidFill>
          <a:ln w="19050">
            <a:solidFill>
              <a:schemeClr val="lt1"/>
            </a:solidFill>
          </a:ln>
          <a:effectLst/>
        </c:spPr>
      </c:pivotFmt>
      <c:pivotFmt>
        <c:idx val="772"/>
        <c:spPr>
          <a:solidFill>
            <a:schemeClr val="accent1"/>
          </a:solidFill>
          <a:ln w="19050">
            <a:solidFill>
              <a:schemeClr val="lt1"/>
            </a:solidFill>
          </a:ln>
          <a:effectLst/>
        </c:spPr>
      </c:pivotFmt>
      <c:pivotFmt>
        <c:idx val="773"/>
        <c:spPr>
          <a:solidFill>
            <a:schemeClr val="accent1"/>
          </a:solidFill>
          <a:ln w="19050">
            <a:solidFill>
              <a:schemeClr val="lt1"/>
            </a:solidFill>
          </a:ln>
          <a:effectLst/>
        </c:spPr>
      </c:pivotFmt>
      <c:pivotFmt>
        <c:idx val="774"/>
        <c:spPr>
          <a:solidFill>
            <a:schemeClr val="accent1"/>
          </a:solidFill>
          <a:ln w="19050">
            <a:solidFill>
              <a:schemeClr val="lt1"/>
            </a:solidFill>
          </a:ln>
          <a:effectLst/>
        </c:spPr>
      </c:pivotFmt>
      <c:pivotFmt>
        <c:idx val="775"/>
        <c:spPr>
          <a:solidFill>
            <a:schemeClr val="accent1"/>
          </a:solidFill>
          <a:ln w="19050">
            <a:solidFill>
              <a:schemeClr val="lt1"/>
            </a:solidFill>
          </a:ln>
          <a:effectLst/>
        </c:spPr>
      </c:pivotFmt>
      <c:pivotFmt>
        <c:idx val="776"/>
        <c:spPr>
          <a:solidFill>
            <a:schemeClr val="accent1"/>
          </a:solidFill>
          <a:ln w="19050">
            <a:solidFill>
              <a:schemeClr val="lt1"/>
            </a:solidFill>
          </a:ln>
          <a:effectLst/>
        </c:spPr>
      </c:pivotFmt>
      <c:pivotFmt>
        <c:idx val="777"/>
        <c:spPr>
          <a:solidFill>
            <a:schemeClr val="accent1"/>
          </a:solidFill>
          <a:ln w="19050">
            <a:solidFill>
              <a:schemeClr val="lt1"/>
            </a:solidFill>
          </a:ln>
          <a:effectLst/>
        </c:spPr>
      </c:pivotFmt>
      <c:pivotFmt>
        <c:idx val="778"/>
        <c:spPr>
          <a:solidFill>
            <a:schemeClr val="accent1"/>
          </a:solidFill>
          <a:ln w="19050">
            <a:solidFill>
              <a:schemeClr val="lt1"/>
            </a:solidFill>
          </a:ln>
          <a:effectLst/>
        </c:spPr>
      </c:pivotFmt>
      <c:pivotFmt>
        <c:idx val="779"/>
        <c:spPr>
          <a:solidFill>
            <a:schemeClr val="accent1"/>
          </a:solidFill>
          <a:ln w="19050">
            <a:solidFill>
              <a:schemeClr val="lt1"/>
            </a:solidFill>
          </a:ln>
          <a:effectLst/>
        </c:spPr>
      </c:pivotFmt>
      <c:pivotFmt>
        <c:idx val="780"/>
        <c:spPr>
          <a:solidFill>
            <a:schemeClr val="accent1"/>
          </a:solidFill>
          <a:ln w="19050">
            <a:solidFill>
              <a:schemeClr val="lt1"/>
            </a:solidFill>
          </a:ln>
          <a:effectLst/>
        </c:spPr>
      </c:pivotFmt>
      <c:pivotFmt>
        <c:idx val="781"/>
        <c:spPr>
          <a:solidFill>
            <a:schemeClr val="accent1"/>
          </a:solidFill>
          <a:ln w="19050">
            <a:solidFill>
              <a:schemeClr val="lt1"/>
            </a:solidFill>
          </a:ln>
          <a:effectLst/>
        </c:spPr>
      </c:pivotFmt>
      <c:pivotFmt>
        <c:idx val="782"/>
        <c:spPr>
          <a:solidFill>
            <a:schemeClr val="accent1"/>
          </a:solidFill>
          <a:ln w="19050">
            <a:solidFill>
              <a:schemeClr val="lt1"/>
            </a:solidFill>
          </a:ln>
          <a:effectLst/>
        </c:spPr>
      </c:pivotFmt>
      <c:pivotFmt>
        <c:idx val="783"/>
        <c:spPr>
          <a:solidFill>
            <a:schemeClr val="accent1"/>
          </a:solidFill>
          <a:ln w="19050">
            <a:solidFill>
              <a:schemeClr val="lt1"/>
            </a:solidFill>
          </a:ln>
          <a:effectLst/>
        </c:spPr>
      </c:pivotFmt>
      <c:pivotFmt>
        <c:idx val="784"/>
        <c:spPr>
          <a:solidFill>
            <a:schemeClr val="accent1"/>
          </a:solidFill>
          <a:ln w="19050">
            <a:solidFill>
              <a:schemeClr val="lt1"/>
            </a:solidFill>
          </a:ln>
          <a:effectLst/>
        </c:spPr>
      </c:pivotFmt>
      <c:pivotFmt>
        <c:idx val="785"/>
        <c:spPr>
          <a:solidFill>
            <a:schemeClr val="accent1"/>
          </a:solidFill>
          <a:ln w="19050">
            <a:solidFill>
              <a:schemeClr val="lt1"/>
            </a:solidFill>
          </a:ln>
          <a:effectLst/>
        </c:spPr>
      </c:pivotFmt>
      <c:pivotFmt>
        <c:idx val="786"/>
        <c:spPr>
          <a:solidFill>
            <a:schemeClr val="accent1"/>
          </a:solidFill>
          <a:ln w="19050">
            <a:solidFill>
              <a:schemeClr val="lt1"/>
            </a:solidFill>
          </a:ln>
          <a:effectLst/>
        </c:spPr>
      </c:pivotFmt>
      <c:pivotFmt>
        <c:idx val="787"/>
        <c:spPr>
          <a:solidFill>
            <a:schemeClr val="accent1"/>
          </a:solidFill>
          <a:ln w="19050">
            <a:solidFill>
              <a:schemeClr val="lt1"/>
            </a:solidFill>
          </a:ln>
          <a:effectLst/>
        </c:spPr>
      </c:pivotFmt>
      <c:pivotFmt>
        <c:idx val="788"/>
        <c:spPr>
          <a:solidFill>
            <a:schemeClr val="accent1"/>
          </a:solidFill>
          <a:ln w="19050">
            <a:solidFill>
              <a:schemeClr val="lt1"/>
            </a:solidFill>
          </a:ln>
          <a:effectLst/>
        </c:spPr>
      </c:pivotFmt>
      <c:pivotFmt>
        <c:idx val="789"/>
        <c:spPr>
          <a:solidFill>
            <a:schemeClr val="accent1"/>
          </a:solidFill>
          <a:ln w="19050">
            <a:solidFill>
              <a:schemeClr val="lt1"/>
            </a:solidFill>
          </a:ln>
          <a:effectLst/>
        </c:spPr>
      </c:pivotFmt>
      <c:pivotFmt>
        <c:idx val="790"/>
        <c:spPr>
          <a:solidFill>
            <a:schemeClr val="accent1"/>
          </a:solidFill>
          <a:ln w="19050">
            <a:solidFill>
              <a:schemeClr val="lt1"/>
            </a:solidFill>
          </a:ln>
          <a:effectLst/>
        </c:spPr>
      </c:pivotFmt>
      <c:pivotFmt>
        <c:idx val="791"/>
        <c:spPr>
          <a:solidFill>
            <a:schemeClr val="accent1"/>
          </a:solidFill>
          <a:ln w="19050">
            <a:solidFill>
              <a:schemeClr val="lt1"/>
            </a:solidFill>
          </a:ln>
          <a:effectLst/>
        </c:spPr>
      </c:pivotFmt>
      <c:pivotFmt>
        <c:idx val="792"/>
        <c:spPr>
          <a:solidFill>
            <a:schemeClr val="accent1"/>
          </a:solidFill>
          <a:ln w="19050">
            <a:solidFill>
              <a:schemeClr val="lt1"/>
            </a:solidFill>
          </a:ln>
          <a:effectLst/>
        </c:spPr>
      </c:pivotFmt>
      <c:pivotFmt>
        <c:idx val="793"/>
        <c:spPr>
          <a:solidFill>
            <a:schemeClr val="accent1"/>
          </a:solidFill>
          <a:ln w="19050">
            <a:solidFill>
              <a:schemeClr val="lt1"/>
            </a:solidFill>
          </a:ln>
          <a:effectLst/>
        </c:spPr>
      </c:pivotFmt>
      <c:pivotFmt>
        <c:idx val="794"/>
        <c:spPr>
          <a:solidFill>
            <a:schemeClr val="accent1"/>
          </a:solidFill>
          <a:ln w="19050">
            <a:solidFill>
              <a:schemeClr val="lt1"/>
            </a:solidFill>
          </a:ln>
          <a:effectLst/>
        </c:spPr>
      </c:pivotFmt>
      <c:pivotFmt>
        <c:idx val="795"/>
        <c:spPr>
          <a:solidFill>
            <a:schemeClr val="accent1"/>
          </a:solidFill>
          <a:ln w="19050">
            <a:solidFill>
              <a:schemeClr val="lt1"/>
            </a:solidFill>
          </a:ln>
          <a:effectLst/>
        </c:spPr>
      </c:pivotFmt>
      <c:pivotFmt>
        <c:idx val="796"/>
        <c:spPr>
          <a:solidFill>
            <a:schemeClr val="accent1"/>
          </a:solidFill>
          <a:ln w="19050">
            <a:solidFill>
              <a:schemeClr val="lt1"/>
            </a:solidFill>
          </a:ln>
          <a:effectLst/>
        </c:spPr>
      </c:pivotFmt>
      <c:pivotFmt>
        <c:idx val="797"/>
        <c:spPr>
          <a:solidFill>
            <a:schemeClr val="accent1"/>
          </a:solidFill>
          <a:ln w="19050">
            <a:solidFill>
              <a:schemeClr val="lt1"/>
            </a:solidFill>
          </a:ln>
          <a:effectLst/>
        </c:spPr>
      </c:pivotFmt>
      <c:pivotFmt>
        <c:idx val="798"/>
        <c:spPr>
          <a:solidFill>
            <a:schemeClr val="accent1"/>
          </a:solidFill>
          <a:ln w="19050">
            <a:solidFill>
              <a:schemeClr val="lt1"/>
            </a:solidFill>
          </a:ln>
          <a:effectLst/>
        </c:spPr>
      </c:pivotFmt>
      <c:pivotFmt>
        <c:idx val="799"/>
        <c:spPr>
          <a:solidFill>
            <a:schemeClr val="accent1"/>
          </a:solidFill>
          <a:ln w="19050">
            <a:solidFill>
              <a:schemeClr val="lt1"/>
            </a:solidFill>
          </a:ln>
          <a:effectLst/>
        </c:spPr>
      </c:pivotFmt>
      <c:pivotFmt>
        <c:idx val="800"/>
        <c:spPr>
          <a:solidFill>
            <a:schemeClr val="accent1"/>
          </a:solidFill>
          <a:ln w="19050">
            <a:solidFill>
              <a:schemeClr val="lt1"/>
            </a:solidFill>
          </a:ln>
          <a:effectLst/>
        </c:spPr>
      </c:pivotFmt>
      <c:pivotFmt>
        <c:idx val="801"/>
        <c:spPr>
          <a:solidFill>
            <a:schemeClr val="accent1"/>
          </a:solidFill>
          <a:ln w="19050">
            <a:solidFill>
              <a:schemeClr val="lt1"/>
            </a:solidFill>
          </a:ln>
          <a:effectLst/>
        </c:spPr>
      </c:pivotFmt>
      <c:pivotFmt>
        <c:idx val="802"/>
        <c:spPr>
          <a:solidFill>
            <a:schemeClr val="accent1"/>
          </a:solidFill>
          <a:ln w="19050">
            <a:solidFill>
              <a:schemeClr val="lt1"/>
            </a:solidFill>
          </a:ln>
          <a:effectLst/>
        </c:spPr>
      </c:pivotFmt>
      <c:pivotFmt>
        <c:idx val="803"/>
        <c:spPr>
          <a:solidFill>
            <a:schemeClr val="accent1"/>
          </a:solidFill>
          <a:ln w="19050">
            <a:solidFill>
              <a:schemeClr val="lt1"/>
            </a:solidFill>
          </a:ln>
          <a:effectLst/>
        </c:spPr>
      </c:pivotFmt>
      <c:pivotFmt>
        <c:idx val="804"/>
        <c:spPr>
          <a:solidFill>
            <a:schemeClr val="accent1"/>
          </a:solidFill>
          <a:ln w="19050">
            <a:solidFill>
              <a:schemeClr val="lt1"/>
            </a:solidFill>
          </a:ln>
          <a:effectLst/>
        </c:spPr>
      </c:pivotFmt>
      <c:pivotFmt>
        <c:idx val="805"/>
        <c:spPr>
          <a:solidFill>
            <a:schemeClr val="accent1"/>
          </a:solidFill>
          <a:ln w="19050">
            <a:solidFill>
              <a:schemeClr val="lt1"/>
            </a:solidFill>
          </a:ln>
          <a:effectLst/>
        </c:spPr>
      </c:pivotFmt>
      <c:pivotFmt>
        <c:idx val="806"/>
        <c:spPr>
          <a:solidFill>
            <a:schemeClr val="accent1"/>
          </a:solidFill>
          <a:ln w="19050">
            <a:solidFill>
              <a:schemeClr val="lt1"/>
            </a:solidFill>
          </a:ln>
          <a:effectLst/>
        </c:spPr>
      </c:pivotFmt>
      <c:pivotFmt>
        <c:idx val="807"/>
        <c:spPr>
          <a:solidFill>
            <a:schemeClr val="accent1"/>
          </a:solidFill>
          <a:ln w="19050">
            <a:solidFill>
              <a:schemeClr val="lt1"/>
            </a:solidFill>
          </a:ln>
          <a:effectLst/>
        </c:spPr>
      </c:pivotFmt>
      <c:pivotFmt>
        <c:idx val="808"/>
        <c:spPr>
          <a:solidFill>
            <a:schemeClr val="accent1"/>
          </a:solidFill>
          <a:ln w="19050">
            <a:solidFill>
              <a:schemeClr val="lt1"/>
            </a:solidFill>
          </a:ln>
          <a:effectLst/>
        </c:spPr>
      </c:pivotFmt>
      <c:pivotFmt>
        <c:idx val="809"/>
        <c:spPr>
          <a:solidFill>
            <a:schemeClr val="accent1"/>
          </a:solidFill>
          <a:ln w="19050">
            <a:solidFill>
              <a:schemeClr val="lt1"/>
            </a:solidFill>
          </a:ln>
          <a:effectLst/>
        </c:spPr>
      </c:pivotFmt>
      <c:pivotFmt>
        <c:idx val="810"/>
        <c:spPr>
          <a:solidFill>
            <a:schemeClr val="accent1"/>
          </a:solidFill>
          <a:ln w="19050">
            <a:solidFill>
              <a:schemeClr val="lt1"/>
            </a:solidFill>
          </a:ln>
          <a:effectLst/>
        </c:spPr>
      </c:pivotFmt>
      <c:pivotFmt>
        <c:idx val="811"/>
        <c:spPr>
          <a:solidFill>
            <a:schemeClr val="accent1"/>
          </a:solidFill>
          <a:ln w="19050">
            <a:solidFill>
              <a:schemeClr val="lt1"/>
            </a:solidFill>
          </a:ln>
          <a:effectLst/>
        </c:spPr>
      </c:pivotFmt>
      <c:pivotFmt>
        <c:idx val="812"/>
        <c:spPr>
          <a:solidFill>
            <a:schemeClr val="accent1"/>
          </a:solidFill>
          <a:ln w="19050">
            <a:solidFill>
              <a:schemeClr val="lt1"/>
            </a:solidFill>
          </a:ln>
          <a:effectLst/>
        </c:spPr>
      </c:pivotFmt>
      <c:pivotFmt>
        <c:idx val="813"/>
        <c:spPr>
          <a:solidFill>
            <a:schemeClr val="accent1"/>
          </a:solidFill>
          <a:ln w="19050">
            <a:solidFill>
              <a:schemeClr val="lt1"/>
            </a:solidFill>
          </a:ln>
          <a:effectLst/>
        </c:spPr>
      </c:pivotFmt>
      <c:pivotFmt>
        <c:idx val="814"/>
        <c:spPr>
          <a:solidFill>
            <a:schemeClr val="accent1"/>
          </a:solidFill>
          <a:ln w="19050">
            <a:solidFill>
              <a:schemeClr val="lt1"/>
            </a:solidFill>
          </a:ln>
          <a:effectLst/>
        </c:spPr>
      </c:pivotFmt>
      <c:pivotFmt>
        <c:idx val="815"/>
        <c:spPr>
          <a:solidFill>
            <a:schemeClr val="accent1"/>
          </a:solidFill>
          <a:ln w="19050">
            <a:solidFill>
              <a:schemeClr val="lt1"/>
            </a:solidFill>
          </a:ln>
          <a:effectLst/>
        </c:spPr>
      </c:pivotFmt>
      <c:pivotFmt>
        <c:idx val="816"/>
        <c:spPr>
          <a:solidFill>
            <a:schemeClr val="accent1"/>
          </a:solidFill>
          <a:ln w="19050">
            <a:solidFill>
              <a:schemeClr val="lt1"/>
            </a:solidFill>
          </a:ln>
          <a:effectLst/>
        </c:spPr>
      </c:pivotFmt>
      <c:pivotFmt>
        <c:idx val="817"/>
        <c:spPr>
          <a:solidFill>
            <a:schemeClr val="accent1"/>
          </a:solidFill>
          <a:ln w="19050">
            <a:solidFill>
              <a:schemeClr val="lt1"/>
            </a:solidFill>
          </a:ln>
          <a:effectLst/>
        </c:spPr>
      </c:pivotFmt>
      <c:pivotFmt>
        <c:idx val="818"/>
        <c:spPr>
          <a:solidFill>
            <a:schemeClr val="accent1"/>
          </a:solidFill>
          <a:ln w="19050">
            <a:solidFill>
              <a:schemeClr val="lt1"/>
            </a:solidFill>
          </a:ln>
          <a:effectLst/>
        </c:spPr>
      </c:pivotFmt>
      <c:pivotFmt>
        <c:idx val="819"/>
        <c:spPr>
          <a:solidFill>
            <a:schemeClr val="accent1"/>
          </a:solidFill>
          <a:ln w="19050">
            <a:solidFill>
              <a:schemeClr val="lt1"/>
            </a:solidFill>
          </a:ln>
          <a:effectLst/>
        </c:spPr>
      </c:pivotFmt>
      <c:pivotFmt>
        <c:idx val="820"/>
        <c:spPr>
          <a:solidFill>
            <a:schemeClr val="accent1"/>
          </a:solidFill>
          <a:ln w="19050">
            <a:solidFill>
              <a:schemeClr val="lt1"/>
            </a:solidFill>
          </a:ln>
          <a:effectLst/>
        </c:spPr>
      </c:pivotFmt>
      <c:pivotFmt>
        <c:idx val="821"/>
        <c:spPr>
          <a:solidFill>
            <a:schemeClr val="accent1"/>
          </a:solidFill>
          <a:ln w="19050">
            <a:solidFill>
              <a:schemeClr val="lt1"/>
            </a:solidFill>
          </a:ln>
          <a:effectLst/>
        </c:spPr>
      </c:pivotFmt>
      <c:pivotFmt>
        <c:idx val="822"/>
        <c:spPr>
          <a:solidFill>
            <a:schemeClr val="accent1"/>
          </a:solidFill>
          <a:ln w="19050">
            <a:solidFill>
              <a:schemeClr val="lt1"/>
            </a:solidFill>
          </a:ln>
          <a:effectLst/>
        </c:spPr>
      </c:pivotFmt>
      <c:pivotFmt>
        <c:idx val="823"/>
        <c:spPr>
          <a:solidFill>
            <a:schemeClr val="accent1"/>
          </a:solidFill>
          <a:ln w="19050">
            <a:solidFill>
              <a:schemeClr val="lt1"/>
            </a:solidFill>
          </a:ln>
          <a:effectLst/>
        </c:spPr>
      </c:pivotFmt>
      <c:pivotFmt>
        <c:idx val="824"/>
        <c:spPr>
          <a:solidFill>
            <a:schemeClr val="accent1"/>
          </a:solidFill>
          <a:ln w="19050">
            <a:solidFill>
              <a:schemeClr val="lt1"/>
            </a:solidFill>
          </a:ln>
          <a:effectLst/>
        </c:spPr>
      </c:pivotFmt>
      <c:pivotFmt>
        <c:idx val="825"/>
        <c:spPr>
          <a:solidFill>
            <a:schemeClr val="accent1"/>
          </a:solidFill>
          <a:ln w="19050">
            <a:solidFill>
              <a:schemeClr val="lt1"/>
            </a:solidFill>
          </a:ln>
          <a:effectLst/>
        </c:spPr>
      </c:pivotFmt>
      <c:pivotFmt>
        <c:idx val="826"/>
        <c:spPr>
          <a:solidFill>
            <a:schemeClr val="accent1"/>
          </a:solidFill>
          <a:ln w="19050">
            <a:solidFill>
              <a:schemeClr val="lt1"/>
            </a:solidFill>
          </a:ln>
          <a:effectLst/>
        </c:spPr>
      </c:pivotFmt>
      <c:pivotFmt>
        <c:idx val="827"/>
        <c:spPr>
          <a:solidFill>
            <a:schemeClr val="accent1"/>
          </a:solidFill>
          <a:ln w="19050">
            <a:solidFill>
              <a:schemeClr val="lt1"/>
            </a:solidFill>
          </a:ln>
          <a:effectLst/>
        </c:spPr>
      </c:pivotFmt>
      <c:pivotFmt>
        <c:idx val="828"/>
        <c:spPr>
          <a:solidFill>
            <a:schemeClr val="accent1"/>
          </a:solidFill>
          <a:ln w="19050">
            <a:solidFill>
              <a:schemeClr val="lt1"/>
            </a:solidFill>
          </a:ln>
          <a:effectLst/>
        </c:spPr>
      </c:pivotFmt>
      <c:pivotFmt>
        <c:idx val="829"/>
        <c:spPr>
          <a:solidFill>
            <a:schemeClr val="accent1"/>
          </a:solidFill>
          <a:ln w="19050">
            <a:solidFill>
              <a:schemeClr val="lt1"/>
            </a:solidFill>
          </a:ln>
          <a:effectLst/>
        </c:spPr>
      </c:pivotFmt>
      <c:pivotFmt>
        <c:idx val="830"/>
        <c:spPr>
          <a:solidFill>
            <a:schemeClr val="accent1"/>
          </a:solidFill>
          <a:ln w="19050">
            <a:solidFill>
              <a:schemeClr val="lt1"/>
            </a:solidFill>
          </a:ln>
          <a:effectLst/>
        </c:spPr>
      </c:pivotFmt>
      <c:pivotFmt>
        <c:idx val="831"/>
        <c:spPr>
          <a:solidFill>
            <a:schemeClr val="accent1"/>
          </a:solidFill>
          <a:ln w="19050">
            <a:solidFill>
              <a:schemeClr val="lt1"/>
            </a:solidFill>
          </a:ln>
          <a:effectLst/>
        </c:spPr>
      </c:pivotFmt>
      <c:pivotFmt>
        <c:idx val="832"/>
        <c:spPr>
          <a:solidFill>
            <a:schemeClr val="accent1"/>
          </a:solidFill>
          <a:ln w="19050">
            <a:solidFill>
              <a:schemeClr val="lt1"/>
            </a:solidFill>
          </a:ln>
          <a:effectLst/>
        </c:spPr>
      </c:pivotFmt>
      <c:pivotFmt>
        <c:idx val="833"/>
        <c:spPr>
          <a:solidFill>
            <a:schemeClr val="accent1"/>
          </a:solidFill>
          <a:ln w="19050">
            <a:solidFill>
              <a:schemeClr val="lt1"/>
            </a:solidFill>
          </a:ln>
          <a:effectLst/>
        </c:spPr>
      </c:pivotFmt>
      <c:pivotFmt>
        <c:idx val="834"/>
        <c:spPr>
          <a:solidFill>
            <a:schemeClr val="accent1"/>
          </a:solidFill>
          <a:ln w="19050">
            <a:solidFill>
              <a:schemeClr val="lt1"/>
            </a:solidFill>
          </a:ln>
          <a:effectLst/>
        </c:spPr>
      </c:pivotFmt>
      <c:pivotFmt>
        <c:idx val="835"/>
        <c:spPr>
          <a:solidFill>
            <a:schemeClr val="accent1"/>
          </a:solidFill>
          <a:ln w="19050">
            <a:solidFill>
              <a:schemeClr val="lt1"/>
            </a:solidFill>
          </a:ln>
          <a:effectLst/>
        </c:spPr>
      </c:pivotFmt>
      <c:pivotFmt>
        <c:idx val="836"/>
        <c:spPr>
          <a:solidFill>
            <a:schemeClr val="accent1"/>
          </a:solidFill>
          <a:ln w="19050">
            <a:solidFill>
              <a:schemeClr val="lt1"/>
            </a:solidFill>
          </a:ln>
          <a:effectLst/>
        </c:spPr>
      </c:pivotFmt>
      <c:pivotFmt>
        <c:idx val="837"/>
        <c:spPr>
          <a:solidFill>
            <a:schemeClr val="accent1"/>
          </a:solidFill>
          <a:ln w="19050">
            <a:solidFill>
              <a:schemeClr val="lt1"/>
            </a:solidFill>
          </a:ln>
          <a:effectLst/>
        </c:spPr>
      </c:pivotFmt>
      <c:pivotFmt>
        <c:idx val="838"/>
        <c:spPr>
          <a:solidFill>
            <a:schemeClr val="accent1"/>
          </a:solidFill>
          <a:ln w="19050">
            <a:solidFill>
              <a:schemeClr val="lt1"/>
            </a:solidFill>
          </a:ln>
          <a:effectLst/>
        </c:spPr>
      </c:pivotFmt>
      <c:pivotFmt>
        <c:idx val="839"/>
        <c:spPr>
          <a:solidFill>
            <a:schemeClr val="accent1"/>
          </a:solidFill>
          <a:ln w="19050">
            <a:solidFill>
              <a:schemeClr val="lt1"/>
            </a:solidFill>
          </a:ln>
          <a:effectLst/>
        </c:spPr>
      </c:pivotFmt>
      <c:pivotFmt>
        <c:idx val="840"/>
        <c:spPr>
          <a:solidFill>
            <a:schemeClr val="accent1"/>
          </a:solidFill>
          <a:ln w="19050">
            <a:solidFill>
              <a:schemeClr val="lt1"/>
            </a:solidFill>
          </a:ln>
          <a:effectLst/>
        </c:spPr>
      </c:pivotFmt>
      <c:pivotFmt>
        <c:idx val="841"/>
        <c:spPr>
          <a:solidFill>
            <a:schemeClr val="accent1"/>
          </a:solidFill>
          <a:ln w="19050">
            <a:solidFill>
              <a:schemeClr val="lt1"/>
            </a:solidFill>
          </a:ln>
          <a:effectLst/>
        </c:spPr>
      </c:pivotFmt>
      <c:pivotFmt>
        <c:idx val="842"/>
        <c:spPr>
          <a:solidFill>
            <a:schemeClr val="accent1"/>
          </a:solidFill>
          <a:ln w="19050">
            <a:solidFill>
              <a:schemeClr val="lt1"/>
            </a:solidFill>
          </a:ln>
          <a:effectLst/>
        </c:spPr>
      </c:pivotFmt>
      <c:pivotFmt>
        <c:idx val="843"/>
        <c:spPr>
          <a:solidFill>
            <a:schemeClr val="accent1"/>
          </a:solidFill>
          <a:ln w="19050">
            <a:solidFill>
              <a:schemeClr val="lt1"/>
            </a:solidFill>
          </a:ln>
          <a:effectLst/>
        </c:spPr>
      </c:pivotFmt>
      <c:pivotFmt>
        <c:idx val="844"/>
        <c:spPr>
          <a:solidFill>
            <a:schemeClr val="accent1"/>
          </a:solidFill>
          <a:ln w="19050">
            <a:solidFill>
              <a:schemeClr val="lt1"/>
            </a:solidFill>
          </a:ln>
          <a:effectLst/>
        </c:spPr>
      </c:pivotFmt>
      <c:pivotFmt>
        <c:idx val="845"/>
        <c:spPr>
          <a:solidFill>
            <a:schemeClr val="accent1"/>
          </a:solidFill>
          <a:ln w="19050">
            <a:solidFill>
              <a:schemeClr val="lt1"/>
            </a:solidFill>
          </a:ln>
          <a:effectLst/>
        </c:spPr>
      </c:pivotFmt>
      <c:pivotFmt>
        <c:idx val="846"/>
        <c:spPr>
          <a:solidFill>
            <a:schemeClr val="accent1"/>
          </a:solidFill>
          <a:ln w="19050">
            <a:solidFill>
              <a:schemeClr val="lt1"/>
            </a:solidFill>
          </a:ln>
          <a:effectLst/>
        </c:spPr>
      </c:pivotFmt>
      <c:pivotFmt>
        <c:idx val="847"/>
        <c:spPr>
          <a:solidFill>
            <a:schemeClr val="accent1"/>
          </a:solidFill>
          <a:ln w="19050">
            <a:solidFill>
              <a:schemeClr val="lt1"/>
            </a:solidFill>
          </a:ln>
          <a:effectLst/>
        </c:spPr>
      </c:pivotFmt>
      <c:pivotFmt>
        <c:idx val="848"/>
        <c:spPr>
          <a:solidFill>
            <a:schemeClr val="accent1"/>
          </a:solidFill>
          <a:ln w="19050">
            <a:solidFill>
              <a:schemeClr val="lt1"/>
            </a:solidFill>
          </a:ln>
          <a:effectLst/>
        </c:spPr>
      </c:pivotFmt>
      <c:pivotFmt>
        <c:idx val="849"/>
        <c:spPr>
          <a:solidFill>
            <a:schemeClr val="accent1"/>
          </a:solidFill>
          <a:ln w="19050">
            <a:solidFill>
              <a:schemeClr val="lt1"/>
            </a:solidFill>
          </a:ln>
          <a:effectLst/>
        </c:spPr>
      </c:pivotFmt>
      <c:pivotFmt>
        <c:idx val="850"/>
        <c:spPr>
          <a:solidFill>
            <a:schemeClr val="accent1"/>
          </a:solidFill>
          <a:ln w="19050">
            <a:solidFill>
              <a:schemeClr val="lt1"/>
            </a:solidFill>
          </a:ln>
          <a:effectLst/>
        </c:spPr>
      </c:pivotFmt>
      <c:pivotFmt>
        <c:idx val="851"/>
        <c:spPr>
          <a:solidFill>
            <a:schemeClr val="accent1"/>
          </a:solidFill>
          <a:ln w="19050">
            <a:solidFill>
              <a:schemeClr val="lt1"/>
            </a:solidFill>
          </a:ln>
          <a:effectLst/>
        </c:spPr>
      </c:pivotFmt>
      <c:pivotFmt>
        <c:idx val="852"/>
        <c:spPr>
          <a:solidFill>
            <a:schemeClr val="accent1"/>
          </a:solidFill>
          <a:ln w="19050">
            <a:solidFill>
              <a:schemeClr val="lt1"/>
            </a:solidFill>
          </a:ln>
          <a:effectLst/>
        </c:spPr>
      </c:pivotFmt>
      <c:pivotFmt>
        <c:idx val="853"/>
        <c:spPr>
          <a:solidFill>
            <a:schemeClr val="accent1"/>
          </a:solidFill>
          <a:ln w="19050">
            <a:solidFill>
              <a:schemeClr val="lt1"/>
            </a:solidFill>
          </a:ln>
          <a:effectLst/>
        </c:spPr>
      </c:pivotFmt>
      <c:pivotFmt>
        <c:idx val="854"/>
        <c:spPr>
          <a:solidFill>
            <a:schemeClr val="accent1"/>
          </a:solidFill>
          <a:ln w="19050">
            <a:solidFill>
              <a:schemeClr val="lt1"/>
            </a:solidFill>
          </a:ln>
          <a:effectLst/>
        </c:spPr>
      </c:pivotFmt>
      <c:pivotFmt>
        <c:idx val="855"/>
        <c:spPr>
          <a:solidFill>
            <a:schemeClr val="accent1"/>
          </a:solidFill>
          <a:ln w="19050">
            <a:solidFill>
              <a:schemeClr val="lt1"/>
            </a:solidFill>
          </a:ln>
          <a:effectLst/>
        </c:spPr>
      </c:pivotFmt>
      <c:pivotFmt>
        <c:idx val="856"/>
        <c:spPr>
          <a:solidFill>
            <a:schemeClr val="accent1"/>
          </a:solidFill>
          <a:ln w="19050">
            <a:solidFill>
              <a:schemeClr val="lt1"/>
            </a:solidFill>
          </a:ln>
          <a:effectLst/>
        </c:spPr>
      </c:pivotFmt>
      <c:pivotFmt>
        <c:idx val="857"/>
        <c:spPr>
          <a:solidFill>
            <a:schemeClr val="accent1"/>
          </a:solidFill>
          <a:ln w="19050">
            <a:solidFill>
              <a:schemeClr val="lt1"/>
            </a:solidFill>
          </a:ln>
          <a:effectLst/>
        </c:spPr>
      </c:pivotFmt>
      <c:pivotFmt>
        <c:idx val="858"/>
        <c:spPr>
          <a:solidFill>
            <a:schemeClr val="accent1"/>
          </a:solidFill>
          <a:ln w="19050">
            <a:solidFill>
              <a:schemeClr val="lt1"/>
            </a:solidFill>
          </a:ln>
          <a:effectLst/>
        </c:spPr>
      </c:pivotFmt>
      <c:pivotFmt>
        <c:idx val="859"/>
        <c:spPr>
          <a:solidFill>
            <a:schemeClr val="accent1"/>
          </a:solidFill>
          <a:ln w="19050">
            <a:solidFill>
              <a:schemeClr val="lt1"/>
            </a:solidFill>
          </a:ln>
          <a:effectLst/>
        </c:spPr>
      </c:pivotFmt>
      <c:pivotFmt>
        <c:idx val="860"/>
        <c:spPr>
          <a:solidFill>
            <a:schemeClr val="accent1"/>
          </a:solidFill>
          <a:ln w="19050">
            <a:solidFill>
              <a:schemeClr val="lt1"/>
            </a:solidFill>
          </a:ln>
          <a:effectLst/>
        </c:spPr>
      </c:pivotFmt>
      <c:pivotFmt>
        <c:idx val="861"/>
        <c:spPr>
          <a:solidFill>
            <a:schemeClr val="accent1"/>
          </a:solidFill>
          <a:ln w="19050">
            <a:solidFill>
              <a:schemeClr val="lt1"/>
            </a:solidFill>
          </a:ln>
          <a:effectLst/>
        </c:spPr>
      </c:pivotFmt>
      <c:pivotFmt>
        <c:idx val="862"/>
        <c:spPr>
          <a:solidFill>
            <a:schemeClr val="accent1"/>
          </a:solidFill>
          <a:ln w="19050">
            <a:solidFill>
              <a:schemeClr val="lt1"/>
            </a:solidFill>
          </a:ln>
          <a:effectLst/>
        </c:spPr>
      </c:pivotFmt>
      <c:pivotFmt>
        <c:idx val="863"/>
        <c:spPr>
          <a:solidFill>
            <a:schemeClr val="accent1"/>
          </a:solidFill>
          <a:ln w="19050">
            <a:solidFill>
              <a:schemeClr val="lt1"/>
            </a:solidFill>
          </a:ln>
          <a:effectLst/>
        </c:spPr>
      </c:pivotFmt>
      <c:pivotFmt>
        <c:idx val="864"/>
        <c:spPr>
          <a:solidFill>
            <a:schemeClr val="accent1"/>
          </a:solidFill>
          <a:ln w="19050">
            <a:solidFill>
              <a:schemeClr val="lt1"/>
            </a:solidFill>
          </a:ln>
          <a:effectLst/>
        </c:spPr>
      </c:pivotFmt>
      <c:pivotFmt>
        <c:idx val="865"/>
        <c:spPr>
          <a:solidFill>
            <a:schemeClr val="accent1"/>
          </a:solidFill>
          <a:ln w="19050">
            <a:solidFill>
              <a:schemeClr val="lt1"/>
            </a:solidFill>
          </a:ln>
          <a:effectLst/>
        </c:spPr>
      </c:pivotFmt>
      <c:pivotFmt>
        <c:idx val="866"/>
        <c:spPr>
          <a:solidFill>
            <a:schemeClr val="accent1"/>
          </a:solidFill>
          <a:ln w="19050">
            <a:solidFill>
              <a:schemeClr val="lt1"/>
            </a:solidFill>
          </a:ln>
          <a:effectLst/>
        </c:spPr>
      </c:pivotFmt>
      <c:pivotFmt>
        <c:idx val="867"/>
        <c:spPr>
          <a:solidFill>
            <a:schemeClr val="accent1"/>
          </a:solidFill>
          <a:ln w="19050">
            <a:solidFill>
              <a:schemeClr val="lt1"/>
            </a:solidFill>
          </a:ln>
          <a:effectLst/>
        </c:spPr>
      </c:pivotFmt>
      <c:pivotFmt>
        <c:idx val="868"/>
        <c:spPr>
          <a:solidFill>
            <a:schemeClr val="accent1"/>
          </a:solidFill>
          <a:ln w="19050">
            <a:solidFill>
              <a:schemeClr val="lt1"/>
            </a:solidFill>
          </a:ln>
          <a:effectLst/>
        </c:spPr>
      </c:pivotFmt>
      <c:pivotFmt>
        <c:idx val="869"/>
        <c:spPr>
          <a:solidFill>
            <a:schemeClr val="accent1"/>
          </a:solidFill>
          <a:ln w="19050">
            <a:solidFill>
              <a:schemeClr val="lt1"/>
            </a:solidFill>
          </a:ln>
          <a:effectLst/>
        </c:spPr>
      </c:pivotFmt>
      <c:pivotFmt>
        <c:idx val="870"/>
        <c:spPr>
          <a:solidFill>
            <a:schemeClr val="accent1"/>
          </a:solidFill>
          <a:ln w="19050">
            <a:solidFill>
              <a:schemeClr val="lt1"/>
            </a:solidFill>
          </a:ln>
          <a:effectLst/>
        </c:spPr>
      </c:pivotFmt>
      <c:pivotFmt>
        <c:idx val="871"/>
        <c:spPr>
          <a:solidFill>
            <a:schemeClr val="accent1"/>
          </a:solidFill>
          <a:ln w="19050">
            <a:solidFill>
              <a:schemeClr val="lt1"/>
            </a:solidFill>
          </a:ln>
          <a:effectLst/>
        </c:spPr>
      </c:pivotFmt>
      <c:pivotFmt>
        <c:idx val="872"/>
        <c:spPr>
          <a:solidFill>
            <a:schemeClr val="accent1"/>
          </a:solidFill>
          <a:ln w="19050">
            <a:solidFill>
              <a:schemeClr val="lt1"/>
            </a:solidFill>
          </a:ln>
          <a:effectLst/>
        </c:spPr>
      </c:pivotFmt>
      <c:pivotFmt>
        <c:idx val="873"/>
        <c:spPr>
          <a:solidFill>
            <a:schemeClr val="accent1"/>
          </a:solidFill>
          <a:ln w="19050">
            <a:solidFill>
              <a:schemeClr val="lt1"/>
            </a:solidFill>
          </a:ln>
          <a:effectLst/>
        </c:spPr>
      </c:pivotFmt>
      <c:pivotFmt>
        <c:idx val="874"/>
        <c:spPr>
          <a:solidFill>
            <a:schemeClr val="accent1"/>
          </a:solidFill>
          <a:ln w="19050">
            <a:solidFill>
              <a:schemeClr val="lt1"/>
            </a:solidFill>
          </a:ln>
          <a:effectLst/>
        </c:spPr>
      </c:pivotFmt>
      <c:pivotFmt>
        <c:idx val="875"/>
        <c:spPr>
          <a:solidFill>
            <a:schemeClr val="accent1"/>
          </a:solidFill>
          <a:ln w="19050">
            <a:solidFill>
              <a:schemeClr val="lt1"/>
            </a:solidFill>
          </a:ln>
          <a:effectLst/>
        </c:spPr>
      </c:pivotFmt>
      <c:pivotFmt>
        <c:idx val="876"/>
        <c:spPr>
          <a:solidFill>
            <a:schemeClr val="accent1"/>
          </a:solidFill>
          <a:ln w="19050">
            <a:solidFill>
              <a:schemeClr val="lt1"/>
            </a:solidFill>
          </a:ln>
          <a:effectLst/>
        </c:spPr>
      </c:pivotFmt>
      <c:pivotFmt>
        <c:idx val="877"/>
        <c:spPr>
          <a:solidFill>
            <a:schemeClr val="accent1"/>
          </a:solidFill>
          <a:ln w="19050">
            <a:solidFill>
              <a:schemeClr val="lt1"/>
            </a:solidFill>
          </a:ln>
          <a:effectLst/>
        </c:spPr>
      </c:pivotFmt>
      <c:pivotFmt>
        <c:idx val="878"/>
        <c:spPr>
          <a:solidFill>
            <a:schemeClr val="accent1"/>
          </a:solidFill>
          <a:ln w="19050">
            <a:solidFill>
              <a:schemeClr val="lt1"/>
            </a:solidFill>
          </a:ln>
          <a:effectLst/>
        </c:spPr>
      </c:pivotFmt>
      <c:pivotFmt>
        <c:idx val="879"/>
        <c:spPr>
          <a:solidFill>
            <a:schemeClr val="accent1"/>
          </a:solidFill>
          <a:ln w="19050">
            <a:solidFill>
              <a:schemeClr val="lt1"/>
            </a:solidFill>
          </a:ln>
          <a:effectLst/>
        </c:spPr>
      </c:pivotFmt>
      <c:pivotFmt>
        <c:idx val="880"/>
        <c:spPr>
          <a:solidFill>
            <a:schemeClr val="accent1"/>
          </a:solidFill>
          <a:ln w="19050">
            <a:solidFill>
              <a:schemeClr val="lt1"/>
            </a:solidFill>
          </a:ln>
          <a:effectLst/>
        </c:spPr>
      </c:pivotFmt>
      <c:pivotFmt>
        <c:idx val="881"/>
        <c:spPr>
          <a:solidFill>
            <a:schemeClr val="accent1"/>
          </a:solidFill>
          <a:ln w="19050">
            <a:solidFill>
              <a:schemeClr val="lt1"/>
            </a:solidFill>
          </a:ln>
          <a:effectLst/>
        </c:spPr>
      </c:pivotFmt>
      <c:pivotFmt>
        <c:idx val="882"/>
        <c:spPr>
          <a:solidFill>
            <a:schemeClr val="accent1"/>
          </a:solidFill>
          <a:ln w="19050">
            <a:solidFill>
              <a:schemeClr val="lt1"/>
            </a:solidFill>
          </a:ln>
          <a:effectLst/>
        </c:spPr>
      </c:pivotFmt>
      <c:pivotFmt>
        <c:idx val="883"/>
        <c:spPr>
          <a:solidFill>
            <a:schemeClr val="accent1"/>
          </a:solidFill>
          <a:ln w="19050">
            <a:solidFill>
              <a:schemeClr val="lt1"/>
            </a:solidFill>
          </a:ln>
          <a:effectLst/>
        </c:spPr>
      </c:pivotFmt>
      <c:pivotFmt>
        <c:idx val="884"/>
        <c:spPr>
          <a:solidFill>
            <a:schemeClr val="accent1"/>
          </a:solidFill>
          <a:ln w="19050">
            <a:solidFill>
              <a:schemeClr val="lt1"/>
            </a:solidFill>
          </a:ln>
          <a:effectLst/>
        </c:spPr>
      </c:pivotFmt>
      <c:pivotFmt>
        <c:idx val="885"/>
        <c:spPr>
          <a:solidFill>
            <a:schemeClr val="accent1"/>
          </a:solidFill>
          <a:ln w="19050">
            <a:solidFill>
              <a:schemeClr val="lt1"/>
            </a:solidFill>
          </a:ln>
          <a:effectLst/>
        </c:spPr>
      </c:pivotFmt>
      <c:pivotFmt>
        <c:idx val="886"/>
        <c:spPr>
          <a:solidFill>
            <a:schemeClr val="accent1"/>
          </a:solidFill>
          <a:ln w="19050">
            <a:solidFill>
              <a:schemeClr val="lt1"/>
            </a:solidFill>
          </a:ln>
          <a:effectLst/>
        </c:spPr>
      </c:pivotFmt>
      <c:pivotFmt>
        <c:idx val="887"/>
        <c:spPr>
          <a:solidFill>
            <a:schemeClr val="accent1"/>
          </a:solidFill>
          <a:ln w="19050">
            <a:solidFill>
              <a:schemeClr val="lt1"/>
            </a:solidFill>
          </a:ln>
          <a:effectLst/>
        </c:spPr>
      </c:pivotFmt>
      <c:pivotFmt>
        <c:idx val="888"/>
        <c:spPr>
          <a:solidFill>
            <a:schemeClr val="accent1"/>
          </a:solidFill>
          <a:ln w="19050">
            <a:solidFill>
              <a:schemeClr val="lt1"/>
            </a:solidFill>
          </a:ln>
          <a:effectLst/>
        </c:spPr>
      </c:pivotFmt>
      <c:pivotFmt>
        <c:idx val="889"/>
        <c:spPr>
          <a:solidFill>
            <a:schemeClr val="accent1"/>
          </a:solidFill>
          <a:ln w="19050">
            <a:solidFill>
              <a:schemeClr val="lt1"/>
            </a:solidFill>
          </a:ln>
          <a:effectLst/>
        </c:spPr>
      </c:pivotFmt>
      <c:pivotFmt>
        <c:idx val="890"/>
        <c:spPr>
          <a:solidFill>
            <a:schemeClr val="accent1"/>
          </a:solidFill>
          <a:ln w="19050">
            <a:solidFill>
              <a:schemeClr val="lt1"/>
            </a:solidFill>
          </a:ln>
          <a:effectLst/>
        </c:spPr>
      </c:pivotFmt>
      <c:pivotFmt>
        <c:idx val="891"/>
        <c:spPr>
          <a:solidFill>
            <a:schemeClr val="accent1"/>
          </a:solidFill>
          <a:ln w="19050">
            <a:solidFill>
              <a:schemeClr val="lt1"/>
            </a:solidFill>
          </a:ln>
          <a:effectLst/>
        </c:spPr>
      </c:pivotFmt>
      <c:pivotFmt>
        <c:idx val="892"/>
        <c:spPr>
          <a:solidFill>
            <a:schemeClr val="accent1"/>
          </a:solidFill>
          <a:ln w="19050">
            <a:solidFill>
              <a:schemeClr val="lt1"/>
            </a:solidFill>
          </a:ln>
          <a:effectLst/>
        </c:spPr>
      </c:pivotFmt>
      <c:pivotFmt>
        <c:idx val="893"/>
        <c:spPr>
          <a:solidFill>
            <a:schemeClr val="accent1"/>
          </a:solidFill>
          <a:ln w="19050">
            <a:solidFill>
              <a:schemeClr val="lt1"/>
            </a:solidFill>
          </a:ln>
          <a:effectLst/>
        </c:spPr>
      </c:pivotFmt>
      <c:pivotFmt>
        <c:idx val="894"/>
        <c:spPr>
          <a:solidFill>
            <a:schemeClr val="accent1"/>
          </a:solidFill>
          <a:ln w="19050">
            <a:solidFill>
              <a:schemeClr val="lt1"/>
            </a:solidFill>
          </a:ln>
          <a:effectLst/>
        </c:spPr>
      </c:pivotFmt>
      <c:pivotFmt>
        <c:idx val="895"/>
        <c:spPr>
          <a:solidFill>
            <a:schemeClr val="accent1"/>
          </a:solidFill>
          <a:ln w="19050">
            <a:solidFill>
              <a:schemeClr val="lt1"/>
            </a:solidFill>
          </a:ln>
          <a:effectLst/>
        </c:spPr>
      </c:pivotFmt>
      <c:pivotFmt>
        <c:idx val="896"/>
        <c:spPr>
          <a:solidFill>
            <a:schemeClr val="accent1"/>
          </a:solidFill>
          <a:ln w="19050">
            <a:solidFill>
              <a:schemeClr val="lt1"/>
            </a:solidFill>
          </a:ln>
          <a:effectLst/>
        </c:spPr>
      </c:pivotFmt>
      <c:pivotFmt>
        <c:idx val="897"/>
        <c:spPr>
          <a:solidFill>
            <a:schemeClr val="accent1"/>
          </a:solidFill>
          <a:ln w="19050">
            <a:solidFill>
              <a:schemeClr val="lt1"/>
            </a:solidFill>
          </a:ln>
          <a:effectLst/>
        </c:spPr>
      </c:pivotFmt>
      <c:pivotFmt>
        <c:idx val="898"/>
        <c:spPr>
          <a:solidFill>
            <a:schemeClr val="accent1"/>
          </a:solidFill>
          <a:ln w="19050">
            <a:solidFill>
              <a:schemeClr val="lt1"/>
            </a:solidFill>
          </a:ln>
          <a:effectLst/>
        </c:spPr>
      </c:pivotFmt>
      <c:pivotFmt>
        <c:idx val="899"/>
        <c:spPr>
          <a:solidFill>
            <a:schemeClr val="accent1"/>
          </a:solidFill>
          <a:ln w="19050">
            <a:solidFill>
              <a:schemeClr val="lt1"/>
            </a:solidFill>
          </a:ln>
          <a:effectLst/>
        </c:spPr>
      </c:pivotFmt>
      <c:pivotFmt>
        <c:idx val="900"/>
        <c:spPr>
          <a:solidFill>
            <a:schemeClr val="accent1"/>
          </a:solidFill>
          <a:ln w="19050">
            <a:solidFill>
              <a:schemeClr val="lt1"/>
            </a:solidFill>
          </a:ln>
          <a:effectLst/>
        </c:spPr>
      </c:pivotFmt>
      <c:pivotFmt>
        <c:idx val="901"/>
        <c:spPr>
          <a:solidFill>
            <a:schemeClr val="accent1"/>
          </a:solidFill>
          <a:ln w="19050">
            <a:solidFill>
              <a:schemeClr val="lt1"/>
            </a:solidFill>
          </a:ln>
          <a:effectLst/>
        </c:spPr>
      </c:pivotFmt>
      <c:pivotFmt>
        <c:idx val="902"/>
        <c:spPr>
          <a:solidFill>
            <a:schemeClr val="accent1"/>
          </a:solidFill>
          <a:ln w="19050">
            <a:solidFill>
              <a:schemeClr val="lt1"/>
            </a:solidFill>
          </a:ln>
          <a:effectLst/>
        </c:spPr>
      </c:pivotFmt>
      <c:pivotFmt>
        <c:idx val="903"/>
        <c:spPr>
          <a:solidFill>
            <a:schemeClr val="accent1"/>
          </a:solidFill>
          <a:ln w="19050">
            <a:solidFill>
              <a:schemeClr val="lt1"/>
            </a:solidFill>
          </a:ln>
          <a:effectLst/>
        </c:spPr>
      </c:pivotFmt>
      <c:pivotFmt>
        <c:idx val="904"/>
        <c:spPr>
          <a:solidFill>
            <a:schemeClr val="accent1"/>
          </a:solidFill>
          <a:ln w="19050">
            <a:solidFill>
              <a:schemeClr val="lt1"/>
            </a:solidFill>
          </a:ln>
          <a:effectLst/>
        </c:spPr>
      </c:pivotFmt>
      <c:pivotFmt>
        <c:idx val="905"/>
        <c:spPr>
          <a:solidFill>
            <a:schemeClr val="accent1"/>
          </a:solidFill>
          <a:ln w="19050">
            <a:solidFill>
              <a:schemeClr val="lt1"/>
            </a:solidFill>
          </a:ln>
          <a:effectLst/>
        </c:spPr>
      </c:pivotFmt>
      <c:pivotFmt>
        <c:idx val="906"/>
        <c:spPr>
          <a:solidFill>
            <a:schemeClr val="accent1"/>
          </a:solidFill>
          <a:ln w="19050">
            <a:solidFill>
              <a:schemeClr val="lt1"/>
            </a:solidFill>
          </a:ln>
          <a:effectLst/>
        </c:spPr>
      </c:pivotFmt>
      <c:pivotFmt>
        <c:idx val="907"/>
        <c:spPr>
          <a:solidFill>
            <a:schemeClr val="accent1"/>
          </a:solidFill>
          <a:ln w="19050">
            <a:solidFill>
              <a:schemeClr val="lt1"/>
            </a:solidFill>
          </a:ln>
          <a:effectLst/>
        </c:spPr>
      </c:pivotFmt>
      <c:pivotFmt>
        <c:idx val="908"/>
        <c:spPr>
          <a:solidFill>
            <a:schemeClr val="accent1"/>
          </a:solidFill>
          <a:ln w="19050">
            <a:solidFill>
              <a:schemeClr val="lt1"/>
            </a:solidFill>
          </a:ln>
          <a:effectLst/>
        </c:spPr>
      </c:pivotFmt>
      <c:pivotFmt>
        <c:idx val="909"/>
        <c:spPr>
          <a:solidFill>
            <a:schemeClr val="accent1"/>
          </a:solidFill>
          <a:ln w="19050">
            <a:solidFill>
              <a:schemeClr val="lt1"/>
            </a:solidFill>
          </a:ln>
          <a:effectLst/>
        </c:spPr>
      </c:pivotFmt>
      <c:pivotFmt>
        <c:idx val="910"/>
        <c:spPr>
          <a:solidFill>
            <a:schemeClr val="accent1"/>
          </a:solidFill>
          <a:ln w="19050">
            <a:solidFill>
              <a:schemeClr val="lt1"/>
            </a:solidFill>
          </a:ln>
          <a:effectLst/>
        </c:spPr>
      </c:pivotFmt>
      <c:pivotFmt>
        <c:idx val="911"/>
        <c:spPr>
          <a:solidFill>
            <a:schemeClr val="accent1"/>
          </a:solidFill>
          <a:ln w="19050">
            <a:solidFill>
              <a:schemeClr val="lt1"/>
            </a:solidFill>
          </a:ln>
          <a:effectLst/>
        </c:spPr>
      </c:pivotFmt>
      <c:pivotFmt>
        <c:idx val="912"/>
        <c:spPr>
          <a:solidFill>
            <a:schemeClr val="accent1"/>
          </a:solidFill>
          <a:ln w="19050">
            <a:solidFill>
              <a:schemeClr val="lt1"/>
            </a:solidFill>
          </a:ln>
          <a:effectLst/>
        </c:spPr>
      </c:pivotFmt>
      <c:pivotFmt>
        <c:idx val="913"/>
        <c:spPr>
          <a:solidFill>
            <a:schemeClr val="accent1"/>
          </a:solidFill>
          <a:ln w="19050">
            <a:solidFill>
              <a:schemeClr val="lt1"/>
            </a:solidFill>
          </a:ln>
          <a:effectLst/>
        </c:spPr>
      </c:pivotFmt>
      <c:pivotFmt>
        <c:idx val="914"/>
        <c:spPr>
          <a:solidFill>
            <a:schemeClr val="accent1"/>
          </a:solidFill>
          <a:ln w="19050">
            <a:solidFill>
              <a:schemeClr val="lt1"/>
            </a:solidFill>
          </a:ln>
          <a:effectLst/>
        </c:spPr>
      </c:pivotFmt>
      <c:pivotFmt>
        <c:idx val="915"/>
        <c:spPr>
          <a:solidFill>
            <a:schemeClr val="accent1"/>
          </a:solidFill>
          <a:ln w="19050">
            <a:solidFill>
              <a:schemeClr val="lt1"/>
            </a:solidFill>
          </a:ln>
          <a:effectLst/>
        </c:spPr>
      </c:pivotFmt>
      <c:pivotFmt>
        <c:idx val="916"/>
        <c:spPr>
          <a:solidFill>
            <a:schemeClr val="accent1"/>
          </a:solidFill>
          <a:ln w="19050">
            <a:solidFill>
              <a:schemeClr val="lt1"/>
            </a:solidFill>
          </a:ln>
          <a:effectLst/>
        </c:spPr>
      </c:pivotFmt>
      <c:pivotFmt>
        <c:idx val="917"/>
        <c:spPr>
          <a:solidFill>
            <a:schemeClr val="accent1"/>
          </a:solidFill>
          <a:ln w="19050">
            <a:solidFill>
              <a:schemeClr val="lt1"/>
            </a:solidFill>
          </a:ln>
          <a:effectLst/>
        </c:spPr>
      </c:pivotFmt>
      <c:pivotFmt>
        <c:idx val="918"/>
        <c:spPr>
          <a:solidFill>
            <a:schemeClr val="accent1"/>
          </a:solidFill>
          <a:ln w="19050">
            <a:solidFill>
              <a:schemeClr val="lt1"/>
            </a:solidFill>
          </a:ln>
          <a:effectLst/>
        </c:spPr>
      </c:pivotFmt>
      <c:pivotFmt>
        <c:idx val="919"/>
        <c:spPr>
          <a:solidFill>
            <a:schemeClr val="accent1"/>
          </a:solidFill>
          <a:ln w="19050">
            <a:solidFill>
              <a:schemeClr val="lt1"/>
            </a:solidFill>
          </a:ln>
          <a:effectLst/>
        </c:spPr>
      </c:pivotFmt>
      <c:pivotFmt>
        <c:idx val="920"/>
        <c:spPr>
          <a:solidFill>
            <a:schemeClr val="accent1"/>
          </a:solidFill>
          <a:ln w="19050">
            <a:solidFill>
              <a:schemeClr val="lt1"/>
            </a:solidFill>
          </a:ln>
          <a:effectLst/>
        </c:spPr>
      </c:pivotFmt>
      <c:pivotFmt>
        <c:idx val="921"/>
        <c:spPr>
          <a:solidFill>
            <a:schemeClr val="accent1"/>
          </a:solidFill>
          <a:ln w="19050">
            <a:solidFill>
              <a:schemeClr val="lt1"/>
            </a:solidFill>
          </a:ln>
          <a:effectLst/>
        </c:spPr>
      </c:pivotFmt>
      <c:pivotFmt>
        <c:idx val="922"/>
        <c:spPr>
          <a:solidFill>
            <a:schemeClr val="accent1"/>
          </a:solidFill>
          <a:ln w="19050">
            <a:solidFill>
              <a:schemeClr val="lt1"/>
            </a:solidFill>
          </a:ln>
          <a:effectLst/>
        </c:spPr>
      </c:pivotFmt>
      <c:pivotFmt>
        <c:idx val="923"/>
        <c:spPr>
          <a:solidFill>
            <a:schemeClr val="accent1"/>
          </a:solidFill>
          <a:ln w="19050">
            <a:solidFill>
              <a:schemeClr val="lt1"/>
            </a:solidFill>
          </a:ln>
          <a:effectLst/>
        </c:spPr>
      </c:pivotFmt>
      <c:pivotFmt>
        <c:idx val="924"/>
        <c:spPr>
          <a:solidFill>
            <a:schemeClr val="accent1"/>
          </a:solidFill>
          <a:ln w="19050">
            <a:solidFill>
              <a:schemeClr val="lt1"/>
            </a:solidFill>
          </a:ln>
          <a:effectLst/>
        </c:spPr>
      </c:pivotFmt>
      <c:pivotFmt>
        <c:idx val="925"/>
        <c:spPr>
          <a:solidFill>
            <a:schemeClr val="accent1"/>
          </a:solidFill>
          <a:ln w="19050">
            <a:solidFill>
              <a:schemeClr val="lt1"/>
            </a:solidFill>
          </a:ln>
          <a:effectLst/>
        </c:spPr>
      </c:pivotFmt>
      <c:pivotFmt>
        <c:idx val="926"/>
        <c:spPr>
          <a:solidFill>
            <a:schemeClr val="accent1"/>
          </a:solidFill>
          <a:ln w="19050">
            <a:solidFill>
              <a:schemeClr val="lt1"/>
            </a:solidFill>
          </a:ln>
          <a:effectLst/>
        </c:spPr>
      </c:pivotFmt>
      <c:pivotFmt>
        <c:idx val="927"/>
        <c:spPr>
          <a:solidFill>
            <a:schemeClr val="accent1"/>
          </a:solidFill>
          <a:ln w="19050">
            <a:solidFill>
              <a:schemeClr val="lt1"/>
            </a:solidFill>
          </a:ln>
          <a:effectLst/>
        </c:spPr>
      </c:pivotFmt>
      <c:pivotFmt>
        <c:idx val="928"/>
        <c:spPr>
          <a:solidFill>
            <a:schemeClr val="accent1"/>
          </a:solidFill>
          <a:ln w="19050">
            <a:solidFill>
              <a:schemeClr val="lt1"/>
            </a:solidFill>
          </a:ln>
          <a:effectLst/>
        </c:spPr>
      </c:pivotFmt>
      <c:pivotFmt>
        <c:idx val="929"/>
        <c:spPr>
          <a:solidFill>
            <a:schemeClr val="accent1"/>
          </a:solidFill>
          <a:ln w="19050">
            <a:solidFill>
              <a:schemeClr val="lt1"/>
            </a:solidFill>
          </a:ln>
          <a:effectLst/>
        </c:spPr>
      </c:pivotFmt>
      <c:pivotFmt>
        <c:idx val="930"/>
        <c:spPr>
          <a:solidFill>
            <a:schemeClr val="accent1"/>
          </a:solidFill>
          <a:ln w="19050">
            <a:solidFill>
              <a:schemeClr val="lt1"/>
            </a:solidFill>
          </a:ln>
          <a:effectLst/>
        </c:spPr>
      </c:pivotFmt>
      <c:pivotFmt>
        <c:idx val="931"/>
        <c:spPr>
          <a:solidFill>
            <a:schemeClr val="accent1"/>
          </a:solidFill>
          <a:ln w="19050">
            <a:solidFill>
              <a:schemeClr val="lt1"/>
            </a:solidFill>
          </a:ln>
          <a:effectLst/>
        </c:spPr>
      </c:pivotFmt>
      <c:pivotFmt>
        <c:idx val="932"/>
        <c:spPr>
          <a:solidFill>
            <a:schemeClr val="accent1"/>
          </a:solidFill>
          <a:ln w="19050">
            <a:solidFill>
              <a:schemeClr val="lt1"/>
            </a:solidFill>
          </a:ln>
          <a:effectLst/>
        </c:spPr>
      </c:pivotFmt>
      <c:pivotFmt>
        <c:idx val="933"/>
        <c:spPr>
          <a:solidFill>
            <a:schemeClr val="accent1"/>
          </a:solidFill>
          <a:ln w="19050">
            <a:solidFill>
              <a:schemeClr val="lt1"/>
            </a:solidFill>
          </a:ln>
          <a:effectLst/>
        </c:spPr>
      </c:pivotFmt>
      <c:pivotFmt>
        <c:idx val="934"/>
        <c:spPr>
          <a:solidFill>
            <a:schemeClr val="accent1"/>
          </a:solidFill>
          <a:ln w="19050">
            <a:solidFill>
              <a:schemeClr val="lt1"/>
            </a:solidFill>
          </a:ln>
          <a:effectLst/>
        </c:spPr>
      </c:pivotFmt>
      <c:pivotFmt>
        <c:idx val="935"/>
        <c:spPr>
          <a:solidFill>
            <a:schemeClr val="accent1"/>
          </a:solidFill>
          <a:ln w="19050">
            <a:solidFill>
              <a:schemeClr val="lt1"/>
            </a:solidFill>
          </a:ln>
          <a:effectLst/>
        </c:spPr>
      </c:pivotFmt>
      <c:pivotFmt>
        <c:idx val="936"/>
        <c:spPr>
          <a:solidFill>
            <a:schemeClr val="accent1"/>
          </a:solidFill>
          <a:ln w="19050">
            <a:solidFill>
              <a:schemeClr val="lt1"/>
            </a:solidFill>
          </a:ln>
          <a:effectLst/>
        </c:spPr>
      </c:pivotFmt>
      <c:pivotFmt>
        <c:idx val="937"/>
        <c:spPr>
          <a:solidFill>
            <a:schemeClr val="accent1"/>
          </a:solidFill>
          <a:ln w="19050">
            <a:solidFill>
              <a:schemeClr val="lt1"/>
            </a:solidFill>
          </a:ln>
          <a:effectLst/>
        </c:spPr>
      </c:pivotFmt>
      <c:pivotFmt>
        <c:idx val="938"/>
        <c:spPr>
          <a:solidFill>
            <a:schemeClr val="accent1"/>
          </a:solidFill>
          <a:ln w="19050">
            <a:solidFill>
              <a:schemeClr val="lt1"/>
            </a:solidFill>
          </a:ln>
          <a:effectLst/>
        </c:spPr>
      </c:pivotFmt>
      <c:pivotFmt>
        <c:idx val="939"/>
        <c:spPr>
          <a:solidFill>
            <a:schemeClr val="accent1"/>
          </a:solidFill>
          <a:ln w="19050">
            <a:solidFill>
              <a:schemeClr val="lt1"/>
            </a:solidFill>
          </a:ln>
          <a:effectLst/>
        </c:spPr>
      </c:pivotFmt>
      <c:pivotFmt>
        <c:idx val="940"/>
        <c:spPr>
          <a:solidFill>
            <a:schemeClr val="accent1"/>
          </a:solidFill>
          <a:ln w="19050">
            <a:solidFill>
              <a:schemeClr val="lt1"/>
            </a:solidFill>
          </a:ln>
          <a:effectLst/>
        </c:spPr>
      </c:pivotFmt>
      <c:pivotFmt>
        <c:idx val="941"/>
        <c:spPr>
          <a:solidFill>
            <a:schemeClr val="accent1"/>
          </a:solidFill>
          <a:ln w="19050">
            <a:solidFill>
              <a:schemeClr val="lt1"/>
            </a:solidFill>
          </a:ln>
          <a:effectLst/>
        </c:spPr>
      </c:pivotFmt>
      <c:pivotFmt>
        <c:idx val="942"/>
        <c:spPr>
          <a:solidFill>
            <a:schemeClr val="accent1"/>
          </a:solidFill>
          <a:ln w="19050">
            <a:solidFill>
              <a:schemeClr val="lt1"/>
            </a:solidFill>
          </a:ln>
          <a:effectLst/>
        </c:spPr>
      </c:pivotFmt>
      <c:pivotFmt>
        <c:idx val="943"/>
        <c:spPr>
          <a:solidFill>
            <a:schemeClr val="accent1"/>
          </a:solidFill>
          <a:ln w="19050">
            <a:solidFill>
              <a:schemeClr val="lt1"/>
            </a:solidFill>
          </a:ln>
          <a:effectLst/>
        </c:spPr>
      </c:pivotFmt>
      <c:pivotFmt>
        <c:idx val="944"/>
        <c:spPr>
          <a:solidFill>
            <a:schemeClr val="accent1"/>
          </a:solidFill>
          <a:ln w="19050">
            <a:solidFill>
              <a:schemeClr val="lt1"/>
            </a:solidFill>
          </a:ln>
          <a:effectLst/>
        </c:spPr>
      </c:pivotFmt>
      <c:pivotFmt>
        <c:idx val="945"/>
        <c:spPr>
          <a:solidFill>
            <a:schemeClr val="accent1"/>
          </a:solidFill>
          <a:ln w="19050">
            <a:solidFill>
              <a:schemeClr val="lt1"/>
            </a:solidFill>
          </a:ln>
          <a:effectLst/>
        </c:spPr>
      </c:pivotFmt>
      <c:pivotFmt>
        <c:idx val="946"/>
        <c:spPr>
          <a:solidFill>
            <a:schemeClr val="accent1"/>
          </a:solidFill>
          <a:ln w="19050">
            <a:solidFill>
              <a:schemeClr val="lt1"/>
            </a:solidFill>
          </a:ln>
          <a:effectLst/>
        </c:spPr>
      </c:pivotFmt>
      <c:pivotFmt>
        <c:idx val="947"/>
        <c:spPr>
          <a:solidFill>
            <a:schemeClr val="accent1"/>
          </a:solidFill>
          <a:ln w="19050">
            <a:solidFill>
              <a:schemeClr val="lt1"/>
            </a:solidFill>
          </a:ln>
          <a:effectLst/>
        </c:spPr>
      </c:pivotFmt>
      <c:pivotFmt>
        <c:idx val="948"/>
        <c:spPr>
          <a:solidFill>
            <a:schemeClr val="accent1"/>
          </a:solidFill>
          <a:ln w="19050">
            <a:solidFill>
              <a:schemeClr val="lt1"/>
            </a:solidFill>
          </a:ln>
          <a:effectLst/>
        </c:spPr>
      </c:pivotFmt>
      <c:pivotFmt>
        <c:idx val="949"/>
        <c:spPr>
          <a:solidFill>
            <a:schemeClr val="accent1"/>
          </a:solidFill>
          <a:ln w="19050">
            <a:solidFill>
              <a:schemeClr val="lt1"/>
            </a:solidFill>
          </a:ln>
          <a:effectLst/>
        </c:spPr>
      </c:pivotFmt>
      <c:pivotFmt>
        <c:idx val="950"/>
        <c:spPr>
          <a:solidFill>
            <a:schemeClr val="accent1"/>
          </a:solidFill>
          <a:ln w="19050">
            <a:solidFill>
              <a:schemeClr val="lt1"/>
            </a:solidFill>
          </a:ln>
          <a:effectLst/>
        </c:spPr>
      </c:pivotFmt>
      <c:pivotFmt>
        <c:idx val="951"/>
        <c:spPr>
          <a:solidFill>
            <a:schemeClr val="accent1"/>
          </a:solidFill>
          <a:ln w="19050">
            <a:solidFill>
              <a:schemeClr val="lt1"/>
            </a:solidFill>
          </a:ln>
          <a:effectLst/>
        </c:spPr>
      </c:pivotFmt>
      <c:pivotFmt>
        <c:idx val="952"/>
        <c:spPr>
          <a:solidFill>
            <a:schemeClr val="accent1"/>
          </a:solidFill>
          <a:ln w="19050">
            <a:solidFill>
              <a:schemeClr val="lt1"/>
            </a:solidFill>
          </a:ln>
          <a:effectLst/>
        </c:spPr>
      </c:pivotFmt>
      <c:pivotFmt>
        <c:idx val="953"/>
        <c:spPr>
          <a:solidFill>
            <a:schemeClr val="accent1"/>
          </a:solidFill>
          <a:ln w="19050">
            <a:solidFill>
              <a:schemeClr val="lt1"/>
            </a:solidFill>
          </a:ln>
          <a:effectLst/>
        </c:spPr>
      </c:pivotFmt>
      <c:pivotFmt>
        <c:idx val="954"/>
        <c:spPr>
          <a:solidFill>
            <a:schemeClr val="accent1"/>
          </a:solidFill>
          <a:ln w="19050">
            <a:solidFill>
              <a:schemeClr val="lt1"/>
            </a:solidFill>
          </a:ln>
          <a:effectLst/>
        </c:spPr>
      </c:pivotFmt>
      <c:pivotFmt>
        <c:idx val="955"/>
        <c:spPr>
          <a:solidFill>
            <a:schemeClr val="accent1"/>
          </a:solidFill>
          <a:ln w="19050">
            <a:solidFill>
              <a:schemeClr val="lt1"/>
            </a:solidFill>
          </a:ln>
          <a:effectLst/>
        </c:spPr>
      </c:pivotFmt>
      <c:pivotFmt>
        <c:idx val="956"/>
        <c:spPr>
          <a:solidFill>
            <a:schemeClr val="accent1"/>
          </a:solidFill>
          <a:ln w="19050">
            <a:solidFill>
              <a:schemeClr val="lt1"/>
            </a:solidFill>
          </a:ln>
          <a:effectLst/>
        </c:spPr>
      </c:pivotFmt>
      <c:pivotFmt>
        <c:idx val="957"/>
        <c:spPr>
          <a:solidFill>
            <a:schemeClr val="accent1"/>
          </a:solidFill>
          <a:ln w="19050">
            <a:solidFill>
              <a:schemeClr val="lt1"/>
            </a:solidFill>
          </a:ln>
          <a:effectLst/>
        </c:spPr>
      </c:pivotFmt>
      <c:pivotFmt>
        <c:idx val="958"/>
        <c:spPr>
          <a:solidFill>
            <a:schemeClr val="accent1"/>
          </a:solidFill>
          <a:ln w="19050">
            <a:solidFill>
              <a:schemeClr val="lt1"/>
            </a:solidFill>
          </a:ln>
          <a:effectLst/>
        </c:spPr>
      </c:pivotFmt>
      <c:pivotFmt>
        <c:idx val="959"/>
        <c:spPr>
          <a:solidFill>
            <a:schemeClr val="accent1"/>
          </a:solidFill>
          <a:ln w="19050">
            <a:solidFill>
              <a:schemeClr val="lt1"/>
            </a:solidFill>
          </a:ln>
          <a:effectLst/>
        </c:spPr>
      </c:pivotFmt>
      <c:pivotFmt>
        <c:idx val="960"/>
        <c:spPr>
          <a:solidFill>
            <a:schemeClr val="accent1"/>
          </a:solidFill>
          <a:ln w="19050">
            <a:solidFill>
              <a:schemeClr val="lt1"/>
            </a:solidFill>
          </a:ln>
          <a:effectLst/>
        </c:spPr>
      </c:pivotFmt>
      <c:pivotFmt>
        <c:idx val="961"/>
        <c:spPr>
          <a:solidFill>
            <a:schemeClr val="accent1"/>
          </a:solidFill>
          <a:ln w="19050">
            <a:solidFill>
              <a:schemeClr val="lt1"/>
            </a:solidFill>
          </a:ln>
          <a:effectLst/>
        </c:spPr>
      </c:pivotFmt>
      <c:pivotFmt>
        <c:idx val="962"/>
        <c:spPr>
          <a:solidFill>
            <a:schemeClr val="accent1"/>
          </a:solidFill>
          <a:ln w="19050">
            <a:solidFill>
              <a:schemeClr val="lt1"/>
            </a:solidFill>
          </a:ln>
          <a:effectLst/>
        </c:spPr>
      </c:pivotFmt>
      <c:pivotFmt>
        <c:idx val="963"/>
        <c:spPr>
          <a:solidFill>
            <a:schemeClr val="accent1"/>
          </a:solidFill>
          <a:ln w="19050">
            <a:solidFill>
              <a:schemeClr val="lt1"/>
            </a:solidFill>
          </a:ln>
          <a:effectLst/>
        </c:spPr>
      </c:pivotFmt>
      <c:pivotFmt>
        <c:idx val="964"/>
        <c:spPr>
          <a:solidFill>
            <a:schemeClr val="accent1"/>
          </a:solidFill>
          <a:ln w="19050">
            <a:solidFill>
              <a:schemeClr val="lt1"/>
            </a:solidFill>
          </a:ln>
          <a:effectLst/>
        </c:spPr>
      </c:pivotFmt>
      <c:pivotFmt>
        <c:idx val="965"/>
        <c:spPr>
          <a:solidFill>
            <a:schemeClr val="accent1"/>
          </a:solidFill>
          <a:ln w="19050">
            <a:solidFill>
              <a:schemeClr val="lt1"/>
            </a:solidFill>
          </a:ln>
          <a:effectLst/>
        </c:spPr>
      </c:pivotFmt>
      <c:pivotFmt>
        <c:idx val="966"/>
        <c:spPr>
          <a:solidFill>
            <a:schemeClr val="accent1"/>
          </a:solidFill>
          <a:ln w="19050">
            <a:solidFill>
              <a:schemeClr val="lt1"/>
            </a:solidFill>
          </a:ln>
          <a:effectLst/>
        </c:spPr>
      </c:pivotFmt>
      <c:pivotFmt>
        <c:idx val="967"/>
        <c:spPr>
          <a:solidFill>
            <a:schemeClr val="accent1"/>
          </a:solidFill>
          <a:ln w="19050">
            <a:solidFill>
              <a:schemeClr val="lt1"/>
            </a:solidFill>
          </a:ln>
          <a:effectLst/>
        </c:spPr>
      </c:pivotFmt>
      <c:pivotFmt>
        <c:idx val="968"/>
        <c:spPr>
          <a:solidFill>
            <a:schemeClr val="accent1"/>
          </a:solidFill>
          <a:ln w="19050">
            <a:solidFill>
              <a:schemeClr val="lt1"/>
            </a:solidFill>
          </a:ln>
          <a:effectLst/>
        </c:spPr>
      </c:pivotFmt>
      <c:pivotFmt>
        <c:idx val="969"/>
        <c:spPr>
          <a:solidFill>
            <a:schemeClr val="accent1"/>
          </a:solidFill>
          <a:ln w="19050">
            <a:solidFill>
              <a:schemeClr val="lt1"/>
            </a:solidFill>
          </a:ln>
          <a:effectLst/>
        </c:spPr>
      </c:pivotFmt>
      <c:pivotFmt>
        <c:idx val="970"/>
        <c:spPr>
          <a:solidFill>
            <a:schemeClr val="accent1"/>
          </a:solidFill>
          <a:ln w="19050">
            <a:solidFill>
              <a:schemeClr val="lt1"/>
            </a:solidFill>
          </a:ln>
          <a:effectLst/>
        </c:spPr>
      </c:pivotFmt>
      <c:pivotFmt>
        <c:idx val="971"/>
        <c:spPr>
          <a:solidFill>
            <a:schemeClr val="accent1"/>
          </a:solidFill>
          <a:ln w="19050">
            <a:solidFill>
              <a:schemeClr val="lt1"/>
            </a:solidFill>
          </a:ln>
          <a:effectLst/>
        </c:spPr>
      </c:pivotFmt>
      <c:pivotFmt>
        <c:idx val="972"/>
        <c:spPr>
          <a:solidFill>
            <a:schemeClr val="accent1"/>
          </a:solidFill>
          <a:ln w="19050">
            <a:solidFill>
              <a:schemeClr val="lt1"/>
            </a:solidFill>
          </a:ln>
          <a:effectLst/>
        </c:spPr>
      </c:pivotFmt>
      <c:pivotFmt>
        <c:idx val="973"/>
        <c:spPr>
          <a:solidFill>
            <a:schemeClr val="accent1"/>
          </a:solidFill>
          <a:ln w="19050">
            <a:solidFill>
              <a:schemeClr val="lt1"/>
            </a:solidFill>
          </a:ln>
          <a:effectLst/>
        </c:spPr>
      </c:pivotFmt>
      <c:pivotFmt>
        <c:idx val="974"/>
        <c:spPr>
          <a:solidFill>
            <a:schemeClr val="accent1"/>
          </a:solidFill>
          <a:ln w="19050">
            <a:solidFill>
              <a:schemeClr val="lt1"/>
            </a:solidFill>
          </a:ln>
          <a:effectLst/>
        </c:spPr>
      </c:pivotFmt>
      <c:pivotFmt>
        <c:idx val="975"/>
        <c:spPr>
          <a:solidFill>
            <a:schemeClr val="accent1"/>
          </a:solidFill>
          <a:ln w="19050">
            <a:solidFill>
              <a:schemeClr val="lt1"/>
            </a:solidFill>
          </a:ln>
          <a:effectLst/>
        </c:spPr>
      </c:pivotFmt>
      <c:pivotFmt>
        <c:idx val="976"/>
        <c:spPr>
          <a:solidFill>
            <a:schemeClr val="accent1"/>
          </a:solidFill>
          <a:ln w="19050">
            <a:solidFill>
              <a:schemeClr val="lt1"/>
            </a:solidFill>
          </a:ln>
          <a:effectLst/>
        </c:spPr>
      </c:pivotFmt>
      <c:pivotFmt>
        <c:idx val="977"/>
        <c:spPr>
          <a:solidFill>
            <a:schemeClr val="accent1"/>
          </a:solidFill>
          <a:ln w="19050">
            <a:solidFill>
              <a:schemeClr val="lt1"/>
            </a:solidFill>
          </a:ln>
          <a:effectLst/>
        </c:spPr>
      </c:pivotFmt>
      <c:pivotFmt>
        <c:idx val="978"/>
        <c:spPr>
          <a:solidFill>
            <a:schemeClr val="accent1"/>
          </a:solidFill>
          <a:ln w="19050">
            <a:solidFill>
              <a:schemeClr val="lt1"/>
            </a:solidFill>
          </a:ln>
          <a:effectLst/>
        </c:spPr>
      </c:pivotFmt>
      <c:pivotFmt>
        <c:idx val="979"/>
        <c:spPr>
          <a:solidFill>
            <a:schemeClr val="accent1"/>
          </a:solidFill>
          <a:ln w="19050">
            <a:solidFill>
              <a:schemeClr val="lt1"/>
            </a:solidFill>
          </a:ln>
          <a:effectLst/>
        </c:spPr>
      </c:pivotFmt>
      <c:pivotFmt>
        <c:idx val="980"/>
        <c:spPr>
          <a:solidFill>
            <a:schemeClr val="accent1"/>
          </a:solidFill>
          <a:ln w="19050">
            <a:solidFill>
              <a:schemeClr val="lt1"/>
            </a:solidFill>
          </a:ln>
          <a:effectLst/>
        </c:spPr>
      </c:pivotFmt>
      <c:pivotFmt>
        <c:idx val="981"/>
        <c:spPr>
          <a:solidFill>
            <a:schemeClr val="accent1"/>
          </a:solidFill>
          <a:ln w="19050">
            <a:solidFill>
              <a:schemeClr val="lt1"/>
            </a:solidFill>
          </a:ln>
          <a:effectLst/>
        </c:spPr>
      </c:pivotFmt>
      <c:pivotFmt>
        <c:idx val="982"/>
        <c:spPr>
          <a:solidFill>
            <a:schemeClr val="accent1"/>
          </a:solidFill>
          <a:ln w="19050">
            <a:solidFill>
              <a:schemeClr val="lt1"/>
            </a:solidFill>
          </a:ln>
          <a:effectLst/>
        </c:spPr>
      </c:pivotFmt>
      <c:pivotFmt>
        <c:idx val="983"/>
        <c:spPr>
          <a:solidFill>
            <a:schemeClr val="accent1"/>
          </a:solidFill>
          <a:ln w="19050">
            <a:solidFill>
              <a:schemeClr val="lt1"/>
            </a:solidFill>
          </a:ln>
          <a:effectLst/>
        </c:spPr>
      </c:pivotFmt>
      <c:pivotFmt>
        <c:idx val="984"/>
        <c:spPr>
          <a:solidFill>
            <a:schemeClr val="accent1"/>
          </a:solidFill>
          <a:ln w="19050">
            <a:solidFill>
              <a:schemeClr val="lt1"/>
            </a:solidFill>
          </a:ln>
          <a:effectLst/>
        </c:spPr>
      </c:pivotFmt>
      <c:pivotFmt>
        <c:idx val="985"/>
        <c:spPr>
          <a:solidFill>
            <a:schemeClr val="accent1"/>
          </a:solidFill>
          <a:ln w="19050">
            <a:solidFill>
              <a:schemeClr val="lt1"/>
            </a:solidFill>
          </a:ln>
          <a:effectLst/>
        </c:spPr>
      </c:pivotFmt>
      <c:pivotFmt>
        <c:idx val="986"/>
        <c:spPr>
          <a:solidFill>
            <a:schemeClr val="accent1"/>
          </a:solidFill>
          <a:ln w="19050">
            <a:solidFill>
              <a:schemeClr val="lt1"/>
            </a:solidFill>
          </a:ln>
          <a:effectLst/>
        </c:spPr>
      </c:pivotFmt>
      <c:pivotFmt>
        <c:idx val="987"/>
        <c:spPr>
          <a:solidFill>
            <a:schemeClr val="accent1"/>
          </a:solidFill>
          <a:ln w="19050">
            <a:solidFill>
              <a:schemeClr val="lt1"/>
            </a:solidFill>
          </a:ln>
          <a:effectLst/>
        </c:spPr>
      </c:pivotFmt>
      <c:pivotFmt>
        <c:idx val="988"/>
        <c:spPr>
          <a:solidFill>
            <a:schemeClr val="accent1"/>
          </a:solidFill>
          <a:ln w="19050">
            <a:solidFill>
              <a:schemeClr val="lt1"/>
            </a:solidFill>
          </a:ln>
          <a:effectLst/>
        </c:spPr>
      </c:pivotFmt>
      <c:pivotFmt>
        <c:idx val="989"/>
        <c:spPr>
          <a:solidFill>
            <a:schemeClr val="accent1"/>
          </a:solidFill>
          <a:ln w="19050">
            <a:solidFill>
              <a:schemeClr val="lt1"/>
            </a:solidFill>
          </a:ln>
          <a:effectLst/>
        </c:spPr>
      </c:pivotFmt>
      <c:pivotFmt>
        <c:idx val="990"/>
        <c:spPr>
          <a:solidFill>
            <a:schemeClr val="accent1"/>
          </a:solidFill>
          <a:ln w="19050">
            <a:solidFill>
              <a:schemeClr val="lt1"/>
            </a:solidFill>
          </a:ln>
          <a:effectLst/>
        </c:spPr>
      </c:pivotFmt>
      <c:pivotFmt>
        <c:idx val="991"/>
        <c:spPr>
          <a:solidFill>
            <a:schemeClr val="accent1"/>
          </a:solidFill>
          <a:ln w="19050">
            <a:solidFill>
              <a:schemeClr val="lt1"/>
            </a:solidFill>
          </a:ln>
          <a:effectLst/>
        </c:spPr>
      </c:pivotFmt>
      <c:pivotFmt>
        <c:idx val="992"/>
        <c:spPr>
          <a:solidFill>
            <a:schemeClr val="accent1"/>
          </a:solidFill>
          <a:ln w="19050">
            <a:solidFill>
              <a:schemeClr val="lt1"/>
            </a:solidFill>
          </a:ln>
          <a:effectLst/>
        </c:spPr>
      </c:pivotFmt>
      <c:pivotFmt>
        <c:idx val="993"/>
        <c:spPr>
          <a:solidFill>
            <a:schemeClr val="accent1"/>
          </a:solidFill>
          <a:ln w="19050">
            <a:solidFill>
              <a:schemeClr val="lt1"/>
            </a:solidFill>
          </a:ln>
          <a:effectLst/>
        </c:spPr>
      </c:pivotFmt>
      <c:pivotFmt>
        <c:idx val="994"/>
        <c:spPr>
          <a:solidFill>
            <a:schemeClr val="accent1"/>
          </a:solidFill>
          <a:ln w="19050">
            <a:solidFill>
              <a:schemeClr val="lt1"/>
            </a:solidFill>
          </a:ln>
          <a:effectLst/>
        </c:spPr>
      </c:pivotFmt>
      <c:pivotFmt>
        <c:idx val="995"/>
        <c:spPr>
          <a:solidFill>
            <a:schemeClr val="accent1"/>
          </a:solidFill>
          <a:ln w="19050">
            <a:solidFill>
              <a:schemeClr val="lt1"/>
            </a:solidFill>
          </a:ln>
          <a:effectLst/>
        </c:spPr>
      </c:pivotFmt>
      <c:pivotFmt>
        <c:idx val="996"/>
        <c:spPr>
          <a:solidFill>
            <a:schemeClr val="accent1"/>
          </a:solidFill>
          <a:ln w="19050">
            <a:solidFill>
              <a:schemeClr val="lt1"/>
            </a:solidFill>
          </a:ln>
          <a:effectLst/>
        </c:spPr>
      </c:pivotFmt>
      <c:pivotFmt>
        <c:idx val="997"/>
        <c:spPr>
          <a:solidFill>
            <a:schemeClr val="accent1"/>
          </a:solidFill>
          <a:ln w="19050">
            <a:solidFill>
              <a:schemeClr val="lt1"/>
            </a:solidFill>
          </a:ln>
          <a:effectLst/>
        </c:spPr>
      </c:pivotFmt>
      <c:pivotFmt>
        <c:idx val="998"/>
        <c:spPr>
          <a:solidFill>
            <a:schemeClr val="accent1"/>
          </a:solidFill>
          <a:ln w="19050">
            <a:solidFill>
              <a:schemeClr val="lt1"/>
            </a:solidFill>
          </a:ln>
          <a:effectLst/>
        </c:spPr>
      </c:pivotFmt>
      <c:pivotFmt>
        <c:idx val="999"/>
        <c:spPr>
          <a:solidFill>
            <a:schemeClr val="accent1"/>
          </a:solidFill>
          <a:ln w="19050">
            <a:solidFill>
              <a:schemeClr val="lt1"/>
            </a:solidFill>
          </a:ln>
          <a:effectLst/>
        </c:spPr>
      </c:pivotFmt>
      <c:pivotFmt>
        <c:idx val="1000"/>
        <c:spPr>
          <a:solidFill>
            <a:schemeClr val="accent1"/>
          </a:solidFill>
          <a:ln w="19050">
            <a:solidFill>
              <a:schemeClr val="lt1"/>
            </a:solidFill>
          </a:ln>
          <a:effectLst/>
        </c:spPr>
      </c:pivotFmt>
      <c:pivotFmt>
        <c:idx val="1001"/>
        <c:spPr>
          <a:solidFill>
            <a:schemeClr val="accent1"/>
          </a:solidFill>
          <a:ln w="19050">
            <a:solidFill>
              <a:schemeClr val="lt1"/>
            </a:solidFill>
          </a:ln>
          <a:effectLst/>
        </c:spPr>
      </c:pivotFmt>
      <c:pivotFmt>
        <c:idx val="1002"/>
        <c:spPr>
          <a:solidFill>
            <a:schemeClr val="accent1"/>
          </a:solidFill>
          <a:ln w="19050">
            <a:solidFill>
              <a:schemeClr val="lt1"/>
            </a:solidFill>
          </a:ln>
          <a:effectLst/>
        </c:spPr>
      </c:pivotFmt>
      <c:pivotFmt>
        <c:idx val="1003"/>
        <c:spPr>
          <a:solidFill>
            <a:schemeClr val="accent1"/>
          </a:solidFill>
          <a:ln w="19050">
            <a:solidFill>
              <a:schemeClr val="lt1"/>
            </a:solidFill>
          </a:ln>
          <a:effectLst/>
        </c:spPr>
      </c:pivotFmt>
      <c:pivotFmt>
        <c:idx val="1004"/>
        <c:spPr>
          <a:solidFill>
            <a:schemeClr val="accent1"/>
          </a:solidFill>
          <a:ln w="19050">
            <a:solidFill>
              <a:schemeClr val="lt1"/>
            </a:solidFill>
          </a:ln>
          <a:effectLst/>
        </c:spPr>
      </c:pivotFmt>
      <c:pivotFmt>
        <c:idx val="1005"/>
        <c:spPr>
          <a:solidFill>
            <a:schemeClr val="accent1"/>
          </a:solidFill>
          <a:ln w="19050">
            <a:solidFill>
              <a:schemeClr val="lt1"/>
            </a:solidFill>
          </a:ln>
          <a:effectLst/>
        </c:spPr>
      </c:pivotFmt>
      <c:pivotFmt>
        <c:idx val="1006"/>
        <c:spPr>
          <a:solidFill>
            <a:schemeClr val="accent1"/>
          </a:solidFill>
          <a:ln w="19050">
            <a:solidFill>
              <a:schemeClr val="lt1"/>
            </a:solidFill>
          </a:ln>
          <a:effectLst/>
        </c:spPr>
      </c:pivotFmt>
      <c:pivotFmt>
        <c:idx val="1007"/>
        <c:spPr>
          <a:solidFill>
            <a:schemeClr val="accent1"/>
          </a:solidFill>
          <a:ln w="19050">
            <a:solidFill>
              <a:schemeClr val="lt1"/>
            </a:solidFill>
          </a:ln>
          <a:effectLst/>
        </c:spPr>
      </c:pivotFmt>
      <c:pivotFmt>
        <c:idx val="1008"/>
        <c:spPr>
          <a:solidFill>
            <a:schemeClr val="accent1"/>
          </a:solidFill>
          <a:ln w="19050">
            <a:solidFill>
              <a:schemeClr val="lt1"/>
            </a:solidFill>
          </a:ln>
          <a:effectLst/>
        </c:spPr>
      </c:pivotFmt>
      <c:pivotFmt>
        <c:idx val="1009"/>
        <c:spPr>
          <a:solidFill>
            <a:schemeClr val="accent1"/>
          </a:solidFill>
          <a:ln w="19050">
            <a:solidFill>
              <a:schemeClr val="lt1"/>
            </a:solidFill>
          </a:ln>
          <a:effectLst/>
        </c:spPr>
      </c:pivotFmt>
      <c:pivotFmt>
        <c:idx val="1010"/>
        <c:spPr>
          <a:solidFill>
            <a:schemeClr val="accent1"/>
          </a:solidFill>
          <a:ln w="19050">
            <a:solidFill>
              <a:schemeClr val="lt1"/>
            </a:solidFill>
          </a:ln>
          <a:effectLst/>
        </c:spPr>
      </c:pivotFmt>
      <c:pivotFmt>
        <c:idx val="1011"/>
        <c:spPr>
          <a:solidFill>
            <a:schemeClr val="accent1"/>
          </a:solidFill>
          <a:ln w="19050">
            <a:solidFill>
              <a:schemeClr val="lt1"/>
            </a:solidFill>
          </a:ln>
          <a:effectLst/>
        </c:spPr>
      </c:pivotFmt>
      <c:pivotFmt>
        <c:idx val="1012"/>
        <c:spPr>
          <a:solidFill>
            <a:schemeClr val="accent1"/>
          </a:solidFill>
          <a:ln w="19050">
            <a:solidFill>
              <a:schemeClr val="lt1"/>
            </a:solidFill>
          </a:ln>
          <a:effectLst/>
        </c:spPr>
      </c:pivotFmt>
      <c:pivotFmt>
        <c:idx val="1013"/>
        <c:spPr>
          <a:solidFill>
            <a:schemeClr val="accent1"/>
          </a:solidFill>
          <a:ln w="19050">
            <a:solidFill>
              <a:schemeClr val="lt1"/>
            </a:solidFill>
          </a:ln>
          <a:effectLst/>
        </c:spPr>
      </c:pivotFmt>
      <c:pivotFmt>
        <c:idx val="1014"/>
        <c:spPr>
          <a:solidFill>
            <a:schemeClr val="accent1"/>
          </a:solidFill>
          <a:ln w="19050">
            <a:solidFill>
              <a:schemeClr val="lt1"/>
            </a:solidFill>
          </a:ln>
          <a:effectLst/>
        </c:spPr>
      </c:pivotFmt>
      <c:pivotFmt>
        <c:idx val="1015"/>
        <c:spPr>
          <a:solidFill>
            <a:schemeClr val="accent1"/>
          </a:solidFill>
          <a:ln w="19050">
            <a:solidFill>
              <a:schemeClr val="lt1"/>
            </a:solidFill>
          </a:ln>
          <a:effectLst/>
        </c:spPr>
      </c:pivotFmt>
      <c:pivotFmt>
        <c:idx val="1016"/>
        <c:spPr>
          <a:solidFill>
            <a:schemeClr val="accent1"/>
          </a:solidFill>
          <a:ln w="19050">
            <a:solidFill>
              <a:schemeClr val="lt1"/>
            </a:solidFill>
          </a:ln>
          <a:effectLst/>
        </c:spPr>
      </c:pivotFmt>
      <c:pivotFmt>
        <c:idx val="1017"/>
        <c:spPr>
          <a:solidFill>
            <a:schemeClr val="accent1"/>
          </a:solidFill>
          <a:ln w="19050">
            <a:solidFill>
              <a:schemeClr val="lt1"/>
            </a:solidFill>
          </a:ln>
          <a:effectLst/>
        </c:spPr>
      </c:pivotFmt>
      <c:pivotFmt>
        <c:idx val="1018"/>
        <c:spPr>
          <a:solidFill>
            <a:schemeClr val="accent1"/>
          </a:solidFill>
          <a:ln w="19050">
            <a:solidFill>
              <a:schemeClr val="lt1"/>
            </a:solidFill>
          </a:ln>
          <a:effectLst/>
        </c:spPr>
      </c:pivotFmt>
      <c:pivotFmt>
        <c:idx val="1019"/>
        <c:spPr>
          <a:solidFill>
            <a:schemeClr val="accent1"/>
          </a:solidFill>
          <a:ln w="19050">
            <a:solidFill>
              <a:schemeClr val="lt1"/>
            </a:solidFill>
          </a:ln>
          <a:effectLst/>
        </c:spPr>
      </c:pivotFmt>
      <c:pivotFmt>
        <c:idx val="1020"/>
        <c:spPr>
          <a:solidFill>
            <a:schemeClr val="accent1"/>
          </a:solidFill>
          <a:ln w="19050">
            <a:solidFill>
              <a:schemeClr val="lt1"/>
            </a:solidFill>
          </a:ln>
          <a:effectLst/>
        </c:spPr>
      </c:pivotFmt>
      <c:pivotFmt>
        <c:idx val="1021"/>
        <c:spPr>
          <a:solidFill>
            <a:schemeClr val="accent1"/>
          </a:solidFill>
          <a:ln w="19050">
            <a:solidFill>
              <a:schemeClr val="lt1"/>
            </a:solidFill>
          </a:ln>
          <a:effectLst/>
        </c:spPr>
      </c:pivotFmt>
      <c:pivotFmt>
        <c:idx val="1022"/>
        <c:spPr>
          <a:solidFill>
            <a:schemeClr val="accent1"/>
          </a:solidFill>
          <a:ln w="19050">
            <a:solidFill>
              <a:schemeClr val="lt1"/>
            </a:solidFill>
          </a:ln>
          <a:effectLst/>
        </c:spPr>
      </c:pivotFmt>
      <c:pivotFmt>
        <c:idx val="1023"/>
        <c:spPr>
          <a:solidFill>
            <a:schemeClr val="accent1"/>
          </a:solidFill>
          <a:ln w="19050">
            <a:solidFill>
              <a:schemeClr val="lt1"/>
            </a:solidFill>
          </a:ln>
          <a:effectLst/>
        </c:spPr>
      </c:pivotFmt>
      <c:pivotFmt>
        <c:idx val="1024"/>
        <c:spPr>
          <a:solidFill>
            <a:schemeClr val="accent1"/>
          </a:solidFill>
          <a:ln w="19050">
            <a:solidFill>
              <a:schemeClr val="lt1"/>
            </a:solidFill>
          </a:ln>
          <a:effectLst/>
        </c:spPr>
      </c:pivotFmt>
      <c:pivotFmt>
        <c:idx val="1025"/>
        <c:spPr>
          <a:solidFill>
            <a:schemeClr val="accent1"/>
          </a:solidFill>
          <a:ln w="19050">
            <a:solidFill>
              <a:schemeClr val="lt1"/>
            </a:solidFill>
          </a:ln>
          <a:effectLst/>
        </c:spPr>
      </c:pivotFmt>
      <c:pivotFmt>
        <c:idx val="1026"/>
        <c:spPr>
          <a:solidFill>
            <a:schemeClr val="accent1"/>
          </a:solidFill>
          <a:ln w="19050">
            <a:solidFill>
              <a:schemeClr val="lt1"/>
            </a:solidFill>
          </a:ln>
          <a:effectLst/>
        </c:spPr>
      </c:pivotFmt>
      <c:pivotFmt>
        <c:idx val="1027"/>
        <c:spPr>
          <a:solidFill>
            <a:schemeClr val="accent1"/>
          </a:solidFill>
          <a:ln w="19050">
            <a:solidFill>
              <a:schemeClr val="lt1"/>
            </a:solidFill>
          </a:ln>
          <a:effectLst/>
        </c:spPr>
      </c:pivotFmt>
      <c:pivotFmt>
        <c:idx val="1028"/>
        <c:spPr>
          <a:solidFill>
            <a:schemeClr val="accent1"/>
          </a:solidFill>
          <a:ln w="19050">
            <a:solidFill>
              <a:schemeClr val="lt1"/>
            </a:solidFill>
          </a:ln>
          <a:effectLst/>
        </c:spPr>
      </c:pivotFmt>
      <c:pivotFmt>
        <c:idx val="1029"/>
        <c:spPr>
          <a:solidFill>
            <a:schemeClr val="accent1"/>
          </a:solidFill>
          <a:ln w="19050">
            <a:solidFill>
              <a:schemeClr val="lt1"/>
            </a:solidFill>
          </a:ln>
          <a:effectLst/>
        </c:spPr>
      </c:pivotFmt>
      <c:pivotFmt>
        <c:idx val="1030"/>
        <c:spPr>
          <a:solidFill>
            <a:schemeClr val="accent1"/>
          </a:solidFill>
          <a:ln w="19050">
            <a:solidFill>
              <a:schemeClr val="lt1"/>
            </a:solidFill>
          </a:ln>
          <a:effectLst/>
        </c:spPr>
      </c:pivotFmt>
      <c:pivotFmt>
        <c:idx val="1031"/>
        <c:spPr>
          <a:solidFill>
            <a:schemeClr val="accent1"/>
          </a:solidFill>
          <a:ln w="19050">
            <a:solidFill>
              <a:schemeClr val="lt1"/>
            </a:solidFill>
          </a:ln>
          <a:effectLst/>
        </c:spPr>
      </c:pivotFmt>
      <c:pivotFmt>
        <c:idx val="1032"/>
        <c:spPr>
          <a:solidFill>
            <a:schemeClr val="accent1"/>
          </a:solidFill>
          <a:ln w="19050">
            <a:solidFill>
              <a:schemeClr val="lt1"/>
            </a:solidFill>
          </a:ln>
          <a:effectLst/>
        </c:spPr>
      </c:pivotFmt>
      <c:pivotFmt>
        <c:idx val="1033"/>
        <c:spPr>
          <a:solidFill>
            <a:schemeClr val="accent1"/>
          </a:solidFill>
          <a:ln w="19050">
            <a:solidFill>
              <a:schemeClr val="lt1"/>
            </a:solidFill>
          </a:ln>
          <a:effectLst/>
        </c:spPr>
      </c:pivotFmt>
      <c:pivotFmt>
        <c:idx val="1034"/>
        <c:spPr>
          <a:solidFill>
            <a:schemeClr val="accent1"/>
          </a:solidFill>
          <a:ln w="19050">
            <a:solidFill>
              <a:schemeClr val="lt1"/>
            </a:solidFill>
          </a:ln>
          <a:effectLst/>
        </c:spPr>
      </c:pivotFmt>
      <c:pivotFmt>
        <c:idx val="1035"/>
        <c:spPr>
          <a:solidFill>
            <a:schemeClr val="accent1"/>
          </a:solidFill>
          <a:ln w="19050">
            <a:solidFill>
              <a:schemeClr val="lt1"/>
            </a:solidFill>
          </a:ln>
          <a:effectLst/>
        </c:spPr>
      </c:pivotFmt>
      <c:pivotFmt>
        <c:idx val="1036"/>
        <c:spPr>
          <a:solidFill>
            <a:schemeClr val="accent1"/>
          </a:solidFill>
          <a:ln w="19050">
            <a:solidFill>
              <a:schemeClr val="lt1"/>
            </a:solidFill>
          </a:ln>
          <a:effectLst/>
        </c:spPr>
      </c:pivotFmt>
      <c:pivotFmt>
        <c:idx val="1037"/>
        <c:spPr>
          <a:solidFill>
            <a:schemeClr val="accent1"/>
          </a:solidFill>
          <a:ln w="19050">
            <a:solidFill>
              <a:schemeClr val="lt1"/>
            </a:solidFill>
          </a:ln>
          <a:effectLst/>
        </c:spPr>
      </c:pivotFmt>
      <c:pivotFmt>
        <c:idx val="1038"/>
        <c:spPr>
          <a:solidFill>
            <a:schemeClr val="accent1"/>
          </a:solidFill>
          <a:ln w="19050">
            <a:solidFill>
              <a:schemeClr val="lt1"/>
            </a:solidFill>
          </a:ln>
          <a:effectLst/>
        </c:spPr>
      </c:pivotFmt>
      <c:pivotFmt>
        <c:idx val="1039"/>
        <c:spPr>
          <a:solidFill>
            <a:schemeClr val="accent1"/>
          </a:solidFill>
          <a:ln w="19050">
            <a:solidFill>
              <a:schemeClr val="lt1"/>
            </a:solidFill>
          </a:ln>
          <a:effectLst/>
        </c:spPr>
      </c:pivotFmt>
      <c:pivotFmt>
        <c:idx val="1040"/>
        <c:spPr>
          <a:solidFill>
            <a:schemeClr val="accent1"/>
          </a:solidFill>
          <a:ln w="19050">
            <a:solidFill>
              <a:schemeClr val="lt1"/>
            </a:solidFill>
          </a:ln>
          <a:effectLst/>
        </c:spPr>
      </c:pivotFmt>
      <c:pivotFmt>
        <c:idx val="1041"/>
        <c:spPr>
          <a:solidFill>
            <a:schemeClr val="accent1"/>
          </a:solidFill>
          <a:ln w="19050">
            <a:solidFill>
              <a:schemeClr val="lt1"/>
            </a:solidFill>
          </a:ln>
          <a:effectLst/>
        </c:spPr>
      </c:pivotFmt>
      <c:pivotFmt>
        <c:idx val="1042"/>
        <c:spPr>
          <a:solidFill>
            <a:schemeClr val="accent1"/>
          </a:solidFill>
          <a:ln w="19050">
            <a:solidFill>
              <a:schemeClr val="lt1"/>
            </a:solidFill>
          </a:ln>
          <a:effectLst/>
        </c:spPr>
      </c:pivotFmt>
      <c:pivotFmt>
        <c:idx val="1043"/>
        <c:spPr>
          <a:solidFill>
            <a:schemeClr val="accent1"/>
          </a:solidFill>
          <a:ln w="19050">
            <a:solidFill>
              <a:schemeClr val="lt1"/>
            </a:solidFill>
          </a:ln>
          <a:effectLst/>
        </c:spPr>
      </c:pivotFmt>
      <c:pivotFmt>
        <c:idx val="1044"/>
        <c:spPr>
          <a:solidFill>
            <a:schemeClr val="accent1"/>
          </a:solidFill>
          <a:ln w="19050">
            <a:solidFill>
              <a:schemeClr val="lt1"/>
            </a:solidFill>
          </a:ln>
          <a:effectLst/>
        </c:spPr>
      </c:pivotFmt>
      <c:pivotFmt>
        <c:idx val="1045"/>
        <c:spPr>
          <a:solidFill>
            <a:schemeClr val="accent1"/>
          </a:solidFill>
          <a:ln w="19050">
            <a:solidFill>
              <a:schemeClr val="lt1"/>
            </a:solidFill>
          </a:ln>
          <a:effectLst/>
        </c:spPr>
      </c:pivotFmt>
      <c:pivotFmt>
        <c:idx val="1046"/>
        <c:spPr>
          <a:solidFill>
            <a:schemeClr val="accent1"/>
          </a:solidFill>
          <a:ln w="19050">
            <a:solidFill>
              <a:schemeClr val="lt1"/>
            </a:solidFill>
          </a:ln>
          <a:effectLst/>
        </c:spPr>
      </c:pivotFmt>
      <c:pivotFmt>
        <c:idx val="1047"/>
        <c:spPr>
          <a:solidFill>
            <a:schemeClr val="accent1"/>
          </a:solidFill>
          <a:ln w="19050">
            <a:solidFill>
              <a:schemeClr val="lt1"/>
            </a:solidFill>
          </a:ln>
          <a:effectLst/>
        </c:spPr>
      </c:pivotFmt>
      <c:pivotFmt>
        <c:idx val="1048"/>
        <c:spPr>
          <a:solidFill>
            <a:schemeClr val="accent1"/>
          </a:solidFill>
          <a:ln w="19050">
            <a:solidFill>
              <a:schemeClr val="lt1"/>
            </a:solidFill>
          </a:ln>
          <a:effectLst/>
        </c:spPr>
      </c:pivotFmt>
      <c:pivotFmt>
        <c:idx val="1049"/>
        <c:spPr>
          <a:solidFill>
            <a:schemeClr val="accent1"/>
          </a:solidFill>
          <a:ln w="19050">
            <a:solidFill>
              <a:schemeClr val="lt1"/>
            </a:solidFill>
          </a:ln>
          <a:effectLst/>
        </c:spPr>
      </c:pivotFmt>
      <c:pivotFmt>
        <c:idx val="1050"/>
        <c:spPr>
          <a:solidFill>
            <a:schemeClr val="accent1"/>
          </a:solidFill>
          <a:ln w="19050">
            <a:solidFill>
              <a:schemeClr val="lt1"/>
            </a:solidFill>
          </a:ln>
          <a:effectLst/>
        </c:spPr>
      </c:pivotFmt>
      <c:pivotFmt>
        <c:idx val="1051"/>
        <c:spPr>
          <a:solidFill>
            <a:schemeClr val="accent1"/>
          </a:solidFill>
          <a:ln w="19050">
            <a:solidFill>
              <a:schemeClr val="lt1"/>
            </a:solidFill>
          </a:ln>
          <a:effectLst/>
        </c:spPr>
      </c:pivotFmt>
      <c:pivotFmt>
        <c:idx val="1052"/>
        <c:spPr>
          <a:solidFill>
            <a:schemeClr val="accent1"/>
          </a:solidFill>
          <a:ln w="19050">
            <a:solidFill>
              <a:schemeClr val="lt1"/>
            </a:solidFill>
          </a:ln>
          <a:effectLst/>
        </c:spPr>
      </c:pivotFmt>
      <c:pivotFmt>
        <c:idx val="1053"/>
        <c:spPr>
          <a:solidFill>
            <a:schemeClr val="accent1"/>
          </a:solidFill>
          <a:ln w="19050">
            <a:solidFill>
              <a:schemeClr val="lt1"/>
            </a:solidFill>
          </a:ln>
          <a:effectLst/>
        </c:spPr>
      </c:pivotFmt>
      <c:pivotFmt>
        <c:idx val="1054"/>
        <c:spPr>
          <a:solidFill>
            <a:schemeClr val="accent1"/>
          </a:solidFill>
          <a:ln w="19050">
            <a:solidFill>
              <a:schemeClr val="lt1"/>
            </a:solidFill>
          </a:ln>
          <a:effectLst/>
        </c:spPr>
      </c:pivotFmt>
      <c:pivotFmt>
        <c:idx val="1055"/>
        <c:spPr>
          <a:solidFill>
            <a:schemeClr val="accent1"/>
          </a:solidFill>
          <a:ln w="19050">
            <a:solidFill>
              <a:schemeClr val="lt1"/>
            </a:solidFill>
          </a:ln>
          <a:effectLst/>
        </c:spPr>
      </c:pivotFmt>
      <c:pivotFmt>
        <c:idx val="1056"/>
        <c:spPr>
          <a:solidFill>
            <a:schemeClr val="accent1"/>
          </a:solidFill>
          <a:ln w="19050">
            <a:solidFill>
              <a:schemeClr val="lt1"/>
            </a:solidFill>
          </a:ln>
          <a:effectLst/>
        </c:spPr>
      </c:pivotFmt>
      <c:pivotFmt>
        <c:idx val="1057"/>
        <c:spPr>
          <a:solidFill>
            <a:schemeClr val="accent1"/>
          </a:solidFill>
          <a:ln w="19050">
            <a:solidFill>
              <a:schemeClr val="lt1"/>
            </a:solidFill>
          </a:ln>
          <a:effectLst/>
        </c:spPr>
      </c:pivotFmt>
      <c:pivotFmt>
        <c:idx val="1058"/>
        <c:spPr>
          <a:solidFill>
            <a:schemeClr val="accent1"/>
          </a:solidFill>
          <a:ln w="19050">
            <a:solidFill>
              <a:schemeClr val="lt1"/>
            </a:solidFill>
          </a:ln>
          <a:effectLst/>
        </c:spPr>
      </c:pivotFmt>
      <c:pivotFmt>
        <c:idx val="1059"/>
        <c:spPr>
          <a:solidFill>
            <a:schemeClr val="accent1"/>
          </a:solidFill>
          <a:ln w="19050">
            <a:solidFill>
              <a:schemeClr val="lt1"/>
            </a:solidFill>
          </a:ln>
          <a:effectLst/>
        </c:spPr>
      </c:pivotFmt>
      <c:pivotFmt>
        <c:idx val="1060"/>
        <c:spPr>
          <a:solidFill>
            <a:schemeClr val="accent1"/>
          </a:solidFill>
          <a:ln w="19050">
            <a:solidFill>
              <a:schemeClr val="lt1"/>
            </a:solidFill>
          </a:ln>
          <a:effectLst/>
        </c:spPr>
      </c:pivotFmt>
      <c:pivotFmt>
        <c:idx val="1061"/>
        <c:spPr>
          <a:solidFill>
            <a:schemeClr val="accent1"/>
          </a:solidFill>
          <a:ln w="19050">
            <a:solidFill>
              <a:schemeClr val="lt1"/>
            </a:solidFill>
          </a:ln>
          <a:effectLst/>
        </c:spPr>
      </c:pivotFmt>
      <c:pivotFmt>
        <c:idx val="1062"/>
        <c:spPr>
          <a:solidFill>
            <a:schemeClr val="accent1"/>
          </a:solidFill>
          <a:ln w="19050">
            <a:solidFill>
              <a:schemeClr val="lt1"/>
            </a:solidFill>
          </a:ln>
          <a:effectLst/>
        </c:spPr>
      </c:pivotFmt>
      <c:pivotFmt>
        <c:idx val="1063"/>
        <c:spPr>
          <a:solidFill>
            <a:schemeClr val="accent1"/>
          </a:solidFill>
          <a:ln w="19050">
            <a:solidFill>
              <a:schemeClr val="lt1"/>
            </a:solidFill>
          </a:ln>
          <a:effectLst/>
        </c:spPr>
      </c:pivotFmt>
      <c:pivotFmt>
        <c:idx val="1064"/>
        <c:spPr>
          <a:solidFill>
            <a:schemeClr val="accent1"/>
          </a:solidFill>
          <a:ln w="19050">
            <a:solidFill>
              <a:schemeClr val="lt1"/>
            </a:solidFill>
          </a:ln>
          <a:effectLst/>
        </c:spPr>
      </c:pivotFmt>
      <c:pivotFmt>
        <c:idx val="1065"/>
        <c:spPr>
          <a:solidFill>
            <a:schemeClr val="accent1"/>
          </a:solidFill>
          <a:ln w="19050">
            <a:solidFill>
              <a:schemeClr val="lt1"/>
            </a:solidFill>
          </a:ln>
          <a:effectLst/>
        </c:spPr>
      </c:pivotFmt>
      <c:pivotFmt>
        <c:idx val="1066"/>
        <c:spPr>
          <a:solidFill>
            <a:schemeClr val="accent1"/>
          </a:solidFill>
          <a:ln w="19050">
            <a:solidFill>
              <a:schemeClr val="lt1"/>
            </a:solidFill>
          </a:ln>
          <a:effectLst/>
        </c:spPr>
      </c:pivotFmt>
      <c:pivotFmt>
        <c:idx val="1067"/>
        <c:spPr>
          <a:solidFill>
            <a:schemeClr val="accent1"/>
          </a:solidFill>
          <a:ln w="19050">
            <a:solidFill>
              <a:schemeClr val="lt1"/>
            </a:solidFill>
          </a:ln>
          <a:effectLst/>
        </c:spPr>
      </c:pivotFmt>
      <c:pivotFmt>
        <c:idx val="1068"/>
        <c:spPr>
          <a:solidFill>
            <a:schemeClr val="accent1"/>
          </a:solidFill>
          <a:ln w="19050">
            <a:solidFill>
              <a:schemeClr val="lt1"/>
            </a:solidFill>
          </a:ln>
          <a:effectLst/>
        </c:spPr>
      </c:pivotFmt>
      <c:pivotFmt>
        <c:idx val="1069"/>
        <c:spPr>
          <a:solidFill>
            <a:schemeClr val="accent1"/>
          </a:solidFill>
          <a:ln w="19050">
            <a:solidFill>
              <a:schemeClr val="lt1"/>
            </a:solidFill>
          </a:ln>
          <a:effectLst/>
        </c:spPr>
      </c:pivotFmt>
      <c:pivotFmt>
        <c:idx val="1070"/>
        <c:spPr>
          <a:solidFill>
            <a:schemeClr val="accent1"/>
          </a:solidFill>
          <a:ln w="19050">
            <a:solidFill>
              <a:schemeClr val="lt1"/>
            </a:solidFill>
          </a:ln>
          <a:effectLst/>
        </c:spPr>
      </c:pivotFmt>
      <c:pivotFmt>
        <c:idx val="1071"/>
        <c:spPr>
          <a:solidFill>
            <a:schemeClr val="accent1"/>
          </a:solidFill>
          <a:ln w="19050">
            <a:solidFill>
              <a:schemeClr val="lt1"/>
            </a:solidFill>
          </a:ln>
          <a:effectLst/>
        </c:spPr>
      </c:pivotFmt>
      <c:pivotFmt>
        <c:idx val="1072"/>
        <c:spPr>
          <a:solidFill>
            <a:schemeClr val="accent1"/>
          </a:solidFill>
          <a:ln w="19050">
            <a:solidFill>
              <a:schemeClr val="lt1"/>
            </a:solidFill>
          </a:ln>
          <a:effectLst/>
        </c:spPr>
      </c:pivotFmt>
      <c:pivotFmt>
        <c:idx val="1073"/>
        <c:spPr>
          <a:solidFill>
            <a:schemeClr val="accent1"/>
          </a:solidFill>
          <a:ln w="19050">
            <a:solidFill>
              <a:schemeClr val="lt1"/>
            </a:solidFill>
          </a:ln>
          <a:effectLst/>
        </c:spPr>
      </c:pivotFmt>
      <c:pivotFmt>
        <c:idx val="1074"/>
        <c:spPr>
          <a:solidFill>
            <a:schemeClr val="accent1"/>
          </a:solidFill>
          <a:ln w="19050">
            <a:solidFill>
              <a:schemeClr val="lt1"/>
            </a:solidFill>
          </a:ln>
          <a:effectLst/>
        </c:spPr>
      </c:pivotFmt>
      <c:pivotFmt>
        <c:idx val="1075"/>
        <c:spPr>
          <a:solidFill>
            <a:schemeClr val="accent1"/>
          </a:solidFill>
          <a:ln w="19050">
            <a:solidFill>
              <a:schemeClr val="lt1"/>
            </a:solidFill>
          </a:ln>
          <a:effectLst/>
        </c:spPr>
      </c:pivotFmt>
      <c:pivotFmt>
        <c:idx val="1076"/>
        <c:spPr>
          <a:solidFill>
            <a:schemeClr val="accent1"/>
          </a:solidFill>
          <a:ln w="19050">
            <a:solidFill>
              <a:schemeClr val="lt1"/>
            </a:solidFill>
          </a:ln>
          <a:effectLst/>
        </c:spPr>
      </c:pivotFmt>
      <c:pivotFmt>
        <c:idx val="1077"/>
        <c:spPr>
          <a:solidFill>
            <a:schemeClr val="accent1"/>
          </a:solidFill>
          <a:ln w="19050">
            <a:solidFill>
              <a:schemeClr val="lt1"/>
            </a:solidFill>
          </a:ln>
          <a:effectLst/>
        </c:spPr>
      </c:pivotFmt>
      <c:pivotFmt>
        <c:idx val="1078"/>
        <c:spPr>
          <a:solidFill>
            <a:schemeClr val="accent1"/>
          </a:solidFill>
          <a:ln w="19050">
            <a:solidFill>
              <a:schemeClr val="lt1"/>
            </a:solidFill>
          </a:ln>
          <a:effectLst/>
        </c:spPr>
      </c:pivotFmt>
      <c:pivotFmt>
        <c:idx val="1079"/>
        <c:spPr>
          <a:solidFill>
            <a:schemeClr val="accent1"/>
          </a:solidFill>
          <a:ln w="19050">
            <a:solidFill>
              <a:schemeClr val="lt1"/>
            </a:solidFill>
          </a:ln>
          <a:effectLst/>
        </c:spPr>
      </c:pivotFmt>
      <c:pivotFmt>
        <c:idx val="1080"/>
        <c:spPr>
          <a:solidFill>
            <a:schemeClr val="accent1"/>
          </a:solidFill>
          <a:ln w="19050">
            <a:solidFill>
              <a:schemeClr val="lt1"/>
            </a:solidFill>
          </a:ln>
          <a:effectLst/>
        </c:spPr>
      </c:pivotFmt>
      <c:pivotFmt>
        <c:idx val="1081"/>
        <c:spPr>
          <a:solidFill>
            <a:schemeClr val="accent1"/>
          </a:solidFill>
          <a:ln w="19050">
            <a:solidFill>
              <a:schemeClr val="lt1"/>
            </a:solidFill>
          </a:ln>
          <a:effectLst/>
        </c:spPr>
      </c:pivotFmt>
      <c:pivotFmt>
        <c:idx val="1082"/>
        <c:spPr>
          <a:solidFill>
            <a:schemeClr val="accent1"/>
          </a:solidFill>
          <a:ln w="19050">
            <a:solidFill>
              <a:schemeClr val="lt1"/>
            </a:solidFill>
          </a:ln>
          <a:effectLst/>
        </c:spPr>
      </c:pivotFmt>
      <c:pivotFmt>
        <c:idx val="1083"/>
        <c:spPr>
          <a:solidFill>
            <a:schemeClr val="accent1"/>
          </a:solidFill>
          <a:ln w="19050">
            <a:solidFill>
              <a:schemeClr val="lt1"/>
            </a:solidFill>
          </a:ln>
          <a:effectLst/>
        </c:spPr>
      </c:pivotFmt>
      <c:pivotFmt>
        <c:idx val="1084"/>
        <c:spPr>
          <a:solidFill>
            <a:schemeClr val="accent1"/>
          </a:solidFill>
          <a:ln w="19050">
            <a:solidFill>
              <a:schemeClr val="lt1"/>
            </a:solidFill>
          </a:ln>
          <a:effectLst/>
        </c:spPr>
      </c:pivotFmt>
      <c:pivotFmt>
        <c:idx val="1085"/>
        <c:spPr>
          <a:solidFill>
            <a:schemeClr val="accent1"/>
          </a:solidFill>
          <a:ln w="19050">
            <a:solidFill>
              <a:schemeClr val="lt1"/>
            </a:solidFill>
          </a:ln>
          <a:effectLst/>
        </c:spPr>
      </c:pivotFmt>
      <c:pivotFmt>
        <c:idx val="1086"/>
        <c:spPr>
          <a:solidFill>
            <a:schemeClr val="accent1"/>
          </a:solidFill>
          <a:ln w="19050">
            <a:solidFill>
              <a:schemeClr val="lt1"/>
            </a:solidFill>
          </a:ln>
          <a:effectLst/>
        </c:spPr>
      </c:pivotFmt>
      <c:pivotFmt>
        <c:idx val="1087"/>
        <c:spPr>
          <a:solidFill>
            <a:schemeClr val="accent1"/>
          </a:solidFill>
          <a:ln w="19050">
            <a:solidFill>
              <a:schemeClr val="lt1"/>
            </a:solidFill>
          </a:ln>
          <a:effectLst/>
        </c:spPr>
      </c:pivotFmt>
      <c:pivotFmt>
        <c:idx val="1088"/>
        <c:spPr>
          <a:solidFill>
            <a:schemeClr val="accent1"/>
          </a:solidFill>
          <a:ln w="19050">
            <a:solidFill>
              <a:schemeClr val="lt1"/>
            </a:solidFill>
          </a:ln>
          <a:effectLst/>
        </c:spPr>
      </c:pivotFmt>
      <c:pivotFmt>
        <c:idx val="1089"/>
        <c:spPr>
          <a:solidFill>
            <a:schemeClr val="accent1"/>
          </a:solidFill>
          <a:ln w="19050">
            <a:solidFill>
              <a:schemeClr val="lt1"/>
            </a:solidFill>
          </a:ln>
          <a:effectLst/>
        </c:spPr>
      </c:pivotFmt>
      <c:pivotFmt>
        <c:idx val="1090"/>
        <c:spPr>
          <a:solidFill>
            <a:schemeClr val="accent1"/>
          </a:solidFill>
          <a:ln w="19050">
            <a:solidFill>
              <a:schemeClr val="lt1"/>
            </a:solidFill>
          </a:ln>
          <a:effectLst/>
        </c:spPr>
      </c:pivotFmt>
      <c:pivotFmt>
        <c:idx val="1091"/>
        <c:spPr>
          <a:solidFill>
            <a:schemeClr val="accent1"/>
          </a:solidFill>
          <a:ln w="19050">
            <a:solidFill>
              <a:schemeClr val="lt1"/>
            </a:solidFill>
          </a:ln>
          <a:effectLst/>
        </c:spPr>
      </c:pivotFmt>
      <c:pivotFmt>
        <c:idx val="1092"/>
        <c:spPr>
          <a:solidFill>
            <a:schemeClr val="accent1"/>
          </a:solidFill>
          <a:ln w="19050">
            <a:solidFill>
              <a:schemeClr val="lt1"/>
            </a:solidFill>
          </a:ln>
          <a:effectLst/>
        </c:spPr>
      </c:pivotFmt>
      <c:pivotFmt>
        <c:idx val="1093"/>
        <c:spPr>
          <a:solidFill>
            <a:schemeClr val="accent1"/>
          </a:solidFill>
          <a:ln w="19050">
            <a:solidFill>
              <a:schemeClr val="lt1"/>
            </a:solidFill>
          </a:ln>
          <a:effectLst/>
        </c:spPr>
      </c:pivotFmt>
      <c:pivotFmt>
        <c:idx val="1094"/>
        <c:spPr>
          <a:solidFill>
            <a:schemeClr val="accent1"/>
          </a:solidFill>
          <a:ln w="19050">
            <a:solidFill>
              <a:schemeClr val="lt1"/>
            </a:solidFill>
          </a:ln>
          <a:effectLst/>
        </c:spPr>
      </c:pivotFmt>
      <c:pivotFmt>
        <c:idx val="1095"/>
        <c:spPr>
          <a:solidFill>
            <a:schemeClr val="accent1"/>
          </a:solidFill>
          <a:ln w="19050">
            <a:solidFill>
              <a:schemeClr val="lt1"/>
            </a:solidFill>
          </a:ln>
          <a:effectLst/>
        </c:spPr>
      </c:pivotFmt>
      <c:pivotFmt>
        <c:idx val="1096"/>
        <c:spPr>
          <a:solidFill>
            <a:schemeClr val="accent1"/>
          </a:solidFill>
          <a:ln w="19050">
            <a:solidFill>
              <a:schemeClr val="lt1"/>
            </a:solidFill>
          </a:ln>
          <a:effectLst/>
        </c:spPr>
      </c:pivotFmt>
      <c:pivotFmt>
        <c:idx val="1097"/>
        <c:spPr>
          <a:solidFill>
            <a:schemeClr val="accent1"/>
          </a:solidFill>
          <a:ln w="19050">
            <a:solidFill>
              <a:schemeClr val="lt1"/>
            </a:solidFill>
          </a:ln>
          <a:effectLst/>
        </c:spPr>
      </c:pivotFmt>
      <c:pivotFmt>
        <c:idx val="1098"/>
        <c:spPr>
          <a:solidFill>
            <a:schemeClr val="accent1"/>
          </a:solidFill>
          <a:ln w="19050">
            <a:solidFill>
              <a:schemeClr val="lt1"/>
            </a:solidFill>
          </a:ln>
          <a:effectLst/>
        </c:spPr>
      </c:pivotFmt>
      <c:pivotFmt>
        <c:idx val="1099"/>
        <c:spPr>
          <a:solidFill>
            <a:schemeClr val="accent1"/>
          </a:solidFill>
          <a:ln w="19050">
            <a:solidFill>
              <a:schemeClr val="lt1"/>
            </a:solidFill>
          </a:ln>
          <a:effectLst/>
        </c:spPr>
      </c:pivotFmt>
      <c:pivotFmt>
        <c:idx val="1100"/>
        <c:spPr>
          <a:solidFill>
            <a:schemeClr val="accent1"/>
          </a:solidFill>
          <a:ln w="19050">
            <a:solidFill>
              <a:schemeClr val="lt1"/>
            </a:solidFill>
          </a:ln>
          <a:effectLst/>
        </c:spPr>
      </c:pivotFmt>
      <c:pivotFmt>
        <c:idx val="1101"/>
        <c:spPr>
          <a:solidFill>
            <a:schemeClr val="accent1"/>
          </a:solidFill>
          <a:ln w="19050">
            <a:solidFill>
              <a:schemeClr val="lt1"/>
            </a:solidFill>
          </a:ln>
          <a:effectLst/>
        </c:spPr>
      </c:pivotFmt>
      <c:pivotFmt>
        <c:idx val="1102"/>
        <c:spPr>
          <a:solidFill>
            <a:schemeClr val="accent1"/>
          </a:solidFill>
          <a:ln w="19050">
            <a:solidFill>
              <a:schemeClr val="lt1"/>
            </a:solidFill>
          </a:ln>
          <a:effectLst/>
        </c:spPr>
      </c:pivotFmt>
      <c:pivotFmt>
        <c:idx val="1103"/>
        <c:spPr>
          <a:solidFill>
            <a:schemeClr val="accent1"/>
          </a:solidFill>
          <a:ln w="19050">
            <a:solidFill>
              <a:schemeClr val="lt1"/>
            </a:solidFill>
          </a:ln>
          <a:effectLst/>
        </c:spPr>
      </c:pivotFmt>
      <c:pivotFmt>
        <c:idx val="1104"/>
        <c:spPr>
          <a:solidFill>
            <a:schemeClr val="accent1"/>
          </a:solidFill>
          <a:ln w="19050">
            <a:solidFill>
              <a:schemeClr val="lt1"/>
            </a:solidFill>
          </a:ln>
          <a:effectLst/>
        </c:spPr>
      </c:pivotFmt>
      <c:pivotFmt>
        <c:idx val="1105"/>
        <c:spPr>
          <a:solidFill>
            <a:schemeClr val="accent1"/>
          </a:solidFill>
          <a:ln w="19050">
            <a:solidFill>
              <a:schemeClr val="lt1"/>
            </a:solidFill>
          </a:ln>
          <a:effectLst/>
        </c:spPr>
      </c:pivotFmt>
      <c:pivotFmt>
        <c:idx val="1106"/>
        <c:spPr>
          <a:solidFill>
            <a:schemeClr val="accent1"/>
          </a:solidFill>
          <a:ln w="19050">
            <a:solidFill>
              <a:schemeClr val="lt1"/>
            </a:solidFill>
          </a:ln>
          <a:effectLst/>
        </c:spPr>
      </c:pivotFmt>
      <c:pivotFmt>
        <c:idx val="1107"/>
        <c:spPr>
          <a:solidFill>
            <a:schemeClr val="accent1"/>
          </a:solidFill>
          <a:ln w="19050">
            <a:solidFill>
              <a:schemeClr val="lt1"/>
            </a:solidFill>
          </a:ln>
          <a:effectLst/>
        </c:spPr>
      </c:pivotFmt>
      <c:pivotFmt>
        <c:idx val="1108"/>
        <c:spPr>
          <a:solidFill>
            <a:schemeClr val="accent1"/>
          </a:solidFill>
          <a:ln w="19050">
            <a:solidFill>
              <a:schemeClr val="lt1"/>
            </a:solidFill>
          </a:ln>
          <a:effectLst/>
        </c:spPr>
      </c:pivotFmt>
      <c:pivotFmt>
        <c:idx val="1109"/>
        <c:spPr>
          <a:solidFill>
            <a:schemeClr val="accent1"/>
          </a:solidFill>
          <a:ln w="19050">
            <a:solidFill>
              <a:schemeClr val="lt1"/>
            </a:solidFill>
          </a:ln>
          <a:effectLst/>
        </c:spPr>
      </c:pivotFmt>
      <c:pivotFmt>
        <c:idx val="1110"/>
        <c:spPr>
          <a:solidFill>
            <a:schemeClr val="accent1"/>
          </a:solidFill>
          <a:ln w="19050">
            <a:solidFill>
              <a:schemeClr val="lt1"/>
            </a:solidFill>
          </a:ln>
          <a:effectLst/>
        </c:spPr>
      </c:pivotFmt>
      <c:pivotFmt>
        <c:idx val="1111"/>
        <c:spPr>
          <a:solidFill>
            <a:schemeClr val="accent1"/>
          </a:solidFill>
          <a:ln w="19050">
            <a:solidFill>
              <a:schemeClr val="lt1"/>
            </a:solidFill>
          </a:ln>
          <a:effectLst/>
        </c:spPr>
      </c:pivotFmt>
      <c:pivotFmt>
        <c:idx val="1112"/>
        <c:spPr>
          <a:solidFill>
            <a:schemeClr val="accent1"/>
          </a:solidFill>
          <a:ln w="19050">
            <a:solidFill>
              <a:schemeClr val="lt1"/>
            </a:solidFill>
          </a:ln>
          <a:effectLst/>
        </c:spPr>
      </c:pivotFmt>
      <c:pivotFmt>
        <c:idx val="1113"/>
        <c:spPr>
          <a:solidFill>
            <a:schemeClr val="accent1"/>
          </a:solidFill>
          <a:ln w="19050">
            <a:solidFill>
              <a:schemeClr val="lt1"/>
            </a:solidFill>
          </a:ln>
          <a:effectLst/>
        </c:spPr>
      </c:pivotFmt>
      <c:pivotFmt>
        <c:idx val="1114"/>
        <c:spPr>
          <a:solidFill>
            <a:schemeClr val="accent1"/>
          </a:solidFill>
          <a:ln w="19050">
            <a:solidFill>
              <a:schemeClr val="lt1"/>
            </a:solidFill>
          </a:ln>
          <a:effectLst/>
        </c:spPr>
      </c:pivotFmt>
      <c:pivotFmt>
        <c:idx val="1115"/>
        <c:spPr>
          <a:solidFill>
            <a:schemeClr val="accent1"/>
          </a:solidFill>
          <a:ln w="19050">
            <a:solidFill>
              <a:schemeClr val="lt1"/>
            </a:solidFill>
          </a:ln>
          <a:effectLst/>
        </c:spPr>
      </c:pivotFmt>
      <c:pivotFmt>
        <c:idx val="1116"/>
        <c:spPr>
          <a:solidFill>
            <a:schemeClr val="accent1"/>
          </a:solidFill>
          <a:ln w="19050">
            <a:solidFill>
              <a:schemeClr val="lt1"/>
            </a:solidFill>
          </a:ln>
          <a:effectLst/>
        </c:spPr>
      </c:pivotFmt>
      <c:pivotFmt>
        <c:idx val="1117"/>
        <c:spPr>
          <a:solidFill>
            <a:schemeClr val="accent1"/>
          </a:solidFill>
          <a:ln w="19050">
            <a:solidFill>
              <a:schemeClr val="lt1"/>
            </a:solidFill>
          </a:ln>
          <a:effectLst/>
        </c:spPr>
      </c:pivotFmt>
      <c:pivotFmt>
        <c:idx val="1118"/>
        <c:spPr>
          <a:solidFill>
            <a:schemeClr val="accent1"/>
          </a:solidFill>
          <a:ln w="19050">
            <a:solidFill>
              <a:schemeClr val="lt1"/>
            </a:solidFill>
          </a:ln>
          <a:effectLst/>
        </c:spPr>
      </c:pivotFmt>
      <c:pivotFmt>
        <c:idx val="1119"/>
        <c:spPr>
          <a:solidFill>
            <a:schemeClr val="accent1"/>
          </a:solidFill>
          <a:ln w="19050">
            <a:solidFill>
              <a:schemeClr val="lt1"/>
            </a:solidFill>
          </a:ln>
          <a:effectLst/>
        </c:spPr>
      </c:pivotFmt>
      <c:pivotFmt>
        <c:idx val="1120"/>
        <c:spPr>
          <a:solidFill>
            <a:schemeClr val="accent1"/>
          </a:solidFill>
          <a:ln w="19050">
            <a:solidFill>
              <a:schemeClr val="lt1"/>
            </a:solidFill>
          </a:ln>
          <a:effectLst/>
        </c:spPr>
      </c:pivotFmt>
      <c:pivotFmt>
        <c:idx val="1121"/>
        <c:spPr>
          <a:solidFill>
            <a:schemeClr val="accent1"/>
          </a:solidFill>
          <a:ln w="19050">
            <a:solidFill>
              <a:schemeClr val="lt1"/>
            </a:solidFill>
          </a:ln>
          <a:effectLst/>
        </c:spPr>
      </c:pivotFmt>
      <c:pivotFmt>
        <c:idx val="1122"/>
        <c:spPr>
          <a:solidFill>
            <a:schemeClr val="accent1"/>
          </a:solidFill>
          <a:ln w="19050">
            <a:solidFill>
              <a:schemeClr val="lt1"/>
            </a:solidFill>
          </a:ln>
          <a:effectLst/>
        </c:spPr>
      </c:pivotFmt>
      <c:pivotFmt>
        <c:idx val="1123"/>
        <c:spPr>
          <a:solidFill>
            <a:schemeClr val="accent1"/>
          </a:solidFill>
          <a:ln w="19050">
            <a:solidFill>
              <a:schemeClr val="lt1"/>
            </a:solidFill>
          </a:ln>
          <a:effectLst/>
        </c:spPr>
      </c:pivotFmt>
      <c:pivotFmt>
        <c:idx val="1124"/>
        <c:spPr>
          <a:solidFill>
            <a:schemeClr val="accent1"/>
          </a:solidFill>
          <a:ln w="19050">
            <a:solidFill>
              <a:schemeClr val="lt1"/>
            </a:solidFill>
          </a:ln>
          <a:effectLst/>
        </c:spPr>
      </c:pivotFmt>
      <c:pivotFmt>
        <c:idx val="1125"/>
        <c:spPr>
          <a:solidFill>
            <a:schemeClr val="accent1"/>
          </a:solidFill>
          <a:ln w="19050">
            <a:solidFill>
              <a:schemeClr val="lt1"/>
            </a:solidFill>
          </a:ln>
          <a:effectLst/>
        </c:spPr>
      </c:pivotFmt>
      <c:pivotFmt>
        <c:idx val="1126"/>
        <c:spPr>
          <a:solidFill>
            <a:schemeClr val="accent1"/>
          </a:solidFill>
          <a:ln w="19050">
            <a:solidFill>
              <a:schemeClr val="lt1"/>
            </a:solidFill>
          </a:ln>
          <a:effectLst/>
        </c:spPr>
      </c:pivotFmt>
      <c:pivotFmt>
        <c:idx val="1127"/>
        <c:spPr>
          <a:solidFill>
            <a:schemeClr val="accent1"/>
          </a:solidFill>
          <a:ln w="19050">
            <a:solidFill>
              <a:schemeClr val="lt1"/>
            </a:solidFill>
          </a:ln>
          <a:effectLst/>
        </c:spPr>
      </c:pivotFmt>
      <c:pivotFmt>
        <c:idx val="1128"/>
        <c:spPr>
          <a:solidFill>
            <a:schemeClr val="accent1"/>
          </a:solidFill>
          <a:ln w="19050">
            <a:solidFill>
              <a:schemeClr val="lt1"/>
            </a:solidFill>
          </a:ln>
          <a:effectLst/>
        </c:spPr>
      </c:pivotFmt>
      <c:pivotFmt>
        <c:idx val="1129"/>
        <c:spPr>
          <a:solidFill>
            <a:schemeClr val="accent1"/>
          </a:solidFill>
          <a:ln w="19050">
            <a:solidFill>
              <a:schemeClr val="lt1"/>
            </a:solidFill>
          </a:ln>
          <a:effectLst/>
        </c:spPr>
      </c:pivotFmt>
      <c:pivotFmt>
        <c:idx val="1130"/>
        <c:spPr>
          <a:solidFill>
            <a:schemeClr val="accent1"/>
          </a:solidFill>
          <a:ln w="19050">
            <a:solidFill>
              <a:schemeClr val="lt1"/>
            </a:solidFill>
          </a:ln>
          <a:effectLst/>
        </c:spPr>
      </c:pivotFmt>
      <c:pivotFmt>
        <c:idx val="1131"/>
        <c:spPr>
          <a:solidFill>
            <a:schemeClr val="accent1"/>
          </a:solidFill>
          <a:ln w="19050">
            <a:solidFill>
              <a:schemeClr val="lt1"/>
            </a:solidFill>
          </a:ln>
          <a:effectLst/>
        </c:spPr>
      </c:pivotFmt>
      <c:pivotFmt>
        <c:idx val="1132"/>
        <c:spPr>
          <a:solidFill>
            <a:schemeClr val="accent1"/>
          </a:solidFill>
          <a:ln w="19050">
            <a:solidFill>
              <a:schemeClr val="lt1"/>
            </a:solidFill>
          </a:ln>
          <a:effectLst/>
        </c:spPr>
      </c:pivotFmt>
      <c:pivotFmt>
        <c:idx val="1133"/>
        <c:spPr>
          <a:solidFill>
            <a:schemeClr val="accent1"/>
          </a:solidFill>
          <a:ln w="19050">
            <a:solidFill>
              <a:schemeClr val="lt1"/>
            </a:solidFill>
          </a:ln>
          <a:effectLst/>
        </c:spPr>
      </c:pivotFmt>
      <c:pivotFmt>
        <c:idx val="1134"/>
        <c:spPr>
          <a:solidFill>
            <a:schemeClr val="accent1"/>
          </a:solidFill>
          <a:ln w="19050">
            <a:solidFill>
              <a:schemeClr val="lt1"/>
            </a:solidFill>
          </a:ln>
          <a:effectLst/>
        </c:spPr>
      </c:pivotFmt>
      <c:pivotFmt>
        <c:idx val="1135"/>
        <c:spPr>
          <a:solidFill>
            <a:schemeClr val="accent1"/>
          </a:solidFill>
          <a:ln w="19050">
            <a:solidFill>
              <a:schemeClr val="lt1"/>
            </a:solidFill>
          </a:ln>
          <a:effectLst/>
        </c:spPr>
      </c:pivotFmt>
      <c:pivotFmt>
        <c:idx val="1136"/>
        <c:spPr>
          <a:solidFill>
            <a:schemeClr val="accent1"/>
          </a:solidFill>
          <a:ln w="19050">
            <a:solidFill>
              <a:schemeClr val="lt1"/>
            </a:solidFill>
          </a:ln>
          <a:effectLst/>
        </c:spPr>
      </c:pivotFmt>
      <c:pivotFmt>
        <c:idx val="1137"/>
        <c:spPr>
          <a:solidFill>
            <a:schemeClr val="accent1"/>
          </a:solidFill>
          <a:ln w="19050">
            <a:solidFill>
              <a:schemeClr val="lt1"/>
            </a:solidFill>
          </a:ln>
          <a:effectLst/>
        </c:spPr>
      </c:pivotFmt>
      <c:pivotFmt>
        <c:idx val="1138"/>
        <c:spPr>
          <a:solidFill>
            <a:schemeClr val="accent1"/>
          </a:solidFill>
          <a:ln w="19050">
            <a:solidFill>
              <a:schemeClr val="lt1"/>
            </a:solidFill>
          </a:ln>
          <a:effectLst/>
        </c:spPr>
      </c:pivotFmt>
      <c:pivotFmt>
        <c:idx val="1139"/>
        <c:spPr>
          <a:solidFill>
            <a:schemeClr val="accent1"/>
          </a:solidFill>
          <a:ln w="19050">
            <a:solidFill>
              <a:schemeClr val="lt1"/>
            </a:solidFill>
          </a:ln>
          <a:effectLst/>
        </c:spPr>
      </c:pivotFmt>
      <c:pivotFmt>
        <c:idx val="1140"/>
        <c:spPr>
          <a:solidFill>
            <a:schemeClr val="accent1"/>
          </a:solidFill>
          <a:ln w="19050">
            <a:solidFill>
              <a:schemeClr val="lt1"/>
            </a:solidFill>
          </a:ln>
          <a:effectLst/>
        </c:spPr>
      </c:pivotFmt>
      <c:pivotFmt>
        <c:idx val="1141"/>
        <c:spPr>
          <a:solidFill>
            <a:schemeClr val="accent1"/>
          </a:solidFill>
          <a:ln w="19050">
            <a:solidFill>
              <a:schemeClr val="lt1"/>
            </a:solidFill>
          </a:ln>
          <a:effectLst/>
        </c:spPr>
      </c:pivotFmt>
      <c:pivotFmt>
        <c:idx val="1142"/>
        <c:spPr>
          <a:solidFill>
            <a:schemeClr val="accent1"/>
          </a:solidFill>
          <a:ln w="19050">
            <a:solidFill>
              <a:schemeClr val="lt1"/>
            </a:solidFill>
          </a:ln>
          <a:effectLst/>
        </c:spPr>
      </c:pivotFmt>
      <c:pivotFmt>
        <c:idx val="1143"/>
        <c:spPr>
          <a:solidFill>
            <a:schemeClr val="accent1"/>
          </a:solidFill>
          <a:ln w="19050">
            <a:solidFill>
              <a:schemeClr val="lt1"/>
            </a:solidFill>
          </a:ln>
          <a:effectLst/>
        </c:spPr>
      </c:pivotFmt>
      <c:pivotFmt>
        <c:idx val="1144"/>
        <c:spPr>
          <a:solidFill>
            <a:schemeClr val="accent1"/>
          </a:solidFill>
          <a:ln w="19050">
            <a:solidFill>
              <a:schemeClr val="lt1"/>
            </a:solidFill>
          </a:ln>
          <a:effectLst/>
        </c:spPr>
      </c:pivotFmt>
      <c:pivotFmt>
        <c:idx val="1145"/>
        <c:spPr>
          <a:solidFill>
            <a:schemeClr val="accent1"/>
          </a:solidFill>
          <a:ln w="19050">
            <a:solidFill>
              <a:schemeClr val="lt1"/>
            </a:solidFill>
          </a:ln>
          <a:effectLst/>
        </c:spPr>
      </c:pivotFmt>
      <c:pivotFmt>
        <c:idx val="1146"/>
        <c:spPr>
          <a:solidFill>
            <a:schemeClr val="accent1"/>
          </a:solidFill>
          <a:ln w="19050">
            <a:solidFill>
              <a:schemeClr val="lt1"/>
            </a:solidFill>
          </a:ln>
          <a:effectLst/>
        </c:spPr>
      </c:pivotFmt>
      <c:pivotFmt>
        <c:idx val="1147"/>
        <c:spPr>
          <a:solidFill>
            <a:schemeClr val="accent1"/>
          </a:solidFill>
          <a:ln w="19050">
            <a:solidFill>
              <a:schemeClr val="lt1"/>
            </a:solidFill>
          </a:ln>
          <a:effectLst/>
        </c:spPr>
      </c:pivotFmt>
      <c:pivotFmt>
        <c:idx val="1148"/>
        <c:spPr>
          <a:solidFill>
            <a:schemeClr val="accent1"/>
          </a:solidFill>
          <a:ln w="19050">
            <a:solidFill>
              <a:schemeClr val="lt1"/>
            </a:solidFill>
          </a:ln>
          <a:effectLst/>
        </c:spPr>
      </c:pivotFmt>
      <c:pivotFmt>
        <c:idx val="1149"/>
        <c:spPr>
          <a:solidFill>
            <a:schemeClr val="accent1"/>
          </a:solidFill>
          <a:ln w="19050">
            <a:solidFill>
              <a:schemeClr val="lt1"/>
            </a:solidFill>
          </a:ln>
          <a:effectLst/>
        </c:spPr>
      </c:pivotFmt>
      <c:pivotFmt>
        <c:idx val="1150"/>
        <c:spPr>
          <a:solidFill>
            <a:schemeClr val="accent1"/>
          </a:solidFill>
          <a:ln w="19050">
            <a:solidFill>
              <a:schemeClr val="lt1"/>
            </a:solidFill>
          </a:ln>
          <a:effectLst/>
        </c:spPr>
      </c:pivotFmt>
      <c:pivotFmt>
        <c:idx val="1151"/>
        <c:spPr>
          <a:solidFill>
            <a:schemeClr val="accent1"/>
          </a:solidFill>
          <a:ln w="19050">
            <a:solidFill>
              <a:schemeClr val="lt1"/>
            </a:solidFill>
          </a:ln>
          <a:effectLst/>
        </c:spPr>
      </c:pivotFmt>
      <c:pivotFmt>
        <c:idx val="1152"/>
        <c:spPr>
          <a:solidFill>
            <a:schemeClr val="accent1"/>
          </a:solidFill>
          <a:ln w="19050">
            <a:solidFill>
              <a:schemeClr val="lt1"/>
            </a:solidFill>
          </a:ln>
          <a:effectLst/>
        </c:spPr>
      </c:pivotFmt>
      <c:pivotFmt>
        <c:idx val="1153"/>
        <c:spPr>
          <a:solidFill>
            <a:schemeClr val="accent1"/>
          </a:solidFill>
          <a:ln w="19050">
            <a:solidFill>
              <a:schemeClr val="lt1"/>
            </a:solidFill>
          </a:ln>
          <a:effectLst/>
        </c:spPr>
      </c:pivotFmt>
      <c:pivotFmt>
        <c:idx val="1154"/>
        <c:spPr>
          <a:solidFill>
            <a:schemeClr val="accent1"/>
          </a:solidFill>
          <a:ln w="19050">
            <a:solidFill>
              <a:schemeClr val="lt1"/>
            </a:solidFill>
          </a:ln>
          <a:effectLst/>
        </c:spPr>
      </c:pivotFmt>
      <c:pivotFmt>
        <c:idx val="1155"/>
        <c:spPr>
          <a:solidFill>
            <a:schemeClr val="accent1"/>
          </a:solidFill>
          <a:ln w="19050">
            <a:solidFill>
              <a:schemeClr val="lt1"/>
            </a:solidFill>
          </a:ln>
          <a:effectLst/>
        </c:spPr>
      </c:pivotFmt>
      <c:pivotFmt>
        <c:idx val="1156"/>
        <c:spPr>
          <a:solidFill>
            <a:schemeClr val="accent1"/>
          </a:solidFill>
          <a:ln w="19050">
            <a:solidFill>
              <a:schemeClr val="lt1"/>
            </a:solidFill>
          </a:ln>
          <a:effectLst/>
        </c:spPr>
      </c:pivotFmt>
      <c:pivotFmt>
        <c:idx val="1157"/>
        <c:spPr>
          <a:solidFill>
            <a:schemeClr val="accent1"/>
          </a:solidFill>
          <a:ln w="19050">
            <a:solidFill>
              <a:schemeClr val="lt1"/>
            </a:solidFill>
          </a:ln>
          <a:effectLst/>
        </c:spPr>
      </c:pivotFmt>
      <c:pivotFmt>
        <c:idx val="1158"/>
        <c:spPr>
          <a:solidFill>
            <a:schemeClr val="accent1"/>
          </a:solidFill>
          <a:ln w="19050">
            <a:solidFill>
              <a:schemeClr val="lt1"/>
            </a:solidFill>
          </a:ln>
          <a:effectLst/>
        </c:spPr>
      </c:pivotFmt>
      <c:pivotFmt>
        <c:idx val="1159"/>
        <c:spPr>
          <a:solidFill>
            <a:schemeClr val="accent1"/>
          </a:solidFill>
          <a:ln w="19050">
            <a:solidFill>
              <a:schemeClr val="lt1"/>
            </a:solidFill>
          </a:ln>
          <a:effectLst/>
        </c:spPr>
      </c:pivotFmt>
      <c:pivotFmt>
        <c:idx val="1160"/>
        <c:spPr>
          <a:solidFill>
            <a:schemeClr val="accent1"/>
          </a:solidFill>
          <a:ln w="19050">
            <a:solidFill>
              <a:schemeClr val="lt1"/>
            </a:solidFill>
          </a:ln>
          <a:effectLst/>
        </c:spPr>
      </c:pivotFmt>
      <c:pivotFmt>
        <c:idx val="1161"/>
        <c:spPr>
          <a:solidFill>
            <a:schemeClr val="accent1"/>
          </a:solidFill>
          <a:ln w="19050">
            <a:solidFill>
              <a:schemeClr val="lt1"/>
            </a:solidFill>
          </a:ln>
          <a:effectLst/>
        </c:spPr>
      </c:pivotFmt>
      <c:pivotFmt>
        <c:idx val="1162"/>
        <c:spPr>
          <a:solidFill>
            <a:schemeClr val="accent1"/>
          </a:solidFill>
          <a:ln w="19050">
            <a:solidFill>
              <a:schemeClr val="lt1"/>
            </a:solidFill>
          </a:ln>
          <a:effectLst/>
        </c:spPr>
      </c:pivotFmt>
      <c:pivotFmt>
        <c:idx val="1163"/>
        <c:spPr>
          <a:solidFill>
            <a:schemeClr val="accent1"/>
          </a:solidFill>
          <a:ln w="19050">
            <a:solidFill>
              <a:schemeClr val="lt1"/>
            </a:solidFill>
          </a:ln>
          <a:effectLst/>
        </c:spPr>
      </c:pivotFmt>
      <c:pivotFmt>
        <c:idx val="1164"/>
        <c:spPr>
          <a:solidFill>
            <a:schemeClr val="accent1"/>
          </a:solidFill>
          <a:ln w="19050">
            <a:solidFill>
              <a:schemeClr val="lt1"/>
            </a:solidFill>
          </a:ln>
          <a:effectLst/>
        </c:spPr>
      </c:pivotFmt>
      <c:pivotFmt>
        <c:idx val="1165"/>
        <c:spPr>
          <a:solidFill>
            <a:schemeClr val="accent1"/>
          </a:solidFill>
          <a:ln w="19050">
            <a:solidFill>
              <a:schemeClr val="lt1"/>
            </a:solidFill>
          </a:ln>
          <a:effectLst/>
        </c:spPr>
      </c:pivotFmt>
      <c:pivotFmt>
        <c:idx val="1166"/>
        <c:spPr>
          <a:solidFill>
            <a:schemeClr val="accent1"/>
          </a:solidFill>
          <a:ln w="19050">
            <a:solidFill>
              <a:schemeClr val="lt1"/>
            </a:solidFill>
          </a:ln>
          <a:effectLst/>
        </c:spPr>
      </c:pivotFmt>
      <c:pivotFmt>
        <c:idx val="1167"/>
        <c:spPr>
          <a:solidFill>
            <a:schemeClr val="accent1"/>
          </a:solidFill>
          <a:ln w="19050">
            <a:solidFill>
              <a:schemeClr val="lt1"/>
            </a:solidFill>
          </a:ln>
          <a:effectLst/>
        </c:spPr>
      </c:pivotFmt>
      <c:pivotFmt>
        <c:idx val="1168"/>
        <c:spPr>
          <a:solidFill>
            <a:schemeClr val="accent1"/>
          </a:solidFill>
          <a:ln w="19050">
            <a:solidFill>
              <a:schemeClr val="lt1"/>
            </a:solidFill>
          </a:ln>
          <a:effectLst/>
        </c:spPr>
      </c:pivotFmt>
      <c:pivotFmt>
        <c:idx val="1169"/>
        <c:spPr>
          <a:solidFill>
            <a:schemeClr val="accent1"/>
          </a:solidFill>
          <a:ln w="19050">
            <a:solidFill>
              <a:schemeClr val="lt1"/>
            </a:solidFill>
          </a:ln>
          <a:effectLst/>
        </c:spPr>
      </c:pivotFmt>
      <c:pivotFmt>
        <c:idx val="1170"/>
        <c:spPr>
          <a:solidFill>
            <a:schemeClr val="accent1"/>
          </a:solidFill>
          <a:ln w="19050">
            <a:solidFill>
              <a:schemeClr val="lt1"/>
            </a:solidFill>
          </a:ln>
          <a:effectLst/>
        </c:spPr>
      </c:pivotFmt>
      <c:pivotFmt>
        <c:idx val="1171"/>
        <c:spPr>
          <a:solidFill>
            <a:schemeClr val="accent1"/>
          </a:solidFill>
          <a:ln w="19050">
            <a:solidFill>
              <a:schemeClr val="lt1"/>
            </a:solidFill>
          </a:ln>
          <a:effectLst/>
        </c:spPr>
      </c:pivotFmt>
      <c:pivotFmt>
        <c:idx val="1172"/>
        <c:spPr>
          <a:solidFill>
            <a:schemeClr val="accent1"/>
          </a:solidFill>
          <a:ln w="19050">
            <a:solidFill>
              <a:schemeClr val="lt1"/>
            </a:solidFill>
          </a:ln>
          <a:effectLst/>
        </c:spPr>
      </c:pivotFmt>
      <c:pivotFmt>
        <c:idx val="1173"/>
        <c:spPr>
          <a:solidFill>
            <a:schemeClr val="accent1"/>
          </a:solidFill>
          <a:ln w="19050">
            <a:solidFill>
              <a:schemeClr val="lt1"/>
            </a:solidFill>
          </a:ln>
          <a:effectLst/>
        </c:spPr>
      </c:pivotFmt>
      <c:pivotFmt>
        <c:idx val="1174"/>
        <c:spPr>
          <a:solidFill>
            <a:schemeClr val="accent1"/>
          </a:solidFill>
          <a:ln w="19050">
            <a:solidFill>
              <a:schemeClr val="lt1"/>
            </a:solidFill>
          </a:ln>
          <a:effectLst/>
        </c:spPr>
      </c:pivotFmt>
      <c:pivotFmt>
        <c:idx val="1175"/>
        <c:spPr>
          <a:solidFill>
            <a:schemeClr val="accent1"/>
          </a:solidFill>
          <a:ln w="19050">
            <a:solidFill>
              <a:schemeClr val="lt1"/>
            </a:solidFill>
          </a:ln>
          <a:effectLst/>
        </c:spPr>
      </c:pivotFmt>
      <c:pivotFmt>
        <c:idx val="1176"/>
        <c:spPr>
          <a:solidFill>
            <a:schemeClr val="accent1"/>
          </a:solidFill>
          <a:ln w="19050">
            <a:solidFill>
              <a:schemeClr val="lt1"/>
            </a:solidFill>
          </a:ln>
          <a:effectLst/>
        </c:spPr>
      </c:pivotFmt>
      <c:pivotFmt>
        <c:idx val="1177"/>
        <c:spPr>
          <a:solidFill>
            <a:schemeClr val="accent1"/>
          </a:solidFill>
          <a:ln w="19050">
            <a:solidFill>
              <a:schemeClr val="lt1"/>
            </a:solidFill>
          </a:ln>
          <a:effectLst/>
        </c:spPr>
      </c:pivotFmt>
      <c:pivotFmt>
        <c:idx val="1178"/>
        <c:spPr>
          <a:solidFill>
            <a:schemeClr val="accent1"/>
          </a:solidFill>
          <a:ln w="19050">
            <a:solidFill>
              <a:schemeClr val="lt1"/>
            </a:solidFill>
          </a:ln>
          <a:effectLst/>
        </c:spPr>
      </c:pivotFmt>
      <c:pivotFmt>
        <c:idx val="1179"/>
        <c:spPr>
          <a:solidFill>
            <a:schemeClr val="accent1"/>
          </a:solidFill>
          <a:ln w="19050">
            <a:solidFill>
              <a:schemeClr val="lt1"/>
            </a:solidFill>
          </a:ln>
          <a:effectLst/>
        </c:spPr>
      </c:pivotFmt>
      <c:pivotFmt>
        <c:idx val="1180"/>
        <c:spPr>
          <a:solidFill>
            <a:schemeClr val="accent1"/>
          </a:solidFill>
          <a:ln w="19050">
            <a:solidFill>
              <a:schemeClr val="lt1"/>
            </a:solidFill>
          </a:ln>
          <a:effectLst/>
        </c:spPr>
      </c:pivotFmt>
      <c:pivotFmt>
        <c:idx val="1181"/>
        <c:spPr>
          <a:solidFill>
            <a:schemeClr val="accent1"/>
          </a:solidFill>
          <a:ln w="19050">
            <a:solidFill>
              <a:schemeClr val="lt1"/>
            </a:solidFill>
          </a:ln>
          <a:effectLst/>
        </c:spPr>
      </c:pivotFmt>
      <c:pivotFmt>
        <c:idx val="1182"/>
        <c:spPr>
          <a:solidFill>
            <a:schemeClr val="accent1"/>
          </a:solidFill>
          <a:ln w="19050">
            <a:solidFill>
              <a:schemeClr val="lt1"/>
            </a:solidFill>
          </a:ln>
          <a:effectLst/>
        </c:spPr>
      </c:pivotFmt>
      <c:pivotFmt>
        <c:idx val="1183"/>
        <c:spPr>
          <a:solidFill>
            <a:schemeClr val="accent1"/>
          </a:solidFill>
          <a:ln w="19050">
            <a:solidFill>
              <a:schemeClr val="lt1"/>
            </a:solidFill>
          </a:ln>
          <a:effectLst/>
        </c:spPr>
      </c:pivotFmt>
      <c:pivotFmt>
        <c:idx val="1184"/>
        <c:spPr>
          <a:solidFill>
            <a:schemeClr val="accent1"/>
          </a:solidFill>
          <a:ln w="19050">
            <a:solidFill>
              <a:schemeClr val="lt1"/>
            </a:solidFill>
          </a:ln>
          <a:effectLst/>
        </c:spPr>
      </c:pivotFmt>
      <c:pivotFmt>
        <c:idx val="1185"/>
        <c:spPr>
          <a:solidFill>
            <a:schemeClr val="accent1"/>
          </a:solidFill>
          <a:ln w="19050">
            <a:solidFill>
              <a:schemeClr val="lt1"/>
            </a:solidFill>
          </a:ln>
          <a:effectLst/>
        </c:spPr>
      </c:pivotFmt>
      <c:pivotFmt>
        <c:idx val="1186"/>
        <c:spPr>
          <a:solidFill>
            <a:schemeClr val="accent1"/>
          </a:solidFill>
          <a:ln w="19050">
            <a:solidFill>
              <a:schemeClr val="lt1"/>
            </a:solidFill>
          </a:ln>
          <a:effectLst/>
        </c:spPr>
      </c:pivotFmt>
      <c:pivotFmt>
        <c:idx val="1187"/>
        <c:spPr>
          <a:solidFill>
            <a:schemeClr val="accent1"/>
          </a:solidFill>
          <a:ln w="19050">
            <a:solidFill>
              <a:schemeClr val="lt1"/>
            </a:solidFill>
          </a:ln>
          <a:effectLst/>
        </c:spPr>
      </c:pivotFmt>
      <c:pivotFmt>
        <c:idx val="1188"/>
        <c:spPr>
          <a:solidFill>
            <a:schemeClr val="accent1"/>
          </a:solidFill>
          <a:ln w="19050">
            <a:solidFill>
              <a:schemeClr val="lt1"/>
            </a:solidFill>
          </a:ln>
          <a:effectLst/>
        </c:spPr>
      </c:pivotFmt>
      <c:pivotFmt>
        <c:idx val="1189"/>
        <c:spPr>
          <a:solidFill>
            <a:schemeClr val="accent1"/>
          </a:solidFill>
          <a:ln w="19050">
            <a:solidFill>
              <a:schemeClr val="lt1"/>
            </a:solidFill>
          </a:ln>
          <a:effectLst/>
        </c:spPr>
      </c:pivotFmt>
      <c:pivotFmt>
        <c:idx val="1190"/>
        <c:spPr>
          <a:solidFill>
            <a:schemeClr val="accent1"/>
          </a:solidFill>
          <a:ln w="19050">
            <a:solidFill>
              <a:schemeClr val="lt1"/>
            </a:solidFill>
          </a:ln>
          <a:effectLst/>
        </c:spPr>
      </c:pivotFmt>
      <c:pivotFmt>
        <c:idx val="1191"/>
        <c:spPr>
          <a:solidFill>
            <a:schemeClr val="accent1"/>
          </a:solidFill>
          <a:ln w="19050">
            <a:solidFill>
              <a:schemeClr val="lt1"/>
            </a:solidFill>
          </a:ln>
          <a:effectLst/>
        </c:spPr>
      </c:pivotFmt>
      <c:pivotFmt>
        <c:idx val="1192"/>
        <c:spPr>
          <a:solidFill>
            <a:schemeClr val="accent1"/>
          </a:solidFill>
          <a:ln w="19050">
            <a:solidFill>
              <a:schemeClr val="lt1"/>
            </a:solidFill>
          </a:ln>
          <a:effectLst/>
        </c:spPr>
      </c:pivotFmt>
      <c:pivotFmt>
        <c:idx val="1193"/>
        <c:spPr>
          <a:solidFill>
            <a:schemeClr val="accent1"/>
          </a:solidFill>
          <a:ln w="19050">
            <a:solidFill>
              <a:schemeClr val="lt1"/>
            </a:solidFill>
          </a:ln>
          <a:effectLst/>
        </c:spPr>
      </c:pivotFmt>
      <c:pivotFmt>
        <c:idx val="1194"/>
        <c:spPr>
          <a:solidFill>
            <a:schemeClr val="accent1"/>
          </a:solidFill>
          <a:ln w="19050">
            <a:solidFill>
              <a:schemeClr val="lt1"/>
            </a:solidFill>
          </a:ln>
          <a:effectLst/>
        </c:spPr>
      </c:pivotFmt>
      <c:pivotFmt>
        <c:idx val="1195"/>
        <c:spPr>
          <a:solidFill>
            <a:schemeClr val="accent1"/>
          </a:solidFill>
          <a:ln w="19050">
            <a:solidFill>
              <a:schemeClr val="lt1"/>
            </a:solidFill>
          </a:ln>
          <a:effectLst/>
        </c:spPr>
      </c:pivotFmt>
      <c:pivotFmt>
        <c:idx val="1196"/>
        <c:spPr>
          <a:solidFill>
            <a:schemeClr val="accent1"/>
          </a:solidFill>
          <a:ln w="19050">
            <a:solidFill>
              <a:schemeClr val="lt1"/>
            </a:solidFill>
          </a:ln>
          <a:effectLst/>
        </c:spPr>
      </c:pivotFmt>
      <c:pivotFmt>
        <c:idx val="1197"/>
        <c:spPr>
          <a:solidFill>
            <a:schemeClr val="accent1"/>
          </a:solidFill>
          <a:ln w="19050">
            <a:solidFill>
              <a:schemeClr val="lt1"/>
            </a:solidFill>
          </a:ln>
          <a:effectLst/>
        </c:spPr>
      </c:pivotFmt>
      <c:pivotFmt>
        <c:idx val="1198"/>
        <c:spPr>
          <a:solidFill>
            <a:schemeClr val="accent1"/>
          </a:solidFill>
          <a:ln w="19050">
            <a:solidFill>
              <a:schemeClr val="lt1"/>
            </a:solidFill>
          </a:ln>
          <a:effectLst/>
        </c:spPr>
      </c:pivotFmt>
      <c:pivotFmt>
        <c:idx val="1199"/>
        <c:spPr>
          <a:solidFill>
            <a:schemeClr val="accent1"/>
          </a:solidFill>
          <a:ln w="19050">
            <a:solidFill>
              <a:schemeClr val="lt1"/>
            </a:solidFill>
          </a:ln>
          <a:effectLst/>
        </c:spPr>
      </c:pivotFmt>
      <c:pivotFmt>
        <c:idx val="1200"/>
        <c:spPr>
          <a:solidFill>
            <a:schemeClr val="accent1"/>
          </a:solidFill>
          <a:ln w="19050">
            <a:solidFill>
              <a:schemeClr val="lt1"/>
            </a:solidFill>
          </a:ln>
          <a:effectLst/>
        </c:spPr>
      </c:pivotFmt>
      <c:pivotFmt>
        <c:idx val="1201"/>
        <c:spPr>
          <a:solidFill>
            <a:schemeClr val="accent1"/>
          </a:solidFill>
          <a:ln w="19050">
            <a:solidFill>
              <a:schemeClr val="lt1"/>
            </a:solidFill>
          </a:ln>
          <a:effectLst/>
        </c:spPr>
      </c:pivotFmt>
      <c:pivotFmt>
        <c:idx val="1202"/>
        <c:spPr>
          <a:solidFill>
            <a:schemeClr val="accent1"/>
          </a:solidFill>
          <a:ln w="19050">
            <a:solidFill>
              <a:schemeClr val="lt1"/>
            </a:solidFill>
          </a:ln>
          <a:effectLst/>
        </c:spPr>
      </c:pivotFmt>
      <c:pivotFmt>
        <c:idx val="1203"/>
        <c:spPr>
          <a:solidFill>
            <a:schemeClr val="accent1"/>
          </a:solidFill>
          <a:ln w="19050">
            <a:solidFill>
              <a:schemeClr val="lt1"/>
            </a:solidFill>
          </a:ln>
          <a:effectLst/>
        </c:spPr>
      </c:pivotFmt>
      <c:pivotFmt>
        <c:idx val="1204"/>
        <c:spPr>
          <a:solidFill>
            <a:schemeClr val="accent1"/>
          </a:solidFill>
          <a:ln w="19050">
            <a:solidFill>
              <a:schemeClr val="lt1"/>
            </a:solidFill>
          </a:ln>
          <a:effectLst/>
        </c:spPr>
      </c:pivotFmt>
      <c:pivotFmt>
        <c:idx val="1205"/>
        <c:spPr>
          <a:solidFill>
            <a:schemeClr val="accent1"/>
          </a:solidFill>
          <a:ln w="19050">
            <a:solidFill>
              <a:schemeClr val="lt1"/>
            </a:solidFill>
          </a:ln>
          <a:effectLst/>
        </c:spPr>
      </c:pivotFmt>
      <c:pivotFmt>
        <c:idx val="1206"/>
        <c:spPr>
          <a:solidFill>
            <a:schemeClr val="accent1"/>
          </a:solidFill>
          <a:ln w="19050">
            <a:solidFill>
              <a:schemeClr val="lt1"/>
            </a:solidFill>
          </a:ln>
          <a:effectLst/>
        </c:spPr>
      </c:pivotFmt>
      <c:pivotFmt>
        <c:idx val="1207"/>
        <c:spPr>
          <a:solidFill>
            <a:schemeClr val="accent1"/>
          </a:solidFill>
          <a:ln w="19050">
            <a:solidFill>
              <a:schemeClr val="lt1"/>
            </a:solidFill>
          </a:ln>
          <a:effectLst/>
        </c:spPr>
      </c:pivotFmt>
      <c:pivotFmt>
        <c:idx val="1208"/>
        <c:spPr>
          <a:solidFill>
            <a:schemeClr val="accent1"/>
          </a:solidFill>
          <a:ln w="19050">
            <a:solidFill>
              <a:schemeClr val="lt1"/>
            </a:solidFill>
          </a:ln>
          <a:effectLst/>
        </c:spPr>
      </c:pivotFmt>
      <c:pivotFmt>
        <c:idx val="1209"/>
        <c:spPr>
          <a:solidFill>
            <a:schemeClr val="accent1"/>
          </a:solidFill>
          <a:ln w="19050">
            <a:solidFill>
              <a:schemeClr val="lt1"/>
            </a:solidFill>
          </a:ln>
          <a:effectLst/>
        </c:spPr>
      </c:pivotFmt>
      <c:pivotFmt>
        <c:idx val="1210"/>
        <c:spPr>
          <a:solidFill>
            <a:schemeClr val="accent1"/>
          </a:solidFill>
          <a:ln w="19050">
            <a:solidFill>
              <a:schemeClr val="lt1"/>
            </a:solidFill>
          </a:ln>
          <a:effectLst/>
        </c:spPr>
      </c:pivotFmt>
      <c:pivotFmt>
        <c:idx val="1211"/>
        <c:spPr>
          <a:solidFill>
            <a:schemeClr val="accent1"/>
          </a:solidFill>
          <a:ln w="19050">
            <a:solidFill>
              <a:schemeClr val="lt1"/>
            </a:solidFill>
          </a:ln>
          <a:effectLst/>
        </c:spPr>
      </c:pivotFmt>
      <c:pivotFmt>
        <c:idx val="1212"/>
        <c:spPr>
          <a:solidFill>
            <a:schemeClr val="accent1"/>
          </a:solidFill>
          <a:ln w="19050">
            <a:solidFill>
              <a:schemeClr val="lt1"/>
            </a:solidFill>
          </a:ln>
          <a:effectLst/>
        </c:spPr>
      </c:pivotFmt>
      <c:pivotFmt>
        <c:idx val="1213"/>
        <c:spPr>
          <a:solidFill>
            <a:schemeClr val="accent1"/>
          </a:solidFill>
          <a:ln w="19050">
            <a:solidFill>
              <a:schemeClr val="lt1"/>
            </a:solidFill>
          </a:ln>
          <a:effectLst/>
        </c:spPr>
      </c:pivotFmt>
      <c:pivotFmt>
        <c:idx val="1214"/>
        <c:spPr>
          <a:solidFill>
            <a:schemeClr val="accent1"/>
          </a:solidFill>
          <a:ln w="19050">
            <a:solidFill>
              <a:schemeClr val="lt1"/>
            </a:solidFill>
          </a:ln>
          <a:effectLst/>
        </c:spPr>
      </c:pivotFmt>
      <c:pivotFmt>
        <c:idx val="1215"/>
        <c:spPr>
          <a:solidFill>
            <a:schemeClr val="accent1"/>
          </a:solidFill>
          <a:ln w="19050">
            <a:solidFill>
              <a:schemeClr val="lt1"/>
            </a:solidFill>
          </a:ln>
          <a:effectLst/>
        </c:spPr>
      </c:pivotFmt>
      <c:pivotFmt>
        <c:idx val="1216"/>
        <c:spPr>
          <a:solidFill>
            <a:schemeClr val="accent1"/>
          </a:solidFill>
          <a:ln w="19050">
            <a:solidFill>
              <a:schemeClr val="lt1"/>
            </a:solidFill>
          </a:ln>
          <a:effectLst/>
        </c:spPr>
      </c:pivotFmt>
      <c:pivotFmt>
        <c:idx val="1217"/>
        <c:spPr>
          <a:solidFill>
            <a:schemeClr val="accent1"/>
          </a:solidFill>
          <a:ln w="19050">
            <a:solidFill>
              <a:schemeClr val="lt1"/>
            </a:solidFill>
          </a:ln>
          <a:effectLst/>
        </c:spPr>
      </c:pivotFmt>
      <c:pivotFmt>
        <c:idx val="1218"/>
        <c:spPr>
          <a:solidFill>
            <a:schemeClr val="accent1"/>
          </a:solidFill>
          <a:ln w="19050">
            <a:solidFill>
              <a:schemeClr val="lt1"/>
            </a:solidFill>
          </a:ln>
          <a:effectLst/>
        </c:spPr>
      </c:pivotFmt>
      <c:pivotFmt>
        <c:idx val="1219"/>
        <c:spPr>
          <a:solidFill>
            <a:schemeClr val="accent1"/>
          </a:solidFill>
          <a:ln w="19050">
            <a:solidFill>
              <a:schemeClr val="lt1"/>
            </a:solidFill>
          </a:ln>
          <a:effectLst/>
        </c:spPr>
      </c:pivotFmt>
      <c:pivotFmt>
        <c:idx val="1220"/>
        <c:spPr>
          <a:solidFill>
            <a:schemeClr val="accent1"/>
          </a:solidFill>
          <a:ln w="19050">
            <a:solidFill>
              <a:schemeClr val="lt1"/>
            </a:solidFill>
          </a:ln>
          <a:effectLst/>
        </c:spPr>
      </c:pivotFmt>
      <c:pivotFmt>
        <c:idx val="1221"/>
        <c:spPr>
          <a:solidFill>
            <a:schemeClr val="accent1"/>
          </a:solidFill>
          <a:ln w="19050">
            <a:solidFill>
              <a:schemeClr val="lt1"/>
            </a:solidFill>
          </a:ln>
          <a:effectLst/>
        </c:spPr>
      </c:pivotFmt>
      <c:pivotFmt>
        <c:idx val="1222"/>
        <c:spPr>
          <a:solidFill>
            <a:schemeClr val="accent1"/>
          </a:solidFill>
          <a:ln w="19050">
            <a:solidFill>
              <a:schemeClr val="lt1"/>
            </a:solidFill>
          </a:ln>
          <a:effectLst/>
        </c:spPr>
      </c:pivotFmt>
      <c:pivotFmt>
        <c:idx val="1223"/>
        <c:spPr>
          <a:solidFill>
            <a:schemeClr val="accent1"/>
          </a:solidFill>
          <a:ln w="19050">
            <a:solidFill>
              <a:schemeClr val="lt1"/>
            </a:solidFill>
          </a:ln>
          <a:effectLst/>
        </c:spPr>
      </c:pivotFmt>
      <c:pivotFmt>
        <c:idx val="1224"/>
        <c:spPr>
          <a:solidFill>
            <a:schemeClr val="accent1"/>
          </a:solidFill>
          <a:ln w="19050">
            <a:solidFill>
              <a:schemeClr val="lt1"/>
            </a:solidFill>
          </a:ln>
          <a:effectLst/>
        </c:spPr>
      </c:pivotFmt>
      <c:pivotFmt>
        <c:idx val="1225"/>
        <c:spPr>
          <a:solidFill>
            <a:schemeClr val="accent1"/>
          </a:solidFill>
          <a:ln w="19050">
            <a:solidFill>
              <a:schemeClr val="lt1"/>
            </a:solidFill>
          </a:ln>
          <a:effectLst/>
        </c:spPr>
      </c:pivotFmt>
      <c:pivotFmt>
        <c:idx val="1226"/>
        <c:spPr>
          <a:solidFill>
            <a:schemeClr val="accent1"/>
          </a:solidFill>
          <a:ln w="19050">
            <a:solidFill>
              <a:schemeClr val="lt1"/>
            </a:solidFill>
          </a:ln>
          <a:effectLst/>
        </c:spPr>
      </c:pivotFmt>
      <c:pivotFmt>
        <c:idx val="1227"/>
        <c:spPr>
          <a:solidFill>
            <a:schemeClr val="accent1"/>
          </a:solidFill>
          <a:ln w="19050">
            <a:solidFill>
              <a:schemeClr val="lt1"/>
            </a:solidFill>
          </a:ln>
          <a:effectLst/>
        </c:spPr>
      </c:pivotFmt>
      <c:pivotFmt>
        <c:idx val="1228"/>
        <c:spPr>
          <a:solidFill>
            <a:schemeClr val="accent1"/>
          </a:solidFill>
          <a:ln w="19050">
            <a:solidFill>
              <a:schemeClr val="lt1"/>
            </a:solidFill>
          </a:ln>
          <a:effectLst/>
        </c:spPr>
      </c:pivotFmt>
      <c:pivotFmt>
        <c:idx val="1229"/>
        <c:spPr>
          <a:solidFill>
            <a:schemeClr val="accent1"/>
          </a:solidFill>
          <a:ln w="19050">
            <a:solidFill>
              <a:schemeClr val="lt1"/>
            </a:solidFill>
          </a:ln>
          <a:effectLst/>
        </c:spPr>
      </c:pivotFmt>
      <c:pivotFmt>
        <c:idx val="1230"/>
        <c:spPr>
          <a:solidFill>
            <a:schemeClr val="accent1"/>
          </a:solidFill>
          <a:ln w="19050">
            <a:solidFill>
              <a:schemeClr val="lt1"/>
            </a:solidFill>
          </a:ln>
          <a:effectLst/>
        </c:spPr>
      </c:pivotFmt>
      <c:pivotFmt>
        <c:idx val="1231"/>
        <c:spPr>
          <a:solidFill>
            <a:schemeClr val="accent1"/>
          </a:solidFill>
          <a:ln w="19050">
            <a:solidFill>
              <a:schemeClr val="lt1"/>
            </a:solidFill>
          </a:ln>
          <a:effectLst/>
        </c:spPr>
      </c:pivotFmt>
      <c:pivotFmt>
        <c:idx val="1232"/>
        <c:spPr>
          <a:solidFill>
            <a:schemeClr val="accent1"/>
          </a:solidFill>
          <a:ln w="19050">
            <a:solidFill>
              <a:schemeClr val="lt1"/>
            </a:solidFill>
          </a:ln>
          <a:effectLst/>
        </c:spPr>
      </c:pivotFmt>
      <c:pivotFmt>
        <c:idx val="1233"/>
        <c:spPr>
          <a:solidFill>
            <a:schemeClr val="accent1"/>
          </a:solidFill>
          <a:ln w="19050">
            <a:solidFill>
              <a:schemeClr val="lt1"/>
            </a:solidFill>
          </a:ln>
          <a:effectLst/>
        </c:spPr>
      </c:pivotFmt>
      <c:pivotFmt>
        <c:idx val="1234"/>
        <c:spPr>
          <a:solidFill>
            <a:schemeClr val="accent1"/>
          </a:solidFill>
          <a:ln w="19050">
            <a:solidFill>
              <a:schemeClr val="lt1"/>
            </a:solidFill>
          </a:ln>
          <a:effectLst/>
        </c:spPr>
      </c:pivotFmt>
      <c:pivotFmt>
        <c:idx val="1235"/>
        <c:spPr>
          <a:solidFill>
            <a:schemeClr val="accent1"/>
          </a:solidFill>
          <a:ln w="19050">
            <a:solidFill>
              <a:schemeClr val="lt1"/>
            </a:solidFill>
          </a:ln>
          <a:effectLst/>
        </c:spPr>
      </c:pivotFmt>
      <c:pivotFmt>
        <c:idx val="1236"/>
        <c:spPr>
          <a:solidFill>
            <a:schemeClr val="accent1"/>
          </a:solidFill>
          <a:ln w="19050">
            <a:solidFill>
              <a:schemeClr val="lt1"/>
            </a:solidFill>
          </a:ln>
          <a:effectLst/>
        </c:spPr>
      </c:pivotFmt>
      <c:pivotFmt>
        <c:idx val="1237"/>
        <c:spPr>
          <a:solidFill>
            <a:schemeClr val="accent1"/>
          </a:solidFill>
          <a:ln w="19050">
            <a:solidFill>
              <a:schemeClr val="lt1"/>
            </a:solidFill>
          </a:ln>
          <a:effectLst/>
        </c:spPr>
      </c:pivotFmt>
      <c:pivotFmt>
        <c:idx val="1238"/>
        <c:spPr>
          <a:solidFill>
            <a:schemeClr val="accent1"/>
          </a:solidFill>
          <a:ln w="19050">
            <a:solidFill>
              <a:schemeClr val="lt1"/>
            </a:solidFill>
          </a:ln>
          <a:effectLst/>
        </c:spPr>
      </c:pivotFmt>
      <c:pivotFmt>
        <c:idx val="1239"/>
        <c:spPr>
          <a:solidFill>
            <a:schemeClr val="accent1"/>
          </a:solidFill>
          <a:ln w="19050">
            <a:solidFill>
              <a:schemeClr val="lt1"/>
            </a:solidFill>
          </a:ln>
          <a:effectLst/>
        </c:spPr>
      </c:pivotFmt>
      <c:pivotFmt>
        <c:idx val="1240"/>
        <c:spPr>
          <a:solidFill>
            <a:schemeClr val="accent1"/>
          </a:solidFill>
          <a:ln w="19050">
            <a:solidFill>
              <a:schemeClr val="lt1"/>
            </a:solidFill>
          </a:ln>
          <a:effectLst/>
        </c:spPr>
      </c:pivotFmt>
      <c:pivotFmt>
        <c:idx val="1241"/>
        <c:spPr>
          <a:solidFill>
            <a:schemeClr val="accent1"/>
          </a:solidFill>
          <a:ln w="19050">
            <a:solidFill>
              <a:schemeClr val="lt1"/>
            </a:solidFill>
          </a:ln>
          <a:effectLst/>
        </c:spPr>
      </c:pivotFmt>
      <c:pivotFmt>
        <c:idx val="1242"/>
        <c:spPr>
          <a:solidFill>
            <a:schemeClr val="accent1"/>
          </a:solidFill>
          <a:ln w="19050">
            <a:solidFill>
              <a:schemeClr val="lt1"/>
            </a:solidFill>
          </a:ln>
          <a:effectLst/>
        </c:spPr>
      </c:pivotFmt>
      <c:pivotFmt>
        <c:idx val="1243"/>
        <c:spPr>
          <a:solidFill>
            <a:schemeClr val="accent1"/>
          </a:solidFill>
          <a:ln w="19050">
            <a:solidFill>
              <a:schemeClr val="lt1"/>
            </a:solidFill>
          </a:ln>
          <a:effectLst/>
        </c:spPr>
      </c:pivotFmt>
      <c:pivotFmt>
        <c:idx val="1244"/>
        <c:spPr>
          <a:solidFill>
            <a:schemeClr val="accent1"/>
          </a:solidFill>
          <a:ln w="19050">
            <a:solidFill>
              <a:schemeClr val="lt1"/>
            </a:solidFill>
          </a:ln>
          <a:effectLst/>
        </c:spPr>
      </c:pivotFmt>
      <c:pivotFmt>
        <c:idx val="1245"/>
        <c:spPr>
          <a:solidFill>
            <a:schemeClr val="accent1"/>
          </a:solidFill>
          <a:ln w="19050">
            <a:solidFill>
              <a:schemeClr val="lt1"/>
            </a:solidFill>
          </a:ln>
          <a:effectLst/>
        </c:spPr>
      </c:pivotFmt>
      <c:pivotFmt>
        <c:idx val="1246"/>
        <c:spPr>
          <a:solidFill>
            <a:schemeClr val="accent1"/>
          </a:solidFill>
          <a:ln w="19050">
            <a:solidFill>
              <a:schemeClr val="lt1"/>
            </a:solidFill>
          </a:ln>
          <a:effectLst/>
        </c:spPr>
      </c:pivotFmt>
      <c:pivotFmt>
        <c:idx val="1247"/>
        <c:spPr>
          <a:solidFill>
            <a:schemeClr val="accent1"/>
          </a:solidFill>
          <a:ln w="19050">
            <a:solidFill>
              <a:schemeClr val="lt1"/>
            </a:solidFill>
          </a:ln>
          <a:effectLst/>
        </c:spPr>
      </c:pivotFmt>
      <c:pivotFmt>
        <c:idx val="1248"/>
        <c:spPr>
          <a:solidFill>
            <a:schemeClr val="accent1"/>
          </a:solidFill>
          <a:ln w="19050">
            <a:solidFill>
              <a:schemeClr val="lt1"/>
            </a:solidFill>
          </a:ln>
          <a:effectLst/>
        </c:spPr>
      </c:pivotFmt>
      <c:pivotFmt>
        <c:idx val="1249"/>
        <c:spPr>
          <a:solidFill>
            <a:schemeClr val="accent1"/>
          </a:solidFill>
          <a:ln w="19050">
            <a:solidFill>
              <a:schemeClr val="lt1"/>
            </a:solidFill>
          </a:ln>
          <a:effectLst/>
        </c:spPr>
      </c:pivotFmt>
      <c:pivotFmt>
        <c:idx val="1250"/>
        <c:spPr>
          <a:solidFill>
            <a:schemeClr val="accent1"/>
          </a:solidFill>
          <a:ln w="19050">
            <a:solidFill>
              <a:schemeClr val="lt1"/>
            </a:solidFill>
          </a:ln>
          <a:effectLst/>
        </c:spPr>
      </c:pivotFmt>
      <c:pivotFmt>
        <c:idx val="1251"/>
        <c:spPr>
          <a:solidFill>
            <a:schemeClr val="accent1"/>
          </a:solidFill>
          <a:ln w="19050">
            <a:solidFill>
              <a:schemeClr val="lt1"/>
            </a:solidFill>
          </a:ln>
          <a:effectLst/>
        </c:spPr>
      </c:pivotFmt>
      <c:pivotFmt>
        <c:idx val="1252"/>
        <c:spPr>
          <a:solidFill>
            <a:schemeClr val="accent1"/>
          </a:solidFill>
          <a:ln w="19050">
            <a:solidFill>
              <a:schemeClr val="lt1"/>
            </a:solidFill>
          </a:ln>
          <a:effectLst/>
        </c:spPr>
      </c:pivotFmt>
      <c:pivotFmt>
        <c:idx val="1253"/>
        <c:spPr>
          <a:solidFill>
            <a:schemeClr val="accent1"/>
          </a:solidFill>
          <a:ln w="19050">
            <a:solidFill>
              <a:schemeClr val="lt1"/>
            </a:solidFill>
          </a:ln>
          <a:effectLst/>
        </c:spPr>
      </c:pivotFmt>
      <c:pivotFmt>
        <c:idx val="1254"/>
        <c:spPr>
          <a:solidFill>
            <a:schemeClr val="accent1"/>
          </a:solidFill>
          <a:ln w="19050">
            <a:solidFill>
              <a:schemeClr val="lt1"/>
            </a:solidFill>
          </a:ln>
          <a:effectLst/>
        </c:spPr>
      </c:pivotFmt>
      <c:pivotFmt>
        <c:idx val="1255"/>
        <c:spPr>
          <a:solidFill>
            <a:schemeClr val="accent1"/>
          </a:solidFill>
          <a:ln w="19050">
            <a:solidFill>
              <a:schemeClr val="lt1"/>
            </a:solidFill>
          </a:ln>
          <a:effectLst/>
        </c:spPr>
      </c:pivotFmt>
      <c:pivotFmt>
        <c:idx val="1256"/>
        <c:spPr>
          <a:solidFill>
            <a:schemeClr val="accent1"/>
          </a:solidFill>
          <a:ln w="19050">
            <a:solidFill>
              <a:schemeClr val="lt1"/>
            </a:solidFill>
          </a:ln>
          <a:effectLst/>
        </c:spPr>
      </c:pivotFmt>
      <c:pivotFmt>
        <c:idx val="1257"/>
        <c:spPr>
          <a:solidFill>
            <a:schemeClr val="accent1"/>
          </a:solidFill>
          <a:ln w="19050">
            <a:solidFill>
              <a:schemeClr val="lt1"/>
            </a:solidFill>
          </a:ln>
          <a:effectLst/>
        </c:spPr>
      </c:pivotFmt>
      <c:pivotFmt>
        <c:idx val="1258"/>
        <c:spPr>
          <a:solidFill>
            <a:schemeClr val="accent1"/>
          </a:solidFill>
          <a:ln w="19050">
            <a:solidFill>
              <a:schemeClr val="lt1"/>
            </a:solidFill>
          </a:ln>
          <a:effectLst/>
        </c:spPr>
      </c:pivotFmt>
      <c:pivotFmt>
        <c:idx val="1259"/>
        <c:spPr>
          <a:solidFill>
            <a:schemeClr val="accent1"/>
          </a:solidFill>
          <a:ln w="19050">
            <a:solidFill>
              <a:schemeClr val="lt1"/>
            </a:solidFill>
          </a:ln>
          <a:effectLst/>
        </c:spPr>
      </c:pivotFmt>
      <c:pivotFmt>
        <c:idx val="1260"/>
        <c:spPr>
          <a:solidFill>
            <a:schemeClr val="accent1"/>
          </a:solidFill>
          <a:ln w="19050">
            <a:solidFill>
              <a:schemeClr val="lt1"/>
            </a:solidFill>
          </a:ln>
          <a:effectLst/>
        </c:spPr>
      </c:pivotFmt>
      <c:pivotFmt>
        <c:idx val="1261"/>
        <c:spPr>
          <a:solidFill>
            <a:schemeClr val="accent1"/>
          </a:solidFill>
          <a:ln w="19050">
            <a:solidFill>
              <a:schemeClr val="lt1"/>
            </a:solidFill>
          </a:ln>
          <a:effectLst/>
        </c:spPr>
      </c:pivotFmt>
      <c:pivotFmt>
        <c:idx val="1262"/>
        <c:spPr>
          <a:solidFill>
            <a:schemeClr val="accent1"/>
          </a:solidFill>
          <a:ln w="19050">
            <a:solidFill>
              <a:schemeClr val="lt1"/>
            </a:solidFill>
          </a:ln>
          <a:effectLst/>
        </c:spPr>
      </c:pivotFmt>
      <c:pivotFmt>
        <c:idx val="1263"/>
        <c:spPr>
          <a:solidFill>
            <a:schemeClr val="accent1"/>
          </a:solidFill>
          <a:ln w="19050">
            <a:solidFill>
              <a:schemeClr val="lt1"/>
            </a:solidFill>
          </a:ln>
          <a:effectLst/>
        </c:spPr>
      </c:pivotFmt>
      <c:pivotFmt>
        <c:idx val="1264"/>
        <c:spPr>
          <a:solidFill>
            <a:schemeClr val="accent1"/>
          </a:solidFill>
          <a:ln w="19050">
            <a:solidFill>
              <a:schemeClr val="lt1"/>
            </a:solidFill>
          </a:ln>
          <a:effectLst/>
        </c:spPr>
      </c:pivotFmt>
      <c:pivotFmt>
        <c:idx val="1265"/>
        <c:spPr>
          <a:solidFill>
            <a:schemeClr val="accent1"/>
          </a:solidFill>
          <a:ln w="19050">
            <a:solidFill>
              <a:schemeClr val="lt1"/>
            </a:solidFill>
          </a:ln>
          <a:effectLst/>
        </c:spPr>
      </c:pivotFmt>
      <c:pivotFmt>
        <c:idx val="1266"/>
        <c:spPr>
          <a:solidFill>
            <a:schemeClr val="accent1"/>
          </a:solidFill>
          <a:ln w="19050">
            <a:solidFill>
              <a:schemeClr val="lt1"/>
            </a:solidFill>
          </a:ln>
          <a:effectLst/>
        </c:spPr>
      </c:pivotFmt>
      <c:pivotFmt>
        <c:idx val="1267"/>
        <c:spPr>
          <a:solidFill>
            <a:schemeClr val="accent1"/>
          </a:solidFill>
          <a:ln w="19050">
            <a:solidFill>
              <a:schemeClr val="lt1"/>
            </a:solidFill>
          </a:ln>
          <a:effectLst/>
        </c:spPr>
      </c:pivotFmt>
      <c:pivotFmt>
        <c:idx val="1268"/>
        <c:spPr>
          <a:solidFill>
            <a:schemeClr val="accent1"/>
          </a:solidFill>
          <a:ln w="19050">
            <a:solidFill>
              <a:schemeClr val="lt1"/>
            </a:solidFill>
          </a:ln>
          <a:effectLst/>
        </c:spPr>
      </c:pivotFmt>
      <c:pivotFmt>
        <c:idx val="1269"/>
        <c:spPr>
          <a:solidFill>
            <a:schemeClr val="accent1"/>
          </a:solidFill>
          <a:ln w="19050">
            <a:solidFill>
              <a:schemeClr val="lt1"/>
            </a:solidFill>
          </a:ln>
          <a:effectLst/>
        </c:spPr>
      </c:pivotFmt>
      <c:pivotFmt>
        <c:idx val="1270"/>
        <c:spPr>
          <a:solidFill>
            <a:schemeClr val="accent1"/>
          </a:solidFill>
          <a:ln w="19050">
            <a:solidFill>
              <a:schemeClr val="lt1"/>
            </a:solidFill>
          </a:ln>
          <a:effectLst/>
        </c:spPr>
      </c:pivotFmt>
      <c:pivotFmt>
        <c:idx val="1271"/>
        <c:spPr>
          <a:solidFill>
            <a:schemeClr val="accent1"/>
          </a:solidFill>
          <a:ln w="19050">
            <a:solidFill>
              <a:schemeClr val="lt1"/>
            </a:solidFill>
          </a:ln>
          <a:effectLst/>
        </c:spPr>
      </c:pivotFmt>
      <c:pivotFmt>
        <c:idx val="1272"/>
        <c:spPr>
          <a:solidFill>
            <a:schemeClr val="accent1"/>
          </a:solidFill>
          <a:ln w="19050">
            <a:solidFill>
              <a:schemeClr val="lt1"/>
            </a:solidFill>
          </a:ln>
          <a:effectLst/>
        </c:spPr>
      </c:pivotFmt>
      <c:pivotFmt>
        <c:idx val="1273"/>
        <c:spPr>
          <a:solidFill>
            <a:schemeClr val="accent1"/>
          </a:solidFill>
          <a:ln w="19050">
            <a:solidFill>
              <a:schemeClr val="lt1"/>
            </a:solidFill>
          </a:ln>
          <a:effectLst/>
        </c:spPr>
      </c:pivotFmt>
      <c:pivotFmt>
        <c:idx val="1274"/>
        <c:spPr>
          <a:solidFill>
            <a:schemeClr val="accent1"/>
          </a:solidFill>
          <a:ln w="19050">
            <a:solidFill>
              <a:schemeClr val="lt1"/>
            </a:solidFill>
          </a:ln>
          <a:effectLst/>
        </c:spPr>
      </c:pivotFmt>
      <c:pivotFmt>
        <c:idx val="1275"/>
        <c:spPr>
          <a:solidFill>
            <a:schemeClr val="accent1"/>
          </a:solidFill>
          <a:ln w="19050">
            <a:solidFill>
              <a:schemeClr val="lt1"/>
            </a:solidFill>
          </a:ln>
          <a:effectLst/>
        </c:spPr>
      </c:pivotFmt>
      <c:pivotFmt>
        <c:idx val="1276"/>
        <c:spPr>
          <a:solidFill>
            <a:schemeClr val="accent1"/>
          </a:solidFill>
          <a:ln w="19050">
            <a:solidFill>
              <a:schemeClr val="lt1"/>
            </a:solidFill>
          </a:ln>
          <a:effectLst/>
        </c:spPr>
      </c:pivotFmt>
      <c:pivotFmt>
        <c:idx val="1277"/>
        <c:spPr>
          <a:solidFill>
            <a:schemeClr val="accent1"/>
          </a:solidFill>
          <a:ln w="19050">
            <a:solidFill>
              <a:schemeClr val="lt1"/>
            </a:solidFill>
          </a:ln>
          <a:effectLst/>
        </c:spPr>
      </c:pivotFmt>
      <c:pivotFmt>
        <c:idx val="1278"/>
        <c:spPr>
          <a:solidFill>
            <a:schemeClr val="accent1"/>
          </a:solidFill>
          <a:ln w="19050">
            <a:solidFill>
              <a:schemeClr val="lt1"/>
            </a:solidFill>
          </a:ln>
          <a:effectLst/>
        </c:spPr>
      </c:pivotFmt>
      <c:pivotFmt>
        <c:idx val="1279"/>
        <c:spPr>
          <a:solidFill>
            <a:schemeClr val="accent1"/>
          </a:solidFill>
          <a:ln w="19050">
            <a:solidFill>
              <a:schemeClr val="lt1"/>
            </a:solidFill>
          </a:ln>
          <a:effectLst/>
        </c:spPr>
      </c:pivotFmt>
      <c:pivotFmt>
        <c:idx val="1280"/>
        <c:spPr>
          <a:solidFill>
            <a:schemeClr val="accent1"/>
          </a:solidFill>
          <a:ln w="19050">
            <a:solidFill>
              <a:schemeClr val="lt1"/>
            </a:solidFill>
          </a:ln>
          <a:effectLst/>
        </c:spPr>
      </c:pivotFmt>
      <c:pivotFmt>
        <c:idx val="1281"/>
        <c:spPr>
          <a:solidFill>
            <a:schemeClr val="accent1"/>
          </a:solidFill>
          <a:ln w="19050">
            <a:solidFill>
              <a:schemeClr val="lt1"/>
            </a:solidFill>
          </a:ln>
          <a:effectLst/>
        </c:spPr>
      </c:pivotFmt>
      <c:pivotFmt>
        <c:idx val="1282"/>
        <c:spPr>
          <a:solidFill>
            <a:schemeClr val="accent1"/>
          </a:solidFill>
          <a:ln w="19050">
            <a:solidFill>
              <a:schemeClr val="lt1"/>
            </a:solidFill>
          </a:ln>
          <a:effectLst/>
        </c:spPr>
      </c:pivotFmt>
      <c:pivotFmt>
        <c:idx val="1283"/>
        <c:spPr>
          <a:solidFill>
            <a:schemeClr val="accent1"/>
          </a:solidFill>
          <a:ln w="19050">
            <a:solidFill>
              <a:schemeClr val="lt1"/>
            </a:solidFill>
          </a:ln>
          <a:effectLst/>
        </c:spPr>
      </c:pivotFmt>
      <c:pivotFmt>
        <c:idx val="1284"/>
        <c:spPr>
          <a:solidFill>
            <a:schemeClr val="accent1"/>
          </a:solidFill>
          <a:ln w="19050">
            <a:solidFill>
              <a:schemeClr val="lt1"/>
            </a:solidFill>
          </a:ln>
          <a:effectLst/>
        </c:spPr>
      </c:pivotFmt>
      <c:pivotFmt>
        <c:idx val="1285"/>
        <c:spPr>
          <a:solidFill>
            <a:schemeClr val="accent1"/>
          </a:solidFill>
          <a:ln w="19050">
            <a:solidFill>
              <a:schemeClr val="lt1"/>
            </a:solidFill>
          </a:ln>
          <a:effectLst/>
        </c:spPr>
      </c:pivotFmt>
      <c:pivotFmt>
        <c:idx val="1286"/>
        <c:spPr>
          <a:solidFill>
            <a:schemeClr val="accent1"/>
          </a:solidFill>
          <a:ln w="19050">
            <a:solidFill>
              <a:schemeClr val="lt1"/>
            </a:solidFill>
          </a:ln>
          <a:effectLst/>
        </c:spPr>
      </c:pivotFmt>
      <c:pivotFmt>
        <c:idx val="1287"/>
        <c:spPr>
          <a:solidFill>
            <a:schemeClr val="accent1"/>
          </a:solidFill>
          <a:ln w="19050">
            <a:solidFill>
              <a:schemeClr val="lt1"/>
            </a:solidFill>
          </a:ln>
          <a:effectLst/>
        </c:spPr>
      </c:pivotFmt>
      <c:pivotFmt>
        <c:idx val="1288"/>
        <c:spPr>
          <a:solidFill>
            <a:schemeClr val="accent1"/>
          </a:solidFill>
          <a:ln w="19050">
            <a:solidFill>
              <a:schemeClr val="lt1"/>
            </a:solidFill>
          </a:ln>
          <a:effectLst/>
        </c:spPr>
      </c:pivotFmt>
      <c:pivotFmt>
        <c:idx val="1289"/>
        <c:spPr>
          <a:solidFill>
            <a:schemeClr val="accent1"/>
          </a:solidFill>
          <a:ln w="19050">
            <a:solidFill>
              <a:schemeClr val="lt1"/>
            </a:solidFill>
          </a:ln>
          <a:effectLst/>
        </c:spPr>
      </c:pivotFmt>
      <c:pivotFmt>
        <c:idx val="1290"/>
        <c:spPr>
          <a:solidFill>
            <a:schemeClr val="accent1"/>
          </a:solidFill>
          <a:ln w="19050">
            <a:solidFill>
              <a:schemeClr val="lt1"/>
            </a:solidFill>
          </a:ln>
          <a:effectLst/>
        </c:spPr>
      </c:pivotFmt>
      <c:pivotFmt>
        <c:idx val="1291"/>
        <c:spPr>
          <a:solidFill>
            <a:schemeClr val="accent1"/>
          </a:solidFill>
          <a:ln w="19050">
            <a:solidFill>
              <a:schemeClr val="lt1"/>
            </a:solidFill>
          </a:ln>
          <a:effectLst/>
        </c:spPr>
      </c:pivotFmt>
      <c:pivotFmt>
        <c:idx val="1292"/>
        <c:spPr>
          <a:solidFill>
            <a:schemeClr val="accent1"/>
          </a:solidFill>
          <a:ln w="19050">
            <a:solidFill>
              <a:schemeClr val="lt1"/>
            </a:solidFill>
          </a:ln>
          <a:effectLst/>
        </c:spPr>
      </c:pivotFmt>
      <c:pivotFmt>
        <c:idx val="1293"/>
        <c:spPr>
          <a:solidFill>
            <a:schemeClr val="accent1"/>
          </a:solidFill>
          <a:ln w="19050">
            <a:solidFill>
              <a:schemeClr val="lt1"/>
            </a:solidFill>
          </a:ln>
          <a:effectLst/>
        </c:spPr>
      </c:pivotFmt>
      <c:pivotFmt>
        <c:idx val="1294"/>
        <c:spPr>
          <a:solidFill>
            <a:schemeClr val="accent1"/>
          </a:solidFill>
          <a:ln w="19050">
            <a:solidFill>
              <a:schemeClr val="lt1"/>
            </a:solidFill>
          </a:ln>
          <a:effectLst/>
        </c:spPr>
      </c:pivotFmt>
      <c:pivotFmt>
        <c:idx val="1295"/>
        <c:spPr>
          <a:solidFill>
            <a:schemeClr val="accent1"/>
          </a:solidFill>
          <a:ln w="19050">
            <a:solidFill>
              <a:schemeClr val="lt1"/>
            </a:solidFill>
          </a:ln>
          <a:effectLst/>
        </c:spPr>
      </c:pivotFmt>
      <c:pivotFmt>
        <c:idx val="1296"/>
        <c:spPr>
          <a:solidFill>
            <a:schemeClr val="accent1"/>
          </a:solidFill>
          <a:ln w="19050">
            <a:solidFill>
              <a:schemeClr val="lt1"/>
            </a:solidFill>
          </a:ln>
          <a:effectLst/>
        </c:spPr>
      </c:pivotFmt>
      <c:pivotFmt>
        <c:idx val="1297"/>
        <c:spPr>
          <a:solidFill>
            <a:schemeClr val="accent1"/>
          </a:solidFill>
          <a:ln w="19050">
            <a:solidFill>
              <a:schemeClr val="lt1"/>
            </a:solidFill>
          </a:ln>
          <a:effectLst/>
        </c:spPr>
      </c:pivotFmt>
      <c:pivotFmt>
        <c:idx val="1298"/>
        <c:spPr>
          <a:solidFill>
            <a:schemeClr val="accent1"/>
          </a:solidFill>
          <a:ln w="19050">
            <a:solidFill>
              <a:schemeClr val="lt1"/>
            </a:solidFill>
          </a:ln>
          <a:effectLst/>
        </c:spPr>
      </c:pivotFmt>
      <c:pivotFmt>
        <c:idx val="1299"/>
        <c:spPr>
          <a:solidFill>
            <a:schemeClr val="accent1"/>
          </a:solidFill>
          <a:ln w="19050">
            <a:solidFill>
              <a:schemeClr val="lt1"/>
            </a:solidFill>
          </a:ln>
          <a:effectLst/>
        </c:spPr>
      </c:pivotFmt>
      <c:pivotFmt>
        <c:idx val="1300"/>
        <c:spPr>
          <a:solidFill>
            <a:schemeClr val="accent1"/>
          </a:solidFill>
          <a:ln w="19050">
            <a:solidFill>
              <a:schemeClr val="lt1"/>
            </a:solidFill>
          </a:ln>
          <a:effectLst/>
        </c:spPr>
      </c:pivotFmt>
      <c:pivotFmt>
        <c:idx val="1301"/>
        <c:spPr>
          <a:solidFill>
            <a:schemeClr val="accent1"/>
          </a:solidFill>
          <a:ln w="19050">
            <a:solidFill>
              <a:schemeClr val="lt1"/>
            </a:solidFill>
          </a:ln>
          <a:effectLst/>
        </c:spPr>
      </c:pivotFmt>
      <c:pivotFmt>
        <c:idx val="1302"/>
        <c:spPr>
          <a:solidFill>
            <a:schemeClr val="accent1"/>
          </a:solidFill>
          <a:ln w="19050">
            <a:solidFill>
              <a:schemeClr val="lt1"/>
            </a:solidFill>
          </a:ln>
          <a:effectLst/>
        </c:spPr>
      </c:pivotFmt>
      <c:pivotFmt>
        <c:idx val="1303"/>
        <c:spPr>
          <a:solidFill>
            <a:schemeClr val="accent1"/>
          </a:solidFill>
          <a:ln w="19050">
            <a:solidFill>
              <a:schemeClr val="lt1"/>
            </a:solidFill>
          </a:ln>
          <a:effectLst/>
        </c:spPr>
      </c:pivotFmt>
      <c:pivotFmt>
        <c:idx val="1304"/>
        <c:spPr>
          <a:solidFill>
            <a:schemeClr val="accent1"/>
          </a:solidFill>
          <a:ln w="19050">
            <a:solidFill>
              <a:schemeClr val="lt1"/>
            </a:solidFill>
          </a:ln>
          <a:effectLst/>
        </c:spPr>
      </c:pivotFmt>
      <c:pivotFmt>
        <c:idx val="1305"/>
        <c:spPr>
          <a:solidFill>
            <a:schemeClr val="accent1"/>
          </a:solidFill>
          <a:ln w="19050">
            <a:solidFill>
              <a:schemeClr val="lt1"/>
            </a:solidFill>
          </a:ln>
          <a:effectLst/>
        </c:spPr>
      </c:pivotFmt>
      <c:pivotFmt>
        <c:idx val="1306"/>
        <c:spPr>
          <a:solidFill>
            <a:schemeClr val="accent1"/>
          </a:solidFill>
          <a:ln w="19050">
            <a:solidFill>
              <a:schemeClr val="lt1"/>
            </a:solidFill>
          </a:ln>
          <a:effectLst/>
        </c:spPr>
      </c:pivotFmt>
      <c:pivotFmt>
        <c:idx val="1307"/>
        <c:spPr>
          <a:solidFill>
            <a:schemeClr val="accent1"/>
          </a:solidFill>
          <a:ln w="19050">
            <a:solidFill>
              <a:schemeClr val="lt1"/>
            </a:solidFill>
          </a:ln>
          <a:effectLst/>
        </c:spPr>
      </c:pivotFmt>
      <c:pivotFmt>
        <c:idx val="1308"/>
        <c:spPr>
          <a:solidFill>
            <a:schemeClr val="accent1"/>
          </a:solidFill>
          <a:ln w="19050">
            <a:solidFill>
              <a:schemeClr val="lt1"/>
            </a:solidFill>
          </a:ln>
          <a:effectLst/>
        </c:spPr>
      </c:pivotFmt>
      <c:pivotFmt>
        <c:idx val="1309"/>
        <c:spPr>
          <a:solidFill>
            <a:schemeClr val="accent1"/>
          </a:solidFill>
          <a:ln w="19050">
            <a:solidFill>
              <a:schemeClr val="lt1"/>
            </a:solidFill>
          </a:ln>
          <a:effectLst/>
        </c:spPr>
      </c:pivotFmt>
      <c:pivotFmt>
        <c:idx val="1310"/>
        <c:spPr>
          <a:solidFill>
            <a:schemeClr val="accent1"/>
          </a:solidFill>
          <a:ln w="19050">
            <a:solidFill>
              <a:schemeClr val="lt1"/>
            </a:solidFill>
          </a:ln>
          <a:effectLst/>
        </c:spPr>
      </c:pivotFmt>
      <c:pivotFmt>
        <c:idx val="1311"/>
        <c:spPr>
          <a:solidFill>
            <a:schemeClr val="accent1"/>
          </a:solidFill>
          <a:ln w="19050">
            <a:solidFill>
              <a:schemeClr val="lt1"/>
            </a:solidFill>
          </a:ln>
          <a:effectLst/>
        </c:spPr>
      </c:pivotFmt>
      <c:pivotFmt>
        <c:idx val="1312"/>
        <c:spPr>
          <a:solidFill>
            <a:schemeClr val="accent1"/>
          </a:solidFill>
          <a:ln w="19050">
            <a:solidFill>
              <a:schemeClr val="lt1"/>
            </a:solidFill>
          </a:ln>
          <a:effectLst/>
        </c:spPr>
      </c:pivotFmt>
      <c:pivotFmt>
        <c:idx val="1313"/>
        <c:spPr>
          <a:solidFill>
            <a:schemeClr val="accent1"/>
          </a:solidFill>
          <a:ln w="19050">
            <a:solidFill>
              <a:schemeClr val="lt1"/>
            </a:solidFill>
          </a:ln>
          <a:effectLst/>
        </c:spPr>
      </c:pivotFmt>
      <c:pivotFmt>
        <c:idx val="1314"/>
        <c:spPr>
          <a:solidFill>
            <a:schemeClr val="accent1"/>
          </a:solidFill>
          <a:ln w="19050">
            <a:solidFill>
              <a:schemeClr val="lt1"/>
            </a:solidFill>
          </a:ln>
          <a:effectLst/>
        </c:spPr>
      </c:pivotFmt>
      <c:pivotFmt>
        <c:idx val="1315"/>
        <c:spPr>
          <a:solidFill>
            <a:schemeClr val="accent1"/>
          </a:solidFill>
          <a:ln w="19050">
            <a:solidFill>
              <a:schemeClr val="lt1"/>
            </a:solidFill>
          </a:ln>
          <a:effectLst/>
        </c:spPr>
      </c:pivotFmt>
      <c:pivotFmt>
        <c:idx val="1316"/>
        <c:spPr>
          <a:solidFill>
            <a:schemeClr val="accent1"/>
          </a:solidFill>
          <a:ln w="19050">
            <a:solidFill>
              <a:schemeClr val="lt1"/>
            </a:solidFill>
          </a:ln>
          <a:effectLst/>
        </c:spPr>
      </c:pivotFmt>
      <c:pivotFmt>
        <c:idx val="1317"/>
        <c:spPr>
          <a:solidFill>
            <a:schemeClr val="accent1"/>
          </a:solidFill>
          <a:ln w="19050">
            <a:solidFill>
              <a:schemeClr val="lt1"/>
            </a:solidFill>
          </a:ln>
          <a:effectLst/>
        </c:spPr>
      </c:pivotFmt>
      <c:pivotFmt>
        <c:idx val="1318"/>
        <c:spPr>
          <a:solidFill>
            <a:schemeClr val="accent1"/>
          </a:solidFill>
          <a:ln w="19050">
            <a:solidFill>
              <a:schemeClr val="lt1"/>
            </a:solidFill>
          </a:ln>
          <a:effectLst/>
        </c:spPr>
      </c:pivotFmt>
      <c:pivotFmt>
        <c:idx val="1319"/>
        <c:spPr>
          <a:solidFill>
            <a:schemeClr val="accent1"/>
          </a:solidFill>
          <a:ln w="19050">
            <a:solidFill>
              <a:schemeClr val="lt1"/>
            </a:solidFill>
          </a:ln>
          <a:effectLst/>
        </c:spPr>
      </c:pivotFmt>
      <c:pivotFmt>
        <c:idx val="1320"/>
        <c:spPr>
          <a:solidFill>
            <a:schemeClr val="accent1"/>
          </a:solidFill>
          <a:ln w="19050">
            <a:solidFill>
              <a:schemeClr val="lt1"/>
            </a:solidFill>
          </a:ln>
          <a:effectLst/>
        </c:spPr>
      </c:pivotFmt>
      <c:pivotFmt>
        <c:idx val="1321"/>
        <c:spPr>
          <a:solidFill>
            <a:schemeClr val="accent1"/>
          </a:solidFill>
          <a:ln w="19050">
            <a:solidFill>
              <a:schemeClr val="lt1"/>
            </a:solidFill>
          </a:ln>
          <a:effectLst/>
        </c:spPr>
      </c:pivotFmt>
      <c:pivotFmt>
        <c:idx val="1322"/>
        <c:spPr>
          <a:solidFill>
            <a:schemeClr val="accent1"/>
          </a:solidFill>
          <a:ln w="19050">
            <a:solidFill>
              <a:schemeClr val="lt1"/>
            </a:solidFill>
          </a:ln>
          <a:effectLst/>
        </c:spPr>
      </c:pivotFmt>
      <c:pivotFmt>
        <c:idx val="1323"/>
        <c:spPr>
          <a:solidFill>
            <a:schemeClr val="accent1"/>
          </a:solidFill>
          <a:ln w="19050">
            <a:solidFill>
              <a:schemeClr val="lt1"/>
            </a:solidFill>
          </a:ln>
          <a:effectLst/>
        </c:spPr>
      </c:pivotFmt>
      <c:pivotFmt>
        <c:idx val="1324"/>
        <c:spPr>
          <a:solidFill>
            <a:schemeClr val="accent1"/>
          </a:solidFill>
          <a:ln w="19050">
            <a:solidFill>
              <a:schemeClr val="lt1"/>
            </a:solidFill>
          </a:ln>
          <a:effectLst/>
        </c:spPr>
      </c:pivotFmt>
      <c:pivotFmt>
        <c:idx val="1325"/>
        <c:spPr>
          <a:solidFill>
            <a:schemeClr val="accent1"/>
          </a:solidFill>
          <a:ln w="19050">
            <a:solidFill>
              <a:schemeClr val="lt1"/>
            </a:solidFill>
          </a:ln>
          <a:effectLst/>
        </c:spPr>
      </c:pivotFmt>
      <c:pivotFmt>
        <c:idx val="1326"/>
        <c:spPr>
          <a:solidFill>
            <a:schemeClr val="accent1"/>
          </a:solidFill>
          <a:ln w="19050">
            <a:solidFill>
              <a:schemeClr val="lt1"/>
            </a:solidFill>
          </a:ln>
          <a:effectLst/>
        </c:spPr>
      </c:pivotFmt>
      <c:pivotFmt>
        <c:idx val="1327"/>
        <c:spPr>
          <a:solidFill>
            <a:schemeClr val="accent1"/>
          </a:solidFill>
          <a:ln w="19050">
            <a:solidFill>
              <a:schemeClr val="lt1"/>
            </a:solidFill>
          </a:ln>
          <a:effectLst/>
        </c:spPr>
      </c:pivotFmt>
      <c:pivotFmt>
        <c:idx val="1328"/>
        <c:spPr>
          <a:solidFill>
            <a:schemeClr val="accent1"/>
          </a:solidFill>
          <a:ln w="19050">
            <a:solidFill>
              <a:schemeClr val="lt1"/>
            </a:solidFill>
          </a:ln>
          <a:effectLst/>
        </c:spPr>
      </c:pivotFmt>
      <c:pivotFmt>
        <c:idx val="1329"/>
        <c:spPr>
          <a:solidFill>
            <a:schemeClr val="accent1"/>
          </a:solidFill>
          <a:ln w="19050">
            <a:solidFill>
              <a:schemeClr val="lt1"/>
            </a:solidFill>
          </a:ln>
          <a:effectLst/>
        </c:spPr>
      </c:pivotFmt>
      <c:pivotFmt>
        <c:idx val="1330"/>
        <c:spPr>
          <a:solidFill>
            <a:schemeClr val="accent1"/>
          </a:solidFill>
          <a:ln w="19050">
            <a:solidFill>
              <a:schemeClr val="lt1"/>
            </a:solidFill>
          </a:ln>
          <a:effectLst/>
        </c:spPr>
      </c:pivotFmt>
      <c:pivotFmt>
        <c:idx val="1331"/>
        <c:spPr>
          <a:solidFill>
            <a:schemeClr val="accent1"/>
          </a:solidFill>
          <a:ln w="19050">
            <a:solidFill>
              <a:schemeClr val="lt1"/>
            </a:solidFill>
          </a:ln>
          <a:effectLst/>
        </c:spPr>
      </c:pivotFmt>
      <c:pivotFmt>
        <c:idx val="1332"/>
        <c:spPr>
          <a:solidFill>
            <a:schemeClr val="accent1"/>
          </a:solidFill>
          <a:ln w="19050">
            <a:solidFill>
              <a:schemeClr val="lt1"/>
            </a:solidFill>
          </a:ln>
          <a:effectLst/>
        </c:spPr>
      </c:pivotFmt>
      <c:pivotFmt>
        <c:idx val="1333"/>
        <c:spPr>
          <a:solidFill>
            <a:schemeClr val="accent1"/>
          </a:solidFill>
          <a:ln w="19050">
            <a:solidFill>
              <a:schemeClr val="lt1"/>
            </a:solidFill>
          </a:ln>
          <a:effectLst/>
        </c:spPr>
      </c:pivotFmt>
      <c:pivotFmt>
        <c:idx val="1334"/>
        <c:spPr>
          <a:solidFill>
            <a:schemeClr val="accent1"/>
          </a:solidFill>
          <a:ln w="19050">
            <a:solidFill>
              <a:schemeClr val="lt1"/>
            </a:solidFill>
          </a:ln>
          <a:effectLst/>
        </c:spPr>
      </c:pivotFmt>
      <c:pivotFmt>
        <c:idx val="1335"/>
        <c:spPr>
          <a:solidFill>
            <a:schemeClr val="accent1"/>
          </a:solidFill>
          <a:ln w="19050">
            <a:solidFill>
              <a:schemeClr val="lt1"/>
            </a:solidFill>
          </a:ln>
          <a:effectLst/>
        </c:spPr>
      </c:pivotFmt>
      <c:pivotFmt>
        <c:idx val="1336"/>
        <c:spPr>
          <a:solidFill>
            <a:schemeClr val="accent1"/>
          </a:solidFill>
          <a:ln w="19050">
            <a:solidFill>
              <a:schemeClr val="lt1"/>
            </a:solidFill>
          </a:ln>
          <a:effectLst/>
        </c:spPr>
      </c:pivotFmt>
      <c:pivotFmt>
        <c:idx val="1337"/>
        <c:spPr>
          <a:solidFill>
            <a:schemeClr val="accent1"/>
          </a:solidFill>
          <a:ln w="19050">
            <a:solidFill>
              <a:schemeClr val="lt1"/>
            </a:solidFill>
          </a:ln>
          <a:effectLst/>
        </c:spPr>
      </c:pivotFmt>
      <c:pivotFmt>
        <c:idx val="1338"/>
        <c:spPr>
          <a:solidFill>
            <a:schemeClr val="accent1"/>
          </a:solidFill>
          <a:ln w="19050">
            <a:solidFill>
              <a:schemeClr val="lt1"/>
            </a:solidFill>
          </a:ln>
          <a:effectLst/>
        </c:spPr>
      </c:pivotFmt>
      <c:pivotFmt>
        <c:idx val="1339"/>
        <c:spPr>
          <a:solidFill>
            <a:schemeClr val="accent1"/>
          </a:solidFill>
          <a:ln w="19050">
            <a:solidFill>
              <a:schemeClr val="lt1"/>
            </a:solidFill>
          </a:ln>
          <a:effectLst/>
        </c:spPr>
      </c:pivotFmt>
      <c:pivotFmt>
        <c:idx val="1340"/>
        <c:spPr>
          <a:solidFill>
            <a:schemeClr val="accent1"/>
          </a:solidFill>
          <a:ln w="19050">
            <a:solidFill>
              <a:schemeClr val="lt1"/>
            </a:solidFill>
          </a:ln>
          <a:effectLst/>
        </c:spPr>
      </c:pivotFmt>
      <c:pivotFmt>
        <c:idx val="1341"/>
        <c:spPr>
          <a:solidFill>
            <a:schemeClr val="accent1"/>
          </a:solidFill>
          <a:ln w="19050">
            <a:solidFill>
              <a:schemeClr val="lt1"/>
            </a:solidFill>
          </a:ln>
          <a:effectLst/>
        </c:spPr>
      </c:pivotFmt>
      <c:pivotFmt>
        <c:idx val="1342"/>
        <c:spPr>
          <a:solidFill>
            <a:schemeClr val="accent1"/>
          </a:solidFill>
          <a:ln w="19050">
            <a:solidFill>
              <a:schemeClr val="lt1"/>
            </a:solidFill>
          </a:ln>
          <a:effectLst/>
        </c:spPr>
      </c:pivotFmt>
      <c:pivotFmt>
        <c:idx val="1343"/>
        <c:spPr>
          <a:solidFill>
            <a:schemeClr val="accent1"/>
          </a:solidFill>
          <a:ln w="19050">
            <a:solidFill>
              <a:schemeClr val="lt1"/>
            </a:solidFill>
          </a:ln>
          <a:effectLst/>
        </c:spPr>
      </c:pivotFmt>
      <c:pivotFmt>
        <c:idx val="1344"/>
        <c:spPr>
          <a:solidFill>
            <a:schemeClr val="accent1"/>
          </a:solidFill>
          <a:ln w="19050">
            <a:solidFill>
              <a:schemeClr val="lt1"/>
            </a:solidFill>
          </a:ln>
          <a:effectLst/>
        </c:spPr>
      </c:pivotFmt>
      <c:pivotFmt>
        <c:idx val="1345"/>
        <c:spPr>
          <a:solidFill>
            <a:schemeClr val="accent1"/>
          </a:solidFill>
          <a:ln w="19050">
            <a:solidFill>
              <a:schemeClr val="lt1"/>
            </a:solidFill>
          </a:ln>
          <a:effectLst/>
        </c:spPr>
      </c:pivotFmt>
      <c:pivotFmt>
        <c:idx val="1346"/>
        <c:spPr>
          <a:solidFill>
            <a:schemeClr val="accent1"/>
          </a:solidFill>
          <a:ln w="19050">
            <a:solidFill>
              <a:schemeClr val="lt1"/>
            </a:solidFill>
          </a:ln>
          <a:effectLst/>
        </c:spPr>
      </c:pivotFmt>
      <c:pivotFmt>
        <c:idx val="1347"/>
        <c:spPr>
          <a:solidFill>
            <a:schemeClr val="accent1"/>
          </a:solidFill>
          <a:ln w="19050">
            <a:solidFill>
              <a:schemeClr val="lt1"/>
            </a:solidFill>
          </a:ln>
          <a:effectLst/>
        </c:spPr>
      </c:pivotFmt>
      <c:pivotFmt>
        <c:idx val="1348"/>
        <c:spPr>
          <a:solidFill>
            <a:schemeClr val="accent1"/>
          </a:solidFill>
          <a:ln w="19050">
            <a:solidFill>
              <a:schemeClr val="lt1"/>
            </a:solidFill>
          </a:ln>
          <a:effectLst/>
        </c:spPr>
      </c:pivotFmt>
      <c:pivotFmt>
        <c:idx val="1349"/>
        <c:spPr>
          <a:solidFill>
            <a:schemeClr val="accent1"/>
          </a:solidFill>
          <a:ln w="19050">
            <a:solidFill>
              <a:schemeClr val="lt1"/>
            </a:solidFill>
          </a:ln>
          <a:effectLst/>
        </c:spPr>
      </c:pivotFmt>
      <c:pivotFmt>
        <c:idx val="1350"/>
        <c:spPr>
          <a:solidFill>
            <a:schemeClr val="accent1"/>
          </a:solidFill>
          <a:ln w="19050">
            <a:solidFill>
              <a:schemeClr val="lt1"/>
            </a:solidFill>
          </a:ln>
          <a:effectLst/>
        </c:spPr>
      </c:pivotFmt>
      <c:pivotFmt>
        <c:idx val="1351"/>
        <c:spPr>
          <a:solidFill>
            <a:schemeClr val="accent1"/>
          </a:solidFill>
          <a:ln w="19050">
            <a:solidFill>
              <a:schemeClr val="lt1"/>
            </a:solidFill>
          </a:ln>
          <a:effectLst/>
        </c:spPr>
      </c:pivotFmt>
      <c:pivotFmt>
        <c:idx val="1352"/>
        <c:spPr>
          <a:solidFill>
            <a:schemeClr val="accent1"/>
          </a:solidFill>
          <a:ln w="19050">
            <a:solidFill>
              <a:schemeClr val="lt1"/>
            </a:solidFill>
          </a:ln>
          <a:effectLst/>
        </c:spPr>
      </c:pivotFmt>
      <c:pivotFmt>
        <c:idx val="1353"/>
        <c:spPr>
          <a:solidFill>
            <a:schemeClr val="accent1"/>
          </a:solidFill>
          <a:ln w="19050">
            <a:solidFill>
              <a:schemeClr val="lt1"/>
            </a:solidFill>
          </a:ln>
          <a:effectLst/>
        </c:spPr>
      </c:pivotFmt>
      <c:pivotFmt>
        <c:idx val="1354"/>
        <c:spPr>
          <a:solidFill>
            <a:schemeClr val="accent1"/>
          </a:solidFill>
          <a:ln w="19050">
            <a:solidFill>
              <a:schemeClr val="lt1"/>
            </a:solidFill>
          </a:ln>
          <a:effectLst/>
        </c:spPr>
      </c:pivotFmt>
      <c:pivotFmt>
        <c:idx val="1355"/>
        <c:spPr>
          <a:solidFill>
            <a:schemeClr val="accent1"/>
          </a:solidFill>
          <a:ln w="19050">
            <a:solidFill>
              <a:schemeClr val="lt1"/>
            </a:solidFill>
          </a:ln>
          <a:effectLst/>
        </c:spPr>
      </c:pivotFmt>
      <c:pivotFmt>
        <c:idx val="1356"/>
        <c:spPr>
          <a:solidFill>
            <a:schemeClr val="accent1"/>
          </a:solidFill>
          <a:ln w="19050">
            <a:solidFill>
              <a:schemeClr val="lt1"/>
            </a:solidFill>
          </a:ln>
          <a:effectLst/>
        </c:spPr>
      </c:pivotFmt>
      <c:pivotFmt>
        <c:idx val="1357"/>
        <c:spPr>
          <a:solidFill>
            <a:schemeClr val="accent1"/>
          </a:solidFill>
          <a:ln w="19050">
            <a:solidFill>
              <a:schemeClr val="lt1"/>
            </a:solidFill>
          </a:ln>
          <a:effectLst/>
        </c:spPr>
      </c:pivotFmt>
      <c:pivotFmt>
        <c:idx val="1358"/>
        <c:spPr>
          <a:solidFill>
            <a:schemeClr val="accent1"/>
          </a:solidFill>
          <a:ln w="19050">
            <a:solidFill>
              <a:schemeClr val="lt1"/>
            </a:solidFill>
          </a:ln>
          <a:effectLst/>
        </c:spPr>
      </c:pivotFmt>
      <c:pivotFmt>
        <c:idx val="1359"/>
        <c:spPr>
          <a:solidFill>
            <a:schemeClr val="accent1"/>
          </a:solidFill>
          <a:ln w="19050">
            <a:solidFill>
              <a:schemeClr val="lt1"/>
            </a:solidFill>
          </a:ln>
          <a:effectLst/>
        </c:spPr>
      </c:pivotFmt>
      <c:pivotFmt>
        <c:idx val="1360"/>
        <c:spPr>
          <a:solidFill>
            <a:schemeClr val="accent1"/>
          </a:solidFill>
          <a:ln w="19050">
            <a:solidFill>
              <a:schemeClr val="lt1"/>
            </a:solidFill>
          </a:ln>
          <a:effectLst/>
        </c:spPr>
      </c:pivotFmt>
      <c:pivotFmt>
        <c:idx val="1361"/>
        <c:spPr>
          <a:solidFill>
            <a:schemeClr val="accent1"/>
          </a:solidFill>
          <a:ln w="19050">
            <a:solidFill>
              <a:schemeClr val="lt1"/>
            </a:solidFill>
          </a:ln>
          <a:effectLst/>
        </c:spPr>
      </c:pivotFmt>
      <c:pivotFmt>
        <c:idx val="1362"/>
        <c:spPr>
          <a:solidFill>
            <a:schemeClr val="accent1"/>
          </a:solidFill>
          <a:ln w="19050">
            <a:solidFill>
              <a:schemeClr val="lt1"/>
            </a:solidFill>
          </a:ln>
          <a:effectLst/>
        </c:spPr>
      </c:pivotFmt>
      <c:pivotFmt>
        <c:idx val="1363"/>
        <c:spPr>
          <a:solidFill>
            <a:schemeClr val="accent1"/>
          </a:solidFill>
          <a:ln w="19050">
            <a:solidFill>
              <a:schemeClr val="lt1"/>
            </a:solidFill>
          </a:ln>
          <a:effectLst/>
        </c:spPr>
      </c:pivotFmt>
      <c:pivotFmt>
        <c:idx val="1364"/>
        <c:spPr>
          <a:solidFill>
            <a:schemeClr val="accent1"/>
          </a:solidFill>
          <a:ln w="19050">
            <a:solidFill>
              <a:schemeClr val="lt1"/>
            </a:solidFill>
          </a:ln>
          <a:effectLst/>
        </c:spPr>
      </c:pivotFmt>
      <c:pivotFmt>
        <c:idx val="1365"/>
        <c:spPr>
          <a:solidFill>
            <a:schemeClr val="accent1"/>
          </a:solidFill>
          <a:ln w="19050">
            <a:solidFill>
              <a:schemeClr val="lt1"/>
            </a:solidFill>
          </a:ln>
          <a:effectLst/>
        </c:spPr>
      </c:pivotFmt>
      <c:pivotFmt>
        <c:idx val="1366"/>
        <c:spPr>
          <a:solidFill>
            <a:schemeClr val="accent1"/>
          </a:solidFill>
          <a:ln w="19050">
            <a:solidFill>
              <a:schemeClr val="lt1"/>
            </a:solidFill>
          </a:ln>
          <a:effectLst/>
        </c:spPr>
      </c:pivotFmt>
      <c:pivotFmt>
        <c:idx val="1367"/>
        <c:spPr>
          <a:solidFill>
            <a:schemeClr val="accent1"/>
          </a:solidFill>
          <a:ln w="19050">
            <a:solidFill>
              <a:schemeClr val="lt1"/>
            </a:solidFill>
          </a:ln>
          <a:effectLst/>
        </c:spPr>
      </c:pivotFmt>
      <c:pivotFmt>
        <c:idx val="1368"/>
        <c:spPr>
          <a:solidFill>
            <a:schemeClr val="accent1"/>
          </a:solidFill>
          <a:ln w="19050">
            <a:solidFill>
              <a:schemeClr val="lt1"/>
            </a:solidFill>
          </a:ln>
          <a:effectLst/>
        </c:spPr>
      </c:pivotFmt>
      <c:pivotFmt>
        <c:idx val="1369"/>
        <c:spPr>
          <a:solidFill>
            <a:schemeClr val="accent1"/>
          </a:solidFill>
          <a:ln w="19050">
            <a:solidFill>
              <a:schemeClr val="lt1"/>
            </a:solidFill>
          </a:ln>
          <a:effectLst/>
        </c:spPr>
      </c:pivotFmt>
      <c:pivotFmt>
        <c:idx val="1370"/>
        <c:spPr>
          <a:solidFill>
            <a:schemeClr val="accent1"/>
          </a:solidFill>
          <a:ln w="19050">
            <a:solidFill>
              <a:schemeClr val="lt1"/>
            </a:solidFill>
          </a:ln>
          <a:effectLst/>
        </c:spPr>
      </c:pivotFmt>
      <c:pivotFmt>
        <c:idx val="1371"/>
        <c:spPr>
          <a:solidFill>
            <a:schemeClr val="accent1"/>
          </a:solidFill>
          <a:ln w="19050">
            <a:solidFill>
              <a:schemeClr val="lt1"/>
            </a:solidFill>
          </a:ln>
          <a:effectLst/>
        </c:spPr>
      </c:pivotFmt>
      <c:pivotFmt>
        <c:idx val="1372"/>
        <c:spPr>
          <a:solidFill>
            <a:schemeClr val="accent1"/>
          </a:solidFill>
          <a:ln w="19050">
            <a:solidFill>
              <a:schemeClr val="lt1"/>
            </a:solidFill>
          </a:ln>
          <a:effectLst/>
        </c:spPr>
      </c:pivotFmt>
      <c:pivotFmt>
        <c:idx val="1373"/>
        <c:spPr>
          <a:solidFill>
            <a:schemeClr val="accent1"/>
          </a:solidFill>
          <a:ln w="19050">
            <a:solidFill>
              <a:schemeClr val="lt1"/>
            </a:solidFill>
          </a:ln>
          <a:effectLst/>
        </c:spPr>
      </c:pivotFmt>
      <c:pivotFmt>
        <c:idx val="1374"/>
        <c:spPr>
          <a:solidFill>
            <a:schemeClr val="accent1"/>
          </a:solidFill>
          <a:ln w="19050">
            <a:solidFill>
              <a:schemeClr val="lt1"/>
            </a:solidFill>
          </a:ln>
          <a:effectLst/>
        </c:spPr>
      </c:pivotFmt>
      <c:pivotFmt>
        <c:idx val="1375"/>
        <c:spPr>
          <a:solidFill>
            <a:schemeClr val="accent1"/>
          </a:solidFill>
          <a:ln w="19050">
            <a:solidFill>
              <a:schemeClr val="lt1"/>
            </a:solidFill>
          </a:ln>
          <a:effectLst/>
        </c:spPr>
      </c:pivotFmt>
      <c:pivotFmt>
        <c:idx val="1376"/>
        <c:spPr>
          <a:solidFill>
            <a:schemeClr val="accent1"/>
          </a:solidFill>
          <a:ln w="19050">
            <a:solidFill>
              <a:schemeClr val="lt1"/>
            </a:solidFill>
          </a:ln>
          <a:effectLst/>
        </c:spPr>
      </c:pivotFmt>
      <c:pivotFmt>
        <c:idx val="1377"/>
        <c:spPr>
          <a:solidFill>
            <a:schemeClr val="accent1"/>
          </a:solidFill>
          <a:ln w="19050">
            <a:solidFill>
              <a:schemeClr val="lt1"/>
            </a:solidFill>
          </a:ln>
          <a:effectLst/>
        </c:spPr>
      </c:pivotFmt>
      <c:pivotFmt>
        <c:idx val="1378"/>
        <c:spPr>
          <a:solidFill>
            <a:schemeClr val="accent1"/>
          </a:solidFill>
          <a:ln w="19050">
            <a:solidFill>
              <a:schemeClr val="lt1"/>
            </a:solidFill>
          </a:ln>
          <a:effectLst/>
        </c:spPr>
      </c:pivotFmt>
      <c:pivotFmt>
        <c:idx val="1379"/>
        <c:spPr>
          <a:solidFill>
            <a:schemeClr val="accent1"/>
          </a:solidFill>
          <a:ln w="19050">
            <a:solidFill>
              <a:schemeClr val="lt1"/>
            </a:solidFill>
          </a:ln>
          <a:effectLst/>
        </c:spPr>
      </c:pivotFmt>
      <c:pivotFmt>
        <c:idx val="1380"/>
        <c:spPr>
          <a:solidFill>
            <a:schemeClr val="accent1"/>
          </a:solidFill>
          <a:ln w="19050">
            <a:solidFill>
              <a:schemeClr val="lt1"/>
            </a:solidFill>
          </a:ln>
          <a:effectLst/>
        </c:spPr>
      </c:pivotFmt>
      <c:pivotFmt>
        <c:idx val="1381"/>
        <c:spPr>
          <a:solidFill>
            <a:schemeClr val="accent1"/>
          </a:solidFill>
          <a:ln w="19050">
            <a:solidFill>
              <a:schemeClr val="lt1"/>
            </a:solidFill>
          </a:ln>
          <a:effectLst/>
        </c:spPr>
      </c:pivotFmt>
      <c:pivotFmt>
        <c:idx val="1382"/>
        <c:spPr>
          <a:solidFill>
            <a:schemeClr val="accent1"/>
          </a:solidFill>
          <a:ln w="19050">
            <a:solidFill>
              <a:schemeClr val="lt1"/>
            </a:solidFill>
          </a:ln>
          <a:effectLst/>
        </c:spPr>
      </c:pivotFmt>
      <c:pivotFmt>
        <c:idx val="1383"/>
        <c:spPr>
          <a:solidFill>
            <a:schemeClr val="accent1"/>
          </a:solidFill>
          <a:ln w="19050">
            <a:solidFill>
              <a:schemeClr val="lt1"/>
            </a:solidFill>
          </a:ln>
          <a:effectLst/>
        </c:spPr>
      </c:pivotFmt>
      <c:pivotFmt>
        <c:idx val="1384"/>
        <c:spPr>
          <a:solidFill>
            <a:schemeClr val="accent1"/>
          </a:solidFill>
          <a:ln w="19050">
            <a:solidFill>
              <a:schemeClr val="lt1"/>
            </a:solidFill>
          </a:ln>
          <a:effectLst/>
        </c:spPr>
      </c:pivotFmt>
      <c:pivotFmt>
        <c:idx val="1385"/>
        <c:spPr>
          <a:solidFill>
            <a:schemeClr val="accent1"/>
          </a:solidFill>
          <a:ln w="19050">
            <a:solidFill>
              <a:schemeClr val="lt1"/>
            </a:solidFill>
          </a:ln>
          <a:effectLst/>
        </c:spPr>
      </c:pivotFmt>
      <c:pivotFmt>
        <c:idx val="1386"/>
        <c:spPr>
          <a:solidFill>
            <a:schemeClr val="accent1"/>
          </a:solidFill>
          <a:ln w="19050">
            <a:solidFill>
              <a:schemeClr val="lt1"/>
            </a:solidFill>
          </a:ln>
          <a:effectLst/>
        </c:spPr>
      </c:pivotFmt>
      <c:pivotFmt>
        <c:idx val="1387"/>
        <c:spPr>
          <a:solidFill>
            <a:schemeClr val="accent1"/>
          </a:solidFill>
          <a:ln w="19050">
            <a:solidFill>
              <a:schemeClr val="lt1"/>
            </a:solidFill>
          </a:ln>
          <a:effectLst/>
        </c:spPr>
      </c:pivotFmt>
      <c:pivotFmt>
        <c:idx val="1388"/>
        <c:spPr>
          <a:solidFill>
            <a:schemeClr val="accent1"/>
          </a:solidFill>
          <a:ln w="19050">
            <a:solidFill>
              <a:schemeClr val="lt1"/>
            </a:solidFill>
          </a:ln>
          <a:effectLst/>
        </c:spPr>
      </c:pivotFmt>
      <c:pivotFmt>
        <c:idx val="1389"/>
        <c:spPr>
          <a:solidFill>
            <a:schemeClr val="accent1"/>
          </a:solidFill>
          <a:ln w="19050">
            <a:solidFill>
              <a:schemeClr val="lt1"/>
            </a:solidFill>
          </a:ln>
          <a:effectLst/>
        </c:spPr>
      </c:pivotFmt>
      <c:pivotFmt>
        <c:idx val="1390"/>
        <c:spPr>
          <a:solidFill>
            <a:schemeClr val="accent1"/>
          </a:solidFill>
          <a:ln w="19050">
            <a:solidFill>
              <a:schemeClr val="lt1"/>
            </a:solidFill>
          </a:ln>
          <a:effectLst/>
        </c:spPr>
      </c:pivotFmt>
      <c:pivotFmt>
        <c:idx val="1391"/>
        <c:spPr>
          <a:solidFill>
            <a:schemeClr val="accent1"/>
          </a:solidFill>
          <a:ln w="19050">
            <a:solidFill>
              <a:schemeClr val="lt1"/>
            </a:solidFill>
          </a:ln>
          <a:effectLst/>
        </c:spPr>
      </c:pivotFmt>
      <c:pivotFmt>
        <c:idx val="1392"/>
        <c:spPr>
          <a:solidFill>
            <a:schemeClr val="accent1"/>
          </a:solidFill>
          <a:ln w="19050">
            <a:solidFill>
              <a:schemeClr val="lt1"/>
            </a:solidFill>
          </a:ln>
          <a:effectLst/>
        </c:spPr>
      </c:pivotFmt>
      <c:pivotFmt>
        <c:idx val="1393"/>
        <c:spPr>
          <a:solidFill>
            <a:schemeClr val="accent1"/>
          </a:solidFill>
          <a:ln w="19050">
            <a:solidFill>
              <a:schemeClr val="lt1"/>
            </a:solidFill>
          </a:ln>
          <a:effectLst/>
        </c:spPr>
      </c:pivotFmt>
      <c:pivotFmt>
        <c:idx val="1394"/>
        <c:spPr>
          <a:solidFill>
            <a:schemeClr val="accent1"/>
          </a:solidFill>
          <a:ln w="19050">
            <a:solidFill>
              <a:schemeClr val="lt1"/>
            </a:solidFill>
          </a:ln>
          <a:effectLst/>
        </c:spPr>
      </c:pivotFmt>
      <c:pivotFmt>
        <c:idx val="1395"/>
        <c:spPr>
          <a:solidFill>
            <a:schemeClr val="accent1"/>
          </a:solidFill>
          <a:ln w="19050">
            <a:solidFill>
              <a:schemeClr val="lt1"/>
            </a:solidFill>
          </a:ln>
          <a:effectLst/>
        </c:spPr>
      </c:pivotFmt>
      <c:pivotFmt>
        <c:idx val="1396"/>
        <c:spPr>
          <a:solidFill>
            <a:schemeClr val="accent1"/>
          </a:solidFill>
          <a:ln w="19050">
            <a:solidFill>
              <a:schemeClr val="lt1"/>
            </a:solidFill>
          </a:ln>
          <a:effectLst/>
        </c:spPr>
      </c:pivotFmt>
      <c:pivotFmt>
        <c:idx val="1397"/>
        <c:spPr>
          <a:solidFill>
            <a:schemeClr val="accent1"/>
          </a:solidFill>
          <a:ln w="19050">
            <a:solidFill>
              <a:schemeClr val="lt1"/>
            </a:solidFill>
          </a:ln>
          <a:effectLst/>
        </c:spPr>
      </c:pivotFmt>
      <c:pivotFmt>
        <c:idx val="1398"/>
        <c:spPr>
          <a:solidFill>
            <a:schemeClr val="accent1"/>
          </a:solidFill>
          <a:ln w="19050">
            <a:solidFill>
              <a:schemeClr val="lt1"/>
            </a:solidFill>
          </a:ln>
          <a:effectLst/>
        </c:spPr>
      </c:pivotFmt>
      <c:pivotFmt>
        <c:idx val="1399"/>
        <c:spPr>
          <a:solidFill>
            <a:schemeClr val="accent1"/>
          </a:solidFill>
          <a:ln w="19050">
            <a:solidFill>
              <a:schemeClr val="lt1"/>
            </a:solidFill>
          </a:ln>
          <a:effectLst/>
        </c:spPr>
      </c:pivotFmt>
      <c:pivotFmt>
        <c:idx val="1400"/>
        <c:spPr>
          <a:solidFill>
            <a:schemeClr val="accent1"/>
          </a:solidFill>
          <a:ln w="19050">
            <a:solidFill>
              <a:schemeClr val="lt1"/>
            </a:solidFill>
          </a:ln>
          <a:effectLst/>
        </c:spPr>
      </c:pivotFmt>
      <c:pivotFmt>
        <c:idx val="1401"/>
        <c:spPr>
          <a:solidFill>
            <a:schemeClr val="accent1"/>
          </a:solidFill>
          <a:ln w="19050">
            <a:solidFill>
              <a:schemeClr val="lt1"/>
            </a:solidFill>
          </a:ln>
          <a:effectLst/>
        </c:spPr>
      </c:pivotFmt>
      <c:pivotFmt>
        <c:idx val="1402"/>
        <c:spPr>
          <a:solidFill>
            <a:schemeClr val="accent1"/>
          </a:solidFill>
          <a:ln w="19050">
            <a:solidFill>
              <a:schemeClr val="lt1"/>
            </a:solidFill>
          </a:ln>
          <a:effectLst/>
        </c:spPr>
      </c:pivotFmt>
      <c:pivotFmt>
        <c:idx val="1403"/>
        <c:spPr>
          <a:solidFill>
            <a:schemeClr val="accent1"/>
          </a:solidFill>
          <a:ln w="19050">
            <a:solidFill>
              <a:schemeClr val="lt1"/>
            </a:solidFill>
          </a:ln>
          <a:effectLst/>
        </c:spPr>
      </c:pivotFmt>
      <c:pivotFmt>
        <c:idx val="1404"/>
        <c:spPr>
          <a:solidFill>
            <a:schemeClr val="accent1"/>
          </a:solidFill>
          <a:ln w="19050">
            <a:solidFill>
              <a:schemeClr val="lt1"/>
            </a:solidFill>
          </a:ln>
          <a:effectLst/>
        </c:spPr>
      </c:pivotFmt>
      <c:pivotFmt>
        <c:idx val="1405"/>
        <c:spPr>
          <a:solidFill>
            <a:schemeClr val="accent1"/>
          </a:solidFill>
          <a:ln w="19050">
            <a:solidFill>
              <a:schemeClr val="lt1"/>
            </a:solidFill>
          </a:ln>
          <a:effectLst/>
        </c:spPr>
      </c:pivotFmt>
      <c:pivotFmt>
        <c:idx val="1406"/>
        <c:spPr>
          <a:solidFill>
            <a:schemeClr val="accent1"/>
          </a:solidFill>
          <a:ln w="19050">
            <a:solidFill>
              <a:schemeClr val="lt1"/>
            </a:solidFill>
          </a:ln>
          <a:effectLst/>
        </c:spPr>
      </c:pivotFmt>
      <c:pivotFmt>
        <c:idx val="1407"/>
        <c:spPr>
          <a:solidFill>
            <a:schemeClr val="accent1"/>
          </a:solidFill>
          <a:ln w="19050">
            <a:solidFill>
              <a:schemeClr val="lt1"/>
            </a:solidFill>
          </a:ln>
          <a:effectLst/>
        </c:spPr>
      </c:pivotFmt>
      <c:pivotFmt>
        <c:idx val="1408"/>
        <c:spPr>
          <a:solidFill>
            <a:schemeClr val="accent1"/>
          </a:solidFill>
          <a:ln w="19050">
            <a:solidFill>
              <a:schemeClr val="lt1"/>
            </a:solidFill>
          </a:ln>
          <a:effectLst/>
        </c:spPr>
      </c:pivotFmt>
      <c:pivotFmt>
        <c:idx val="1409"/>
        <c:spPr>
          <a:solidFill>
            <a:schemeClr val="accent1"/>
          </a:solidFill>
          <a:ln w="19050">
            <a:solidFill>
              <a:schemeClr val="lt1"/>
            </a:solidFill>
          </a:ln>
          <a:effectLst/>
        </c:spPr>
      </c:pivotFmt>
      <c:pivotFmt>
        <c:idx val="1410"/>
        <c:spPr>
          <a:solidFill>
            <a:schemeClr val="accent1"/>
          </a:solidFill>
          <a:ln w="19050">
            <a:solidFill>
              <a:schemeClr val="lt1"/>
            </a:solidFill>
          </a:ln>
          <a:effectLst/>
        </c:spPr>
      </c:pivotFmt>
      <c:pivotFmt>
        <c:idx val="1411"/>
        <c:spPr>
          <a:solidFill>
            <a:schemeClr val="accent1"/>
          </a:solidFill>
          <a:ln w="19050">
            <a:solidFill>
              <a:schemeClr val="lt1"/>
            </a:solidFill>
          </a:ln>
          <a:effectLst/>
        </c:spPr>
      </c:pivotFmt>
      <c:pivotFmt>
        <c:idx val="1412"/>
        <c:spPr>
          <a:solidFill>
            <a:schemeClr val="accent1"/>
          </a:solidFill>
          <a:ln w="19050">
            <a:solidFill>
              <a:schemeClr val="lt1"/>
            </a:solidFill>
          </a:ln>
          <a:effectLst/>
        </c:spPr>
      </c:pivotFmt>
      <c:pivotFmt>
        <c:idx val="1413"/>
        <c:spPr>
          <a:solidFill>
            <a:schemeClr val="accent1"/>
          </a:solidFill>
          <a:ln w="19050">
            <a:solidFill>
              <a:schemeClr val="lt1"/>
            </a:solidFill>
          </a:ln>
          <a:effectLst/>
        </c:spPr>
      </c:pivotFmt>
      <c:pivotFmt>
        <c:idx val="1414"/>
        <c:spPr>
          <a:solidFill>
            <a:schemeClr val="accent1"/>
          </a:solidFill>
          <a:ln w="19050">
            <a:solidFill>
              <a:schemeClr val="lt1"/>
            </a:solidFill>
          </a:ln>
          <a:effectLst/>
        </c:spPr>
      </c:pivotFmt>
      <c:pivotFmt>
        <c:idx val="1415"/>
        <c:spPr>
          <a:solidFill>
            <a:schemeClr val="accent1"/>
          </a:solidFill>
          <a:ln w="19050">
            <a:solidFill>
              <a:schemeClr val="lt1"/>
            </a:solidFill>
          </a:ln>
          <a:effectLst/>
        </c:spPr>
      </c:pivotFmt>
      <c:pivotFmt>
        <c:idx val="1416"/>
        <c:spPr>
          <a:solidFill>
            <a:schemeClr val="accent1"/>
          </a:solidFill>
          <a:ln w="19050">
            <a:solidFill>
              <a:schemeClr val="lt1"/>
            </a:solidFill>
          </a:ln>
          <a:effectLst/>
        </c:spPr>
      </c:pivotFmt>
      <c:pivotFmt>
        <c:idx val="1417"/>
        <c:spPr>
          <a:solidFill>
            <a:schemeClr val="accent1"/>
          </a:solidFill>
          <a:ln w="19050">
            <a:solidFill>
              <a:schemeClr val="lt1"/>
            </a:solidFill>
          </a:ln>
          <a:effectLst/>
        </c:spPr>
      </c:pivotFmt>
      <c:pivotFmt>
        <c:idx val="1418"/>
        <c:spPr>
          <a:solidFill>
            <a:schemeClr val="accent1"/>
          </a:solidFill>
          <a:ln w="19050">
            <a:solidFill>
              <a:schemeClr val="lt1"/>
            </a:solidFill>
          </a:ln>
          <a:effectLst/>
        </c:spPr>
      </c:pivotFmt>
      <c:pivotFmt>
        <c:idx val="1419"/>
        <c:spPr>
          <a:solidFill>
            <a:schemeClr val="accent1"/>
          </a:solidFill>
          <a:ln w="19050">
            <a:solidFill>
              <a:schemeClr val="lt1"/>
            </a:solidFill>
          </a:ln>
          <a:effectLst/>
        </c:spPr>
      </c:pivotFmt>
      <c:pivotFmt>
        <c:idx val="1420"/>
        <c:spPr>
          <a:solidFill>
            <a:schemeClr val="accent1"/>
          </a:solidFill>
          <a:ln w="19050">
            <a:solidFill>
              <a:schemeClr val="lt1"/>
            </a:solidFill>
          </a:ln>
          <a:effectLst/>
        </c:spPr>
      </c:pivotFmt>
      <c:pivotFmt>
        <c:idx val="1421"/>
        <c:spPr>
          <a:solidFill>
            <a:schemeClr val="accent1"/>
          </a:solidFill>
          <a:ln w="19050">
            <a:solidFill>
              <a:schemeClr val="lt1"/>
            </a:solidFill>
          </a:ln>
          <a:effectLst/>
        </c:spPr>
      </c:pivotFmt>
      <c:pivotFmt>
        <c:idx val="1422"/>
        <c:spPr>
          <a:solidFill>
            <a:schemeClr val="accent1"/>
          </a:solidFill>
          <a:ln w="19050">
            <a:solidFill>
              <a:schemeClr val="lt1"/>
            </a:solidFill>
          </a:ln>
          <a:effectLst/>
        </c:spPr>
      </c:pivotFmt>
      <c:pivotFmt>
        <c:idx val="1423"/>
        <c:spPr>
          <a:solidFill>
            <a:schemeClr val="accent1"/>
          </a:solidFill>
          <a:ln w="19050">
            <a:solidFill>
              <a:schemeClr val="lt1"/>
            </a:solidFill>
          </a:ln>
          <a:effectLst/>
        </c:spPr>
      </c:pivotFmt>
      <c:pivotFmt>
        <c:idx val="1424"/>
        <c:spPr>
          <a:solidFill>
            <a:schemeClr val="accent1"/>
          </a:solidFill>
          <a:ln w="19050">
            <a:solidFill>
              <a:schemeClr val="lt1"/>
            </a:solidFill>
          </a:ln>
          <a:effectLst/>
        </c:spPr>
      </c:pivotFmt>
      <c:pivotFmt>
        <c:idx val="1425"/>
        <c:spPr>
          <a:solidFill>
            <a:schemeClr val="accent1"/>
          </a:solidFill>
          <a:ln w="19050">
            <a:solidFill>
              <a:schemeClr val="lt1"/>
            </a:solidFill>
          </a:ln>
          <a:effectLst/>
        </c:spPr>
      </c:pivotFmt>
      <c:pivotFmt>
        <c:idx val="1426"/>
        <c:spPr>
          <a:solidFill>
            <a:schemeClr val="accent1"/>
          </a:solidFill>
          <a:ln w="19050">
            <a:solidFill>
              <a:schemeClr val="lt1"/>
            </a:solidFill>
          </a:ln>
          <a:effectLst/>
        </c:spPr>
      </c:pivotFmt>
      <c:pivotFmt>
        <c:idx val="1427"/>
        <c:spPr>
          <a:solidFill>
            <a:schemeClr val="accent1"/>
          </a:solidFill>
          <a:ln w="19050">
            <a:solidFill>
              <a:schemeClr val="lt1"/>
            </a:solidFill>
          </a:ln>
          <a:effectLst/>
        </c:spPr>
      </c:pivotFmt>
      <c:pivotFmt>
        <c:idx val="1428"/>
        <c:spPr>
          <a:solidFill>
            <a:schemeClr val="accent1"/>
          </a:solidFill>
          <a:ln w="19050">
            <a:solidFill>
              <a:schemeClr val="lt1"/>
            </a:solidFill>
          </a:ln>
          <a:effectLst/>
        </c:spPr>
      </c:pivotFmt>
      <c:pivotFmt>
        <c:idx val="1429"/>
        <c:spPr>
          <a:solidFill>
            <a:schemeClr val="accent1"/>
          </a:solidFill>
          <a:ln w="19050">
            <a:solidFill>
              <a:schemeClr val="lt1"/>
            </a:solidFill>
          </a:ln>
          <a:effectLst/>
        </c:spPr>
      </c:pivotFmt>
      <c:pivotFmt>
        <c:idx val="1430"/>
        <c:spPr>
          <a:solidFill>
            <a:schemeClr val="accent1"/>
          </a:solidFill>
          <a:ln w="19050">
            <a:solidFill>
              <a:schemeClr val="lt1"/>
            </a:solidFill>
          </a:ln>
          <a:effectLst/>
        </c:spPr>
      </c:pivotFmt>
      <c:pivotFmt>
        <c:idx val="1431"/>
        <c:spPr>
          <a:solidFill>
            <a:schemeClr val="accent1"/>
          </a:solidFill>
          <a:ln w="19050">
            <a:solidFill>
              <a:schemeClr val="lt1"/>
            </a:solidFill>
          </a:ln>
          <a:effectLst/>
        </c:spPr>
      </c:pivotFmt>
      <c:pivotFmt>
        <c:idx val="1432"/>
        <c:spPr>
          <a:solidFill>
            <a:schemeClr val="accent1"/>
          </a:solidFill>
          <a:ln w="19050">
            <a:solidFill>
              <a:schemeClr val="lt1"/>
            </a:solidFill>
          </a:ln>
          <a:effectLst/>
        </c:spPr>
      </c:pivotFmt>
      <c:pivotFmt>
        <c:idx val="1433"/>
        <c:spPr>
          <a:solidFill>
            <a:schemeClr val="accent1"/>
          </a:solidFill>
          <a:ln w="19050">
            <a:solidFill>
              <a:schemeClr val="lt1"/>
            </a:solidFill>
          </a:ln>
          <a:effectLst/>
        </c:spPr>
      </c:pivotFmt>
      <c:pivotFmt>
        <c:idx val="1434"/>
        <c:spPr>
          <a:solidFill>
            <a:schemeClr val="accent1"/>
          </a:solidFill>
          <a:ln w="19050">
            <a:solidFill>
              <a:schemeClr val="lt1"/>
            </a:solidFill>
          </a:ln>
          <a:effectLst/>
        </c:spPr>
      </c:pivotFmt>
      <c:pivotFmt>
        <c:idx val="1435"/>
        <c:spPr>
          <a:solidFill>
            <a:schemeClr val="accent1"/>
          </a:solidFill>
          <a:ln w="19050">
            <a:solidFill>
              <a:schemeClr val="lt1"/>
            </a:solidFill>
          </a:ln>
          <a:effectLst/>
        </c:spPr>
      </c:pivotFmt>
      <c:pivotFmt>
        <c:idx val="1436"/>
        <c:spPr>
          <a:solidFill>
            <a:schemeClr val="accent1"/>
          </a:solidFill>
          <a:ln w="19050">
            <a:solidFill>
              <a:schemeClr val="lt1"/>
            </a:solidFill>
          </a:ln>
          <a:effectLst/>
        </c:spPr>
      </c:pivotFmt>
      <c:pivotFmt>
        <c:idx val="1437"/>
        <c:spPr>
          <a:solidFill>
            <a:schemeClr val="accent1"/>
          </a:solidFill>
          <a:ln w="19050">
            <a:solidFill>
              <a:schemeClr val="lt1"/>
            </a:solidFill>
          </a:ln>
          <a:effectLst/>
        </c:spPr>
      </c:pivotFmt>
      <c:pivotFmt>
        <c:idx val="1438"/>
        <c:spPr>
          <a:solidFill>
            <a:schemeClr val="accent1"/>
          </a:solidFill>
          <a:ln w="19050">
            <a:solidFill>
              <a:schemeClr val="lt1"/>
            </a:solidFill>
          </a:ln>
          <a:effectLst/>
        </c:spPr>
      </c:pivotFmt>
      <c:pivotFmt>
        <c:idx val="1439"/>
        <c:spPr>
          <a:solidFill>
            <a:schemeClr val="accent1"/>
          </a:solidFill>
          <a:ln w="19050">
            <a:solidFill>
              <a:schemeClr val="lt1"/>
            </a:solidFill>
          </a:ln>
          <a:effectLst/>
        </c:spPr>
      </c:pivotFmt>
      <c:pivotFmt>
        <c:idx val="1440"/>
        <c:spPr>
          <a:solidFill>
            <a:schemeClr val="accent1"/>
          </a:solidFill>
          <a:ln w="19050">
            <a:solidFill>
              <a:schemeClr val="lt1"/>
            </a:solidFill>
          </a:ln>
          <a:effectLst/>
        </c:spPr>
      </c:pivotFmt>
      <c:pivotFmt>
        <c:idx val="1441"/>
        <c:spPr>
          <a:solidFill>
            <a:schemeClr val="accent1"/>
          </a:solidFill>
          <a:ln w="19050">
            <a:solidFill>
              <a:schemeClr val="lt1"/>
            </a:solidFill>
          </a:ln>
          <a:effectLst/>
        </c:spPr>
      </c:pivotFmt>
      <c:pivotFmt>
        <c:idx val="1442"/>
        <c:spPr>
          <a:solidFill>
            <a:schemeClr val="accent1"/>
          </a:solidFill>
          <a:ln w="19050">
            <a:solidFill>
              <a:schemeClr val="lt1"/>
            </a:solidFill>
          </a:ln>
          <a:effectLst/>
        </c:spPr>
      </c:pivotFmt>
      <c:pivotFmt>
        <c:idx val="1443"/>
        <c:spPr>
          <a:solidFill>
            <a:schemeClr val="accent1"/>
          </a:solidFill>
          <a:ln w="19050">
            <a:solidFill>
              <a:schemeClr val="lt1"/>
            </a:solidFill>
          </a:ln>
          <a:effectLst/>
        </c:spPr>
      </c:pivotFmt>
      <c:pivotFmt>
        <c:idx val="1444"/>
        <c:spPr>
          <a:solidFill>
            <a:schemeClr val="accent1"/>
          </a:solidFill>
          <a:ln w="19050">
            <a:solidFill>
              <a:schemeClr val="lt1"/>
            </a:solidFill>
          </a:ln>
          <a:effectLst/>
        </c:spPr>
      </c:pivotFmt>
      <c:pivotFmt>
        <c:idx val="1445"/>
        <c:spPr>
          <a:solidFill>
            <a:schemeClr val="accent1"/>
          </a:solidFill>
          <a:ln w="19050">
            <a:solidFill>
              <a:schemeClr val="lt1"/>
            </a:solidFill>
          </a:ln>
          <a:effectLst/>
        </c:spPr>
      </c:pivotFmt>
      <c:pivotFmt>
        <c:idx val="1446"/>
        <c:spPr>
          <a:solidFill>
            <a:schemeClr val="accent1"/>
          </a:solidFill>
          <a:ln w="19050">
            <a:solidFill>
              <a:schemeClr val="lt1"/>
            </a:solidFill>
          </a:ln>
          <a:effectLst/>
        </c:spPr>
      </c:pivotFmt>
      <c:pivotFmt>
        <c:idx val="1447"/>
        <c:spPr>
          <a:solidFill>
            <a:schemeClr val="accent1"/>
          </a:solidFill>
          <a:ln w="19050">
            <a:solidFill>
              <a:schemeClr val="lt1"/>
            </a:solidFill>
          </a:ln>
          <a:effectLst/>
        </c:spPr>
      </c:pivotFmt>
      <c:pivotFmt>
        <c:idx val="1448"/>
        <c:spPr>
          <a:solidFill>
            <a:schemeClr val="accent1"/>
          </a:solidFill>
          <a:ln w="19050">
            <a:solidFill>
              <a:schemeClr val="lt1"/>
            </a:solidFill>
          </a:ln>
          <a:effectLst/>
        </c:spPr>
      </c:pivotFmt>
      <c:pivotFmt>
        <c:idx val="1449"/>
        <c:spPr>
          <a:solidFill>
            <a:schemeClr val="accent1"/>
          </a:solidFill>
          <a:ln w="19050">
            <a:solidFill>
              <a:schemeClr val="lt1"/>
            </a:solidFill>
          </a:ln>
          <a:effectLst/>
        </c:spPr>
      </c:pivotFmt>
      <c:pivotFmt>
        <c:idx val="1450"/>
        <c:spPr>
          <a:solidFill>
            <a:schemeClr val="accent1"/>
          </a:solidFill>
          <a:ln w="19050">
            <a:solidFill>
              <a:schemeClr val="lt1"/>
            </a:solidFill>
          </a:ln>
          <a:effectLst/>
        </c:spPr>
      </c:pivotFmt>
      <c:pivotFmt>
        <c:idx val="1451"/>
        <c:spPr>
          <a:solidFill>
            <a:schemeClr val="accent1"/>
          </a:solidFill>
          <a:ln w="19050">
            <a:solidFill>
              <a:schemeClr val="lt1"/>
            </a:solidFill>
          </a:ln>
          <a:effectLst/>
        </c:spPr>
      </c:pivotFmt>
      <c:pivotFmt>
        <c:idx val="1452"/>
        <c:spPr>
          <a:solidFill>
            <a:schemeClr val="accent1"/>
          </a:solidFill>
          <a:ln w="19050">
            <a:solidFill>
              <a:schemeClr val="lt1"/>
            </a:solidFill>
          </a:ln>
          <a:effectLst/>
        </c:spPr>
      </c:pivotFmt>
      <c:pivotFmt>
        <c:idx val="1453"/>
        <c:spPr>
          <a:solidFill>
            <a:schemeClr val="accent1"/>
          </a:solidFill>
          <a:ln w="19050">
            <a:solidFill>
              <a:schemeClr val="lt1"/>
            </a:solidFill>
          </a:ln>
          <a:effectLst/>
        </c:spPr>
      </c:pivotFmt>
      <c:pivotFmt>
        <c:idx val="1454"/>
        <c:spPr>
          <a:solidFill>
            <a:schemeClr val="accent1"/>
          </a:solidFill>
          <a:ln w="19050">
            <a:solidFill>
              <a:schemeClr val="lt1"/>
            </a:solidFill>
          </a:ln>
          <a:effectLst/>
        </c:spPr>
      </c:pivotFmt>
      <c:pivotFmt>
        <c:idx val="1455"/>
        <c:spPr>
          <a:solidFill>
            <a:schemeClr val="accent1"/>
          </a:solidFill>
          <a:ln w="19050">
            <a:solidFill>
              <a:schemeClr val="lt1"/>
            </a:solidFill>
          </a:ln>
          <a:effectLst/>
        </c:spPr>
      </c:pivotFmt>
      <c:pivotFmt>
        <c:idx val="1456"/>
        <c:spPr>
          <a:solidFill>
            <a:schemeClr val="accent1"/>
          </a:solidFill>
          <a:ln w="19050">
            <a:solidFill>
              <a:schemeClr val="lt1"/>
            </a:solidFill>
          </a:ln>
          <a:effectLst/>
        </c:spPr>
      </c:pivotFmt>
      <c:pivotFmt>
        <c:idx val="1457"/>
        <c:spPr>
          <a:solidFill>
            <a:schemeClr val="accent1"/>
          </a:solidFill>
          <a:ln w="19050">
            <a:solidFill>
              <a:schemeClr val="lt1"/>
            </a:solidFill>
          </a:ln>
          <a:effectLst/>
        </c:spPr>
      </c:pivotFmt>
      <c:pivotFmt>
        <c:idx val="1458"/>
        <c:spPr>
          <a:solidFill>
            <a:schemeClr val="accent1"/>
          </a:solidFill>
          <a:ln w="19050">
            <a:solidFill>
              <a:schemeClr val="lt1"/>
            </a:solidFill>
          </a:ln>
          <a:effectLst/>
        </c:spPr>
      </c:pivotFmt>
      <c:pivotFmt>
        <c:idx val="1459"/>
        <c:spPr>
          <a:solidFill>
            <a:schemeClr val="accent1"/>
          </a:solidFill>
          <a:ln w="19050">
            <a:solidFill>
              <a:schemeClr val="lt1"/>
            </a:solidFill>
          </a:ln>
          <a:effectLst/>
        </c:spPr>
      </c:pivotFmt>
      <c:pivotFmt>
        <c:idx val="1460"/>
        <c:spPr>
          <a:solidFill>
            <a:schemeClr val="accent1"/>
          </a:solidFill>
          <a:ln w="19050">
            <a:solidFill>
              <a:schemeClr val="lt1"/>
            </a:solidFill>
          </a:ln>
          <a:effectLst/>
        </c:spPr>
      </c:pivotFmt>
      <c:pivotFmt>
        <c:idx val="1461"/>
        <c:spPr>
          <a:solidFill>
            <a:schemeClr val="accent1"/>
          </a:solidFill>
          <a:ln w="19050">
            <a:solidFill>
              <a:schemeClr val="lt1"/>
            </a:solidFill>
          </a:ln>
          <a:effectLst/>
        </c:spPr>
      </c:pivotFmt>
      <c:pivotFmt>
        <c:idx val="1462"/>
        <c:spPr>
          <a:solidFill>
            <a:schemeClr val="accent1"/>
          </a:solidFill>
          <a:ln w="19050">
            <a:solidFill>
              <a:schemeClr val="lt1"/>
            </a:solidFill>
          </a:ln>
          <a:effectLst/>
        </c:spPr>
      </c:pivotFmt>
      <c:pivotFmt>
        <c:idx val="1463"/>
        <c:spPr>
          <a:solidFill>
            <a:schemeClr val="accent1"/>
          </a:solidFill>
          <a:ln w="19050">
            <a:solidFill>
              <a:schemeClr val="lt1"/>
            </a:solidFill>
          </a:ln>
          <a:effectLst/>
        </c:spPr>
      </c:pivotFmt>
      <c:pivotFmt>
        <c:idx val="1464"/>
        <c:spPr>
          <a:solidFill>
            <a:schemeClr val="accent1"/>
          </a:solidFill>
          <a:ln w="19050">
            <a:solidFill>
              <a:schemeClr val="lt1"/>
            </a:solidFill>
          </a:ln>
          <a:effectLst/>
        </c:spPr>
      </c:pivotFmt>
      <c:pivotFmt>
        <c:idx val="1465"/>
        <c:spPr>
          <a:solidFill>
            <a:schemeClr val="accent1"/>
          </a:solidFill>
          <a:ln w="19050">
            <a:solidFill>
              <a:schemeClr val="lt1"/>
            </a:solidFill>
          </a:ln>
          <a:effectLst/>
        </c:spPr>
      </c:pivotFmt>
      <c:pivotFmt>
        <c:idx val="1466"/>
        <c:spPr>
          <a:solidFill>
            <a:schemeClr val="accent1"/>
          </a:solidFill>
          <a:ln w="19050">
            <a:solidFill>
              <a:schemeClr val="lt1"/>
            </a:solidFill>
          </a:ln>
          <a:effectLst/>
        </c:spPr>
      </c:pivotFmt>
      <c:pivotFmt>
        <c:idx val="1467"/>
        <c:spPr>
          <a:solidFill>
            <a:schemeClr val="accent1"/>
          </a:solidFill>
          <a:ln w="19050">
            <a:solidFill>
              <a:schemeClr val="lt1"/>
            </a:solidFill>
          </a:ln>
          <a:effectLst/>
        </c:spPr>
      </c:pivotFmt>
      <c:pivotFmt>
        <c:idx val="1468"/>
        <c:spPr>
          <a:solidFill>
            <a:schemeClr val="accent1"/>
          </a:solidFill>
          <a:ln w="19050">
            <a:solidFill>
              <a:schemeClr val="lt1"/>
            </a:solidFill>
          </a:ln>
          <a:effectLst/>
        </c:spPr>
      </c:pivotFmt>
      <c:pivotFmt>
        <c:idx val="1469"/>
        <c:spPr>
          <a:solidFill>
            <a:schemeClr val="accent1"/>
          </a:solidFill>
          <a:ln w="19050">
            <a:solidFill>
              <a:schemeClr val="lt1"/>
            </a:solidFill>
          </a:ln>
          <a:effectLst/>
        </c:spPr>
      </c:pivotFmt>
      <c:pivotFmt>
        <c:idx val="1470"/>
        <c:spPr>
          <a:solidFill>
            <a:schemeClr val="accent1"/>
          </a:solidFill>
          <a:ln w="19050">
            <a:solidFill>
              <a:schemeClr val="lt1"/>
            </a:solidFill>
          </a:ln>
          <a:effectLst/>
        </c:spPr>
      </c:pivotFmt>
      <c:pivotFmt>
        <c:idx val="1471"/>
        <c:spPr>
          <a:solidFill>
            <a:schemeClr val="accent1"/>
          </a:solidFill>
          <a:ln w="19050">
            <a:solidFill>
              <a:schemeClr val="lt1"/>
            </a:solidFill>
          </a:ln>
          <a:effectLst/>
        </c:spPr>
      </c:pivotFmt>
      <c:pivotFmt>
        <c:idx val="1472"/>
        <c:spPr>
          <a:solidFill>
            <a:schemeClr val="accent1"/>
          </a:solidFill>
          <a:ln w="19050">
            <a:solidFill>
              <a:schemeClr val="lt1"/>
            </a:solidFill>
          </a:ln>
          <a:effectLst/>
        </c:spPr>
      </c:pivotFmt>
      <c:pivotFmt>
        <c:idx val="1473"/>
        <c:spPr>
          <a:solidFill>
            <a:schemeClr val="accent1"/>
          </a:solidFill>
          <a:ln w="19050">
            <a:solidFill>
              <a:schemeClr val="lt1"/>
            </a:solidFill>
          </a:ln>
          <a:effectLst/>
        </c:spPr>
      </c:pivotFmt>
      <c:pivotFmt>
        <c:idx val="1474"/>
        <c:spPr>
          <a:solidFill>
            <a:schemeClr val="accent1"/>
          </a:solidFill>
          <a:ln w="19050">
            <a:solidFill>
              <a:schemeClr val="lt1"/>
            </a:solidFill>
          </a:ln>
          <a:effectLst/>
        </c:spPr>
      </c:pivotFmt>
      <c:pivotFmt>
        <c:idx val="1475"/>
        <c:spPr>
          <a:solidFill>
            <a:schemeClr val="accent1"/>
          </a:solidFill>
          <a:ln w="19050">
            <a:solidFill>
              <a:schemeClr val="lt1"/>
            </a:solidFill>
          </a:ln>
          <a:effectLst/>
        </c:spPr>
      </c:pivotFmt>
      <c:pivotFmt>
        <c:idx val="1476"/>
        <c:spPr>
          <a:solidFill>
            <a:schemeClr val="accent1"/>
          </a:solidFill>
          <a:ln w="19050">
            <a:solidFill>
              <a:schemeClr val="lt1"/>
            </a:solidFill>
          </a:ln>
          <a:effectLst/>
        </c:spPr>
      </c:pivotFmt>
      <c:pivotFmt>
        <c:idx val="1477"/>
        <c:spPr>
          <a:solidFill>
            <a:schemeClr val="accent1"/>
          </a:solidFill>
          <a:ln w="19050">
            <a:solidFill>
              <a:schemeClr val="lt1"/>
            </a:solidFill>
          </a:ln>
          <a:effectLst/>
        </c:spPr>
      </c:pivotFmt>
      <c:pivotFmt>
        <c:idx val="1478"/>
        <c:spPr>
          <a:solidFill>
            <a:schemeClr val="accent1"/>
          </a:solidFill>
          <a:ln w="19050">
            <a:solidFill>
              <a:schemeClr val="lt1"/>
            </a:solidFill>
          </a:ln>
          <a:effectLst/>
        </c:spPr>
      </c:pivotFmt>
      <c:pivotFmt>
        <c:idx val="1479"/>
        <c:spPr>
          <a:solidFill>
            <a:schemeClr val="accent1"/>
          </a:solidFill>
          <a:ln w="19050">
            <a:solidFill>
              <a:schemeClr val="lt1"/>
            </a:solidFill>
          </a:ln>
          <a:effectLst/>
        </c:spPr>
      </c:pivotFmt>
      <c:pivotFmt>
        <c:idx val="1480"/>
        <c:spPr>
          <a:solidFill>
            <a:schemeClr val="accent1"/>
          </a:solidFill>
          <a:ln w="19050">
            <a:solidFill>
              <a:schemeClr val="lt1"/>
            </a:solidFill>
          </a:ln>
          <a:effectLst/>
        </c:spPr>
      </c:pivotFmt>
      <c:pivotFmt>
        <c:idx val="1481"/>
        <c:spPr>
          <a:solidFill>
            <a:schemeClr val="accent1"/>
          </a:solidFill>
          <a:ln w="19050">
            <a:solidFill>
              <a:schemeClr val="lt1"/>
            </a:solidFill>
          </a:ln>
          <a:effectLst/>
        </c:spPr>
      </c:pivotFmt>
      <c:pivotFmt>
        <c:idx val="1482"/>
        <c:spPr>
          <a:solidFill>
            <a:schemeClr val="accent1"/>
          </a:solidFill>
          <a:ln w="19050">
            <a:solidFill>
              <a:schemeClr val="lt1"/>
            </a:solidFill>
          </a:ln>
          <a:effectLst/>
        </c:spPr>
      </c:pivotFmt>
      <c:pivotFmt>
        <c:idx val="1483"/>
        <c:spPr>
          <a:solidFill>
            <a:schemeClr val="accent1"/>
          </a:solidFill>
          <a:ln w="19050">
            <a:solidFill>
              <a:schemeClr val="lt1"/>
            </a:solidFill>
          </a:ln>
          <a:effectLst/>
        </c:spPr>
      </c:pivotFmt>
      <c:pivotFmt>
        <c:idx val="1484"/>
        <c:spPr>
          <a:solidFill>
            <a:schemeClr val="accent1"/>
          </a:solidFill>
          <a:ln w="19050">
            <a:solidFill>
              <a:schemeClr val="lt1"/>
            </a:solidFill>
          </a:ln>
          <a:effectLst/>
        </c:spPr>
      </c:pivotFmt>
      <c:pivotFmt>
        <c:idx val="1485"/>
        <c:spPr>
          <a:solidFill>
            <a:schemeClr val="accent1"/>
          </a:solidFill>
          <a:ln w="19050">
            <a:solidFill>
              <a:schemeClr val="lt1"/>
            </a:solidFill>
          </a:ln>
          <a:effectLst/>
        </c:spPr>
      </c:pivotFmt>
      <c:pivotFmt>
        <c:idx val="1486"/>
        <c:spPr>
          <a:solidFill>
            <a:schemeClr val="accent1"/>
          </a:solidFill>
          <a:ln w="19050">
            <a:solidFill>
              <a:schemeClr val="lt1"/>
            </a:solidFill>
          </a:ln>
          <a:effectLst/>
        </c:spPr>
      </c:pivotFmt>
      <c:pivotFmt>
        <c:idx val="1487"/>
        <c:spPr>
          <a:solidFill>
            <a:schemeClr val="accent1"/>
          </a:solidFill>
          <a:ln w="19050">
            <a:solidFill>
              <a:schemeClr val="lt1"/>
            </a:solidFill>
          </a:ln>
          <a:effectLst/>
        </c:spPr>
      </c:pivotFmt>
      <c:pivotFmt>
        <c:idx val="1488"/>
        <c:spPr>
          <a:solidFill>
            <a:schemeClr val="accent1"/>
          </a:solidFill>
          <a:ln w="19050">
            <a:solidFill>
              <a:schemeClr val="lt1"/>
            </a:solidFill>
          </a:ln>
          <a:effectLst/>
        </c:spPr>
      </c:pivotFmt>
      <c:pivotFmt>
        <c:idx val="1489"/>
        <c:spPr>
          <a:solidFill>
            <a:schemeClr val="accent1"/>
          </a:solidFill>
          <a:ln w="19050">
            <a:solidFill>
              <a:schemeClr val="lt1"/>
            </a:solidFill>
          </a:ln>
          <a:effectLst/>
        </c:spPr>
      </c:pivotFmt>
      <c:pivotFmt>
        <c:idx val="1490"/>
        <c:spPr>
          <a:solidFill>
            <a:schemeClr val="accent1"/>
          </a:solidFill>
          <a:ln w="19050">
            <a:solidFill>
              <a:schemeClr val="lt1"/>
            </a:solidFill>
          </a:ln>
          <a:effectLst/>
        </c:spPr>
      </c:pivotFmt>
      <c:pivotFmt>
        <c:idx val="1491"/>
        <c:spPr>
          <a:solidFill>
            <a:schemeClr val="accent1"/>
          </a:solidFill>
          <a:ln w="19050">
            <a:solidFill>
              <a:schemeClr val="lt1"/>
            </a:solidFill>
          </a:ln>
          <a:effectLst/>
        </c:spPr>
      </c:pivotFmt>
      <c:pivotFmt>
        <c:idx val="1492"/>
        <c:spPr>
          <a:solidFill>
            <a:schemeClr val="accent1"/>
          </a:solidFill>
          <a:ln w="19050">
            <a:solidFill>
              <a:schemeClr val="lt1"/>
            </a:solidFill>
          </a:ln>
          <a:effectLst/>
        </c:spPr>
      </c:pivotFmt>
      <c:pivotFmt>
        <c:idx val="1493"/>
        <c:spPr>
          <a:solidFill>
            <a:schemeClr val="accent1"/>
          </a:solidFill>
          <a:ln w="19050">
            <a:solidFill>
              <a:schemeClr val="lt1"/>
            </a:solidFill>
          </a:ln>
          <a:effectLst/>
        </c:spPr>
      </c:pivotFmt>
      <c:pivotFmt>
        <c:idx val="1494"/>
        <c:spPr>
          <a:solidFill>
            <a:schemeClr val="accent1"/>
          </a:solidFill>
          <a:ln w="19050">
            <a:solidFill>
              <a:schemeClr val="lt1"/>
            </a:solidFill>
          </a:ln>
          <a:effectLst/>
        </c:spPr>
      </c:pivotFmt>
      <c:pivotFmt>
        <c:idx val="1495"/>
        <c:spPr>
          <a:solidFill>
            <a:schemeClr val="accent1"/>
          </a:solidFill>
          <a:ln w="19050">
            <a:solidFill>
              <a:schemeClr val="lt1"/>
            </a:solidFill>
          </a:ln>
          <a:effectLst/>
        </c:spPr>
      </c:pivotFmt>
      <c:pivotFmt>
        <c:idx val="1496"/>
        <c:spPr>
          <a:solidFill>
            <a:schemeClr val="accent1"/>
          </a:solidFill>
          <a:ln w="19050">
            <a:solidFill>
              <a:schemeClr val="lt1"/>
            </a:solidFill>
          </a:ln>
          <a:effectLst/>
        </c:spPr>
      </c:pivotFmt>
      <c:pivotFmt>
        <c:idx val="1497"/>
        <c:spPr>
          <a:solidFill>
            <a:schemeClr val="accent1"/>
          </a:solidFill>
          <a:ln w="19050">
            <a:solidFill>
              <a:schemeClr val="lt1"/>
            </a:solidFill>
          </a:ln>
          <a:effectLst/>
        </c:spPr>
      </c:pivotFmt>
      <c:pivotFmt>
        <c:idx val="1498"/>
        <c:spPr>
          <a:solidFill>
            <a:schemeClr val="accent1"/>
          </a:solidFill>
          <a:ln w="19050">
            <a:solidFill>
              <a:schemeClr val="lt1"/>
            </a:solidFill>
          </a:ln>
          <a:effectLst/>
        </c:spPr>
      </c:pivotFmt>
      <c:pivotFmt>
        <c:idx val="1499"/>
        <c:spPr>
          <a:solidFill>
            <a:schemeClr val="accent1"/>
          </a:solidFill>
          <a:ln w="19050">
            <a:solidFill>
              <a:schemeClr val="lt1"/>
            </a:solidFill>
          </a:ln>
          <a:effectLst/>
        </c:spPr>
      </c:pivotFmt>
      <c:pivotFmt>
        <c:idx val="1500"/>
        <c:spPr>
          <a:solidFill>
            <a:schemeClr val="accent1"/>
          </a:solidFill>
          <a:ln w="19050">
            <a:solidFill>
              <a:schemeClr val="lt1"/>
            </a:solidFill>
          </a:ln>
          <a:effectLst/>
        </c:spPr>
      </c:pivotFmt>
      <c:pivotFmt>
        <c:idx val="1501"/>
        <c:spPr>
          <a:solidFill>
            <a:schemeClr val="accent1"/>
          </a:solidFill>
          <a:ln w="19050">
            <a:solidFill>
              <a:schemeClr val="lt1"/>
            </a:solidFill>
          </a:ln>
          <a:effectLst/>
        </c:spPr>
      </c:pivotFmt>
      <c:pivotFmt>
        <c:idx val="1502"/>
        <c:spPr>
          <a:solidFill>
            <a:schemeClr val="accent1"/>
          </a:solidFill>
          <a:ln w="19050">
            <a:solidFill>
              <a:schemeClr val="lt1"/>
            </a:solidFill>
          </a:ln>
          <a:effectLst/>
        </c:spPr>
      </c:pivotFmt>
      <c:pivotFmt>
        <c:idx val="1503"/>
        <c:spPr>
          <a:solidFill>
            <a:schemeClr val="accent1"/>
          </a:solidFill>
          <a:ln w="19050">
            <a:solidFill>
              <a:schemeClr val="lt1"/>
            </a:solidFill>
          </a:ln>
          <a:effectLst/>
        </c:spPr>
      </c:pivotFmt>
      <c:pivotFmt>
        <c:idx val="1504"/>
        <c:spPr>
          <a:solidFill>
            <a:schemeClr val="accent1"/>
          </a:solidFill>
          <a:ln w="19050">
            <a:solidFill>
              <a:schemeClr val="lt1"/>
            </a:solidFill>
          </a:ln>
          <a:effectLst/>
        </c:spPr>
      </c:pivotFmt>
      <c:pivotFmt>
        <c:idx val="1505"/>
        <c:spPr>
          <a:solidFill>
            <a:schemeClr val="accent1"/>
          </a:solidFill>
          <a:ln w="19050">
            <a:solidFill>
              <a:schemeClr val="lt1"/>
            </a:solidFill>
          </a:ln>
          <a:effectLst/>
        </c:spPr>
      </c:pivotFmt>
      <c:pivotFmt>
        <c:idx val="1506"/>
        <c:spPr>
          <a:solidFill>
            <a:schemeClr val="accent1"/>
          </a:solidFill>
          <a:ln w="19050">
            <a:solidFill>
              <a:schemeClr val="lt1"/>
            </a:solidFill>
          </a:ln>
          <a:effectLst/>
        </c:spPr>
      </c:pivotFmt>
      <c:pivotFmt>
        <c:idx val="1507"/>
        <c:spPr>
          <a:solidFill>
            <a:schemeClr val="accent1"/>
          </a:solidFill>
          <a:ln w="19050">
            <a:solidFill>
              <a:schemeClr val="lt1"/>
            </a:solidFill>
          </a:ln>
          <a:effectLst/>
        </c:spPr>
      </c:pivotFmt>
      <c:pivotFmt>
        <c:idx val="1508"/>
        <c:spPr>
          <a:solidFill>
            <a:schemeClr val="accent1"/>
          </a:solidFill>
          <a:ln w="19050">
            <a:solidFill>
              <a:schemeClr val="lt1"/>
            </a:solidFill>
          </a:ln>
          <a:effectLst/>
        </c:spPr>
      </c:pivotFmt>
      <c:pivotFmt>
        <c:idx val="1509"/>
        <c:spPr>
          <a:solidFill>
            <a:schemeClr val="accent1"/>
          </a:solidFill>
          <a:ln w="19050">
            <a:solidFill>
              <a:schemeClr val="lt1"/>
            </a:solidFill>
          </a:ln>
          <a:effectLst/>
        </c:spPr>
      </c:pivotFmt>
      <c:pivotFmt>
        <c:idx val="1510"/>
        <c:spPr>
          <a:solidFill>
            <a:schemeClr val="accent1"/>
          </a:solidFill>
          <a:ln w="19050">
            <a:solidFill>
              <a:schemeClr val="lt1"/>
            </a:solidFill>
          </a:ln>
          <a:effectLst/>
        </c:spPr>
      </c:pivotFmt>
      <c:pivotFmt>
        <c:idx val="1511"/>
        <c:spPr>
          <a:solidFill>
            <a:schemeClr val="accent1"/>
          </a:solidFill>
          <a:ln w="19050">
            <a:solidFill>
              <a:schemeClr val="lt1"/>
            </a:solidFill>
          </a:ln>
          <a:effectLst/>
        </c:spPr>
      </c:pivotFmt>
      <c:pivotFmt>
        <c:idx val="1512"/>
        <c:spPr>
          <a:solidFill>
            <a:schemeClr val="accent1"/>
          </a:solidFill>
          <a:ln w="19050">
            <a:solidFill>
              <a:schemeClr val="lt1"/>
            </a:solidFill>
          </a:ln>
          <a:effectLst/>
        </c:spPr>
      </c:pivotFmt>
      <c:pivotFmt>
        <c:idx val="1513"/>
        <c:spPr>
          <a:solidFill>
            <a:schemeClr val="accent1"/>
          </a:solidFill>
          <a:ln w="19050">
            <a:solidFill>
              <a:schemeClr val="lt1"/>
            </a:solidFill>
          </a:ln>
          <a:effectLst/>
        </c:spPr>
      </c:pivotFmt>
      <c:pivotFmt>
        <c:idx val="1514"/>
        <c:spPr>
          <a:solidFill>
            <a:schemeClr val="accent1"/>
          </a:solidFill>
          <a:ln w="19050">
            <a:solidFill>
              <a:schemeClr val="lt1"/>
            </a:solidFill>
          </a:ln>
          <a:effectLst/>
        </c:spPr>
      </c:pivotFmt>
      <c:pivotFmt>
        <c:idx val="1515"/>
        <c:spPr>
          <a:solidFill>
            <a:schemeClr val="accent1"/>
          </a:solidFill>
          <a:ln w="19050">
            <a:solidFill>
              <a:schemeClr val="lt1"/>
            </a:solidFill>
          </a:ln>
          <a:effectLst/>
        </c:spPr>
      </c:pivotFmt>
      <c:pivotFmt>
        <c:idx val="1516"/>
        <c:spPr>
          <a:solidFill>
            <a:schemeClr val="accent1"/>
          </a:solidFill>
          <a:ln w="19050">
            <a:solidFill>
              <a:schemeClr val="lt1"/>
            </a:solidFill>
          </a:ln>
          <a:effectLst/>
        </c:spPr>
      </c:pivotFmt>
      <c:pivotFmt>
        <c:idx val="1517"/>
        <c:spPr>
          <a:solidFill>
            <a:schemeClr val="accent1"/>
          </a:solidFill>
          <a:ln w="19050">
            <a:solidFill>
              <a:schemeClr val="lt1"/>
            </a:solidFill>
          </a:ln>
          <a:effectLst/>
        </c:spPr>
      </c:pivotFmt>
      <c:pivotFmt>
        <c:idx val="1518"/>
        <c:spPr>
          <a:solidFill>
            <a:schemeClr val="accent1"/>
          </a:solidFill>
          <a:ln w="19050">
            <a:solidFill>
              <a:schemeClr val="lt1"/>
            </a:solidFill>
          </a:ln>
          <a:effectLst/>
        </c:spPr>
      </c:pivotFmt>
      <c:pivotFmt>
        <c:idx val="1519"/>
        <c:spPr>
          <a:solidFill>
            <a:schemeClr val="accent1"/>
          </a:solidFill>
          <a:ln w="19050">
            <a:solidFill>
              <a:schemeClr val="lt1"/>
            </a:solidFill>
          </a:ln>
          <a:effectLst/>
        </c:spPr>
      </c:pivotFmt>
      <c:pivotFmt>
        <c:idx val="1520"/>
        <c:spPr>
          <a:solidFill>
            <a:schemeClr val="accent1"/>
          </a:solidFill>
          <a:ln w="19050">
            <a:solidFill>
              <a:schemeClr val="lt1"/>
            </a:solidFill>
          </a:ln>
          <a:effectLst/>
        </c:spPr>
      </c:pivotFmt>
      <c:pivotFmt>
        <c:idx val="1521"/>
        <c:spPr>
          <a:solidFill>
            <a:schemeClr val="accent1"/>
          </a:solidFill>
          <a:ln w="19050">
            <a:solidFill>
              <a:schemeClr val="lt1"/>
            </a:solidFill>
          </a:ln>
          <a:effectLst/>
        </c:spPr>
      </c:pivotFmt>
      <c:pivotFmt>
        <c:idx val="1522"/>
        <c:spPr>
          <a:solidFill>
            <a:schemeClr val="accent1"/>
          </a:solidFill>
          <a:ln w="19050">
            <a:solidFill>
              <a:schemeClr val="lt1"/>
            </a:solidFill>
          </a:ln>
          <a:effectLst/>
        </c:spPr>
      </c:pivotFmt>
      <c:pivotFmt>
        <c:idx val="1523"/>
        <c:spPr>
          <a:solidFill>
            <a:schemeClr val="accent1"/>
          </a:solidFill>
          <a:ln w="19050">
            <a:solidFill>
              <a:schemeClr val="lt1"/>
            </a:solidFill>
          </a:ln>
          <a:effectLst/>
        </c:spPr>
      </c:pivotFmt>
      <c:pivotFmt>
        <c:idx val="1524"/>
        <c:spPr>
          <a:solidFill>
            <a:schemeClr val="accent1"/>
          </a:solidFill>
          <a:ln w="19050">
            <a:solidFill>
              <a:schemeClr val="lt1"/>
            </a:solidFill>
          </a:ln>
          <a:effectLst/>
        </c:spPr>
      </c:pivotFmt>
      <c:pivotFmt>
        <c:idx val="1525"/>
        <c:spPr>
          <a:solidFill>
            <a:schemeClr val="accent1"/>
          </a:solidFill>
          <a:ln w="19050">
            <a:solidFill>
              <a:schemeClr val="lt1"/>
            </a:solidFill>
          </a:ln>
          <a:effectLst/>
        </c:spPr>
      </c:pivotFmt>
      <c:pivotFmt>
        <c:idx val="1526"/>
        <c:spPr>
          <a:solidFill>
            <a:schemeClr val="accent1"/>
          </a:solidFill>
          <a:ln w="19050">
            <a:solidFill>
              <a:schemeClr val="lt1"/>
            </a:solidFill>
          </a:ln>
          <a:effectLst/>
        </c:spPr>
      </c:pivotFmt>
      <c:pivotFmt>
        <c:idx val="1527"/>
        <c:spPr>
          <a:solidFill>
            <a:schemeClr val="accent1"/>
          </a:solidFill>
          <a:ln w="19050">
            <a:solidFill>
              <a:schemeClr val="lt1"/>
            </a:solidFill>
          </a:ln>
          <a:effectLst/>
        </c:spPr>
      </c:pivotFmt>
      <c:pivotFmt>
        <c:idx val="1528"/>
        <c:spPr>
          <a:solidFill>
            <a:schemeClr val="accent1"/>
          </a:solidFill>
          <a:ln w="19050">
            <a:solidFill>
              <a:schemeClr val="lt1"/>
            </a:solidFill>
          </a:ln>
          <a:effectLst/>
        </c:spPr>
      </c:pivotFmt>
      <c:pivotFmt>
        <c:idx val="1529"/>
        <c:spPr>
          <a:solidFill>
            <a:schemeClr val="accent1"/>
          </a:solidFill>
          <a:ln w="19050">
            <a:solidFill>
              <a:schemeClr val="lt1"/>
            </a:solidFill>
          </a:ln>
          <a:effectLst/>
        </c:spPr>
      </c:pivotFmt>
      <c:pivotFmt>
        <c:idx val="1530"/>
        <c:spPr>
          <a:solidFill>
            <a:schemeClr val="accent1"/>
          </a:solidFill>
          <a:ln w="19050">
            <a:solidFill>
              <a:schemeClr val="lt1"/>
            </a:solidFill>
          </a:ln>
          <a:effectLst/>
        </c:spPr>
      </c:pivotFmt>
      <c:pivotFmt>
        <c:idx val="1531"/>
        <c:spPr>
          <a:solidFill>
            <a:schemeClr val="accent1"/>
          </a:solidFill>
          <a:ln w="19050">
            <a:solidFill>
              <a:schemeClr val="lt1"/>
            </a:solidFill>
          </a:ln>
          <a:effectLst/>
        </c:spPr>
      </c:pivotFmt>
      <c:pivotFmt>
        <c:idx val="1532"/>
        <c:spPr>
          <a:solidFill>
            <a:schemeClr val="accent1"/>
          </a:solidFill>
          <a:ln w="19050">
            <a:solidFill>
              <a:schemeClr val="lt1"/>
            </a:solidFill>
          </a:ln>
          <a:effectLst/>
        </c:spPr>
      </c:pivotFmt>
      <c:pivotFmt>
        <c:idx val="1533"/>
        <c:spPr>
          <a:solidFill>
            <a:schemeClr val="accent1"/>
          </a:solidFill>
          <a:ln w="19050">
            <a:solidFill>
              <a:schemeClr val="lt1"/>
            </a:solidFill>
          </a:ln>
          <a:effectLst/>
        </c:spPr>
      </c:pivotFmt>
      <c:pivotFmt>
        <c:idx val="1534"/>
        <c:spPr>
          <a:solidFill>
            <a:schemeClr val="accent1"/>
          </a:solidFill>
          <a:ln w="19050">
            <a:solidFill>
              <a:schemeClr val="lt1"/>
            </a:solidFill>
          </a:ln>
          <a:effectLst/>
        </c:spPr>
      </c:pivotFmt>
      <c:pivotFmt>
        <c:idx val="1535"/>
        <c:spPr>
          <a:solidFill>
            <a:schemeClr val="accent1"/>
          </a:solidFill>
          <a:ln w="19050">
            <a:solidFill>
              <a:schemeClr val="lt1"/>
            </a:solidFill>
          </a:ln>
          <a:effectLst/>
        </c:spPr>
      </c:pivotFmt>
      <c:pivotFmt>
        <c:idx val="1536"/>
        <c:spPr>
          <a:solidFill>
            <a:schemeClr val="accent1"/>
          </a:solidFill>
          <a:ln w="19050">
            <a:solidFill>
              <a:schemeClr val="lt1"/>
            </a:solidFill>
          </a:ln>
          <a:effectLst/>
        </c:spPr>
      </c:pivotFmt>
      <c:pivotFmt>
        <c:idx val="1537"/>
        <c:spPr>
          <a:solidFill>
            <a:schemeClr val="accent1"/>
          </a:solidFill>
          <a:ln w="19050">
            <a:solidFill>
              <a:schemeClr val="lt1"/>
            </a:solidFill>
          </a:ln>
          <a:effectLst/>
        </c:spPr>
      </c:pivotFmt>
      <c:pivotFmt>
        <c:idx val="1538"/>
        <c:spPr>
          <a:solidFill>
            <a:schemeClr val="accent1"/>
          </a:solidFill>
          <a:ln w="19050">
            <a:solidFill>
              <a:schemeClr val="lt1"/>
            </a:solidFill>
          </a:ln>
          <a:effectLst/>
        </c:spPr>
      </c:pivotFmt>
      <c:pivotFmt>
        <c:idx val="1539"/>
        <c:spPr>
          <a:solidFill>
            <a:schemeClr val="accent1"/>
          </a:solidFill>
          <a:ln w="19050">
            <a:solidFill>
              <a:schemeClr val="lt1"/>
            </a:solidFill>
          </a:ln>
          <a:effectLst/>
        </c:spPr>
      </c:pivotFmt>
      <c:pivotFmt>
        <c:idx val="1540"/>
        <c:spPr>
          <a:solidFill>
            <a:schemeClr val="accent1"/>
          </a:solidFill>
          <a:ln w="19050">
            <a:solidFill>
              <a:schemeClr val="lt1"/>
            </a:solidFill>
          </a:ln>
          <a:effectLst/>
        </c:spPr>
      </c:pivotFmt>
      <c:pivotFmt>
        <c:idx val="1541"/>
        <c:spPr>
          <a:solidFill>
            <a:schemeClr val="accent1"/>
          </a:solidFill>
          <a:ln w="19050">
            <a:solidFill>
              <a:schemeClr val="lt1"/>
            </a:solidFill>
          </a:ln>
          <a:effectLst/>
        </c:spPr>
      </c:pivotFmt>
      <c:pivotFmt>
        <c:idx val="1542"/>
        <c:spPr>
          <a:solidFill>
            <a:schemeClr val="accent1"/>
          </a:solidFill>
          <a:ln w="19050">
            <a:solidFill>
              <a:schemeClr val="lt1"/>
            </a:solidFill>
          </a:ln>
          <a:effectLst/>
        </c:spPr>
      </c:pivotFmt>
      <c:pivotFmt>
        <c:idx val="1543"/>
        <c:spPr>
          <a:solidFill>
            <a:schemeClr val="accent1"/>
          </a:solidFill>
          <a:ln w="19050">
            <a:solidFill>
              <a:schemeClr val="lt1"/>
            </a:solidFill>
          </a:ln>
          <a:effectLst/>
        </c:spPr>
      </c:pivotFmt>
      <c:pivotFmt>
        <c:idx val="1544"/>
        <c:spPr>
          <a:solidFill>
            <a:schemeClr val="accent1"/>
          </a:solidFill>
          <a:ln w="19050">
            <a:solidFill>
              <a:schemeClr val="lt1"/>
            </a:solidFill>
          </a:ln>
          <a:effectLst/>
        </c:spPr>
      </c:pivotFmt>
      <c:pivotFmt>
        <c:idx val="1545"/>
        <c:spPr>
          <a:solidFill>
            <a:schemeClr val="accent1"/>
          </a:solidFill>
          <a:ln w="19050">
            <a:solidFill>
              <a:schemeClr val="lt1"/>
            </a:solidFill>
          </a:ln>
          <a:effectLst/>
        </c:spPr>
      </c:pivotFmt>
      <c:pivotFmt>
        <c:idx val="1546"/>
        <c:spPr>
          <a:solidFill>
            <a:schemeClr val="accent1"/>
          </a:solidFill>
          <a:ln w="19050">
            <a:solidFill>
              <a:schemeClr val="lt1"/>
            </a:solidFill>
          </a:ln>
          <a:effectLst/>
        </c:spPr>
      </c:pivotFmt>
      <c:pivotFmt>
        <c:idx val="1547"/>
        <c:spPr>
          <a:solidFill>
            <a:schemeClr val="accent1"/>
          </a:solidFill>
          <a:ln w="19050">
            <a:solidFill>
              <a:schemeClr val="lt1"/>
            </a:solidFill>
          </a:ln>
          <a:effectLst/>
        </c:spPr>
      </c:pivotFmt>
      <c:pivotFmt>
        <c:idx val="1548"/>
        <c:spPr>
          <a:solidFill>
            <a:schemeClr val="accent1"/>
          </a:solidFill>
          <a:ln w="19050">
            <a:solidFill>
              <a:schemeClr val="lt1"/>
            </a:solidFill>
          </a:ln>
          <a:effectLst/>
        </c:spPr>
      </c:pivotFmt>
      <c:pivotFmt>
        <c:idx val="1549"/>
        <c:spPr>
          <a:solidFill>
            <a:schemeClr val="accent1"/>
          </a:solidFill>
          <a:ln w="19050">
            <a:solidFill>
              <a:schemeClr val="lt1"/>
            </a:solidFill>
          </a:ln>
          <a:effectLst/>
        </c:spPr>
      </c:pivotFmt>
      <c:pivotFmt>
        <c:idx val="1550"/>
        <c:spPr>
          <a:solidFill>
            <a:schemeClr val="accent1"/>
          </a:solidFill>
          <a:ln w="19050">
            <a:solidFill>
              <a:schemeClr val="lt1"/>
            </a:solidFill>
          </a:ln>
          <a:effectLst/>
        </c:spPr>
      </c:pivotFmt>
      <c:pivotFmt>
        <c:idx val="1551"/>
        <c:spPr>
          <a:solidFill>
            <a:schemeClr val="accent1"/>
          </a:solidFill>
          <a:ln w="19050">
            <a:solidFill>
              <a:schemeClr val="lt1"/>
            </a:solidFill>
          </a:ln>
          <a:effectLst/>
        </c:spPr>
      </c:pivotFmt>
      <c:pivotFmt>
        <c:idx val="1552"/>
        <c:spPr>
          <a:solidFill>
            <a:schemeClr val="accent1"/>
          </a:solidFill>
          <a:ln w="19050">
            <a:solidFill>
              <a:schemeClr val="lt1"/>
            </a:solidFill>
          </a:ln>
          <a:effectLst/>
        </c:spPr>
      </c:pivotFmt>
      <c:pivotFmt>
        <c:idx val="1553"/>
        <c:spPr>
          <a:solidFill>
            <a:schemeClr val="accent1"/>
          </a:solidFill>
          <a:ln w="19050">
            <a:solidFill>
              <a:schemeClr val="lt1"/>
            </a:solidFill>
          </a:ln>
          <a:effectLst/>
        </c:spPr>
      </c:pivotFmt>
      <c:pivotFmt>
        <c:idx val="1554"/>
        <c:spPr>
          <a:solidFill>
            <a:schemeClr val="accent1"/>
          </a:solidFill>
          <a:ln w="19050">
            <a:solidFill>
              <a:schemeClr val="lt1"/>
            </a:solidFill>
          </a:ln>
          <a:effectLst/>
        </c:spPr>
      </c:pivotFmt>
      <c:pivotFmt>
        <c:idx val="1555"/>
        <c:spPr>
          <a:solidFill>
            <a:schemeClr val="accent1"/>
          </a:solidFill>
          <a:ln w="19050">
            <a:solidFill>
              <a:schemeClr val="lt1"/>
            </a:solidFill>
          </a:ln>
          <a:effectLst/>
        </c:spPr>
      </c:pivotFmt>
      <c:pivotFmt>
        <c:idx val="1556"/>
        <c:spPr>
          <a:solidFill>
            <a:schemeClr val="accent1"/>
          </a:solidFill>
          <a:ln w="19050">
            <a:solidFill>
              <a:schemeClr val="lt1"/>
            </a:solidFill>
          </a:ln>
          <a:effectLst/>
        </c:spPr>
      </c:pivotFmt>
      <c:pivotFmt>
        <c:idx val="1557"/>
        <c:spPr>
          <a:solidFill>
            <a:schemeClr val="accent1"/>
          </a:solidFill>
          <a:ln w="19050">
            <a:solidFill>
              <a:schemeClr val="lt1"/>
            </a:solidFill>
          </a:ln>
          <a:effectLst/>
        </c:spPr>
      </c:pivotFmt>
      <c:pivotFmt>
        <c:idx val="1558"/>
        <c:spPr>
          <a:solidFill>
            <a:schemeClr val="accent1"/>
          </a:solidFill>
          <a:ln w="19050">
            <a:solidFill>
              <a:schemeClr val="lt1"/>
            </a:solidFill>
          </a:ln>
          <a:effectLst/>
        </c:spPr>
      </c:pivotFmt>
      <c:pivotFmt>
        <c:idx val="1559"/>
        <c:spPr>
          <a:solidFill>
            <a:schemeClr val="accent1"/>
          </a:solidFill>
          <a:ln w="19050">
            <a:solidFill>
              <a:schemeClr val="lt1"/>
            </a:solidFill>
          </a:ln>
          <a:effectLst/>
        </c:spPr>
      </c:pivotFmt>
      <c:pivotFmt>
        <c:idx val="1560"/>
        <c:spPr>
          <a:solidFill>
            <a:schemeClr val="accent1"/>
          </a:solidFill>
          <a:ln w="19050">
            <a:solidFill>
              <a:schemeClr val="lt1"/>
            </a:solidFill>
          </a:ln>
          <a:effectLst/>
        </c:spPr>
      </c:pivotFmt>
      <c:pivotFmt>
        <c:idx val="1561"/>
        <c:spPr>
          <a:solidFill>
            <a:schemeClr val="accent1"/>
          </a:solidFill>
          <a:ln w="19050">
            <a:solidFill>
              <a:schemeClr val="lt1"/>
            </a:solidFill>
          </a:ln>
          <a:effectLst/>
        </c:spPr>
      </c:pivotFmt>
      <c:pivotFmt>
        <c:idx val="1562"/>
        <c:spPr>
          <a:solidFill>
            <a:schemeClr val="accent1"/>
          </a:solidFill>
          <a:ln w="19050">
            <a:solidFill>
              <a:schemeClr val="lt1"/>
            </a:solidFill>
          </a:ln>
          <a:effectLst/>
        </c:spPr>
      </c:pivotFmt>
      <c:pivotFmt>
        <c:idx val="1563"/>
        <c:spPr>
          <a:solidFill>
            <a:schemeClr val="accent1"/>
          </a:solidFill>
          <a:ln w="19050">
            <a:solidFill>
              <a:schemeClr val="lt1"/>
            </a:solidFill>
          </a:ln>
          <a:effectLst/>
        </c:spPr>
      </c:pivotFmt>
      <c:pivotFmt>
        <c:idx val="1564"/>
        <c:spPr>
          <a:solidFill>
            <a:schemeClr val="accent1"/>
          </a:solidFill>
          <a:ln w="19050">
            <a:solidFill>
              <a:schemeClr val="lt1"/>
            </a:solidFill>
          </a:ln>
          <a:effectLst/>
        </c:spPr>
      </c:pivotFmt>
      <c:pivotFmt>
        <c:idx val="1565"/>
        <c:spPr>
          <a:solidFill>
            <a:schemeClr val="accent1"/>
          </a:solidFill>
          <a:ln w="19050">
            <a:solidFill>
              <a:schemeClr val="lt1"/>
            </a:solidFill>
          </a:ln>
          <a:effectLst/>
        </c:spPr>
      </c:pivotFmt>
      <c:pivotFmt>
        <c:idx val="1566"/>
        <c:spPr>
          <a:solidFill>
            <a:schemeClr val="accent1"/>
          </a:solidFill>
          <a:ln w="19050">
            <a:solidFill>
              <a:schemeClr val="lt1"/>
            </a:solidFill>
          </a:ln>
          <a:effectLst/>
        </c:spPr>
      </c:pivotFmt>
      <c:pivotFmt>
        <c:idx val="1567"/>
        <c:spPr>
          <a:solidFill>
            <a:schemeClr val="accent1"/>
          </a:solidFill>
          <a:ln w="19050">
            <a:solidFill>
              <a:schemeClr val="lt1"/>
            </a:solidFill>
          </a:ln>
          <a:effectLst/>
        </c:spPr>
      </c:pivotFmt>
      <c:pivotFmt>
        <c:idx val="1568"/>
        <c:spPr>
          <a:solidFill>
            <a:schemeClr val="accent1"/>
          </a:solidFill>
          <a:ln w="19050">
            <a:solidFill>
              <a:schemeClr val="lt1"/>
            </a:solidFill>
          </a:ln>
          <a:effectLst/>
        </c:spPr>
      </c:pivotFmt>
      <c:pivotFmt>
        <c:idx val="1569"/>
        <c:spPr>
          <a:solidFill>
            <a:schemeClr val="accent1"/>
          </a:solidFill>
          <a:ln w="19050">
            <a:solidFill>
              <a:schemeClr val="lt1"/>
            </a:solidFill>
          </a:ln>
          <a:effectLst/>
        </c:spPr>
      </c:pivotFmt>
      <c:pivotFmt>
        <c:idx val="1570"/>
        <c:spPr>
          <a:solidFill>
            <a:schemeClr val="accent1"/>
          </a:solidFill>
          <a:ln w="19050">
            <a:solidFill>
              <a:schemeClr val="lt1"/>
            </a:solidFill>
          </a:ln>
          <a:effectLst/>
        </c:spPr>
      </c:pivotFmt>
      <c:pivotFmt>
        <c:idx val="1571"/>
        <c:spPr>
          <a:solidFill>
            <a:schemeClr val="accent1"/>
          </a:solidFill>
          <a:ln w="19050">
            <a:solidFill>
              <a:schemeClr val="lt1"/>
            </a:solidFill>
          </a:ln>
          <a:effectLst/>
        </c:spPr>
      </c:pivotFmt>
      <c:pivotFmt>
        <c:idx val="1572"/>
        <c:spPr>
          <a:solidFill>
            <a:schemeClr val="accent1"/>
          </a:solidFill>
          <a:ln w="19050">
            <a:solidFill>
              <a:schemeClr val="lt1"/>
            </a:solidFill>
          </a:ln>
          <a:effectLst/>
        </c:spPr>
      </c:pivotFmt>
      <c:pivotFmt>
        <c:idx val="1573"/>
        <c:spPr>
          <a:solidFill>
            <a:schemeClr val="accent1"/>
          </a:solidFill>
          <a:ln w="19050">
            <a:solidFill>
              <a:schemeClr val="lt1"/>
            </a:solidFill>
          </a:ln>
          <a:effectLst/>
        </c:spPr>
      </c:pivotFmt>
      <c:pivotFmt>
        <c:idx val="1574"/>
        <c:spPr>
          <a:solidFill>
            <a:schemeClr val="accent1"/>
          </a:solidFill>
          <a:ln w="19050">
            <a:solidFill>
              <a:schemeClr val="lt1"/>
            </a:solidFill>
          </a:ln>
          <a:effectLst/>
        </c:spPr>
      </c:pivotFmt>
      <c:pivotFmt>
        <c:idx val="1575"/>
        <c:spPr>
          <a:solidFill>
            <a:schemeClr val="accent1"/>
          </a:solidFill>
          <a:ln w="19050">
            <a:solidFill>
              <a:schemeClr val="lt1"/>
            </a:solidFill>
          </a:ln>
          <a:effectLst/>
        </c:spPr>
      </c:pivotFmt>
      <c:pivotFmt>
        <c:idx val="1576"/>
        <c:spPr>
          <a:solidFill>
            <a:schemeClr val="accent1"/>
          </a:solidFill>
          <a:ln w="19050">
            <a:solidFill>
              <a:schemeClr val="lt1"/>
            </a:solidFill>
          </a:ln>
          <a:effectLst/>
        </c:spPr>
      </c:pivotFmt>
      <c:pivotFmt>
        <c:idx val="1577"/>
        <c:spPr>
          <a:solidFill>
            <a:schemeClr val="accent1"/>
          </a:solidFill>
          <a:ln w="19050">
            <a:solidFill>
              <a:schemeClr val="lt1"/>
            </a:solidFill>
          </a:ln>
          <a:effectLst/>
        </c:spPr>
      </c:pivotFmt>
      <c:pivotFmt>
        <c:idx val="1578"/>
        <c:spPr>
          <a:solidFill>
            <a:schemeClr val="accent1"/>
          </a:solidFill>
          <a:ln w="19050">
            <a:solidFill>
              <a:schemeClr val="lt1"/>
            </a:solidFill>
          </a:ln>
          <a:effectLst/>
        </c:spPr>
      </c:pivotFmt>
      <c:pivotFmt>
        <c:idx val="1579"/>
        <c:spPr>
          <a:solidFill>
            <a:schemeClr val="accent1"/>
          </a:solidFill>
          <a:ln w="19050">
            <a:solidFill>
              <a:schemeClr val="lt1"/>
            </a:solidFill>
          </a:ln>
          <a:effectLst/>
        </c:spPr>
      </c:pivotFmt>
      <c:pivotFmt>
        <c:idx val="1580"/>
        <c:spPr>
          <a:solidFill>
            <a:schemeClr val="accent1"/>
          </a:solidFill>
          <a:ln w="19050">
            <a:solidFill>
              <a:schemeClr val="lt1"/>
            </a:solidFill>
          </a:ln>
          <a:effectLst/>
        </c:spPr>
      </c:pivotFmt>
      <c:pivotFmt>
        <c:idx val="1581"/>
        <c:spPr>
          <a:solidFill>
            <a:schemeClr val="accent1"/>
          </a:solidFill>
          <a:ln w="19050">
            <a:solidFill>
              <a:schemeClr val="lt1"/>
            </a:solidFill>
          </a:ln>
          <a:effectLst/>
        </c:spPr>
      </c:pivotFmt>
      <c:pivotFmt>
        <c:idx val="1582"/>
        <c:spPr>
          <a:solidFill>
            <a:schemeClr val="accent1"/>
          </a:solidFill>
          <a:ln w="19050">
            <a:solidFill>
              <a:schemeClr val="lt1"/>
            </a:solidFill>
          </a:ln>
          <a:effectLst/>
        </c:spPr>
      </c:pivotFmt>
      <c:pivotFmt>
        <c:idx val="1583"/>
        <c:spPr>
          <a:solidFill>
            <a:schemeClr val="accent1"/>
          </a:solidFill>
          <a:ln w="19050">
            <a:solidFill>
              <a:schemeClr val="lt1"/>
            </a:solidFill>
          </a:ln>
          <a:effectLst/>
        </c:spPr>
      </c:pivotFmt>
      <c:pivotFmt>
        <c:idx val="1584"/>
        <c:spPr>
          <a:solidFill>
            <a:schemeClr val="accent1"/>
          </a:solidFill>
          <a:ln w="19050">
            <a:solidFill>
              <a:schemeClr val="lt1"/>
            </a:solidFill>
          </a:ln>
          <a:effectLst/>
        </c:spPr>
      </c:pivotFmt>
      <c:pivotFmt>
        <c:idx val="1585"/>
        <c:spPr>
          <a:solidFill>
            <a:schemeClr val="accent1"/>
          </a:solidFill>
          <a:ln w="19050">
            <a:solidFill>
              <a:schemeClr val="lt1"/>
            </a:solidFill>
          </a:ln>
          <a:effectLst/>
        </c:spPr>
      </c:pivotFmt>
      <c:pivotFmt>
        <c:idx val="1586"/>
        <c:spPr>
          <a:solidFill>
            <a:schemeClr val="accent1"/>
          </a:solidFill>
          <a:ln w="19050">
            <a:solidFill>
              <a:schemeClr val="lt1"/>
            </a:solidFill>
          </a:ln>
          <a:effectLst/>
        </c:spPr>
      </c:pivotFmt>
      <c:pivotFmt>
        <c:idx val="1587"/>
        <c:spPr>
          <a:solidFill>
            <a:schemeClr val="accent1"/>
          </a:solidFill>
          <a:ln w="19050">
            <a:solidFill>
              <a:schemeClr val="lt1"/>
            </a:solidFill>
          </a:ln>
          <a:effectLst/>
        </c:spPr>
      </c:pivotFmt>
      <c:pivotFmt>
        <c:idx val="1588"/>
        <c:spPr>
          <a:solidFill>
            <a:schemeClr val="accent1"/>
          </a:solidFill>
          <a:ln w="19050">
            <a:solidFill>
              <a:schemeClr val="lt1"/>
            </a:solidFill>
          </a:ln>
          <a:effectLst/>
        </c:spPr>
      </c:pivotFmt>
      <c:pivotFmt>
        <c:idx val="1589"/>
        <c:spPr>
          <a:solidFill>
            <a:schemeClr val="accent1"/>
          </a:solidFill>
          <a:ln w="19050">
            <a:solidFill>
              <a:schemeClr val="lt1"/>
            </a:solidFill>
          </a:ln>
          <a:effectLst/>
        </c:spPr>
      </c:pivotFmt>
      <c:pivotFmt>
        <c:idx val="1590"/>
        <c:spPr>
          <a:solidFill>
            <a:schemeClr val="accent1"/>
          </a:solidFill>
          <a:ln w="19050">
            <a:solidFill>
              <a:schemeClr val="lt1"/>
            </a:solidFill>
          </a:ln>
          <a:effectLst/>
        </c:spPr>
      </c:pivotFmt>
      <c:pivotFmt>
        <c:idx val="1591"/>
        <c:spPr>
          <a:solidFill>
            <a:schemeClr val="accent1"/>
          </a:solidFill>
          <a:ln w="19050">
            <a:solidFill>
              <a:schemeClr val="lt1"/>
            </a:solidFill>
          </a:ln>
          <a:effectLst/>
        </c:spPr>
      </c:pivotFmt>
      <c:pivotFmt>
        <c:idx val="1592"/>
        <c:spPr>
          <a:solidFill>
            <a:schemeClr val="accent1"/>
          </a:solidFill>
          <a:ln w="19050">
            <a:solidFill>
              <a:schemeClr val="lt1"/>
            </a:solidFill>
          </a:ln>
          <a:effectLst/>
        </c:spPr>
      </c:pivotFmt>
      <c:pivotFmt>
        <c:idx val="1593"/>
        <c:spPr>
          <a:solidFill>
            <a:schemeClr val="accent1"/>
          </a:solidFill>
          <a:ln w="19050">
            <a:solidFill>
              <a:schemeClr val="lt1"/>
            </a:solidFill>
          </a:ln>
          <a:effectLst/>
        </c:spPr>
      </c:pivotFmt>
      <c:pivotFmt>
        <c:idx val="1594"/>
        <c:spPr>
          <a:solidFill>
            <a:schemeClr val="accent1"/>
          </a:solidFill>
          <a:ln w="19050">
            <a:solidFill>
              <a:schemeClr val="lt1"/>
            </a:solidFill>
          </a:ln>
          <a:effectLst/>
        </c:spPr>
      </c:pivotFmt>
      <c:pivotFmt>
        <c:idx val="1595"/>
        <c:spPr>
          <a:solidFill>
            <a:schemeClr val="accent1"/>
          </a:solidFill>
          <a:ln w="19050">
            <a:solidFill>
              <a:schemeClr val="lt1"/>
            </a:solidFill>
          </a:ln>
          <a:effectLst/>
        </c:spPr>
      </c:pivotFmt>
      <c:pivotFmt>
        <c:idx val="1596"/>
        <c:spPr>
          <a:solidFill>
            <a:schemeClr val="accent1"/>
          </a:solidFill>
          <a:ln w="19050">
            <a:solidFill>
              <a:schemeClr val="lt1"/>
            </a:solidFill>
          </a:ln>
          <a:effectLst/>
        </c:spPr>
      </c:pivotFmt>
      <c:pivotFmt>
        <c:idx val="1597"/>
        <c:spPr>
          <a:solidFill>
            <a:schemeClr val="accent1"/>
          </a:solidFill>
          <a:ln w="19050">
            <a:solidFill>
              <a:schemeClr val="lt1"/>
            </a:solidFill>
          </a:ln>
          <a:effectLst/>
        </c:spPr>
      </c:pivotFmt>
      <c:pivotFmt>
        <c:idx val="1598"/>
        <c:spPr>
          <a:solidFill>
            <a:schemeClr val="accent1"/>
          </a:solidFill>
          <a:ln w="19050">
            <a:solidFill>
              <a:schemeClr val="lt1"/>
            </a:solidFill>
          </a:ln>
          <a:effectLst/>
        </c:spPr>
      </c:pivotFmt>
      <c:pivotFmt>
        <c:idx val="1599"/>
        <c:spPr>
          <a:solidFill>
            <a:schemeClr val="accent1"/>
          </a:solidFill>
          <a:ln w="19050">
            <a:solidFill>
              <a:schemeClr val="lt1"/>
            </a:solidFill>
          </a:ln>
          <a:effectLst/>
        </c:spPr>
      </c:pivotFmt>
      <c:pivotFmt>
        <c:idx val="1600"/>
        <c:spPr>
          <a:solidFill>
            <a:schemeClr val="accent1"/>
          </a:solidFill>
          <a:ln w="19050">
            <a:solidFill>
              <a:schemeClr val="lt1"/>
            </a:solidFill>
          </a:ln>
          <a:effectLst/>
        </c:spPr>
      </c:pivotFmt>
      <c:pivotFmt>
        <c:idx val="1601"/>
        <c:spPr>
          <a:solidFill>
            <a:schemeClr val="accent1"/>
          </a:solidFill>
          <a:ln w="19050">
            <a:solidFill>
              <a:schemeClr val="lt1"/>
            </a:solidFill>
          </a:ln>
          <a:effectLst/>
        </c:spPr>
      </c:pivotFmt>
      <c:pivotFmt>
        <c:idx val="1602"/>
        <c:spPr>
          <a:solidFill>
            <a:schemeClr val="accent1"/>
          </a:solidFill>
          <a:ln w="19050">
            <a:solidFill>
              <a:schemeClr val="lt1"/>
            </a:solidFill>
          </a:ln>
          <a:effectLst/>
        </c:spPr>
      </c:pivotFmt>
      <c:pivotFmt>
        <c:idx val="1603"/>
        <c:spPr>
          <a:solidFill>
            <a:schemeClr val="accent1"/>
          </a:solidFill>
          <a:ln w="19050">
            <a:solidFill>
              <a:schemeClr val="lt1"/>
            </a:solidFill>
          </a:ln>
          <a:effectLst/>
        </c:spPr>
      </c:pivotFmt>
      <c:pivotFmt>
        <c:idx val="1604"/>
        <c:spPr>
          <a:solidFill>
            <a:schemeClr val="accent1"/>
          </a:solidFill>
          <a:ln w="19050">
            <a:solidFill>
              <a:schemeClr val="lt1"/>
            </a:solidFill>
          </a:ln>
          <a:effectLst/>
        </c:spPr>
      </c:pivotFmt>
      <c:pivotFmt>
        <c:idx val="1605"/>
        <c:spPr>
          <a:solidFill>
            <a:schemeClr val="accent1"/>
          </a:solidFill>
          <a:ln w="19050">
            <a:solidFill>
              <a:schemeClr val="lt1"/>
            </a:solidFill>
          </a:ln>
          <a:effectLst/>
        </c:spPr>
      </c:pivotFmt>
      <c:pivotFmt>
        <c:idx val="1606"/>
        <c:spPr>
          <a:solidFill>
            <a:schemeClr val="accent1"/>
          </a:solidFill>
          <a:ln w="19050">
            <a:solidFill>
              <a:schemeClr val="lt1"/>
            </a:solidFill>
          </a:ln>
          <a:effectLst/>
        </c:spPr>
      </c:pivotFmt>
      <c:pivotFmt>
        <c:idx val="1607"/>
        <c:spPr>
          <a:solidFill>
            <a:schemeClr val="accent1"/>
          </a:solidFill>
          <a:ln w="19050">
            <a:solidFill>
              <a:schemeClr val="lt1"/>
            </a:solidFill>
          </a:ln>
          <a:effectLst/>
        </c:spPr>
      </c:pivotFmt>
      <c:pivotFmt>
        <c:idx val="1608"/>
        <c:spPr>
          <a:solidFill>
            <a:schemeClr val="accent1"/>
          </a:solidFill>
          <a:ln w="19050">
            <a:solidFill>
              <a:schemeClr val="lt1"/>
            </a:solidFill>
          </a:ln>
          <a:effectLst/>
        </c:spPr>
      </c:pivotFmt>
      <c:pivotFmt>
        <c:idx val="1609"/>
        <c:spPr>
          <a:solidFill>
            <a:schemeClr val="accent1"/>
          </a:solidFill>
          <a:ln w="19050">
            <a:solidFill>
              <a:schemeClr val="lt1"/>
            </a:solidFill>
          </a:ln>
          <a:effectLst/>
        </c:spPr>
      </c:pivotFmt>
      <c:pivotFmt>
        <c:idx val="1610"/>
        <c:spPr>
          <a:solidFill>
            <a:schemeClr val="accent1"/>
          </a:solidFill>
          <a:ln w="19050">
            <a:solidFill>
              <a:schemeClr val="lt1"/>
            </a:solidFill>
          </a:ln>
          <a:effectLst/>
        </c:spPr>
      </c:pivotFmt>
      <c:pivotFmt>
        <c:idx val="1611"/>
        <c:spPr>
          <a:solidFill>
            <a:schemeClr val="accent1"/>
          </a:solidFill>
          <a:ln w="19050">
            <a:solidFill>
              <a:schemeClr val="lt1"/>
            </a:solidFill>
          </a:ln>
          <a:effectLst/>
        </c:spPr>
      </c:pivotFmt>
      <c:pivotFmt>
        <c:idx val="1612"/>
        <c:spPr>
          <a:solidFill>
            <a:schemeClr val="accent1"/>
          </a:solidFill>
          <a:ln w="19050">
            <a:solidFill>
              <a:schemeClr val="lt1"/>
            </a:solidFill>
          </a:ln>
          <a:effectLst/>
        </c:spPr>
      </c:pivotFmt>
      <c:pivotFmt>
        <c:idx val="1613"/>
        <c:spPr>
          <a:solidFill>
            <a:schemeClr val="accent1"/>
          </a:solidFill>
          <a:ln w="19050">
            <a:solidFill>
              <a:schemeClr val="lt1"/>
            </a:solidFill>
          </a:ln>
          <a:effectLst/>
        </c:spPr>
      </c:pivotFmt>
      <c:pivotFmt>
        <c:idx val="1614"/>
        <c:spPr>
          <a:solidFill>
            <a:schemeClr val="accent1"/>
          </a:solidFill>
          <a:ln w="19050">
            <a:solidFill>
              <a:schemeClr val="lt1"/>
            </a:solidFill>
          </a:ln>
          <a:effectLst/>
        </c:spPr>
      </c:pivotFmt>
      <c:pivotFmt>
        <c:idx val="1615"/>
        <c:spPr>
          <a:solidFill>
            <a:schemeClr val="accent1"/>
          </a:solidFill>
          <a:ln w="19050">
            <a:solidFill>
              <a:schemeClr val="lt1"/>
            </a:solidFill>
          </a:ln>
          <a:effectLst/>
        </c:spPr>
      </c:pivotFmt>
      <c:pivotFmt>
        <c:idx val="1616"/>
        <c:spPr>
          <a:solidFill>
            <a:schemeClr val="accent1"/>
          </a:solidFill>
          <a:ln w="19050">
            <a:solidFill>
              <a:schemeClr val="lt1"/>
            </a:solidFill>
          </a:ln>
          <a:effectLst/>
        </c:spPr>
      </c:pivotFmt>
      <c:pivotFmt>
        <c:idx val="1617"/>
        <c:spPr>
          <a:solidFill>
            <a:schemeClr val="accent1"/>
          </a:solidFill>
          <a:ln w="19050">
            <a:solidFill>
              <a:schemeClr val="lt1"/>
            </a:solidFill>
          </a:ln>
          <a:effectLst/>
        </c:spPr>
      </c:pivotFmt>
      <c:pivotFmt>
        <c:idx val="1618"/>
        <c:spPr>
          <a:solidFill>
            <a:schemeClr val="accent1"/>
          </a:solidFill>
          <a:ln w="19050">
            <a:solidFill>
              <a:schemeClr val="lt1"/>
            </a:solidFill>
          </a:ln>
          <a:effectLst/>
        </c:spPr>
      </c:pivotFmt>
      <c:pivotFmt>
        <c:idx val="1619"/>
        <c:spPr>
          <a:solidFill>
            <a:schemeClr val="accent1"/>
          </a:solidFill>
          <a:ln w="19050">
            <a:solidFill>
              <a:schemeClr val="lt1"/>
            </a:solidFill>
          </a:ln>
          <a:effectLst/>
        </c:spPr>
      </c:pivotFmt>
      <c:pivotFmt>
        <c:idx val="1620"/>
        <c:spPr>
          <a:solidFill>
            <a:schemeClr val="accent1"/>
          </a:solidFill>
          <a:ln w="19050">
            <a:solidFill>
              <a:schemeClr val="lt1"/>
            </a:solidFill>
          </a:ln>
          <a:effectLst/>
        </c:spPr>
      </c:pivotFmt>
      <c:pivotFmt>
        <c:idx val="1621"/>
        <c:spPr>
          <a:solidFill>
            <a:schemeClr val="accent1"/>
          </a:solidFill>
          <a:ln w="19050">
            <a:solidFill>
              <a:schemeClr val="lt1"/>
            </a:solidFill>
          </a:ln>
          <a:effectLst/>
        </c:spPr>
      </c:pivotFmt>
      <c:pivotFmt>
        <c:idx val="1622"/>
        <c:spPr>
          <a:solidFill>
            <a:schemeClr val="accent1"/>
          </a:solidFill>
          <a:ln w="19050">
            <a:solidFill>
              <a:schemeClr val="lt1"/>
            </a:solidFill>
          </a:ln>
          <a:effectLst/>
        </c:spPr>
      </c:pivotFmt>
      <c:pivotFmt>
        <c:idx val="1623"/>
        <c:spPr>
          <a:solidFill>
            <a:schemeClr val="accent1"/>
          </a:solidFill>
          <a:ln w="19050">
            <a:solidFill>
              <a:schemeClr val="lt1"/>
            </a:solidFill>
          </a:ln>
          <a:effectLst/>
        </c:spPr>
      </c:pivotFmt>
      <c:pivotFmt>
        <c:idx val="1624"/>
        <c:spPr>
          <a:solidFill>
            <a:schemeClr val="accent1"/>
          </a:solidFill>
          <a:ln w="19050">
            <a:solidFill>
              <a:schemeClr val="lt1"/>
            </a:solidFill>
          </a:ln>
          <a:effectLst/>
        </c:spPr>
      </c:pivotFmt>
      <c:pivotFmt>
        <c:idx val="1625"/>
        <c:spPr>
          <a:solidFill>
            <a:schemeClr val="accent1"/>
          </a:solidFill>
          <a:ln w="19050">
            <a:solidFill>
              <a:schemeClr val="lt1"/>
            </a:solidFill>
          </a:ln>
          <a:effectLst/>
        </c:spPr>
      </c:pivotFmt>
      <c:pivotFmt>
        <c:idx val="1626"/>
        <c:spPr>
          <a:solidFill>
            <a:schemeClr val="accent1"/>
          </a:solidFill>
          <a:ln w="19050">
            <a:solidFill>
              <a:schemeClr val="lt1"/>
            </a:solidFill>
          </a:ln>
          <a:effectLst/>
        </c:spPr>
      </c:pivotFmt>
      <c:pivotFmt>
        <c:idx val="1627"/>
        <c:spPr>
          <a:solidFill>
            <a:schemeClr val="accent1"/>
          </a:solidFill>
          <a:ln w="19050">
            <a:solidFill>
              <a:schemeClr val="lt1"/>
            </a:solidFill>
          </a:ln>
          <a:effectLst/>
        </c:spPr>
      </c:pivotFmt>
      <c:pivotFmt>
        <c:idx val="1628"/>
        <c:spPr>
          <a:solidFill>
            <a:schemeClr val="accent1"/>
          </a:solidFill>
          <a:ln w="19050">
            <a:solidFill>
              <a:schemeClr val="lt1"/>
            </a:solidFill>
          </a:ln>
          <a:effectLst/>
        </c:spPr>
      </c:pivotFmt>
      <c:pivotFmt>
        <c:idx val="1629"/>
        <c:spPr>
          <a:solidFill>
            <a:schemeClr val="accent1"/>
          </a:solidFill>
          <a:ln w="19050">
            <a:solidFill>
              <a:schemeClr val="lt1"/>
            </a:solidFill>
          </a:ln>
          <a:effectLst/>
        </c:spPr>
      </c:pivotFmt>
      <c:pivotFmt>
        <c:idx val="1630"/>
        <c:spPr>
          <a:solidFill>
            <a:schemeClr val="accent1"/>
          </a:solidFill>
          <a:ln w="19050">
            <a:solidFill>
              <a:schemeClr val="lt1"/>
            </a:solidFill>
          </a:ln>
          <a:effectLst/>
        </c:spPr>
      </c:pivotFmt>
      <c:pivotFmt>
        <c:idx val="1631"/>
        <c:spPr>
          <a:solidFill>
            <a:schemeClr val="accent1"/>
          </a:solidFill>
          <a:ln w="19050">
            <a:solidFill>
              <a:schemeClr val="lt1"/>
            </a:solidFill>
          </a:ln>
          <a:effectLst/>
        </c:spPr>
      </c:pivotFmt>
      <c:pivotFmt>
        <c:idx val="1632"/>
        <c:spPr>
          <a:solidFill>
            <a:schemeClr val="accent1"/>
          </a:solidFill>
          <a:ln w="19050">
            <a:solidFill>
              <a:schemeClr val="lt1"/>
            </a:solidFill>
          </a:ln>
          <a:effectLst/>
        </c:spPr>
      </c:pivotFmt>
      <c:pivotFmt>
        <c:idx val="1633"/>
        <c:spPr>
          <a:solidFill>
            <a:schemeClr val="accent1"/>
          </a:solidFill>
          <a:ln w="19050">
            <a:solidFill>
              <a:schemeClr val="lt1"/>
            </a:solidFill>
          </a:ln>
          <a:effectLst/>
        </c:spPr>
      </c:pivotFmt>
      <c:pivotFmt>
        <c:idx val="1634"/>
        <c:spPr>
          <a:solidFill>
            <a:schemeClr val="accent1"/>
          </a:solidFill>
          <a:ln w="19050">
            <a:solidFill>
              <a:schemeClr val="lt1"/>
            </a:solidFill>
          </a:ln>
          <a:effectLst/>
        </c:spPr>
      </c:pivotFmt>
      <c:pivotFmt>
        <c:idx val="1635"/>
        <c:spPr>
          <a:solidFill>
            <a:schemeClr val="accent1"/>
          </a:solidFill>
          <a:ln w="19050">
            <a:solidFill>
              <a:schemeClr val="lt1"/>
            </a:solidFill>
          </a:ln>
          <a:effectLst/>
        </c:spPr>
      </c:pivotFmt>
      <c:pivotFmt>
        <c:idx val="1636"/>
        <c:spPr>
          <a:solidFill>
            <a:schemeClr val="accent1"/>
          </a:solidFill>
          <a:ln w="19050">
            <a:solidFill>
              <a:schemeClr val="lt1"/>
            </a:solidFill>
          </a:ln>
          <a:effectLst/>
        </c:spPr>
      </c:pivotFmt>
      <c:pivotFmt>
        <c:idx val="1637"/>
        <c:spPr>
          <a:solidFill>
            <a:schemeClr val="accent1"/>
          </a:solidFill>
          <a:ln w="19050">
            <a:solidFill>
              <a:schemeClr val="lt1"/>
            </a:solidFill>
          </a:ln>
          <a:effectLst/>
        </c:spPr>
      </c:pivotFmt>
      <c:pivotFmt>
        <c:idx val="1638"/>
        <c:spPr>
          <a:solidFill>
            <a:schemeClr val="accent1"/>
          </a:solidFill>
          <a:ln w="19050">
            <a:solidFill>
              <a:schemeClr val="lt1"/>
            </a:solidFill>
          </a:ln>
          <a:effectLst/>
        </c:spPr>
      </c:pivotFmt>
      <c:pivotFmt>
        <c:idx val="1639"/>
        <c:spPr>
          <a:solidFill>
            <a:schemeClr val="accent1"/>
          </a:solidFill>
          <a:ln w="19050">
            <a:solidFill>
              <a:schemeClr val="lt1"/>
            </a:solidFill>
          </a:ln>
          <a:effectLst/>
        </c:spPr>
      </c:pivotFmt>
      <c:pivotFmt>
        <c:idx val="1640"/>
        <c:spPr>
          <a:solidFill>
            <a:schemeClr val="accent1"/>
          </a:solidFill>
          <a:ln w="19050">
            <a:solidFill>
              <a:schemeClr val="lt1"/>
            </a:solidFill>
          </a:ln>
          <a:effectLst/>
        </c:spPr>
      </c:pivotFmt>
      <c:pivotFmt>
        <c:idx val="1641"/>
        <c:spPr>
          <a:solidFill>
            <a:schemeClr val="accent1"/>
          </a:solidFill>
          <a:ln w="19050">
            <a:solidFill>
              <a:schemeClr val="lt1"/>
            </a:solidFill>
          </a:ln>
          <a:effectLst/>
        </c:spPr>
      </c:pivotFmt>
      <c:pivotFmt>
        <c:idx val="1642"/>
        <c:spPr>
          <a:solidFill>
            <a:schemeClr val="accent1"/>
          </a:solidFill>
          <a:ln w="19050">
            <a:solidFill>
              <a:schemeClr val="lt1"/>
            </a:solidFill>
          </a:ln>
          <a:effectLst/>
        </c:spPr>
      </c:pivotFmt>
      <c:pivotFmt>
        <c:idx val="1643"/>
        <c:spPr>
          <a:solidFill>
            <a:schemeClr val="accent1"/>
          </a:solidFill>
          <a:ln w="19050">
            <a:solidFill>
              <a:schemeClr val="lt1"/>
            </a:solidFill>
          </a:ln>
          <a:effectLst/>
        </c:spPr>
      </c:pivotFmt>
      <c:pivotFmt>
        <c:idx val="1644"/>
        <c:spPr>
          <a:solidFill>
            <a:schemeClr val="accent1"/>
          </a:solidFill>
          <a:ln w="19050">
            <a:solidFill>
              <a:schemeClr val="lt1"/>
            </a:solidFill>
          </a:ln>
          <a:effectLst/>
        </c:spPr>
      </c:pivotFmt>
      <c:pivotFmt>
        <c:idx val="1645"/>
        <c:spPr>
          <a:solidFill>
            <a:schemeClr val="accent1"/>
          </a:solidFill>
          <a:ln w="19050">
            <a:solidFill>
              <a:schemeClr val="lt1"/>
            </a:solidFill>
          </a:ln>
          <a:effectLst/>
        </c:spPr>
      </c:pivotFmt>
      <c:pivotFmt>
        <c:idx val="1646"/>
        <c:spPr>
          <a:solidFill>
            <a:schemeClr val="accent1"/>
          </a:solidFill>
          <a:ln w="19050">
            <a:solidFill>
              <a:schemeClr val="lt1"/>
            </a:solidFill>
          </a:ln>
          <a:effectLst/>
        </c:spPr>
      </c:pivotFmt>
      <c:pivotFmt>
        <c:idx val="1647"/>
        <c:spPr>
          <a:solidFill>
            <a:schemeClr val="accent1"/>
          </a:solidFill>
          <a:ln w="19050">
            <a:solidFill>
              <a:schemeClr val="lt1"/>
            </a:solidFill>
          </a:ln>
          <a:effectLst/>
        </c:spPr>
      </c:pivotFmt>
      <c:pivotFmt>
        <c:idx val="1648"/>
        <c:spPr>
          <a:solidFill>
            <a:schemeClr val="accent1"/>
          </a:solidFill>
          <a:ln w="19050">
            <a:solidFill>
              <a:schemeClr val="lt1"/>
            </a:solidFill>
          </a:ln>
          <a:effectLst/>
        </c:spPr>
      </c:pivotFmt>
      <c:pivotFmt>
        <c:idx val="1649"/>
        <c:spPr>
          <a:solidFill>
            <a:schemeClr val="accent1"/>
          </a:solidFill>
          <a:ln w="19050">
            <a:solidFill>
              <a:schemeClr val="lt1"/>
            </a:solidFill>
          </a:ln>
          <a:effectLst/>
        </c:spPr>
      </c:pivotFmt>
      <c:pivotFmt>
        <c:idx val="1650"/>
        <c:spPr>
          <a:solidFill>
            <a:schemeClr val="accent1"/>
          </a:solidFill>
          <a:ln w="19050">
            <a:solidFill>
              <a:schemeClr val="lt1"/>
            </a:solidFill>
          </a:ln>
          <a:effectLst/>
        </c:spPr>
      </c:pivotFmt>
      <c:pivotFmt>
        <c:idx val="1651"/>
        <c:spPr>
          <a:solidFill>
            <a:schemeClr val="accent1"/>
          </a:solidFill>
          <a:ln w="19050">
            <a:solidFill>
              <a:schemeClr val="lt1"/>
            </a:solidFill>
          </a:ln>
          <a:effectLst/>
        </c:spPr>
      </c:pivotFmt>
      <c:pivotFmt>
        <c:idx val="1652"/>
        <c:spPr>
          <a:solidFill>
            <a:schemeClr val="accent1"/>
          </a:solidFill>
          <a:ln w="19050">
            <a:solidFill>
              <a:schemeClr val="lt1"/>
            </a:solidFill>
          </a:ln>
          <a:effectLst/>
        </c:spPr>
      </c:pivotFmt>
      <c:pivotFmt>
        <c:idx val="1653"/>
        <c:spPr>
          <a:solidFill>
            <a:schemeClr val="accent1"/>
          </a:solidFill>
          <a:ln w="19050">
            <a:solidFill>
              <a:schemeClr val="lt1"/>
            </a:solidFill>
          </a:ln>
          <a:effectLst/>
        </c:spPr>
      </c:pivotFmt>
      <c:pivotFmt>
        <c:idx val="1654"/>
        <c:spPr>
          <a:solidFill>
            <a:schemeClr val="accent1"/>
          </a:solidFill>
          <a:ln w="19050">
            <a:solidFill>
              <a:schemeClr val="lt1"/>
            </a:solidFill>
          </a:ln>
          <a:effectLst/>
        </c:spPr>
      </c:pivotFmt>
      <c:pivotFmt>
        <c:idx val="1655"/>
        <c:spPr>
          <a:solidFill>
            <a:schemeClr val="accent1"/>
          </a:solidFill>
          <a:ln w="19050">
            <a:solidFill>
              <a:schemeClr val="lt1"/>
            </a:solidFill>
          </a:ln>
          <a:effectLst/>
        </c:spPr>
      </c:pivotFmt>
      <c:pivotFmt>
        <c:idx val="1656"/>
        <c:spPr>
          <a:solidFill>
            <a:schemeClr val="accent1"/>
          </a:solidFill>
          <a:ln w="19050">
            <a:solidFill>
              <a:schemeClr val="lt1"/>
            </a:solidFill>
          </a:ln>
          <a:effectLst/>
        </c:spPr>
      </c:pivotFmt>
      <c:pivotFmt>
        <c:idx val="1657"/>
        <c:spPr>
          <a:solidFill>
            <a:schemeClr val="accent1"/>
          </a:solidFill>
          <a:ln w="19050">
            <a:solidFill>
              <a:schemeClr val="lt1"/>
            </a:solidFill>
          </a:ln>
          <a:effectLst/>
        </c:spPr>
      </c:pivotFmt>
      <c:pivotFmt>
        <c:idx val="1658"/>
        <c:spPr>
          <a:solidFill>
            <a:schemeClr val="accent1"/>
          </a:solidFill>
          <a:ln w="19050">
            <a:solidFill>
              <a:schemeClr val="lt1"/>
            </a:solidFill>
          </a:ln>
          <a:effectLst/>
        </c:spPr>
      </c:pivotFmt>
      <c:pivotFmt>
        <c:idx val="1659"/>
        <c:spPr>
          <a:solidFill>
            <a:schemeClr val="accent1"/>
          </a:solidFill>
          <a:ln w="19050">
            <a:solidFill>
              <a:schemeClr val="lt1"/>
            </a:solidFill>
          </a:ln>
          <a:effectLst/>
        </c:spPr>
      </c:pivotFmt>
      <c:pivotFmt>
        <c:idx val="1660"/>
        <c:spPr>
          <a:solidFill>
            <a:schemeClr val="accent1"/>
          </a:solidFill>
          <a:ln w="19050">
            <a:solidFill>
              <a:schemeClr val="lt1"/>
            </a:solidFill>
          </a:ln>
          <a:effectLst/>
        </c:spPr>
      </c:pivotFmt>
      <c:pivotFmt>
        <c:idx val="1661"/>
        <c:spPr>
          <a:solidFill>
            <a:schemeClr val="accent1"/>
          </a:solidFill>
          <a:ln w="19050">
            <a:solidFill>
              <a:schemeClr val="lt1"/>
            </a:solidFill>
          </a:ln>
          <a:effectLst/>
        </c:spPr>
      </c:pivotFmt>
      <c:pivotFmt>
        <c:idx val="1662"/>
        <c:spPr>
          <a:solidFill>
            <a:schemeClr val="accent1"/>
          </a:solidFill>
          <a:ln w="19050">
            <a:solidFill>
              <a:schemeClr val="lt1"/>
            </a:solidFill>
          </a:ln>
          <a:effectLst/>
        </c:spPr>
      </c:pivotFmt>
      <c:pivotFmt>
        <c:idx val="1663"/>
        <c:spPr>
          <a:solidFill>
            <a:schemeClr val="accent1"/>
          </a:solidFill>
          <a:ln w="19050">
            <a:solidFill>
              <a:schemeClr val="lt1"/>
            </a:solidFill>
          </a:ln>
          <a:effectLst/>
        </c:spPr>
      </c:pivotFmt>
      <c:pivotFmt>
        <c:idx val="1664"/>
        <c:spPr>
          <a:solidFill>
            <a:schemeClr val="accent1"/>
          </a:solidFill>
          <a:ln w="19050">
            <a:solidFill>
              <a:schemeClr val="lt1"/>
            </a:solidFill>
          </a:ln>
          <a:effectLst/>
        </c:spPr>
      </c:pivotFmt>
      <c:pivotFmt>
        <c:idx val="1665"/>
        <c:spPr>
          <a:solidFill>
            <a:schemeClr val="accent1"/>
          </a:solidFill>
          <a:ln w="19050">
            <a:solidFill>
              <a:schemeClr val="lt1"/>
            </a:solidFill>
          </a:ln>
          <a:effectLst/>
        </c:spPr>
      </c:pivotFmt>
      <c:pivotFmt>
        <c:idx val="1666"/>
        <c:spPr>
          <a:solidFill>
            <a:schemeClr val="accent1"/>
          </a:solidFill>
          <a:ln w="19050">
            <a:solidFill>
              <a:schemeClr val="lt1"/>
            </a:solidFill>
          </a:ln>
          <a:effectLst/>
        </c:spPr>
      </c:pivotFmt>
      <c:pivotFmt>
        <c:idx val="1667"/>
        <c:spPr>
          <a:solidFill>
            <a:schemeClr val="accent1"/>
          </a:solidFill>
          <a:ln w="19050">
            <a:solidFill>
              <a:schemeClr val="lt1"/>
            </a:solidFill>
          </a:ln>
          <a:effectLst/>
        </c:spPr>
      </c:pivotFmt>
      <c:pivotFmt>
        <c:idx val="1668"/>
        <c:spPr>
          <a:solidFill>
            <a:schemeClr val="accent1"/>
          </a:solidFill>
          <a:ln w="19050">
            <a:solidFill>
              <a:schemeClr val="lt1"/>
            </a:solidFill>
          </a:ln>
          <a:effectLst/>
        </c:spPr>
      </c:pivotFmt>
      <c:pivotFmt>
        <c:idx val="1669"/>
        <c:spPr>
          <a:solidFill>
            <a:schemeClr val="accent1"/>
          </a:solidFill>
          <a:ln w="19050">
            <a:solidFill>
              <a:schemeClr val="lt1"/>
            </a:solidFill>
          </a:ln>
          <a:effectLst/>
        </c:spPr>
      </c:pivotFmt>
      <c:pivotFmt>
        <c:idx val="1670"/>
        <c:spPr>
          <a:solidFill>
            <a:schemeClr val="accent1"/>
          </a:solidFill>
          <a:ln w="19050">
            <a:solidFill>
              <a:schemeClr val="lt1"/>
            </a:solidFill>
          </a:ln>
          <a:effectLst/>
        </c:spPr>
      </c:pivotFmt>
      <c:pivotFmt>
        <c:idx val="1671"/>
        <c:spPr>
          <a:solidFill>
            <a:schemeClr val="accent1"/>
          </a:solidFill>
          <a:ln w="19050">
            <a:solidFill>
              <a:schemeClr val="lt1"/>
            </a:solidFill>
          </a:ln>
          <a:effectLst/>
        </c:spPr>
      </c:pivotFmt>
      <c:pivotFmt>
        <c:idx val="1672"/>
        <c:spPr>
          <a:solidFill>
            <a:schemeClr val="accent1"/>
          </a:solidFill>
          <a:ln w="19050">
            <a:solidFill>
              <a:schemeClr val="lt1"/>
            </a:solidFill>
          </a:ln>
          <a:effectLst/>
        </c:spPr>
      </c:pivotFmt>
      <c:pivotFmt>
        <c:idx val="1673"/>
        <c:spPr>
          <a:solidFill>
            <a:schemeClr val="accent1"/>
          </a:solidFill>
          <a:ln w="19050">
            <a:solidFill>
              <a:schemeClr val="lt1"/>
            </a:solidFill>
          </a:ln>
          <a:effectLst/>
        </c:spPr>
      </c:pivotFmt>
      <c:pivotFmt>
        <c:idx val="1674"/>
        <c:spPr>
          <a:solidFill>
            <a:schemeClr val="accent1"/>
          </a:solidFill>
          <a:ln w="19050">
            <a:solidFill>
              <a:schemeClr val="lt1"/>
            </a:solidFill>
          </a:ln>
          <a:effectLst/>
        </c:spPr>
      </c:pivotFmt>
      <c:pivotFmt>
        <c:idx val="1675"/>
        <c:spPr>
          <a:solidFill>
            <a:schemeClr val="accent1"/>
          </a:solidFill>
          <a:ln w="19050">
            <a:solidFill>
              <a:schemeClr val="lt1"/>
            </a:solidFill>
          </a:ln>
          <a:effectLst/>
        </c:spPr>
      </c:pivotFmt>
      <c:pivotFmt>
        <c:idx val="1676"/>
        <c:spPr>
          <a:solidFill>
            <a:schemeClr val="accent1"/>
          </a:solidFill>
          <a:ln w="19050">
            <a:solidFill>
              <a:schemeClr val="lt1"/>
            </a:solidFill>
          </a:ln>
          <a:effectLst/>
        </c:spPr>
      </c:pivotFmt>
      <c:pivotFmt>
        <c:idx val="1677"/>
        <c:spPr>
          <a:solidFill>
            <a:schemeClr val="accent1"/>
          </a:solidFill>
          <a:ln w="19050">
            <a:solidFill>
              <a:schemeClr val="lt1"/>
            </a:solidFill>
          </a:ln>
          <a:effectLst/>
        </c:spPr>
      </c:pivotFmt>
      <c:pivotFmt>
        <c:idx val="1678"/>
        <c:spPr>
          <a:solidFill>
            <a:schemeClr val="accent1"/>
          </a:solidFill>
          <a:ln w="19050">
            <a:solidFill>
              <a:schemeClr val="lt1"/>
            </a:solidFill>
          </a:ln>
          <a:effectLst/>
        </c:spPr>
      </c:pivotFmt>
      <c:pivotFmt>
        <c:idx val="1679"/>
        <c:spPr>
          <a:solidFill>
            <a:schemeClr val="accent1"/>
          </a:solidFill>
          <a:ln w="19050">
            <a:solidFill>
              <a:schemeClr val="lt1"/>
            </a:solidFill>
          </a:ln>
          <a:effectLst/>
        </c:spPr>
      </c:pivotFmt>
      <c:pivotFmt>
        <c:idx val="1680"/>
        <c:spPr>
          <a:solidFill>
            <a:schemeClr val="accent1"/>
          </a:solidFill>
          <a:ln w="19050">
            <a:solidFill>
              <a:schemeClr val="lt1"/>
            </a:solidFill>
          </a:ln>
          <a:effectLst/>
        </c:spPr>
      </c:pivotFmt>
      <c:pivotFmt>
        <c:idx val="1681"/>
        <c:spPr>
          <a:solidFill>
            <a:schemeClr val="accent1"/>
          </a:solidFill>
          <a:ln w="19050">
            <a:solidFill>
              <a:schemeClr val="lt1"/>
            </a:solidFill>
          </a:ln>
          <a:effectLst/>
        </c:spPr>
      </c:pivotFmt>
      <c:pivotFmt>
        <c:idx val="1682"/>
        <c:spPr>
          <a:solidFill>
            <a:schemeClr val="accent1"/>
          </a:solidFill>
          <a:ln w="19050">
            <a:solidFill>
              <a:schemeClr val="lt1"/>
            </a:solidFill>
          </a:ln>
          <a:effectLst/>
        </c:spPr>
      </c:pivotFmt>
      <c:pivotFmt>
        <c:idx val="1683"/>
        <c:spPr>
          <a:solidFill>
            <a:schemeClr val="accent1"/>
          </a:solidFill>
          <a:ln w="19050">
            <a:solidFill>
              <a:schemeClr val="lt1"/>
            </a:solidFill>
          </a:ln>
          <a:effectLst/>
        </c:spPr>
      </c:pivotFmt>
      <c:pivotFmt>
        <c:idx val="1684"/>
        <c:spPr>
          <a:solidFill>
            <a:schemeClr val="accent1"/>
          </a:solidFill>
          <a:ln w="19050">
            <a:solidFill>
              <a:schemeClr val="lt1"/>
            </a:solidFill>
          </a:ln>
          <a:effectLst/>
        </c:spPr>
      </c:pivotFmt>
      <c:pivotFmt>
        <c:idx val="1685"/>
        <c:spPr>
          <a:solidFill>
            <a:schemeClr val="accent1"/>
          </a:solidFill>
          <a:ln w="19050">
            <a:solidFill>
              <a:schemeClr val="lt1"/>
            </a:solidFill>
          </a:ln>
          <a:effectLst/>
        </c:spPr>
      </c:pivotFmt>
      <c:pivotFmt>
        <c:idx val="1686"/>
        <c:spPr>
          <a:solidFill>
            <a:schemeClr val="accent1"/>
          </a:solidFill>
          <a:ln w="19050">
            <a:solidFill>
              <a:schemeClr val="lt1"/>
            </a:solidFill>
          </a:ln>
          <a:effectLst/>
        </c:spPr>
      </c:pivotFmt>
      <c:pivotFmt>
        <c:idx val="1687"/>
        <c:spPr>
          <a:solidFill>
            <a:schemeClr val="accent1"/>
          </a:solidFill>
          <a:ln w="19050">
            <a:solidFill>
              <a:schemeClr val="lt1"/>
            </a:solidFill>
          </a:ln>
          <a:effectLst/>
        </c:spPr>
      </c:pivotFmt>
      <c:pivotFmt>
        <c:idx val="1688"/>
        <c:spPr>
          <a:solidFill>
            <a:schemeClr val="accent1"/>
          </a:solidFill>
          <a:ln w="19050">
            <a:solidFill>
              <a:schemeClr val="lt1"/>
            </a:solidFill>
          </a:ln>
          <a:effectLst/>
        </c:spPr>
      </c:pivotFmt>
      <c:pivotFmt>
        <c:idx val="1689"/>
        <c:spPr>
          <a:solidFill>
            <a:schemeClr val="accent1"/>
          </a:solidFill>
          <a:ln w="19050">
            <a:solidFill>
              <a:schemeClr val="lt1"/>
            </a:solidFill>
          </a:ln>
          <a:effectLst/>
        </c:spPr>
      </c:pivotFmt>
      <c:pivotFmt>
        <c:idx val="1690"/>
        <c:spPr>
          <a:solidFill>
            <a:schemeClr val="accent1"/>
          </a:solidFill>
          <a:ln w="19050">
            <a:solidFill>
              <a:schemeClr val="lt1"/>
            </a:solidFill>
          </a:ln>
          <a:effectLst/>
        </c:spPr>
      </c:pivotFmt>
      <c:pivotFmt>
        <c:idx val="1691"/>
        <c:spPr>
          <a:solidFill>
            <a:schemeClr val="accent1"/>
          </a:solidFill>
          <a:ln w="19050">
            <a:solidFill>
              <a:schemeClr val="lt1"/>
            </a:solidFill>
          </a:ln>
          <a:effectLst/>
        </c:spPr>
      </c:pivotFmt>
      <c:pivotFmt>
        <c:idx val="1692"/>
        <c:spPr>
          <a:solidFill>
            <a:schemeClr val="accent1"/>
          </a:solidFill>
          <a:ln w="19050">
            <a:solidFill>
              <a:schemeClr val="lt1"/>
            </a:solidFill>
          </a:ln>
          <a:effectLst/>
        </c:spPr>
      </c:pivotFmt>
      <c:pivotFmt>
        <c:idx val="1693"/>
        <c:spPr>
          <a:solidFill>
            <a:schemeClr val="accent1"/>
          </a:solidFill>
          <a:ln w="19050">
            <a:solidFill>
              <a:schemeClr val="lt1"/>
            </a:solidFill>
          </a:ln>
          <a:effectLst/>
        </c:spPr>
      </c:pivotFmt>
      <c:pivotFmt>
        <c:idx val="1694"/>
        <c:spPr>
          <a:solidFill>
            <a:schemeClr val="accent1"/>
          </a:solidFill>
          <a:ln w="19050">
            <a:solidFill>
              <a:schemeClr val="lt1"/>
            </a:solidFill>
          </a:ln>
          <a:effectLst/>
        </c:spPr>
      </c:pivotFmt>
      <c:pivotFmt>
        <c:idx val="1695"/>
        <c:spPr>
          <a:solidFill>
            <a:schemeClr val="accent1"/>
          </a:solidFill>
          <a:ln w="19050">
            <a:solidFill>
              <a:schemeClr val="lt1"/>
            </a:solidFill>
          </a:ln>
          <a:effectLst/>
        </c:spPr>
      </c:pivotFmt>
      <c:pivotFmt>
        <c:idx val="1696"/>
        <c:spPr>
          <a:solidFill>
            <a:schemeClr val="accent1"/>
          </a:solidFill>
          <a:ln w="19050">
            <a:solidFill>
              <a:schemeClr val="lt1"/>
            </a:solidFill>
          </a:ln>
          <a:effectLst/>
        </c:spPr>
      </c:pivotFmt>
      <c:pivotFmt>
        <c:idx val="1697"/>
        <c:spPr>
          <a:solidFill>
            <a:schemeClr val="accent1"/>
          </a:solidFill>
          <a:ln w="19050">
            <a:solidFill>
              <a:schemeClr val="lt1"/>
            </a:solidFill>
          </a:ln>
          <a:effectLst/>
        </c:spPr>
      </c:pivotFmt>
      <c:pivotFmt>
        <c:idx val="1698"/>
        <c:spPr>
          <a:solidFill>
            <a:schemeClr val="accent1"/>
          </a:solidFill>
          <a:ln w="19050">
            <a:solidFill>
              <a:schemeClr val="lt1"/>
            </a:solidFill>
          </a:ln>
          <a:effectLst/>
        </c:spPr>
      </c:pivotFmt>
      <c:pivotFmt>
        <c:idx val="1699"/>
        <c:spPr>
          <a:solidFill>
            <a:schemeClr val="accent1"/>
          </a:solidFill>
          <a:ln w="19050">
            <a:solidFill>
              <a:schemeClr val="lt1"/>
            </a:solidFill>
          </a:ln>
          <a:effectLst/>
        </c:spPr>
      </c:pivotFmt>
      <c:pivotFmt>
        <c:idx val="1700"/>
        <c:spPr>
          <a:solidFill>
            <a:schemeClr val="accent1"/>
          </a:solidFill>
          <a:ln w="19050">
            <a:solidFill>
              <a:schemeClr val="lt1"/>
            </a:solidFill>
          </a:ln>
          <a:effectLst/>
        </c:spPr>
      </c:pivotFmt>
      <c:pivotFmt>
        <c:idx val="1701"/>
        <c:spPr>
          <a:solidFill>
            <a:schemeClr val="accent1"/>
          </a:solidFill>
          <a:ln w="19050">
            <a:solidFill>
              <a:schemeClr val="lt1"/>
            </a:solidFill>
          </a:ln>
          <a:effectLst/>
        </c:spPr>
      </c:pivotFmt>
      <c:pivotFmt>
        <c:idx val="1702"/>
        <c:spPr>
          <a:solidFill>
            <a:schemeClr val="accent1"/>
          </a:solidFill>
          <a:ln w="19050">
            <a:solidFill>
              <a:schemeClr val="lt1"/>
            </a:solidFill>
          </a:ln>
          <a:effectLst/>
        </c:spPr>
      </c:pivotFmt>
      <c:pivotFmt>
        <c:idx val="1703"/>
        <c:spPr>
          <a:solidFill>
            <a:schemeClr val="accent1"/>
          </a:solidFill>
          <a:ln w="19050">
            <a:solidFill>
              <a:schemeClr val="lt1"/>
            </a:solidFill>
          </a:ln>
          <a:effectLst/>
        </c:spPr>
      </c:pivotFmt>
      <c:pivotFmt>
        <c:idx val="1704"/>
        <c:spPr>
          <a:solidFill>
            <a:schemeClr val="accent1"/>
          </a:solidFill>
          <a:ln w="19050">
            <a:solidFill>
              <a:schemeClr val="lt1"/>
            </a:solidFill>
          </a:ln>
          <a:effectLst/>
        </c:spPr>
      </c:pivotFmt>
      <c:pivotFmt>
        <c:idx val="1705"/>
        <c:spPr>
          <a:solidFill>
            <a:schemeClr val="accent1"/>
          </a:solidFill>
          <a:ln w="19050">
            <a:solidFill>
              <a:schemeClr val="lt1"/>
            </a:solidFill>
          </a:ln>
          <a:effectLst/>
        </c:spPr>
      </c:pivotFmt>
      <c:pivotFmt>
        <c:idx val="1706"/>
        <c:spPr>
          <a:solidFill>
            <a:schemeClr val="accent1"/>
          </a:solidFill>
          <a:ln w="19050">
            <a:solidFill>
              <a:schemeClr val="lt1"/>
            </a:solidFill>
          </a:ln>
          <a:effectLst/>
        </c:spPr>
      </c:pivotFmt>
      <c:pivotFmt>
        <c:idx val="1707"/>
        <c:spPr>
          <a:solidFill>
            <a:schemeClr val="accent1"/>
          </a:solidFill>
          <a:ln w="19050">
            <a:solidFill>
              <a:schemeClr val="lt1"/>
            </a:solidFill>
          </a:ln>
          <a:effectLst/>
        </c:spPr>
      </c:pivotFmt>
      <c:pivotFmt>
        <c:idx val="1708"/>
        <c:spPr>
          <a:solidFill>
            <a:schemeClr val="accent1"/>
          </a:solidFill>
          <a:ln w="19050">
            <a:solidFill>
              <a:schemeClr val="lt1"/>
            </a:solidFill>
          </a:ln>
          <a:effectLst/>
        </c:spPr>
      </c:pivotFmt>
      <c:pivotFmt>
        <c:idx val="1709"/>
        <c:spPr>
          <a:solidFill>
            <a:schemeClr val="accent1"/>
          </a:solidFill>
          <a:ln w="19050">
            <a:solidFill>
              <a:schemeClr val="lt1"/>
            </a:solidFill>
          </a:ln>
          <a:effectLst/>
        </c:spPr>
      </c:pivotFmt>
      <c:pivotFmt>
        <c:idx val="1710"/>
        <c:spPr>
          <a:solidFill>
            <a:schemeClr val="accent1"/>
          </a:solidFill>
          <a:ln w="19050">
            <a:solidFill>
              <a:schemeClr val="lt1"/>
            </a:solidFill>
          </a:ln>
          <a:effectLst/>
        </c:spPr>
      </c:pivotFmt>
      <c:pivotFmt>
        <c:idx val="1711"/>
        <c:spPr>
          <a:solidFill>
            <a:schemeClr val="accent1"/>
          </a:solidFill>
          <a:ln w="19050">
            <a:solidFill>
              <a:schemeClr val="lt1"/>
            </a:solidFill>
          </a:ln>
          <a:effectLst/>
        </c:spPr>
      </c:pivotFmt>
      <c:pivotFmt>
        <c:idx val="1712"/>
        <c:spPr>
          <a:solidFill>
            <a:schemeClr val="accent1"/>
          </a:solidFill>
          <a:ln w="19050">
            <a:solidFill>
              <a:schemeClr val="lt1"/>
            </a:solidFill>
          </a:ln>
          <a:effectLst/>
        </c:spPr>
      </c:pivotFmt>
      <c:pivotFmt>
        <c:idx val="1713"/>
        <c:spPr>
          <a:solidFill>
            <a:schemeClr val="accent1"/>
          </a:solidFill>
          <a:ln w="19050">
            <a:solidFill>
              <a:schemeClr val="lt1"/>
            </a:solidFill>
          </a:ln>
          <a:effectLst/>
        </c:spPr>
      </c:pivotFmt>
      <c:pivotFmt>
        <c:idx val="1714"/>
        <c:spPr>
          <a:solidFill>
            <a:schemeClr val="accent1"/>
          </a:solidFill>
          <a:ln w="19050">
            <a:solidFill>
              <a:schemeClr val="lt1"/>
            </a:solidFill>
          </a:ln>
          <a:effectLst/>
        </c:spPr>
      </c:pivotFmt>
      <c:pivotFmt>
        <c:idx val="1715"/>
        <c:spPr>
          <a:solidFill>
            <a:schemeClr val="accent1"/>
          </a:solidFill>
          <a:ln w="19050">
            <a:solidFill>
              <a:schemeClr val="lt1"/>
            </a:solidFill>
          </a:ln>
          <a:effectLst/>
        </c:spPr>
      </c:pivotFmt>
      <c:pivotFmt>
        <c:idx val="1716"/>
        <c:spPr>
          <a:solidFill>
            <a:schemeClr val="accent1"/>
          </a:solidFill>
          <a:ln w="19050">
            <a:solidFill>
              <a:schemeClr val="lt1"/>
            </a:solidFill>
          </a:ln>
          <a:effectLst/>
        </c:spPr>
      </c:pivotFmt>
      <c:pivotFmt>
        <c:idx val="1717"/>
        <c:spPr>
          <a:solidFill>
            <a:schemeClr val="accent1"/>
          </a:solidFill>
          <a:ln w="19050">
            <a:solidFill>
              <a:schemeClr val="lt1"/>
            </a:solidFill>
          </a:ln>
          <a:effectLst/>
        </c:spPr>
      </c:pivotFmt>
      <c:pivotFmt>
        <c:idx val="1718"/>
        <c:spPr>
          <a:solidFill>
            <a:schemeClr val="accent1"/>
          </a:solidFill>
          <a:ln w="19050">
            <a:solidFill>
              <a:schemeClr val="lt1"/>
            </a:solidFill>
          </a:ln>
          <a:effectLst/>
        </c:spPr>
      </c:pivotFmt>
      <c:pivotFmt>
        <c:idx val="1719"/>
        <c:spPr>
          <a:solidFill>
            <a:schemeClr val="accent1"/>
          </a:solidFill>
          <a:ln w="19050">
            <a:solidFill>
              <a:schemeClr val="lt1"/>
            </a:solidFill>
          </a:ln>
          <a:effectLst/>
        </c:spPr>
      </c:pivotFmt>
      <c:pivotFmt>
        <c:idx val="1720"/>
        <c:spPr>
          <a:solidFill>
            <a:schemeClr val="accent1"/>
          </a:solidFill>
          <a:ln w="19050">
            <a:solidFill>
              <a:schemeClr val="lt1"/>
            </a:solidFill>
          </a:ln>
          <a:effectLst/>
        </c:spPr>
      </c:pivotFmt>
      <c:pivotFmt>
        <c:idx val="1721"/>
        <c:spPr>
          <a:solidFill>
            <a:schemeClr val="accent1"/>
          </a:solidFill>
          <a:ln w="19050">
            <a:solidFill>
              <a:schemeClr val="lt1"/>
            </a:solidFill>
          </a:ln>
          <a:effectLst/>
        </c:spPr>
      </c:pivotFmt>
      <c:pivotFmt>
        <c:idx val="1722"/>
        <c:spPr>
          <a:solidFill>
            <a:schemeClr val="accent1"/>
          </a:solidFill>
          <a:ln w="19050">
            <a:solidFill>
              <a:schemeClr val="lt1"/>
            </a:solidFill>
          </a:ln>
          <a:effectLst/>
        </c:spPr>
      </c:pivotFmt>
      <c:pivotFmt>
        <c:idx val="1723"/>
        <c:spPr>
          <a:solidFill>
            <a:schemeClr val="accent1"/>
          </a:solidFill>
          <a:ln w="19050">
            <a:solidFill>
              <a:schemeClr val="lt1"/>
            </a:solidFill>
          </a:ln>
          <a:effectLst/>
        </c:spPr>
      </c:pivotFmt>
      <c:pivotFmt>
        <c:idx val="1724"/>
        <c:spPr>
          <a:solidFill>
            <a:schemeClr val="accent1"/>
          </a:solidFill>
          <a:ln w="19050">
            <a:solidFill>
              <a:schemeClr val="lt1"/>
            </a:solidFill>
          </a:ln>
          <a:effectLst/>
        </c:spPr>
      </c:pivotFmt>
      <c:pivotFmt>
        <c:idx val="1725"/>
        <c:spPr>
          <a:solidFill>
            <a:schemeClr val="accent1"/>
          </a:solidFill>
          <a:ln w="19050">
            <a:solidFill>
              <a:schemeClr val="lt1"/>
            </a:solidFill>
          </a:ln>
          <a:effectLst/>
        </c:spPr>
      </c:pivotFmt>
      <c:pivotFmt>
        <c:idx val="1726"/>
        <c:spPr>
          <a:solidFill>
            <a:schemeClr val="accent1"/>
          </a:solidFill>
          <a:ln w="19050">
            <a:solidFill>
              <a:schemeClr val="lt1"/>
            </a:solidFill>
          </a:ln>
          <a:effectLst/>
        </c:spPr>
      </c:pivotFmt>
      <c:pivotFmt>
        <c:idx val="1727"/>
        <c:spPr>
          <a:solidFill>
            <a:schemeClr val="accent1"/>
          </a:solidFill>
          <a:ln w="19050">
            <a:solidFill>
              <a:schemeClr val="lt1"/>
            </a:solidFill>
          </a:ln>
          <a:effectLst/>
        </c:spPr>
      </c:pivotFmt>
      <c:pivotFmt>
        <c:idx val="1728"/>
        <c:spPr>
          <a:solidFill>
            <a:schemeClr val="accent1"/>
          </a:solidFill>
          <a:ln w="19050">
            <a:solidFill>
              <a:schemeClr val="lt1"/>
            </a:solidFill>
          </a:ln>
          <a:effectLst/>
        </c:spPr>
      </c:pivotFmt>
      <c:pivotFmt>
        <c:idx val="1729"/>
        <c:spPr>
          <a:solidFill>
            <a:schemeClr val="accent1"/>
          </a:solidFill>
          <a:ln w="19050">
            <a:solidFill>
              <a:schemeClr val="lt1"/>
            </a:solidFill>
          </a:ln>
          <a:effectLst/>
        </c:spPr>
      </c:pivotFmt>
      <c:pivotFmt>
        <c:idx val="1730"/>
        <c:spPr>
          <a:solidFill>
            <a:schemeClr val="accent1"/>
          </a:solidFill>
          <a:ln w="19050">
            <a:solidFill>
              <a:schemeClr val="lt1"/>
            </a:solidFill>
          </a:ln>
          <a:effectLst/>
        </c:spPr>
      </c:pivotFmt>
      <c:pivotFmt>
        <c:idx val="1731"/>
        <c:spPr>
          <a:solidFill>
            <a:schemeClr val="accent1"/>
          </a:solidFill>
          <a:ln w="19050">
            <a:solidFill>
              <a:schemeClr val="lt1"/>
            </a:solidFill>
          </a:ln>
          <a:effectLst/>
        </c:spPr>
      </c:pivotFmt>
      <c:pivotFmt>
        <c:idx val="1732"/>
        <c:spPr>
          <a:solidFill>
            <a:schemeClr val="accent1"/>
          </a:solidFill>
          <a:ln w="19050">
            <a:solidFill>
              <a:schemeClr val="lt1"/>
            </a:solidFill>
          </a:ln>
          <a:effectLst/>
        </c:spPr>
      </c:pivotFmt>
      <c:pivotFmt>
        <c:idx val="1733"/>
        <c:spPr>
          <a:solidFill>
            <a:schemeClr val="accent1"/>
          </a:solidFill>
          <a:ln w="19050">
            <a:solidFill>
              <a:schemeClr val="lt1"/>
            </a:solidFill>
          </a:ln>
          <a:effectLst/>
        </c:spPr>
      </c:pivotFmt>
      <c:pivotFmt>
        <c:idx val="1734"/>
        <c:spPr>
          <a:solidFill>
            <a:schemeClr val="accent1"/>
          </a:solidFill>
          <a:ln w="19050">
            <a:solidFill>
              <a:schemeClr val="lt1"/>
            </a:solidFill>
          </a:ln>
          <a:effectLst/>
        </c:spPr>
      </c:pivotFmt>
      <c:pivotFmt>
        <c:idx val="1735"/>
        <c:spPr>
          <a:solidFill>
            <a:schemeClr val="accent1"/>
          </a:solidFill>
          <a:ln w="19050">
            <a:solidFill>
              <a:schemeClr val="lt1"/>
            </a:solidFill>
          </a:ln>
          <a:effectLst/>
        </c:spPr>
      </c:pivotFmt>
      <c:pivotFmt>
        <c:idx val="1736"/>
        <c:spPr>
          <a:solidFill>
            <a:schemeClr val="accent1"/>
          </a:solidFill>
          <a:ln w="19050">
            <a:solidFill>
              <a:schemeClr val="lt1"/>
            </a:solidFill>
          </a:ln>
          <a:effectLst/>
        </c:spPr>
      </c:pivotFmt>
      <c:pivotFmt>
        <c:idx val="1737"/>
        <c:spPr>
          <a:solidFill>
            <a:schemeClr val="accent1"/>
          </a:solidFill>
          <a:ln w="19050">
            <a:solidFill>
              <a:schemeClr val="lt1"/>
            </a:solidFill>
          </a:ln>
          <a:effectLst/>
        </c:spPr>
      </c:pivotFmt>
      <c:pivotFmt>
        <c:idx val="1738"/>
        <c:spPr>
          <a:solidFill>
            <a:schemeClr val="accent1"/>
          </a:solidFill>
          <a:ln w="19050">
            <a:solidFill>
              <a:schemeClr val="lt1"/>
            </a:solidFill>
          </a:ln>
          <a:effectLst/>
        </c:spPr>
      </c:pivotFmt>
      <c:pivotFmt>
        <c:idx val="1739"/>
        <c:spPr>
          <a:solidFill>
            <a:schemeClr val="accent1"/>
          </a:solidFill>
          <a:ln w="19050">
            <a:solidFill>
              <a:schemeClr val="lt1"/>
            </a:solidFill>
          </a:ln>
          <a:effectLst/>
        </c:spPr>
      </c:pivotFmt>
      <c:pivotFmt>
        <c:idx val="1740"/>
        <c:spPr>
          <a:solidFill>
            <a:schemeClr val="accent1"/>
          </a:solidFill>
          <a:ln w="19050">
            <a:solidFill>
              <a:schemeClr val="lt1"/>
            </a:solidFill>
          </a:ln>
          <a:effectLst/>
        </c:spPr>
      </c:pivotFmt>
      <c:pivotFmt>
        <c:idx val="1741"/>
        <c:spPr>
          <a:solidFill>
            <a:schemeClr val="accent1"/>
          </a:solidFill>
          <a:ln w="19050">
            <a:solidFill>
              <a:schemeClr val="lt1"/>
            </a:solidFill>
          </a:ln>
          <a:effectLst/>
        </c:spPr>
      </c:pivotFmt>
      <c:pivotFmt>
        <c:idx val="1742"/>
        <c:spPr>
          <a:solidFill>
            <a:schemeClr val="accent1"/>
          </a:solidFill>
          <a:ln w="19050">
            <a:solidFill>
              <a:schemeClr val="lt1"/>
            </a:solidFill>
          </a:ln>
          <a:effectLst/>
        </c:spPr>
      </c:pivotFmt>
      <c:pivotFmt>
        <c:idx val="1743"/>
        <c:spPr>
          <a:solidFill>
            <a:schemeClr val="accent1"/>
          </a:solidFill>
          <a:ln w="19050">
            <a:solidFill>
              <a:schemeClr val="lt1"/>
            </a:solidFill>
          </a:ln>
          <a:effectLst/>
        </c:spPr>
      </c:pivotFmt>
      <c:pivotFmt>
        <c:idx val="1744"/>
        <c:spPr>
          <a:solidFill>
            <a:schemeClr val="accent1"/>
          </a:solidFill>
          <a:ln w="19050">
            <a:solidFill>
              <a:schemeClr val="lt1"/>
            </a:solidFill>
          </a:ln>
          <a:effectLst/>
        </c:spPr>
      </c:pivotFmt>
      <c:pivotFmt>
        <c:idx val="1745"/>
        <c:spPr>
          <a:solidFill>
            <a:schemeClr val="accent1"/>
          </a:solidFill>
          <a:ln w="19050">
            <a:solidFill>
              <a:schemeClr val="lt1"/>
            </a:solidFill>
          </a:ln>
          <a:effectLst/>
        </c:spPr>
      </c:pivotFmt>
      <c:pivotFmt>
        <c:idx val="1746"/>
        <c:spPr>
          <a:solidFill>
            <a:schemeClr val="accent1"/>
          </a:solidFill>
          <a:ln w="19050">
            <a:solidFill>
              <a:schemeClr val="lt1"/>
            </a:solidFill>
          </a:ln>
          <a:effectLst/>
        </c:spPr>
      </c:pivotFmt>
      <c:pivotFmt>
        <c:idx val="1747"/>
        <c:spPr>
          <a:solidFill>
            <a:schemeClr val="accent1"/>
          </a:solidFill>
          <a:ln w="19050">
            <a:solidFill>
              <a:schemeClr val="lt1"/>
            </a:solidFill>
          </a:ln>
          <a:effectLst/>
        </c:spPr>
      </c:pivotFmt>
      <c:pivotFmt>
        <c:idx val="1748"/>
        <c:spPr>
          <a:solidFill>
            <a:schemeClr val="accent1"/>
          </a:solidFill>
          <a:ln w="19050">
            <a:solidFill>
              <a:schemeClr val="lt1"/>
            </a:solidFill>
          </a:ln>
          <a:effectLst/>
        </c:spPr>
      </c:pivotFmt>
      <c:pivotFmt>
        <c:idx val="1749"/>
        <c:spPr>
          <a:solidFill>
            <a:schemeClr val="accent1"/>
          </a:solidFill>
          <a:ln w="19050">
            <a:solidFill>
              <a:schemeClr val="lt1"/>
            </a:solidFill>
          </a:ln>
          <a:effectLst/>
        </c:spPr>
      </c:pivotFmt>
      <c:pivotFmt>
        <c:idx val="1750"/>
        <c:spPr>
          <a:solidFill>
            <a:schemeClr val="accent1"/>
          </a:solidFill>
          <a:ln w="19050">
            <a:solidFill>
              <a:schemeClr val="lt1"/>
            </a:solidFill>
          </a:ln>
          <a:effectLst/>
        </c:spPr>
      </c:pivotFmt>
      <c:pivotFmt>
        <c:idx val="1751"/>
        <c:spPr>
          <a:solidFill>
            <a:schemeClr val="accent1"/>
          </a:solidFill>
          <a:ln w="19050">
            <a:solidFill>
              <a:schemeClr val="lt1"/>
            </a:solidFill>
          </a:ln>
          <a:effectLst/>
        </c:spPr>
      </c:pivotFmt>
      <c:pivotFmt>
        <c:idx val="1752"/>
        <c:spPr>
          <a:solidFill>
            <a:schemeClr val="accent1"/>
          </a:solidFill>
          <a:ln w="19050">
            <a:solidFill>
              <a:schemeClr val="lt1"/>
            </a:solidFill>
          </a:ln>
          <a:effectLst/>
        </c:spPr>
      </c:pivotFmt>
      <c:pivotFmt>
        <c:idx val="1753"/>
        <c:spPr>
          <a:solidFill>
            <a:schemeClr val="accent1"/>
          </a:solidFill>
          <a:ln w="19050">
            <a:solidFill>
              <a:schemeClr val="lt1"/>
            </a:solidFill>
          </a:ln>
          <a:effectLst/>
        </c:spPr>
      </c:pivotFmt>
      <c:pivotFmt>
        <c:idx val="1754"/>
        <c:spPr>
          <a:solidFill>
            <a:schemeClr val="accent1"/>
          </a:solidFill>
          <a:ln w="19050">
            <a:solidFill>
              <a:schemeClr val="lt1"/>
            </a:solidFill>
          </a:ln>
          <a:effectLst/>
        </c:spPr>
      </c:pivotFmt>
      <c:pivotFmt>
        <c:idx val="1755"/>
        <c:spPr>
          <a:solidFill>
            <a:schemeClr val="accent1"/>
          </a:solidFill>
          <a:ln w="19050">
            <a:solidFill>
              <a:schemeClr val="lt1"/>
            </a:solidFill>
          </a:ln>
          <a:effectLst/>
        </c:spPr>
      </c:pivotFmt>
      <c:pivotFmt>
        <c:idx val="1756"/>
        <c:spPr>
          <a:solidFill>
            <a:schemeClr val="accent1"/>
          </a:solidFill>
          <a:ln w="19050">
            <a:solidFill>
              <a:schemeClr val="lt1"/>
            </a:solidFill>
          </a:ln>
          <a:effectLst/>
        </c:spPr>
      </c:pivotFmt>
      <c:pivotFmt>
        <c:idx val="1757"/>
        <c:spPr>
          <a:solidFill>
            <a:schemeClr val="accent1"/>
          </a:solidFill>
          <a:ln w="19050">
            <a:solidFill>
              <a:schemeClr val="lt1"/>
            </a:solidFill>
          </a:ln>
          <a:effectLst/>
        </c:spPr>
      </c:pivotFmt>
      <c:pivotFmt>
        <c:idx val="1758"/>
        <c:spPr>
          <a:solidFill>
            <a:schemeClr val="accent1"/>
          </a:solidFill>
          <a:ln w="19050">
            <a:solidFill>
              <a:schemeClr val="lt1"/>
            </a:solidFill>
          </a:ln>
          <a:effectLst/>
        </c:spPr>
      </c:pivotFmt>
      <c:pivotFmt>
        <c:idx val="1759"/>
        <c:spPr>
          <a:solidFill>
            <a:schemeClr val="accent1"/>
          </a:solidFill>
          <a:ln w="19050">
            <a:solidFill>
              <a:schemeClr val="lt1"/>
            </a:solidFill>
          </a:ln>
          <a:effectLst/>
        </c:spPr>
      </c:pivotFmt>
      <c:pivotFmt>
        <c:idx val="1760"/>
        <c:spPr>
          <a:solidFill>
            <a:schemeClr val="accent1"/>
          </a:solidFill>
          <a:ln w="19050">
            <a:solidFill>
              <a:schemeClr val="lt1"/>
            </a:solidFill>
          </a:ln>
          <a:effectLst/>
        </c:spPr>
      </c:pivotFmt>
      <c:pivotFmt>
        <c:idx val="1761"/>
        <c:spPr>
          <a:solidFill>
            <a:schemeClr val="accent1"/>
          </a:solidFill>
          <a:ln w="19050">
            <a:solidFill>
              <a:schemeClr val="lt1"/>
            </a:solidFill>
          </a:ln>
          <a:effectLst/>
        </c:spPr>
      </c:pivotFmt>
      <c:pivotFmt>
        <c:idx val="1762"/>
        <c:spPr>
          <a:solidFill>
            <a:schemeClr val="accent1"/>
          </a:solidFill>
          <a:ln w="19050">
            <a:solidFill>
              <a:schemeClr val="lt1"/>
            </a:solidFill>
          </a:ln>
          <a:effectLst/>
        </c:spPr>
      </c:pivotFmt>
      <c:pivotFmt>
        <c:idx val="1763"/>
        <c:spPr>
          <a:solidFill>
            <a:schemeClr val="accent1"/>
          </a:solidFill>
          <a:ln w="19050">
            <a:solidFill>
              <a:schemeClr val="lt1"/>
            </a:solidFill>
          </a:ln>
          <a:effectLst/>
        </c:spPr>
      </c:pivotFmt>
      <c:pivotFmt>
        <c:idx val="1764"/>
        <c:spPr>
          <a:solidFill>
            <a:schemeClr val="accent1"/>
          </a:solidFill>
          <a:ln w="19050">
            <a:solidFill>
              <a:schemeClr val="lt1"/>
            </a:solidFill>
          </a:ln>
          <a:effectLst/>
        </c:spPr>
      </c:pivotFmt>
      <c:pivotFmt>
        <c:idx val="1765"/>
        <c:spPr>
          <a:solidFill>
            <a:schemeClr val="accent1"/>
          </a:solidFill>
          <a:ln w="19050">
            <a:solidFill>
              <a:schemeClr val="lt1"/>
            </a:solidFill>
          </a:ln>
          <a:effectLst/>
        </c:spPr>
      </c:pivotFmt>
      <c:pivotFmt>
        <c:idx val="1766"/>
        <c:spPr>
          <a:solidFill>
            <a:schemeClr val="accent1"/>
          </a:solidFill>
          <a:ln w="19050">
            <a:solidFill>
              <a:schemeClr val="lt1"/>
            </a:solidFill>
          </a:ln>
          <a:effectLst/>
        </c:spPr>
      </c:pivotFmt>
      <c:pivotFmt>
        <c:idx val="1767"/>
        <c:spPr>
          <a:solidFill>
            <a:schemeClr val="accent1"/>
          </a:solidFill>
          <a:ln w="19050">
            <a:solidFill>
              <a:schemeClr val="lt1"/>
            </a:solidFill>
          </a:ln>
          <a:effectLst/>
        </c:spPr>
      </c:pivotFmt>
      <c:pivotFmt>
        <c:idx val="1768"/>
        <c:spPr>
          <a:solidFill>
            <a:schemeClr val="accent1"/>
          </a:solidFill>
          <a:ln w="19050">
            <a:solidFill>
              <a:schemeClr val="lt1"/>
            </a:solidFill>
          </a:ln>
          <a:effectLst/>
        </c:spPr>
      </c:pivotFmt>
      <c:pivotFmt>
        <c:idx val="1769"/>
        <c:spPr>
          <a:solidFill>
            <a:schemeClr val="accent1"/>
          </a:solidFill>
          <a:ln w="19050">
            <a:solidFill>
              <a:schemeClr val="lt1"/>
            </a:solidFill>
          </a:ln>
          <a:effectLst/>
        </c:spPr>
      </c:pivotFmt>
      <c:pivotFmt>
        <c:idx val="1770"/>
        <c:spPr>
          <a:solidFill>
            <a:schemeClr val="accent1"/>
          </a:solidFill>
          <a:ln w="19050">
            <a:solidFill>
              <a:schemeClr val="lt1"/>
            </a:solidFill>
          </a:ln>
          <a:effectLst/>
        </c:spPr>
      </c:pivotFmt>
      <c:pivotFmt>
        <c:idx val="1771"/>
        <c:spPr>
          <a:solidFill>
            <a:schemeClr val="accent1"/>
          </a:solidFill>
          <a:ln w="19050">
            <a:solidFill>
              <a:schemeClr val="lt1"/>
            </a:solidFill>
          </a:ln>
          <a:effectLst/>
        </c:spPr>
      </c:pivotFmt>
      <c:pivotFmt>
        <c:idx val="1772"/>
        <c:spPr>
          <a:solidFill>
            <a:schemeClr val="accent1"/>
          </a:solidFill>
          <a:ln w="19050">
            <a:solidFill>
              <a:schemeClr val="lt1"/>
            </a:solidFill>
          </a:ln>
          <a:effectLst/>
        </c:spPr>
      </c:pivotFmt>
      <c:pivotFmt>
        <c:idx val="1773"/>
        <c:spPr>
          <a:solidFill>
            <a:schemeClr val="accent1"/>
          </a:solidFill>
          <a:ln w="19050">
            <a:solidFill>
              <a:schemeClr val="lt1"/>
            </a:solidFill>
          </a:ln>
          <a:effectLst/>
        </c:spPr>
      </c:pivotFmt>
      <c:pivotFmt>
        <c:idx val="1774"/>
        <c:spPr>
          <a:solidFill>
            <a:schemeClr val="accent1"/>
          </a:solidFill>
          <a:ln w="19050">
            <a:solidFill>
              <a:schemeClr val="lt1"/>
            </a:solidFill>
          </a:ln>
          <a:effectLst/>
        </c:spPr>
      </c:pivotFmt>
      <c:pivotFmt>
        <c:idx val="1775"/>
        <c:spPr>
          <a:solidFill>
            <a:schemeClr val="accent1"/>
          </a:solidFill>
          <a:ln w="19050">
            <a:solidFill>
              <a:schemeClr val="lt1"/>
            </a:solidFill>
          </a:ln>
          <a:effectLst/>
        </c:spPr>
      </c:pivotFmt>
      <c:pivotFmt>
        <c:idx val="1776"/>
        <c:spPr>
          <a:solidFill>
            <a:schemeClr val="accent1"/>
          </a:solidFill>
          <a:ln w="19050">
            <a:solidFill>
              <a:schemeClr val="lt1"/>
            </a:solidFill>
          </a:ln>
          <a:effectLst/>
        </c:spPr>
      </c:pivotFmt>
      <c:pivotFmt>
        <c:idx val="1777"/>
        <c:spPr>
          <a:solidFill>
            <a:schemeClr val="accent1"/>
          </a:solidFill>
          <a:ln w="19050">
            <a:solidFill>
              <a:schemeClr val="lt1"/>
            </a:solidFill>
          </a:ln>
          <a:effectLst/>
        </c:spPr>
      </c:pivotFmt>
      <c:pivotFmt>
        <c:idx val="1778"/>
        <c:spPr>
          <a:solidFill>
            <a:schemeClr val="accent1"/>
          </a:solidFill>
          <a:ln w="19050">
            <a:solidFill>
              <a:schemeClr val="lt1"/>
            </a:solidFill>
          </a:ln>
          <a:effectLst/>
        </c:spPr>
      </c:pivotFmt>
      <c:pivotFmt>
        <c:idx val="1779"/>
        <c:spPr>
          <a:solidFill>
            <a:schemeClr val="accent1"/>
          </a:solidFill>
          <a:ln w="19050">
            <a:solidFill>
              <a:schemeClr val="lt1"/>
            </a:solidFill>
          </a:ln>
          <a:effectLst/>
        </c:spPr>
      </c:pivotFmt>
      <c:pivotFmt>
        <c:idx val="1780"/>
        <c:spPr>
          <a:solidFill>
            <a:schemeClr val="accent1"/>
          </a:solidFill>
          <a:ln w="19050">
            <a:solidFill>
              <a:schemeClr val="lt1"/>
            </a:solidFill>
          </a:ln>
          <a:effectLst/>
        </c:spPr>
      </c:pivotFmt>
      <c:pivotFmt>
        <c:idx val="1781"/>
        <c:spPr>
          <a:solidFill>
            <a:schemeClr val="accent1"/>
          </a:solidFill>
          <a:ln w="19050">
            <a:solidFill>
              <a:schemeClr val="lt1"/>
            </a:solidFill>
          </a:ln>
          <a:effectLst/>
        </c:spPr>
      </c:pivotFmt>
      <c:pivotFmt>
        <c:idx val="1782"/>
        <c:spPr>
          <a:solidFill>
            <a:schemeClr val="accent1"/>
          </a:solidFill>
          <a:ln w="19050">
            <a:solidFill>
              <a:schemeClr val="lt1"/>
            </a:solidFill>
          </a:ln>
          <a:effectLst/>
        </c:spPr>
      </c:pivotFmt>
      <c:pivotFmt>
        <c:idx val="1783"/>
        <c:spPr>
          <a:solidFill>
            <a:schemeClr val="accent1"/>
          </a:solidFill>
          <a:ln w="19050">
            <a:solidFill>
              <a:schemeClr val="lt1"/>
            </a:solidFill>
          </a:ln>
          <a:effectLst/>
        </c:spPr>
      </c:pivotFmt>
      <c:pivotFmt>
        <c:idx val="1784"/>
        <c:spPr>
          <a:solidFill>
            <a:schemeClr val="accent1"/>
          </a:solidFill>
          <a:ln w="19050">
            <a:solidFill>
              <a:schemeClr val="lt1"/>
            </a:solidFill>
          </a:ln>
          <a:effectLst/>
        </c:spPr>
      </c:pivotFmt>
      <c:pivotFmt>
        <c:idx val="1785"/>
        <c:spPr>
          <a:solidFill>
            <a:schemeClr val="accent1"/>
          </a:solidFill>
          <a:ln w="19050">
            <a:solidFill>
              <a:schemeClr val="lt1"/>
            </a:solidFill>
          </a:ln>
          <a:effectLst/>
        </c:spPr>
      </c:pivotFmt>
      <c:pivotFmt>
        <c:idx val="1786"/>
        <c:spPr>
          <a:solidFill>
            <a:schemeClr val="accent1"/>
          </a:solidFill>
          <a:ln w="19050">
            <a:solidFill>
              <a:schemeClr val="lt1"/>
            </a:solidFill>
          </a:ln>
          <a:effectLst/>
        </c:spPr>
      </c:pivotFmt>
      <c:pivotFmt>
        <c:idx val="1787"/>
        <c:spPr>
          <a:solidFill>
            <a:schemeClr val="accent1"/>
          </a:solidFill>
          <a:ln w="19050">
            <a:solidFill>
              <a:schemeClr val="lt1"/>
            </a:solidFill>
          </a:ln>
          <a:effectLst/>
        </c:spPr>
      </c:pivotFmt>
      <c:pivotFmt>
        <c:idx val="1788"/>
        <c:spPr>
          <a:solidFill>
            <a:schemeClr val="accent1"/>
          </a:solidFill>
          <a:ln w="19050">
            <a:solidFill>
              <a:schemeClr val="lt1"/>
            </a:solidFill>
          </a:ln>
          <a:effectLst/>
        </c:spPr>
      </c:pivotFmt>
      <c:pivotFmt>
        <c:idx val="1789"/>
        <c:spPr>
          <a:solidFill>
            <a:schemeClr val="accent1"/>
          </a:solidFill>
          <a:ln w="19050">
            <a:solidFill>
              <a:schemeClr val="lt1"/>
            </a:solidFill>
          </a:ln>
          <a:effectLst/>
        </c:spPr>
      </c:pivotFmt>
      <c:pivotFmt>
        <c:idx val="1790"/>
        <c:spPr>
          <a:solidFill>
            <a:schemeClr val="accent1"/>
          </a:solidFill>
          <a:ln w="19050">
            <a:solidFill>
              <a:schemeClr val="lt1"/>
            </a:solidFill>
          </a:ln>
          <a:effectLst/>
        </c:spPr>
      </c:pivotFmt>
      <c:pivotFmt>
        <c:idx val="1791"/>
        <c:spPr>
          <a:solidFill>
            <a:schemeClr val="accent1"/>
          </a:solidFill>
          <a:ln w="19050">
            <a:solidFill>
              <a:schemeClr val="lt1"/>
            </a:solidFill>
          </a:ln>
          <a:effectLst/>
        </c:spPr>
      </c:pivotFmt>
      <c:pivotFmt>
        <c:idx val="1792"/>
        <c:spPr>
          <a:solidFill>
            <a:schemeClr val="accent1"/>
          </a:solidFill>
          <a:ln w="19050">
            <a:solidFill>
              <a:schemeClr val="lt1"/>
            </a:solidFill>
          </a:ln>
          <a:effectLst/>
        </c:spPr>
      </c:pivotFmt>
      <c:pivotFmt>
        <c:idx val="1793"/>
        <c:spPr>
          <a:solidFill>
            <a:schemeClr val="accent1"/>
          </a:solidFill>
          <a:ln w="19050">
            <a:solidFill>
              <a:schemeClr val="lt1"/>
            </a:solidFill>
          </a:ln>
          <a:effectLst/>
        </c:spPr>
      </c:pivotFmt>
      <c:pivotFmt>
        <c:idx val="1794"/>
        <c:spPr>
          <a:solidFill>
            <a:schemeClr val="accent1"/>
          </a:solidFill>
          <a:ln w="19050">
            <a:solidFill>
              <a:schemeClr val="lt1"/>
            </a:solidFill>
          </a:ln>
          <a:effectLst/>
        </c:spPr>
      </c:pivotFmt>
      <c:pivotFmt>
        <c:idx val="1795"/>
        <c:spPr>
          <a:solidFill>
            <a:schemeClr val="accent1"/>
          </a:solidFill>
          <a:ln w="19050">
            <a:solidFill>
              <a:schemeClr val="lt1"/>
            </a:solidFill>
          </a:ln>
          <a:effectLst/>
        </c:spPr>
      </c:pivotFmt>
      <c:pivotFmt>
        <c:idx val="1796"/>
        <c:spPr>
          <a:solidFill>
            <a:schemeClr val="accent1"/>
          </a:solidFill>
          <a:ln w="19050">
            <a:solidFill>
              <a:schemeClr val="lt1"/>
            </a:solidFill>
          </a:ln>
          <a:effectLst/>
        </c:spPr>
      </c:pivotFmt>
      <c:pivotFmt>
        <c:idx val="1797"/>
        <c:spPr>
          <a:solidFill>
            <a:schemeClr val="accent1"/>
          </a:solidFill>
          <a:ln w="19050">
            <a:solidFill>
              <a:schemeClr val="lt1"/>
            </a:solidFill>
          </a:ln>
          <a:effectLst/>
        </c:spPr>
      </c:pivotFmt>
      <c:pivotFmt>
        <c:idx val="1798"/>
        <c:spPr>
          <a:solidFill>
            <a:schemeClr val="accent1"/>
          </a:solidFill>
          <a:ln w="19050">
            <a:solidFill>
              <a:schemeClr val="lt1"/>
            </a:solidFill>
          </a:ln>
          <a:effectLst/>
        </c:spPr>
      </c:pivotFmt>
      <c:pivotFmt>
        <c:idx val="1799"/>
        <c:spPr>
          <a:solidFill>
            <a:schemeClr val="accent1"/>
          </a:solidFill>
          <a:ln w="19050">
            <a:solidFill>
              <a:schemeClr val="lt1"/>
            </a:solidFill>
          </a:ln>
          <a:effectLst/>
        </c:spPr>
      </c:pivotFmt>
      <c:pivotFmt>
        <c:idx val="1800"/>
        <c:spPr>
          <a:solidFill>
            <a:schemeClr val="accent1"/>
          </a:solidFill>
          <a:ln w="19050">
            <a:solidFill>
              <a:schemeClr val="lt1"/>
            </a:solidFill>
          </a:ln>
          <a:effectLst/>
        </c:spPr>
      </c:pivotFmt>
      <c:pivotFmt>
        <c:idx val="1801"/>
        <c:spPr>
          <a:solidFill>
            <a:schemeClr val="accent1"/>
          </a:solidFill>
          <a:ln w="19050">
            <a:solidFill>
              <a:schemeClr val="lt1"/>
            </a:solidFill>
          </a:ln>
          <a:effectLst/>
        </c:spPr>
      </c:pivotFmt>
      <c:pivotFmt>
        <c:idx val="1802"/>
        <c:spPr>
          <a:solidFill>
            <a:schemeClr val="accent1"/>
          </a:solidFill>
          <a:ln w="19050">
            <a:solidFill>
              <a:schemeClr val="lt1"/>
            </a:solidFill>
          </a:ln>
          <a:effectLst/>
        </c:spPr>
      </c:pivotFmt>
      <c:pivotFmt>
        <c:idx val="1803"/>
        <c:spPr>
          <a:solidFill>
            <a:schemeClr val="accent1"/>
          </a:solidFill>
          <a:ln w="19050">
            <a:solidFill>
              <a:schemeClr val="lt1"/>
            </a:solidFill>
          </a:ln>
          <a:effectLst/>
        </c:spPr>
      </c:pivotFmt>
      <c:pivotFmt>
        <c:idx val="1804"/>
        <c:spPr>
          <a:solidFill>
            <a:schemeClr val="accent1"/>
          </a:solidFill>
          <a:ln w="19050">
            <a:solidFill>
              <a:schemeClr val="lt1"/>
            </a:solidFill>
          </a:ln>
          <a:effectLst/>
        </c:spPr>
      </c:pivotFmt>
      <c:pivotFmt>
        <c:idx val="1805"/>
        <c:spPr>
          <a:solidFill>
            <a:schemeClr val="accent1"/>
          </a:solidFill>
          <a:ln w="19050">
            <a:solidFill>
              <a:schemeClr val="lt1"/>
            </a:solidFill>
          </a:ln>
          <a:effectLst/>
        </c:spPr>
      </c:pivotFmt>
      <c:pivotFmt>
        <c:idx val="1806"/>
        <c:spPr>
          <a:solidFill>
            <a:schemeClr val="accent1"/>
          </a:solidFill>
          <a:ln w="19050">
            <a:solidFill>
              <a:schemeClr val="lt1"/>
            </a:solidFill>
          </a:ln>
          <a:effectLst/>
        </c:spPr>
      </c:pivotFmt>
      <c:pivotFmt>
        <c:idx val="1807"/>
        <c:spPr>
          <a:solidFill>
            <a:schemeClr val="accent1"/>
          </a:solidFill>
          <a:ln w="19050">
            <a:solidFill>
              <a:schemeClr val="lt1"/>
            </a:solidFill>
          </a:ln>
          <a:effectLst/>
        </c:spPr>
      </c:pivotFmt>
      <c:pivotFmt>
        <c:idx val="1808"/>
        <c:spPr>
          <a:solidFill>
            <a:schemeClr val="accent1"/>
          </a:solidFill>
          <a:ln w="19050">
            <a:solidFill>
              <a:schemeClr val="lt1"/>
            </a:solidFill>
          </a:ln>
          <a:effectLst/>
        </c:spPr>
      </c:pivotFmt>
      <c:pivotFmt>
        <c:idx val="1809"/>
        <c:spPr>
          <a:solidFill>
            <a:schemeClr val="accent1"/>
          </a:solidFill>
          <a:ln w="19050">
            <a:solidFill>
              <a:schemeClr val="lt1"/>
            </a:solidFill>
          </a:ln>
          <a:effectLst/>
        </c:spPr>
      </c:pivotFmt>
      <c:pivotFmt>
        <c:idx val="1810"/>
        <c:spPr>
          <a:solidFill>
            <a:schemeClr val="accent1"/>
          </a:solidFill>
          <a:ln w="19050">
            <a:solidFill>
              <a:schemeClr val="lt1"/>
            </a:solidFill>
          </a:ln>
          <a:effectLst/>
        </c:spPr>
      </c:pivotFmt>
      <c:pivotFmt>
        <c:idx val="1811"/>
        <c:spPr>
          <a:solidFill>
            <a:schemeClr val="accent1"/>
          </a:solidFill>
          <a:ln w="19050">
            <a:solidFill>
              <a:schemeClr val="lt1"/>
            </a:solidFill>
          </a:ln>
          <a:effectLst/>
        </c:spPr>
      </c:pivotFmt>
      <c:pivotFmt>
        <c:idx val="1812"/>
        <c:spPr>
          <a:solidFill>
            <a:schemeClr val="accent1"/>
          </a:solidFill>
          <a:ln w="19050">
            <a:solidFill>
              <a:schemeClr val="lt1"/>
            </a:solidFill>
          </a:ln>
          <a:effectLst/>
        </c:spPr>
      </c:pivotFmt>
      <c:pivotFmt>
        <c:idx val="1813"/>
        <c:spPr>
          <a:solidFill>
            <a:schemeClr val="accent1"/>
          </a:solidFill>
          <a:ln w="19050">
            <a:solidFill>
              <a:schemeClr val="lt1"/>
            </a:solidFill>
          </a:ln>
          <a:effectLst/>
        </c:spPr>
      </c:pivotFmt>
      <c:pivotFmt>
        <c:idx val="1814"/>
        <c:spPr>
          <a:solidFill>
            <a:schemeClr val="accent1"/>
          </a:solidFill>
          <a:ln w="19050">
            <a:solidFill>
              <a:schemeClr val="lt1"/>
            </a:solidFill>
          </a:ln>
          <a:effectLst/>
        </c:spPr>
      </c:pivotFmt>
      <c:pivotFmt>
        <c:idx val="1815"/>
        <c:spPr>
          <a:solidFill>
            <a:schemeClr val="accent1"/>
          </a:solidFill>
          <a:ln w="19050">
            <a:solidFill>
              <a:schemeClr val="lt1"/>
            </a:solidFill>
          </a:ln>
          <a:effectLst/>
        </c:spPr>
      </c:pivotFmt>
      <c:pivotFmt>
        <c:idx val="1816"/>
        <c:spPr>
          <a:solidFill>
            <a:schemeClr val="accent1"/>
          </a:solidFill>
          <a:ln w="19050">
            <a:solidFill>
              <a:schemeClr val="lt1"/>
            </a:solidFill>
          </a:ln>
          <a:effectLst/>
        </c:spPr>
      </c:pivotFmt>
      <c:pivotFmt>
        <c:idx val="1817"/>
        <c:spPr>
          <a:solidFill>
            <a:schemeClr val="accent1"/>
          </a:solidFill>
          <a:ln w="19050">
            <a:solidFill>
              <a:schemeClr val="lt1"/>
            </a:solidFill>
          </a:ln>
          <a:effectLst/>
        </c:spPr>
      </c:pivotFmt>
      <c:pivotFmt>
        <c:idx val="1818"/>
        <c:spPr>
          <a:solidFill>
            <a:schemeClr val="accent1"/>
          </a:solidFill>
          <a:ln w="19050">
            <a:solidFill>
              <a:schemeClr val="lt1"/>
            </a:solidFill>
          </a:ln>
          <a:effectLst/>
        </c:spPr>
      </c:pivotFmt>
      <c:pivotFmt>
        <c:idx val="1819"/>
        <c:spPr>
          <a:solidFill>
            <a:schemeClr val="accent1"/>
          </a:solidFill>
          <a:ln w="19050">
            <a:solidFill>
              <a:schemeClr val="lt1"/>
            </a:solidFill>
          </a:ln>
          <a:effectLst/>
        </c:spPr>
      </c:pivotFmt>
      <c:pivotFmt>
        <c:idx val="1820"/>
        <c:spPr>
          <a:solidFill>
            <a:schemeClr val="accent1"/>
          </a:solidFill>
          <a:ln w="19050">
            <a:solidFill>
              <a:schemeClr val="lt1"/>
            </a:solidFill>
          </a:ln>
          <a:effectLst/>
        </c:spPr>
      </c:pivotFmt>
      <c:pivotFmt>
        <c:idx val="1821"/>
        <c:spPr>
          <a:solidFill>
            <a:schemeClr val="accent1"/>
          </a:solidFill>
          <a:ln w="19050">
            <a:solidFill>
              <a:schemeClr val="lt1"/>
            </a:solidFill>
          </a:ln>
          <a:effectLst/>
        </c:spPr>
      </c:pivotFmt>
      <c:pivotFmt>
        <c:idx val="1822"/>
        <c:spPr>
          <a:solidFill>
            <a:schemeClr val="accent1"/>
          </a:solidFill>
          <a:ln w="19050">
            <a:solidFill>
              <a:schemeClr val="lt1"/>
            </a:solidFill>
          </a:ln>
          <a:effectLst/>
        </c:spPr>
      </c:pivotFmt>
      <c:pivotFmt>
        <c:idx val="1823"/>
        <c:spPr>
          <a:solidFill>
            <a:schemeClr val="accent1"/>
          </a:solidFill>
          <a:ln w="19050">
            <a:solidFill>
              <a:schemeClr val="lt1"/>
            </a:solidFill>
          </a:ln>
          <a:effectLst/>
        </c:spPr>
      </c:pivotFmt>
      <c:pivotFmt>
        <c:idx val="1824"/>
        <c:spPr>
          <a:solidFill>
            <a:schemeClr val="accent1"/>
          </a:solidFill>
          <a:ln w="19050">
            <a:solidFill>
              <a:schemeClr val="lt1"/>
            </a:solidFill>
          </a:ln>
          <a:effectLst/>
        </c:spPr>
      </c:pivotFmt>
      <c:pivotFmt>
        <c:idx val="1825"/>
        <c:spPr>
          <a:solidFill>
            <a:schemeClr val="accent1"/>
          </a:solidFill>
          <a:ln w="19050">
            <a:solidFill>
              <a:schemeClr val="lt1"/>
            </a:solidFill>
          </a:ln>
          <a:effectLst/>
        </c:spPr>
      </c:pivotFmt>
      <c:pivotFmt>
        <c:idx val="1826"/>
        <c:spPr>
          <a:solidFill>
            <a:schemeClr val="accent1"/>
          </a:solidFill>
          <a:ln w="19050">
            <a:solidFill>
              <a:schemeClr val="lt1"/>
            </a:solidFill>
          </a:ln>
          <a:effectLst/>
        </c:spPr>
      </c:pivotFmt>
      <c:pivotFmt>
        <c:idx val="1827"/>
        <c:spPr>
          <a:solidFill>
            <a:schemeClr val="accent1"/>
          </a:solidFill>
          <a:ln w="19050">
            <a:solidFill>
              <a:schemeClr val="lt1"/>
            </a:solidFill>
          </a:ln>
          <a:effectLst/>
        </c:spPr>
      </c:pivotFmt>
      <c:pivotFmt>
        <c:idx val="1828"/>
        <c:spPr>
          <a:solidFill>
            <a:schemeClr val="accent1"/>
          </a:solidFill>
          <a:ln w="19050">
            <a:solidFill>
              <a:schemeClr val="lt1"/>
            </a:solidFill>
          </a:ln>
          <a:effectLst/>
        </c:spPr>
      </c:pivotFmt>
      <c:pivotFmt>
        <c:idx val="1829"/>
        <c:spPr>
          <a:solidFill>
            <a:schemeClr val="accent1"/>
          </a:solidFill>
          <a:ln w="19050">
            <a:solidFill>
              <a:schemeClr val="lt1"/>
            </a:solidFill>
          </a:ln>
          <a:effectLst/>
        </c:spPr>
      </c:pivotFmt>
      <c:pivotFmt>
        <c:idx val="1830"/>
        <c:spPr>
          <a:solidFill>
            <a:schemeClr val="accent1"/>
          </a:solidFill>
          <a:ln w="19050">
            <a:solidFill>
              <a:schemeClr val="lt1"/>
            </a:solidFill>
          </a:ln>
          <a:effectLst/>
        </c:spPr>
      </c:pivotFmt>
      <c:pivotFmt>
        <c:idx val="1831"/>
        <c:spPr>
          <a:solidFill>
            <a:schemeClr val="accent1"/>
          </a:solidFill>
          <a:ln w="19050">
            <a:solidFill>
              <a:schemeClr val="lt1"/>
            </a:solidFill>
          </a:ln>
          <a:effectLst/>
        </c:spPr>
      </c:pivotFmt>
      <c:pivotFmt>
        <c:idx val="1832"/>
        <c:spPr>
          <a:solidFill>
            <a:schemeClr val="accent1"/>
          </a:solidFill>
          <a:ln w="19050">
            <a:solidFill>
              <a:schemeClr val="lt1"/>
            </a:solidFill>
          </a:ln>
          <a:effectLst/>
        </c:spPr>
      </c:pivotFmt>
      <c:pivotFmt>
        <c:idx val="1833"/>
        <c:spPr>
          <a:solidFill>
            <a:schemeClr val="accent1"/>
          </a:solidFill>
          <a:ln w="19050">
            <a:solidFill>
              <a:schemeClr val="lt1"/>
            </a:solidFill>
          </a:ln>
          <a:effectLst/>
        </c:spPr>
      </c:pivotFmt>
      <c:pivotFmt>
        <c:idx val="1834"/>
        <c:spPr>
          <a:solidFill>
            <a:schemeClr val="accent1"/>
          </a:solidFill>
          <a:ln w="19050">
            <a:solidFill>
              <a:schemeClr val="lt1"/>
            </a:solidFill>
          </a:ln>
          <a:effectLst/>
        </c:spPr>
      </c:pivotFmt>
      <c:pivotFmt>
        <c:idx val="1835"/>
        <c:spPr>
          <a:solidFill>
            <a:schemeClr val="accent1"/>
          </a:solidFill>
          <a:ln w="19050">
            <a:solidFill>
              <a:schemeClr val="lt1"/>
            </a:solidFill>
          </a:ln>
          <a:effectLst/>
        </c:spPr>
      </c:pivotFmt>
      <c:pivotFmt>
        <c:idx val="1836"/>
        <c:spPr>
          <a:solidFill>
            <a:schemeClr val="accent1"/>
          </a:solidFill>
          <a:ln w="19050">
            <a:solidFill>
              <a:schemeClr val="lt1"/>
            </a:solidFill>
          </a:ln>
          <a:effectLst/>
        </c:spPr>
      </c:pivotFmt>
      <c:pivotFmt>
        <c:idx val="1837"/>
        <c:spPr>
          <a:solidFill>
            <a:schemeClr val="accent1"/>
          </a:solidFill>
          <a:ln w="19050">
            <a:solidFill>
              <a:schemeClr val="lt1"/>
            </a:solidFill>
          </a:ln>
          <a:effectLst/>
        </c:spPr>
      </c:pivotFmt>
      <c:pivotFmt>
        <c:idx val="1838"/>
        <c:spPr>
          <a:solidFill>
            <a:schemeClr val="accent1"/>
          </a:solidFill>
          <a:ln w="19050">
            <a:solidFill>
              <a:schemeClr val="lt1"/>
            </a:solidFill>
          </a:ln>
          <a:effectLst/>
        </c:spPr>
      </c:pivotFmt>
      <c:pivotFmt>
        <c:idx val="1839"/>
        <c:spPr>
          <a:solidFill>
            <a:schemeClr val="accent1"/>
          </a:solidFill>
          <a:ln w="19050">
            <a:solidFill>
              <a:schemeClr val="lt1"/>
            </a:solidFill>
          </a:ln>
          <a:effectLst/>
        </c:spPr>
      </c:pivotFmt>
      <c:pivotFmt>
        <c:idx val="1840"/>
        <c:spPr>
          <a:solidFill>
            <a:schemeClr val="accent1"/>
          </a:solidFill>
          <a:ln w="19050">
            <a:solidFill>
              <a:schemeClr val="lt1"/>
            </a:solidFill>
          </a:ln>
          <a:effectLst/>
        </c:spPr>
      </c:pivotFmt>
      <c:pivotFmt>
        <c:idx val="1841"/>
        <c:spPr>
          <a:solidFill>
            <a:schemeClr val="accent1"/>
          </a:solidFill>
          <a:ln w="19050">
            <a:solidFill>
              <a:schemeClr val="lt1"/>
            </a:solidFill>
          </a:ln>
          <a:effectLst/>
        </c:spPr>
      </c:pivotFmt>
      <c:pivotFmt>
        <c:idx val="1842"/>
        <c:spPr>
          <a:solidFill>
            <a:schemeClr val="accent1"/>
          </a:solidFill>
          <a:ln w="19050">
            <a:solidFill>
              <a:schemeClr val="lt1"/>
            </a:solidFill>
          </a:ln>
          <a:effectLst/>
        </c:spPr>
      </c:pivotFmt>
      <c:pivotFmt>
        <c:idx val="1843"/>
        <c:spPr>
          <a:solidFill>
            <a:schemeClr val="accent1"/>
          </a:solidFill>
          <a:ln w="19050">
            <a:solidFill>
              <a:schemeClr val="lt1"/>
            </a:solidFill>
          </a:ln>
          <a:effectLst/>
        </c:spPr>
      </c:pivotFmt>
      <c:pivotFmt>
        <c:idx val="1844"/>
        <c:spPr>
          <a:solidFill>
            <a:schemeClr val="accent1"/>
          </a:solidFill>
          <a:ln w="19050">
            <a:solidFill>
              <a:schemeClr val="lt1"/>
            </a:solidFill>
          </a:ln>
          <a:effectLst/>
        </c:spPr>
      </c:pivotFmt>
      <c:pivotFmt>
        <c:idx val="1845"/>
        <c:spPr>
          <a:solidFill>
            <a:schemeClr val="accent1"/>
          </a:solidFill>
          <a:ln w="19050">
            <a:solidFill>
              <a:schemeClr val="lt1"/>
            </a:solidFill>
          </a:ln>
          <a:effectLst/>
        </c:spPr>
      </c:pivotFmt>
      <c:pivotFmt>
        <c:idx val="1846"/>
        <c:spPr>
          <a:solidFill>
            <a:schemeClr val="accent1"/>
          </a:solidFill>
          <a:ln w="19050">
            <a:solidFill>
              <a:schemeClr val="lt1"/>
            </a:solidFill>
          </a:ln>
          <a:effectLst/>
        </c:spPr>
      </c:pivotFmt>
      <c:pivotFmt>
        <c:idx val="1847"/>
        <c:spPr>
          <a:solidFill>
            <a:schemeClr val="accent1"/>
          </a:solidFill>
          <a:ln w="19050">
            <a:solidFill>
              <a:schemeClr val="lt1"/>
            </a:solidFill>
          </a:ln>
          <a:effectLst/>
        </c:spPr>
      </c:pivotFmt>
      <c:pivotFmt>
        <c:idx val="1848"/>
        <c:spPr>
          <a:solidFill>
            <a:schemeClr val="accent1"/>
          </a:solidFill>
          <a:ln w="19050">
            <a:solidFill>
              <a:schemeClr val="lt1"/>
            </a:solidFill>
          </a:ln>
          <a:effectLst/>
        </c:spPr>
      </c:pivotFmt>
      <c:pivotFmt>
        <c:idx val="1849"/>
        <c:spPr>
          <a:solidFill>
            <a:schemeClr val="accent1"/>
          </a:solidFill>
          <a:ln w="19050">
            <a:solidFill>
              <a:schemeClr val="lt1"/>
            </a:solidFill>
          </a:ln>
          <a:effectLst/>
        </c:spPr>
      </c:pivotFmt>
      <c:pivotFmt>
        <c:idx val="1850"/>
        <c:spPr>
          <a:solidFill>
            <a:schemeClr val="accent1"/>
          </a:solidFill>
          <a:ln w="19050">
            <a:solidFill>
              <a:schemeClr val="lt1"/>
            </a:solidFill>
          </a:ln>
          <a:effectLst/>
        </c:spPr>
      </c:pivotFmt>
      <c:pivotFmt>
        <c:idx val="1851"/>
        <c:spPr>
          <a:solidFill>
            <a:schemeClr val="accent1"/>
          </a:solidFill>
          <a:ln w="19050">
            <a:solidFill>
              <a:schemeClr val="lt1"/>
            </a:solidFill>
          </a:ln>
          <a:effectLst/>
        </c:spPr>
      </c:pivotFmt>
      <c:pivotFmt>
        <c:idx val="1852"/>
        <c:spPr>
          <a:solidFill>
            <a:schemeClr val="accent1"/>
          </a:solidFill>
          <a:ln w="19050">
            <a:solidFill>
              <a:schemeClr val="lt1"/>
            </a:solidFill>
          </a:ln>
          <a:effectLst/>
        </c:spPr>
      </c:pivotFmt>
      <c:pivotFmt>
        <c:idx val="1853"/>
        <c:spPr>
          <a:solidFill>
            <a:schemeClr val="accent1"/>
          </a:solidFill>
          <a:ln w="19050">
            <a:solidFill>
              <a:schemeClr val="lt1"/>
            </a:solidFill>
          </a:ln>
          <a:effectLst/>
        </c:spPr>
      </c:pivotFmt>
      <c:pivotFmt>
        <c:idx val="1854"/>
        <c:spPr>
          <a:solidFill>
            <a:schemeClr val="accent1"/>
          </a:solidFill>
          <a:ln w="19050">
            <a:solidFill>
              <a:schemeClr val="lt1"/>
            </a:solidFill>
          </a:ln>
          <a:effectLst/>
        </c:spPr>
      </c:pivotFmt>
      <c:pivotFmt>
        <c:idx val="1855"/>
        <c:spPr>
          <a:solidFill>
            <a:schemeClr val="accent1"/>
          </a:solidFill>
          <a:ln w="19050">
            <a:solidFill>
              <a:schemeClr val="lt1"/>
            </a:solidFill>
          </a:ln>
          <a:effectLst/>
        </c:spPr>
      </c:pivotFmt>
      <c:pivotFmt>
        <c:idx val="1856"/>
        <c:spPr>
          <a:solidFill>
            <a:schemeClr val="accent1"/>
          </a:solidFill>
          <a:ln w="19050">
            <a:solidFill>
              <a:schemeClr val="lt1"/>
            </a:solidFill>
          </a:ln>
          <a:effectLst/>
        </c:spPr>
      </c:pivotFmt>
      <c:pivotFmt>
        <c:idx val="1857"/>
        <c:spPr>
          <a:solidFill>
            <a:schemeClr val="accent1"/>
          </a:solidFill>
          <a:ln w="19050">
            <a:solidFill>
              <a:schemeClr val="lt1"/>
            </a:solidFill>
          </a:ln>
          <a:effectLst/>
        </c:spPr>
      </c:pivotFmt>
      <c:pivotFmt>
        <c:idx val="1858"/>
        <c:spPr>
          <a:solidFill>
            <a:schemeClr val="accent1"/>
          </a:solidFill>
          <a:ln w="19050">
            <a:solidFill>
              <a:schemeClr val="lt1"/>
            </a:solidFill>
          </a:ln>
          <a:effectLst/>
        </c:spPr>
      </c:pivotFmt>
      <c:pivotFmt>
        <c:idx val="1859"/>
        <c:spPr>
          <a:solidFill>
            <a:schemeClr val="accent1"/>
          </a:solidFill>
          <a:ln w="19050">
            <a:solidFill>
              <a:schemeClr val="lt1"/>
            </a:solidFill>
          </a:ln>
          <a:effectLst/>
        </c:spPr>
      </c:pivotFmt>
      <c:pivotFmt>
        <c:idx val="1860"/>
        <c:spPr>
          <a:solidFill>
            <a:schemeClr val="accent1"/>
          </a:solidFill>
          <a:ln w="19050">
            <a:solidFill>
              <a:schemeClr val="lt1"/>
            </a:solidFill>
          </a:ln>
          <a:effectLst/>
        </c:spPr>
      </c:pivotFmt>
      <c:pivotFmt>
        <c:idx val="1861"/>
        <c:spPr>
          <a:solidFill>
            <a:schemeClr val="accent1"/>
          </a:solidFill>
          <a:ln w="19050">
            <a:solidFill>
              <a:schemeClr val="lt1"/>
            </a:solidFill>
          </a:ln>
          <a:effectLst/>
        </c:spPr>
      </c:pivotFmt>
      <c:pivotFmt>
        <c:idx val="1862"/>
        <c:spPr>
          <a:solidFill>
            <a:schemeClr val="accent1"/>
          </a:solidFill>
          <a:ln w="19050">
            <a:solidFill>
              <a:schemeClr val="lt1"/>
            </a:solidFill>
          </a:ln>
          <a:effectLst/>
        </c:spPr>
      </c:pivotFmt>
      <c:pivotFmt>
        <c:idx val="1863"/>
        <c:spPr>
          <a:solidFill>
            <a:schemeClr val="accent1"/>
          </a:solidFill>
          <a:ln w="19050">
            <a:solidFill>
              <a:schemeClr val="lt1"/>
            </a:solidFill>
          </a:ln>
          <a:effectLst/>
        </c:spPr>
      </c:pivotFmt>
      <c:pivotFmt>
        <c:idx val="1864"/>
        <c:spPr>
          <a:solidFill>
            <a:schemeClr val="accent1"/>
          </a:solidFill>
          <a:ln w="19050">
            <a:solidFill>
              <a:schemeClr val="lt1"/>
            </a:solidFill>
          </a:ln>
          <a:effectLst/>
        </c:spPr>
      </c:pivotFmt>
      <c:pivotFmt>
        <c:idx val="1865"/>
        <c:spPr>
          <a:solidFill>
            <a:schemeClr val="accent1"/>
          </a:solidFill>
          <a:ln w="19050">
            <a:solidFill>
              <a:schemeClr val="lt1"/>
            </a:solidFill>
          </a:ln>
          <a:effectLst/>
        </c:spPr>
      </c:pivotFmt>
      <c:pivotFmt>
        <c:idx val="1866"/>
        <c:spPr>
          <a:solidFill>
            <a:schemeClr val="accent1"/>
          </a:solidFill>
          <a:ln w="19050">
            <a:solidFill>
              <a:schemeClr val="lt1"/>
            </a:solidFill>
          </a:ln>
          <a:effectLst/>
        </c:spPr>
      </c:pivotFmt>
      <c:pivotFmt>
        <c:idx val="1867"/>
        <c:spPr>
          <a:solidFill>
            <a:schemeClr val="accent1"/>
          </a:solidFill>
          <a:ln w="19050">
            <a:solidFill>
              <a:schemeClr val="lt1"/>
            </a:solidFill>
          </a:ln>
          <a:effectLst/>
        </c:spPr>
      </c:pivotFmt>
      <c:pivotFmt>
        <c:idx val="1868"/>
        <c:spPr>
          <a:solidFill>
            <a:schemeClr val="accent1"/>
          </a:solidFill>
          <a:ln w="19050">
            <a:solidFill>
              <a:schemeClr val="lt1"/>
            </a:solidFill>
          </a:ln>
          <a:effectLst/>
        </c:spPr>
      </c:pivotFmt>
      <c:pivotFmt>
        <c:idx val="1869"/>
        <c:spPr>
          <a:solidFill>
            <a:schemeClr val="accent1"/>
          </a:solidFill>
          <a:ln w="19050">
            <a:solidFill>
              <a:schemeClr val="lt1"/>
            </a:solidFill>
          </a:ln>
          <a:effectLst/>
        </c:spPr>
      </c:pivotFmt>
      <c:pivotFmt>
        <c:idx val="1870"/>
        <c:spPr>
          <a:solidFill>
            <a:schemeClr val="accent1"/>
          </a:solidFill>
          <a:ln w="19050">
            <a:solidFill>
              <a:schemeClr val="lt1"/>
            </a:solidFill>
          </a:ln>
          <a:effectLst/>
        </c:spPr>
      </c:pivotFmt>
      <c:pivotFmt>
        <c:idx val="1871"/>
        <c:spPr>
          <a:solidFill>
            <a:schemeClr val="accent1"/>
          </a:solidFill>
          <a:ln w="19050">
            <a:solidFill>
              <a:schemeClr val="lt1"/>
            </a:solidFill>
          </a:ln>
          <a:effectLst/>
        </c:spPr>
      </c:pivotFmt>
      <c:pivotFmt>
        <c:idx val="1872"/>
        <c:spPr>
          <a:solidFill>
            <a:schemeClr val="accent1"/>
          </a:solidFill>
          <a:ln w="19050">
            <a:solidFill>
              <a:schemeClr val="lt1"/>
            </a:solidFill>
          </a:ln>
          <a:effectLst/>
        </c:spPr>
      </c:pivotFmt>
      <c:pivotFmt>
        <c:idx val="1873"/>
        <c:spPr>
          <a:solidFill>
            <a:schemeClr val="accent1"/>
          </a:solidFill>
          <a:ln w="19050">
            <a:solidFill>
              <a:schemeClr val="lt1"/>
            </a:solidFill>
          </a:ln>
          <a:effectLst/>
        </c:spPr>
      </c:pivotFmt>
      <c:pivotFmt>
        <c:idx val="1874"/>
        <c:spPr>
          <a:solidFill>
            <a:schemeClr val="accent1"/>
          </a:solidFill>
          <a:ln w="19050">
            <a:solidFill>
              <a:schemeClr val="lt1"/>
            </a:solidFill>
          </a:ln>
          <a:effectLst/>
        </c:spPr>
      </c:pivotFmt>
      <c:pivotFmt>
        <c:idx val="1875"/>
        <c:spPr>
          <a:solidFill>
            <a:schemeClr val="accent1"/>
          </a:solidFill>
          <a:ln w="19050">
            <a:solidFill>
              <a:schemeClr val="lt1"/>
            </a:solidFill>
          </a:ln>
          <a:effectLst/>
        </c:spPr>
      </c:pivotFmt>
      <c:pivotFmt>
        <c:idx val="1876"/>
        <c:spPr>
          <a:solidFill>
            <a:schemeClr val="accent1"/>
          </a:solidFill>
          <a:ln w="19050">
            <a:solidFill>
              <a:schemeClr val="lt1"/>
            </a:solidFill>
          </a:ln>
          <a:effectLst/>
        </c:spPr>
      </c:pivotFmt>
      <c:pivotFmt>
        <c:idx val="1877"/>
        <c:spPr>
          <a:solidFill>
            <a:schemeClr val="accent1"/>
          </a:solidFill>
          <a:ln w="19050">
            <a:solidFill>
              <a:schemeClr val="lt1"/>
            </a:solidFill>
          </a:ln>
          <a:effectLst/>
        </c:spPr>
      </c:pivotFmt>
      <c:pivotFmt>
        <c:idx val="1878"/>
        <c:spPr>
          <a:solidFill>
            <a:schemeClr val="accent1"/>
          </a:solidFill>
          <a:ln w="19050">
            <a:solidFill>
              <a:schemeClr val="lt1"/>
            </a:solidFill>
          </a:ln>
          <a:effectLst/>
        </c:spPr>
      </c:pivotFmt>
      <c:pivotFmt>
        <c:idx val="1879"/>
        <c:spPr>
          <a:solidFill>
            <a:schemeClr val="accent1"/>
          </a:solidFill>
          <a:ln w="19050">
            <a:solidFill>
              <a:schemeClr val="lt1"/>
            </a:solidFill>
          </a:ln>
          <a:effectLst/>
        </c:spPr>
      </c:pivotFmt>
      <c:pivotFmt>
        <c:idx val="1880"/>
        <c:spPr>
          <a:solidFill>
            <a:schemeClr val="accent1"/>
          </a:solidFill>
          <a:ln w="19050">
            <a:solidFill>
              <a:schemeClr val="lt1"/>
            </a:solidFill>
          </a:ln>
          <a:effectLst/>
        </c:spPr>
      </c:pivotFmt>
      <c:pivotFmt>
        <c:idx val="1881"/>
        <c:spPr>
          <a:solidFill>
            <a:schemeClr val="accent1"/>
          </a:solidFill>
          <a:ln w="19050">
            <a:solidFill>
              <a:schemeClr val="lt1"/>
            </a:solidFill>
          </a:ln>
          <a:effectLst/>
        </c:spPr>
      </c:pivotFmt>
      <c:pivotFmt>
        <c:idx val="1882"/>
        <c:spPr>
          <a:solidFill>
            <a:schemeClr val="accent1"/>
          </a:solidFill>
          <a:ln w="19050">
            <a:solidFill>
              <a:schemeClr val="lt1"/>
            </a:solidFill>
          </a:ln>
          <a:effectLst/>
        </c:spPr>
      </c:pivotFmt>
      <c:pivotFmt>
        <c:idx val="1883"/>
        <c:spPr>
          <a:solidFill>
            <a:schemeClr val="accent1"/>
          </a:solidFill>
          <a:ln w="19050">
            <a:solidFill>
              <a:schemeClr val="lt1"/>
            </a:solidFill>
          </a:ln>
          <a:effectLst/>
        </c:spPr>
      </c:pivotFmt>
      <c:pivotFmt>
        <c:idx val="1884"/>
        <c:spPr>
          <a:solidFill>
            <a:schemeClr val="accent1"/>
          </a:solidFill>
          <a:ln w="19050">
            <a:solidFill>
              <a:schemeClr val="lt1"/>
            </a:solidFill>
          </a:ln>
          <a:effectLst/>
        </c:spPr>
      </c:pivotFmt>
      <c:pivotFmt>
        <c:idx val="1885"/>
        <c:spPr>
          <a:solidFill>
            <a:schemeClr val="accent1"/>
          </a:solidFill>
          <a:ln w="19050">
            <a:solidFill>
              <a:schemeClr val="lt1"/>
            </a:solidFill>
          </a:ln>
          <a:effectLst/>
        </c:spPr>
      </c:pivotFmt>
      <c:pivotFmt>
        <c:idx val="1886"/>
        <c:spPr>
          <a:solidFill>
            <a:schemeClr val="accent1"/>
          </a:solidFill>
          <a:ln w="19050">
            <a:solidFill>
              <a:schemeClr val="lt1"/>
            </a:solidFill>
          </a:ln>
          <a:effectLst/>
        </c:spPr>
      </c:pivotFmt>
      <c:pivotFmt>
        <c:idx val="1887"/>
        <c:spPr>
          <a:solidFill>
            <a:schemeClr val="accent1"/>
          </a:solidFill>
          <a:ln w="19050">
            <a:solidFill>
              <a:schemeClr val="lt1"/>
            </a:solidFill>
          </a:ln>
          <a:effectLst/>
        </c:spPr>
      </c:pivotFmt>
      <c:pivotFmt>
        <c:idx val="1888"/>
        <c:spPr>
          <a:solidFill>
            <a:schemeClr val="accent1"/>
          </a:solidFill>
          <a:ln w="19050">
            <a:solidFill>
              <a:schemeClr val="lt1"/>
            </a:solidFill>
          </a:ln>
          <a:effectLst/>
        </c:spPr>
      </c:pivotFmt>
      <c:pivotFmt>
        <c:idx val="1889"/>
        <c:spPr>
          <a:solidFill>
            <a:schemeClr val="accent1"/>
          </a:solidFill>
          <a:ln w="19050">
            <a:solidFill>
              <a:schemeClr val="lt1"/>
            </a:solidFill>
          </a:ln>
          <a:effectLst/>
        </c:spPr>
      </c:pivotFmt>
      <c:pivotFmt>
        <c:idx val="1890"/>
        <c:spPr>
          <a:solidFill>
            <a:schemeClr val="accent1"/>
          </a:solidFill>
          <a:ln w="19050">
            <a:solidFill>
              <a:schemeClr val="lt1"/>
            </a:solidFill>
          </a:ln>
          <a:effectLst/>
        </c:spPr>
      </c:pivotFmt>
      <c:pivotFmt>
        <c:idx val="1891"/>
        <c:spPr>
          <a:solidFill>
            <a:schemeClr val="accent1"/>
          </a:solidFill>
          <a:ln w="19050">
            <a:solidFill>
              <a:schemeClr val="lt1"/>
            </a:solidFill>
          </a:ln>
          <a:effectLst/>
        </c:spPr>
      </c:pivotFmt>
      <c:pivotFmt>
        <c:idx val="1892"/>
        <c:spPr>
          <a:solidFill>
            <a:schemeClr val="accent1"/>
          </a:solidFill>
          <a:ln w="19050">
            <a:solidFill>
              <a:schemeClr val="lt1"/>
            </a:solidFill>
          </a:ln>
          <a:effectLst/>
        </c:spPr>
      </c:pivotFmt>
      <c:pivotFmt>
        <c:idx val="1893"/>
        <c:spPr>
          <a:solidFill>
            <a:schemeClr val="accent1"/>
          </a:solidFill>
          <a:ln w="19050">
            <a:solidFill>
              <a:schemeClr val="lt1"/>
            </a:solidFill>
          </a:ln>
          <a:effectLst/>
        </c:spPr>
      </c:pivotFmt>
      <c:pivotFmt>
        <c:idx val="1894"/>
        <c:spPr>
          <a:solidFill>
            <a:schemeClr val="accent1"/>
          </a:solidFill>
          <a:ln w="19050">
            <a:solidFill>
              <a:schemeClr val="lt1"/>
            </a:solidFill>
          </a:ln>
          <a:effectLst/>
        </c:spPr>
      </c:pivotFmt>
      <c:pivotFmt>
        <c:idx val="1895"/>
        <c:spPr>
          <a:solidFill>
            <a:schemeClr val="accent1"/>
          </a:solidFill>
          <a:ln w="19050">
            <a:solidFill>
              <a:schemeClr val="lt1"/>
            </a:solidFill>
          </a:ln>
          <a:effectLst/>
        </c:spPr>
      </c:pivotFmt>
      <c:pivotFmt>
        <c:idx val="1896"/>
        <c:spPr>
          <a:solidFill>
            <a:schemeClr val="accent1"/>
          </a:solidFill>
          <a:ln w="19050">
            <a:solidFill>
              <a:schemeClr val="lt1"/>
            </a:solidFill>
          </a:ln>
          <a:effectLst/>
        </c:spPr>
      </c:pivotFmt>
      <c:pivotFmt>
        <c:idx val="1897"/>
        <c:spPr>
          <a:solidFill>
            <a:schemeClr val="accent1"/>
          </a:solidFill>
          <a:ln w="19050">
            <a:solidFill>
              <a:schemeClr val="lt1"/>
            </a:solidFill>
          </a:ln>
          <a:effectLst/>
        </c:spPr>
      </c:pivotFmt>
      <c:pivotFmt>
        <c:idx val="1898"/>
        <c:spPr>
          <a:solidFill>
            <a:schemeClr val="accent1"/>
          </a:solidFill>
          <a:ln w="19050">
            <a:solidFill>
              <a:schemeClr val="lt1"/>
            </a:solidFill>
          </a:ln>
          <a:effectLst/>
        </c:spPr>
      </c:pivotFmt>
      <c:pivotFmt>
        <c:idx val="1899"/>
        <c:spPr>
          <a:solidFill>
            <a:schemeClr val="accent1"/>
          </a:solidFill>
          <a:ln w="19050">
            <a:solidFill>
              <a:schemeClr val="lt1"/>
            </a:solidFill>
          </a:ln>
          <a:effectLst/>
        </c:spPr>
      </c:pivotFmt>
      <c:pivotFmt>
        <c:idx val="1900"/>
        <c:spPr>
          <a:solidFill>
            <a:schemeClr val="accent1"/>
          </a:solidFill>
          <a:ln w="19050">
            <a:solidFill>
              <a:schemeClr val="lt1"/>
            </a:solidFill>
          </a:ln>
          <a:effectLst/>
        </c:spPr>
      </c:pivotFmt>
      <c:pivotFmt>
        <c:idx val="1901"/>
        <c:spPr>
          <a:solidFill>
            <a:schemeClr val="accent1"/>
          </a:solidFill>
          <a:ln w="19050">
            <a:solidFill>
              <a:schemeClr val="lt1"/>
            </a:solidFill>
          </a:ln>
          <a:effectLst/>
        </c:spPr>
      </c:pivotFmt>
      <c:pivotFmt>
        <c:idx val="1902"/>
        <c:spPr>
          <a:solidFill>
            <a:schemeClr val="accent1"/>
          </a:solidFill>
          <a:ln w="19050">
            <a:solidFill>
              <a:schemeClr val="lt1"/>
            </a:solidFill>
          </a:ln>
          <a:effectLst/>
        </c:spPr>
      </c:pivotFmt>
      <c:pivotFmt>
        <c:idx val="1903"/>
        <c:spPr>
          <a:solidFill>
            <a:schemeClr val="accent1"/>
          </a:solidFill>
          <a:ln w="19050">
            <a:solidFill>
              <a:schemeClr val="lt1"/>
            </a:solidFill>
          </a:ln>
          <a:effectLst/>
        </c:spPr>
      </c:pivotFmt>
      <c:pivotFmt>
        <c:idx val="1904"/>
        <c:spPr>
          <a:solidFill>
            <a:schemeClr val="accent1"/>
          </a:solidFill>
          <a:ln w="19050">
            <a:solidFill>
              <a:schemeClr val="lt1"/>
            </a:solidFill>
          </a:ln>
          <a:effectLst/>
        </c:spPr>
      </c:pivotFmt>
      <c:pivotFmt>
        <c:idx val="1905"/>
        <c:spPr>
          <a:solidFill>
            <a:schemeClr val="accent1"/>
          </a:solidFill>
          <a:ln w="19050">
            <a:solidFill>
              <a:schemeClr val="lt1"/>
            </a:solidFill>
          </a:ln>
          <a:effectLst/>
        </c:spPr>
      </c:pivotFmt>
      <c:pivotFmt>
        <c:idx val="1906"/>
        <c:spPr>
          <a:solidFill>
            <a:schemeClr val="accent1"/>
          </a:solidFill>
          <a:ln w="19050">
            <a:solidFill>
              <a:schemeClr val="lt1"/>
            </a:solidFill>
          </a:ln>
          <a:effectLst/>
        </c:spPr>
      </c:pivotFmt>
      <c:pivotFmt>
        <c:idx val="1907"/>
        <c:spPr>
          <a:solidFill>
            <a:schemeClr val="accent1"/>
          </a:solidFill>
          <a:ln w="19050">
            <a:solidFill>
              <a:schemeClr val="lt1"/>
            </a:solidFill>
          </a:ln>
          <a:effectLst/>
        </c:spPr>
      </c:pivotFmt>
      <c:pivotFmt>
        <c:idx val="1908"/>
        <c:spPr>
          <a:solidFill>
            <a:schemeClr val="accent1"/>
          </a:solidFill>
          <a:ln w="19050">
            <a:solidFill>
              <a:schemeClr val="lt1"/>
            </a:solidFill>
          </a:ln>
          <a:effectLst/>
        </c:spPr>
      </c:pivotFmt>
      <c:pivotFmt>
        <c:idx val="1909"/>
        <c:spPr>
          <a:solidFill>
            <a:schemeClr val="accent1"/>
          </a:solidFill>
          <a:ln w="19050">
            <a:solidFill>
              <a:schemeClr val="lt1"/>
            </a:solidFill>
          </a:ln>
          <a:effectLst/>
        </c:spPr>
      </c:pivotFmt>
      <c:pivotFmt>
        <c:idx val="1910"/>
        <c:spPr>
          <a:solidFill>
            <a:schemeClr val="accent1"/>
          </a:solidFill>
          <a:ln w="19050">
            <a:solidFill>
              <a:schemeClr val="lt1"/>
            </a:solidFill>
          </a:ln>
          <a:effectLst/>
        </c:spPr>
      </c:pivotFmt>
      <c:pivotFmt>
        <c:idx val="1911"/>
        <c:spPr>
          <a:solidFill>
            <a:schemeClr val="accent1"/>
          </a:solidFill>
          <a:ln w="19050">
            <a:solidFill>
              <a:schemeClr val="lt1"/>
            </a:solidFill>
          </a:ln>
          <a:effectLst/>
        </c:spPr>
      </c:pivotFmt>
      <c:pivotFmt>
        <c:idx val="1912"/>
        <c:spPr>
          <a:solidFill>
            <a:schemeClr val="accent1"/>
          </a:solidFill>
          <a:ln w="19050">
            <a:solidFill>
              <a:schemeClr val="lt1"/>
            </a:solidFill>
          </a:ln>
          <a:effectLst/>
        </c:spPr>
      </c:pivotFmt>
      <c:pivotFmt>
        <c:idx val="1913"/>
        <c:spPr>
          <a:solidFill>
            <a:schemeClr val="accent1"/>
          </a:solidFill>
          <a:ln w="19050">
            <a:solidFill>
              <a:schemeClr val="lt1"/>
            </a:solidFill>
          </a:ln>
          <a:effectLst/>
        </c:spPr>
      </c:pivotFmt>
      <c:pivotFmt>
        <c:idx val="1914"/>
        <c:spPr>
          <a:solidFill>
            <a:schemeClr val="accent1"/>
          </a:solidFill>
          <a:ln w="19050">
            <a:solidFill>
              <a:schemeClr val="lt1"/>
            </a:solidFill>
          </a:ln>
          <a:effectLst/>
        </c:spPr>
      </c:pivotFmt>
      <c:pivotFmt>
        <c:idx val="1915"/>
        <c:spPr>
          <a:solidFill>
            <a:schemeClr val="accent1"/>
          </a:solidFill>
          <a:ln w="19050">
            <a:solidFill>
              <a:schemeClr val="lt1"/>
            </a:solidFill>
          </a:ln>
          <a:effectLst/>
        </c:spPr>
      </c:pivotFmt>
      <c:pivotFmt>
        <c:idx val="1916"/>
        <c:spPr>
          <a:solidFill>
            <a:schemeClr val="accent1"/>
          </a:solidFill>
          <a:ln w="19050">
            <a:solidFill>
              <a:schemeClr val="lt1"/>
            </a:solidFill>
          </a:ln>
          <a:effectLst/>
        </c:spPr>
      </c:pivotFmt>
      <c:pivotFmt>
        <c:idx val="1917"/>
        <c:spPr>
          <a:solidFill>
            <a:schemeClr val="accent1"/>
          </a:solidFill>
          <a:ln w="19050">
            <a:solidFill>
              <a:schemeClr val="lt1"/>
            </a:solidFill>
          </a:ln>
          <a:effectLst/>
        </c:spPr>
      </c:pivotFmt>
      <c:pivotFmt>
        <c:idx val="1918"/>
        <c:spPr>
          <a:solidFill>
            <a:schemeClr val="accent1"/>
          </a:solidFill>
          <a:ln w="19050">
            <a:solidFill>
              <a:schemeClr val="lt1"/>
            </a:solidFill>
          </a:ln>
          <a:effectLst/>
        </c:spPr>
      </c:pivotFmt>
      <c:pivotFmt>
        <c:idx val="1919"/>
        <c:spPr>
          <a:solidFill>
            <a:schemeClr val="accent1"/>
          </a:solidFill>
          <a:ln w="19050">
            <a:solidFill>
              <a:schemeClr val="lt1"/>
            </a:solidFill>
          </a:ln>
          <a:effectLst/>
        </c:spPr>
      </c:pivotFmt>
      <c:pivotFmt>
        <c:idx val="1920"/>
        <c:spPr>
          <a:solidFill>
            <a:schemeClr val="accent1"/>
          </a:solidFill>
          <a:ln w="19050">
            <a:solidFill>
              <a:schemeClr val="lt1"/>
            </a:solidFill>
          </a:ln>
          <a:effectLst/>
        </c:spPr>
      </c:pivotFmt>
      <c:pivotFmt>
        <c:idx val="1921"/>
        <c:spPr>
          <a:solidFill>
            <a:schemeClr val="accent1"/>
          </a:solidFill>
          <a:ln w="19050">
            <a:solidFill>
              <a:schemeClr val="lt1"/>
            </a:solidFill>
          </a:ln>
          <a:effectLst/>
        </c:spPr>
      </c:pivotFmt>
      <c:pivotFmt>
        <c:idx val="1922"/>
        <c:spPr>
          <a:solidFill>
            <a:schemeClr val="accent1"/>
          </a:solidFill>
          <a:ln w="19050">
            <a:solidFill>
              <a:schemeClr val="lt1"/>
            </a:solidFill>
          </a:ln>
          <a:effectLst/>
        </c:spPr>
      </c:pivotFmt>
      <c:pivotFmt>
        <c:idx val="1923"/>
        <c:spPr>
          <a:solidFill>
            <a:schemeClr val="accent1"/>
          </a:solidFill>
          <a:ln w="19050">
            <a:solidFill>
              <a:schemeClr val="lt1"/>
            </a:solidFill>
          </a:ln>
          <a:effectLst/>
        </c:spPr>
      </c:pivotFmt>
      <c:pivotFmt>
        <c:idx val="1924"/>
        <c:spPr>
          <a:solidFill>
            <a:schemeClr val="accent1"/>
          </a:solidFill>
          <a:ln w="19050">
            <a:solidFill>
              <a:schemeClr val="lt1"/>
            </a:solidFill>
          </a:ln>
          <a:effectLst/>
        </c:spPr>
      </c:pivotFmt>
      <c:pivotFmt>
        <c:idx val="1925"/>
        <c:spPr>
          <a:solidFill>
            <a:schemeClr val="accent1"/>
          </a:solidFill>
          <a:ln w="19050">
            <a:solidFill>
              <a:schemeClr val="lt1"/>
            </a:solidFill>
          </a:ln>
          <a:effectLst/>
        </c:spPr>
      </c:pivotFmt>
      <c:pivotFmt>
        <c:idx val="1926"/>
        <c:spPr>
          <a:solidFill>
            <a:schemeClr val="accent1"/>
          </a:solidFill>
          <a:ln w="19050">
            <a:solidFill>
              <a:schemeClr val="lt1"/>
            </a:solidFill>
          </a:ln>
          <a:effectLst/>
        </c:spPr>
      </c:pivotFmt>
      <c:pivotFmt>
        <c:idx val="1927"/>
        <c:spPr>
          <a:solidFill>
            <a:schemeClr val="accent1"/>
          </a:solidFill>
          <a:ln w="19050">
            <a:solidFill>
              <a:schemeClr val="lt1"/>
            </a:solidFill>
          </a:ln>
          <a:effectLst/>
        </c:spPr>
      </c:pivotFmt>
      <c:pivotFmt>
        <c:idx val="1928"/>
        <c:spPr>
          <a:solidFill>
            <a:schemeClr val="accent1"/>
          </a:solidFill>
          <a:ln w="19050">
            <a:solidFill>
              <a:schemeClr val="lt1"/>
            </a:solidFill>
          </a:ln>
          <a:effectLst/>
        </c:spPr>
      </c:pivotFmt>
      <c:pivotFmt>
        <c:idx val="1929"/>
        <c:spPr>
          <a:solidFill>
            <a:schemeClr val="accent1"/>
          </a:solidFill>
          <a:ln w="19050">
            <a:solidFill>
              <a:schemeClr val="lt1"/>
            </a:solidFill>
          </a:ln>
          <a:effectLst/>
        </c:spPr>
      </c:pivotFmt>
      <c:pivotFmt>
        <c:idx val="1930"/>
        <c:spPr>
          <a:solidFill>
            <a:schemeClr val="accent1"/>
          </a:solidFill>
          <a:ln w="19050">
            <a:solidFill>
              <a:schemeClr val="lt1"/>
            </a:solidFill>
          </a:ln>
          <a:effectLst/>
        </c:spPr>
      </c:pivotFmt>
      <c:pivotFmt>
        <c:idx val="1931"/>
        <c:spPr>
          <a:solidFill>
            <a:schemeClr val="accent1"/>
          </a:solidFill>
          <a:ln w="19050">
            <a:solidFill>
              <a:schemeClr val="lt1"/>
            </a:solidFill>
          </a:ln>
          <a:effectLst/>
        </c:spPr>
      </c:pivotFmt>
      <c:pivotFmt>
        <c:idx val="1932"/>
        <c:spPr>
          <a:solidFill>
            <a:schemeClr val="accent1"/>
          </a:solidFill>
          <a:ln w="19050">
            <a:solidFill>
              <a:schemeClr val="lt1"/>
            </a:solidFill>
          </a:ln>
          <a:effectLst/>
        </c:spPr>
      </c:pivotFmt>
      <c:pivotFmt>
        <c:idx val="1933"/>
        <c:spPr>
          <a:solidFill>
            <a:schemeClr val="accent1"/>
          </a:solidFill>
          <a:ln w="19050">
            <a:solidFill>
              <a:schemeClr val="lt1"/>
            </a:solidFill>
          </a:ln>
          <a:effectLst/>
        </c:spPr>
      </c:pivotFmt>
      <c:pivotFmt>
        <c:idx val="1934"/>
        <c:spPr>
          <a:solidFill>
            <a:schemeClr val="accent1"/>
          </a:solidFill>
          <a:ln w="19050">
            <a:solidFill>
              <a:schemeClr val="lt1"/>
            </a:solidFill>
          </a:ln>
          <a:effectLst/>
        </c:spPr>
      </c:pivotFmt>
      <c:pivotFmt>
        <c:idx val="1935"/>
        <c:spPr>
          <a:solidFill>
            <a:schemeClr val="accent1"/>
          </a:solidFill>
          <a:ln w="19050">
            <a:solidFill>
              <a:schemeClr val="lt1"/>
            </a:solidFill>
          </a:ln>
          <a:effectLst/>
        </c:spPr>
      </c:pivotFmt>
      <c:pivotFmt>
        <c:idx val="1936"/>
        <c:spPr>
          <a:solidFill>
            <a:schemeClr val="accent1"/>
          </a:solidFill>
          <a:ln w="19050">
            <a:solidFill>
              <a:schemeClr val="lt1"/>
            </a:solidFill>
          </a:ln>
          <a:effectLst/>
        </c:spPr>
      </c:pivotFmt>
      <c:pivotFmt>
        <c:idx val="1937"/>
        <c:spPr>
          <a:solidFill>
            <a:schemeClr val="accent1"/>
          </a:solidFill>
          <a:ln w="19050">
            <a:solidFill>
              <a:schemeClr val="lt1"/>
            </a:solidFill>
          </a:ln>
          <a:effectLst/>
        </c:spPr>
      </c:pivotFmt>
      <c:pivotFmt>
        <c:idx val="1938"/>
        <c:spPr>
          <a:solidFill>
            <a:schemeClr val="accent1"/>
          </a:solidFill>
          <a:ln w="19050">
            <a:solidFill>
              <a:schemeClr val="lt1"/>
            </a:solidFill>
          </a:ln>
          <a:effectLst/>
        </c:spPr>
      </c:pivotFmt>
      <c:pivotFmt>
        <c:idx val="1939"/>
        <c:spPr>
          <a:solidFill>
            <a:schemeClr val="accent1"/>
          </a:solidFill>
          <a:ln w="19050">
            <a:solidFill>
              <a:schemeClr val="lt1"/>
            </a:solidFill>
          </a:ln>
          <a:effectLst/>
        </c:spPr>
      </c:pivotFmt>
      <c:pivotFmt>
        <c:idx val="1940"/>
        <c:spPr>
          <a:solidFill>
            <a:schemeClr val="accent1"/>
          </a:solidFill>
          <a:ln w="19050">
            <a:solidFill>
              <a:schemeClr val="lt1"/>
            </a:solidFill>
          </a:ln>
          <a:effectLst/>
        </c:spPr>
      </c:pivotFmt>
      <c:pivotFmt>
        <c:idx val="1941"/>
        <c:spPr>
          <a:solidFill>
            <a:schemeClr val="accent1"/>
          </a:solidFill>
          <a:ln w="19050">
            <a:solidFill>
              <a:schemeClr val="lt1"/>
            </a:solidFill>
          </a:ln>
          <a:effectLst/>
        </c:spPr>
      </c:pivotFmt>
      <c:pivotFmt>
        <c:idx val="1942"/>
        <c:spPr>
          <a:solidFill>
            <a:schemeClr val="accent1"/>
          </a:solidFill>
          <a:ln w="19050">
            <a:solidFill>
              <a:schemeClr val="lt1"/>
            </a:solidFill>
          </a:ln>
          <a:effectLst/>
        </c:spPr>
      </c:pivotFmt>
      <c:pivotFmt>
        <c:idx val="1943"/>
        <c:spPr>
          <a:solidFill>
            <a:schemeClr val="accent1"/>
          </a:solidFill>
          <a:ln w="19050">
            <a:solidFill>
              <a:schemeClr val="lt1"/>
            </a:solidFill>
          </a:ln>
          <a:effectLst/>
        </c:spPr>
      </c:pivotFmt>
      <c:pivotFmt>
        <c:idx val="1944"/>
        <c:spPr>
          <a:solidFill>
            <a:schemeClr val="accent1"/>
          </a:solidFill>
          <a:ln w="19050">
            <a:solidFill>
              <a:schemeClr val="lt1"/>
            </a:solidFill>
          </a:ln>
          <a:effectLst/>
        </c:spPr>
      </c:pivotFmt>
      <c:pivotFmt>
        <c:idx val="1945"/>
        <c:spPr>
          <a:solidFill>
            <a:schemeClr val="accent1"/>
          </a:solidFill>
          <a:ln w="19050">
            <a:solidFill>
              <a:schemeClr val="lt1"/>
            </a:solidFill>
          </a:ln>
          <a:effectLst/>
        </c:spPr>
      </c:pivotFmt>
      <c:pivotFmt>
        <c:idx val="1946"/>
        <c:spPr>
          <a:solidFill>
            <a:schemeClr val="accent1"/>
          </a:solidFill>
          <a:ln w="19050">
            <a:solidFill>
              <a:schemeClr val="lt1"/>
            </a:solidFill>
          </a:ln>
          <a:effectLst/>
        </c:spPr>
      </c:pivotFmt>
      <c:pivotFmt>
        <c:idx val="1947"/>
        <c:spPr>
          <a:solidFill>
            <a:schemeClr val="accent1"/>
          </a:solidFill>
          <a:ln w="19050">
            <a:solidFill>
              <a:schemeClr val="lt1"/>
            </a:solidFill>
          </a:ln>
          <a:effectLst/>
        </c:spPr>
      </c:pivotFmt>
      <c:pivotFmt>
        <c:idx val="1948"/>
        <c:spPr>
          <a:solidFill>
            <a:schemeClr val="accent1"/>
          </a:solidFill>
          <a:ln w="19050">
            <a:solidFill>
              <a:schemeClr val="lt1"/>
            </a:solidFill>
          </a:ln>
          <a:effectLst/>
        </c:spPr>
      </c:pivotFmt>
      <c:pivotFmt>
        <c:idx val="1949"/>
        <c:spPr>
          <a:solidFill>
            <a:schemeClr val="accent1"/>
          </a:solidFill>
          <a:ln w="19050">
            <a:solidFill>
              <a:schemeClr val="lt1"/>
            </a:solidFill>
          </a:ln>
          <a:effectLst/>
        </c:spPr>
      </c:pivotFmt>
      <c:pivotFmt>
        <c:idx val="1950"/>
        <c:spPr>
          <a:solidFill>
            <a:schemeClr val="accent1"/>
          </a:solidFill>
          <a:ln w="19050">
            <a:solidFill>
              <a:schemeClr val="lt1"/>
            </a:solidFill>
          </a:ln>
          <a:effectLst/>
        </c:spPr>
      </c:pivotFmt>
      <c:pivotFmt>
        <c:idx val="1951"/>
        <c:spPr>
          <a:solidFill>
            <a:schemeClr val="accent1"/>
          </a:solidFill>
          <a:ln w="19050">
            <a:solidFill>
              <a:schemeClr val="lt1"/>
            </a:solidFill>
          </a:ln>
          <a:effectLst/>
        </c:spPr>
      </c:pivotFmt>
      <c:pivotFmt>
        <c:idx val="1952"/>
        <c:spPr>
          <a:solidFill>
            <a:schemeClr val="accent1"/>
          </a:solidFill>
          <a:ln w="19050">
            <a:solidFill>
              <a:schemeClr val="lt1"/>
            </a:solidFill>
          </a:ln>
          <a:effectLst/>
        </c:spPr>
      </c:pivotFmt>
      <c:pivotFmt>
        <c:idx val="1953"/>
        <c:spPr>
          <a:solidFill>
            <a:schemeClr val="accent1"/>
          </a:solidFill>
          <a:ln w="19050">
            <a:solidFill>
              <a:schemeClr val="lt1"/>
            </a:solidFill>
          </a:ln>
          <a:effectLst/>
        </c:spPr>
      </c:pivotFmt>
      <c:pivotFmt>
        <c:idx val="1954"/>
        <c:spPr>
          <a:solidFill>
            <a:schemeClr val="accent1"/>
          </a:solidFill>
          <a:ln w="19050">
            <a:solidFill>
              <a:schemeClr val="lt1"/>
            </a:solidFill>
          </a:ln>
          <a:effectLst/>
        </c:spPr>
      </c:pivotFmt>
      <c:pivotFmt>
        <c:idx val="1955"/>
        <c:spPr>
          <a:solidFill>
            <a:schemeClr val="accent1"/>
          </a:solidFill>
          <a:ln w="19050">
            <a:solidFill>
              <a:schemeClr val="lt1"/>
            </a:solidFill>
          </a:ln>
          <a:effectLst/>
        </c:spPr>
      </c:pivotFmt>
      <c:pivotFmt>
        <c:idx val="1956"/>
        <c:spPr>
          <a:solidFill>
            <a:schemeClr val="accent1"/>
          </a:solidFill>
          <a:ln w="19050">
            <a:solidFill>
              <a:schemeClr val="lt1"/>
            </a:solidFill>
          </a:ln>
          <a:effectLst/>
        </c:spPr>
      </c:pivotFmt>
      <c:pivotFmt>
        <c:idx val="1957"/>
        <c:spPr>
          <a:solidFill>
            <a:schemeClr val="accent1"/>
          </a:solidFill>
          <a:ln w="19050">
            <a:solidFill>
              <a:schemeClr val="lt1"/>
            </a:solidFill>
          </a:ln>
          <a:effectLst/>
        </c:spPr>
      </c:pivotFmt>
      <c:pivotFmt>
        <c:idx val="1958"/>
        <c:spPr>
          <a:solidFill>
            <a:schemeClr val="accent1"/>
          </a:solidFill>
          <a:ln w="19050">
            <a:solidFill>
              <a:schemeClr val="lt1"/>
            </a:solidFill>
          </a:ln>
          <a:effectLst/>
        </c:spPr>
      </c:pivotFmt>
      <c:pivotFmt>
        <c:idx val="1959"/>
        <c:spPr>
          <a:solidFill>
            <a:schemeClr val="accent1"/>
          </a:solidFill>
          <a:ln w="19050">
            <a:solidFill>
              <a:schemeClr val="lt1"/>
            </a:solidFill>
          </a:ln>
          <a:effectLst/>
        </c:spPr>
      </c:pivotFmt>
      <c:pivotFmt>
        <c:idx val="1960"/>
        <c:spPr>
          <a:solidFill>
            <a:schemeClr val="accent1"/>
          </a:solidFill>
          <a:ln w="19050">
            <a:solidFill>
              <a:schemeClr val="lt1"/>
            </a:solidFill>
          </a:ln>
          <a:effectLst/>
        </c:spPr>
      </c:pivotFmt>
      <c:pivotFmt>
        <c:idx val="1961"/>
        <c:spPr>
          <a:solidFill>
            <a:schemeClr val="accent1"/>
          </a:solidFill>
          <a:ln w="19050">
            <a:solidFill>
              <a:schemeClr val="lt1"/>
            </a:solidFill>
          </a:ln>
          <a:effectLst/>
        </c:spPr>
      </c:pivotFmt>
      <c:pivotFmt>
        <c:idx val="1962"/>
        <c:spPr>
          <a:solidFill>
            <a:schemeClr val="accent1"/>
          </a:solidFill>
          <a:ln w="19050">
            <a:solidFill>
              <a:schemeClr val="lt1"/>
            </a:solidFill>
          </a:ln>
          <a:effectLst/>
        </c:spPr>
      </c:pivotFmt>
      <c:pivotFmt>
        <c:idx val="1963"/>
        <c:spPr>
          <a:solidFill>
            <a:schemeClr val="accent1"/>
          </a:solidFill>
          <a:ln w="19050">
            <a:solidFill>
              <a:schemeClr val="lt1"/>
            </a:solidFill>
          </a:ln>
          <a:effectLst/>
        </c:spPr>
      </c:pivotFmt>
      <c:pivotFmt>
        <c:idx val="1964"/>
        <c:spPr>
          <a:solidFill>
            <a:schemeClr val="accent1"/>
          </a:solidFill>
          <a:ln w="19050">
            <a:solidFill>
              <a:schemeClr val="lt1"/>
            </a:solidFill>
          </a:ln>
          <a:effectLst/>
        </c:spPr>
      </c:pivotFmt>
      <c:pivotFmt>
        <c:idx val="1965"/>
        <c:spPr>
          <a:solidFill>
            <a:schemeClr val="accent1"/>
          </a:solidFill>
          <a:ln w="19050">
            <a:solidFill>
              <a:schemeClr val="lt1"/>
            </a:solidFill>
          </a:ln>
          <a:effectLst/>
        </c:spPr>
      </c:pivotFmt>
      <c:pivotFmt>
        <c:idx val="1966"/>
        <c:spPr>
          <a:solidFill>
            <a:schemeClr val="accent1"/>
          </a:solidFill>
          <a:ln w="19050">
            <a:solidFill>
              <a:schemeClr val="lt1"/>
            </a:solidFill>
          </a:ln>
          <a:effectLst/>
        </c:spPr>
      </c:pivotFmt>
      <c:pivotFmt>
        <c:idx val="1967"/>
        <c:spPr>
          <a:solidFill>
            <a:schemeClr val="accent1"/>
          </a:solidFill>
          <a:ln w="19050">
            <a:solidFill>
              <a:schemeClr val="lt1"/>
            </a:solidFill>
          </a:ln>
          <a:effectLst/>
        </c:spPr>
      </c:pivotFmt>
      <c:pivotFmt>
        <c:idx val="1968"/>
        <c:spPr>
          <a:solidFill>
            <a:schemeClr val="accent1"/>
          </a:solidFill>
          <a:ln w="19050">
            <a:solidFill>
              <a:schemeClr val="lt1"/>
            </a:solidFill>
          </a:ln>
          <a:effectLst/>
        </c:spPr>
      </c:pivotFmt>
      <c:pivotFmt>
        <c:idx val="1969"/>
        <c:spPr>
          <a:solidFill>
            <a:schemeClr val="accent1"/>
          </a:solidFill>
          <a:ln w="19050">
            <a:solidFill>
              <a:schemeClr val="lt1"/>
            </a:solidFill>
          </a:ln>
          <a:effectLst/>
        </c:spPr>
      </c:pivotFmt>
      <c:pivotFmt>
        <c:idx val="1970"/>
        <c:spPr>
          <a:solidFill>
            <a:schemeClr val="accent1"/>
          </a:solidFill>
          <a:ln w="19050">
            <a:solidFill>
              <a:schemeClr val="lt1"/>
            </a:solidFill>
          </a:ln>
          <a:effectLst/>
        </c:spPr>
      </c:pivotFmt>
      <c:pivotFmt>
        <c:idx val="1971"/>
        <c:spPr>
          <a:solidFill>
            <a:schemeClr val="accent1"/>
          </a:solidFill>
          <a:ln w="19050">
            <a:solidFill>
              <a:schemeClr val="lt1"/>
            </a:solidFill>
          </a:ln>
          <a:effectLst/>
        </c:spPr>
      </c:pivotFmt>
      <c:pivotFmt>
        <c:idx val="1972"/>
        <c:spPr>
          <a:solidFill>
            <a:schemeClr val="accent1"/>
          </a:solidFill>
          <a:ln w="19050">
            <a:solidFill>
              <a:schemeClr val="lt1"/>
            </a:solidFill>
          </a:ln>
          <a:effectLst/>
        </c:spPr>
      </c:pivotFmt>
      <c:pivotFmt>
        <c:idx val="1973"/>
        <c:spPr>
          <a:solidFill>
            <a:schemeClr val="accent1"/>
          </a:solidFill>
          <a:ln w="19050">
            <a:solidFill>
              <a:schemeClr val="lt1"/>
            </a:solidFill>
          </a:ln>
          <a:effectLst/>
        </c:spPr>
      </c:pivotFmt>
      <c:pivotFmt>
        <c:idx val="1974"/>
        <c:spPr>
          <a:solidFill>
            <a:schemeClr val="accent1"/>
          </a:solidFill>
          <a:ln w="19050">
            <a:solidFill>
              <a:schemeClr val="lt1"/>
            </a:solidFill>
          </a:ln>
          <a:effectLst/>
        </c:spPr>
      </c:pivotFmt>
      <c:pivotFmt>
        <c:idx val="1975"/>
        <c:spPr>
          <a:solidFill>
            <a:schemeClr val="accent1"/>
          </a:solidFill>
          <a:ln w="19050">
            <a:solidFill>
              <a:schemeClr val="lt1"/>
            </a:solidFill>
          </a:ln>
          <a:effectLst/>
        </c:spPr>
      </c:pivotFmt>
      <c:pivotFmt>
        <c:idx val="1976"/>
        <c:spPr>
          <a:solidFill>
            <a:schemeClr val="accent1"/>
          </a:solidFill>
          <a:ln w="19050">
            <a:solidFill>
              <a:schemeClr val="lt1"/>
            </a:solidFill>
          </a:ln>
          <a:effectLst/>
        </c:spPr>
      </c:pivotFmt>
      <c:pivotFmt>
        <c:idx val="1977"/>
        <c:spPr>
          <a:solidFill>
            <a:schemeClr val="accent1"/>
          </a:solidFill>
          <a:ln w="19050">
            <a:solidFill>
              <a:schemeClr val="lt1"/>
            </a:solidFill>
          </a:ln>
          <a:effectLst/>
        </c:spPr>
      </c:pivotFmt>
      <c:pivotFmt>
        <c:idx val="1978"/>
        <c:spPr>
          <a:solidFill>
            <a:schemeClr val="accent1"/>
          </a:solidFill>
          <a:ln w="19050">
            <a:solidFill>
              <a:schemeClr val="lt1"/>
            </a:solidFill>
          </a:ln>
          <a:effectLst/>
        </c:spPr>
      </c:pivotFmt>
      <c:pivotFmt>
        <c:idx val="1979"/>
        <c:spPr>
          <a:solidFill>
            <a:schemeClr val="accent1"/>
          </a:solidFill>
          <a:ln w="19050">
            <a:solidFill>
              <a:schemeClr val="lt1"/>
            </a:solidFill>
          </a:ln>
          <a:effectLst/>
        </c:spPr>
      </c:pivotFmt>
      <c:pivotFmt>
        <c:idx val="1980"/>
        <c:spPr>
          <a:solidFill>
            <a:schemeClr val="accent1"/>
          </a:solidFill>
          <a:ln w="19050">
            <a:solidFill>
              <a:schemeClr val="lt1"/>
            </a:solidFill>
          </a:ln>
          <a:effectLst/>
        </c:spPr>
      </c:pivotFmt>
      <c:pivotFmt>
        <c:idx val="1981"/>
        <c:spPr>
          <a:solidFill>
            <a:schemeClr val="accent1"/>
          </a:solidFill>
          <a:ln w="19050">
            <a:solidFill>
              <a:schemeClr val="lt1"/>
            </a:solidFill>
          </a:ln>
          <a:effectLst/>
        </c:spPr>
      </c:pivotFmt>
      <c:pivotFmt>
        <c:idx val="1982"/>
        <c:spPr>
          <a:solidFill>
            <a:schemeClr val="accent1"/>
          </a:solidFill>
          <a:ln w="19050">
            <a:solidFill>
              <a:schemeClr val="lt1"/>
            </a:solidFill>
          </a:ln>
          <a:effectLst/>
        </c:spPr>
      </c:pivotFmt>
      <c:pivotFmt>
        <c:idx val="1983"/>
        <c:spPr>
          <a:solidFill>
            <a:schemeClr val="accent1"/>
          </a:solidFill>
          <a:ln w="19050">
            <a:solidFill>
              <a:schemeClr val="lt1"/>
            </a:solidFill>
          </a:ln>
          <a:effectLst/>
        </c:spPr>
      </c:pivotFmt>
      <c:pivotFmt>
        <c:idx val="1984"/>
        <c:spPr>
          <a:solidFill>
            <a:schemeClr val="accent1"/>
          </a:solidFill>
          <a:ln w="19050">
            <a:solidFill>
              <a:schemeClr val="lt1"/>
            </a:solidFill>
          </a:ln>
          <a:effectLst/>
        </c:spPr>
      </c:pivotFmt>
      <c:pivotFmt>
        <c:idx val="1985"/>
        <c:spPr>
          <a:solidFill>
            <a:schemeClr val="accent1"/>
          </a:solidFill>
          <a:ln w="19050">
            <a:solidFill>
              <a:schemeClr val="lt1"/>
            </a:solidFill>
          </a:ln>
          <a:effectLst/>
        </c:spPr>
      </c:pivotFmt>
      <c:pivotFmt>
        <c:idx val="1986"/>
        <c:spPr>
          <a:solidFill>
            <a:schemeClr val="accent1"/>
          </a:solidFill>
          <a:ln w="19050">
            <a:solidFill>
              <a:schemeClr val="lt1"/>
            </a:solidFill>
          </a:ln>
          <a:effectLst/>
        </c:spPr>
      </c:pivotFmt>
      <c:pivotFmt>
        <c:idx val="1987"/>
        <c:spPr>
          <a:solidFill>
            <a:schemeClr val="accent1"/>
          </a:solidFill>
          <a:ln w="19050">
            <a:solidFill>
              <a:schemeClr val="lt1"/>
            </a:solidFill>
          </a:ln>
          <a:effectLst/>
        </c:spPr>
      </c:pivotFmt>
      <c:pivotFmt>
        <c:idx val="1988"/>
        <c:spPr>
          <a:solidFill>
            <a:schemeClr val="accent1"/>
          </a:solidFill>
          <a:ln w="19050">
            <a:solidFill>
              <a:schemeClr val="lt1"/>
            </a:solidFill>
          </a:ln>
          <a:effectLst/>
        </c:spPr>
      </c:pivotFmt>
      <c:pivotFmt>
        <c:idx val="1989"/>
        <c:spPr>
          <a:solidFill>
            <a:schemeClr val="accent1"/>
          </a:solidFill>
          <a:ln w="19050">
            <a:solidFill>
              <a:schemeClr val="lt1"/>
            </a:solidFill>
          </a:ln>
          <a:effectLst/>
        </c:spPr>
      </c:pivotFmt>
      <c:pivotFmt>
        <c:idx val="1990"/>
        <c:spPr>
          <a:solidFill>
            <a:schemeClr val="accent1"/>
          </a:solidFill>
          <a:ln w="19050">
            <a:solidFill>
              <a:schemeClr val="lt1"/>
            </a:solidFill>
          </a:ln>
          <a:effectLst/>
        </c:spPr>
      </c:pivotFmt>
      <c:pivotFmt>
        <c:idx val="1991"/>
        <c:spPr>
          <a:solidFill>
            <a:schemeClr val="accent1"/>
          </a:solidFill>
          <a:ln w="19050">
            <a:solidFill>
              <a:schemeClr val="lt1"/>
            </a:solidFill>
          </a:ln>
          <a:effectLst/>
        </c:spPr>
      </c:pivotFmt>
      <c:pivotFmt>
        <c:idx val="1992"/>
        <c:spPr>
          <a:solidFill>
            <a:schemeClr val="accent1"/>
          </a:solidFill>
          <a:ln w="19050">
            <a:solidFill>
              <a:schemeClr val="lt1"/>
            </a:solidFill>
          </a:ln>
          <a:effectLst/>
        </c:spPr>
      </c:pivotFmt>
      <c:pivotFmt>
        <c:idx val="1993"/>
        <c:spPr>
          <a:solidFill>
            <a:schemeClr val="accent1"/>
          </a:solidFill>
          <a:ln w="19050">
            <a:solidFill>
              <a:schemeClr val="lt1"/>
            </a:solidFill>
          </a:ln>
          <a:effectLst/>
        </c:spPr>
      </c:pivotFmt>
      <c:pivotFmt>
        <c:idx val="1994"/>
        <c:spPr>
          <a:solidFill>
            <a:schemeClr val="accent1"/>
          </a:solidFill>
          <a:ln w="19050">
            <a:solidFill>
              <a:schemeClr val="lt1"/>
            </a:solidFill>
          </a:ln>
          <a:effectLst/>
        </c:spPr>
      </c:pivotFmt>
      <c:pivotFmt>
        <c:idx val="1995"/>
        <c:spPr>
          <a:solidFill>
            <a:schemeClr val="accent1"/>
          </a:solidFill>
          <a:ln w="19050">
            <a:solidFill>
              <a:schemeClr val="lt1"/>
            </a:solidFill>
          </a:ln>
          <a:effectLst/>
        </c:spPr>
      </c:pivotFmt>
      <c:pivotFmt>
        <c:idx val="1996"/>
        <c:spPr>
          <a:solidFill>
            <a:schemeClr val="accent1"/>
          </a:solidFill>
          <a:ln w="19050">
            <a:solidFill>
              <a:schemeClr val="lt1"/>
            </a:solidFill>
          </a:ln>
          <a:effectLst/>
        </c:spPr>
      </c:pivotFmt>
      <c:pivotFmt>
        <c:idx val="1997"/>
        <c:spPr>
          <a:solidFill>
            <a:schemeClr val="accent1"/>
          </a:solidFill>
          <a:ln w="19050">
            <a:solidFill>
              <a:schemeClr val="lt1"/>
            </a:solidFill>
          </a:ln>
          <a:effectLst/>
        </c:spPr>
      </c:pivotFmt>
      <c:pivotFmt>
        <c:idx val="1998"/>
        <c:spPr>
          <a:solidFill>
            <a:schemeClr val="accent1"/>
          </a:solidFill>
          <a:ln w="19050">
            <a:solidFill>
              <a:schemeClr val="lt1"/>
            </a:solidFill>
          </a:ln>
          <a:effectLst/>
        </c:spPr>
      </c:pivotFmt>
      <c:pivotFmt>
        <c:idx val="1999"/>
        <c:spPr>
          <a:solidFill>
            <a:schemeClr val="accent1"/>
          </a:solidFill>
          <a:ln w="19050">
            <a:solidFill>
              <a:schemeClr val="lt1"/>
            </a:solidFill>
          </a:ln>
          <a:effectLst/>
        </c:spPr>
      </c:pivotFmt>
      <c:pivotFmt>
        <c:idx val="2000"/>
        <c:spPr>
          <a:solidFill>
            <a:schemeClr val="accent1"/>
          </a:solidFill>
          <a:ln w="19050">
            <a:solidFill>
              <a:schemeClr val="lt1"/>
            </a:solidFill>
          </a:ln>
          <a:effectLst/>
        </c:spPr>
      </c:pivotFmt>
      <c:pivotFmt>
        <c:idx val="2001"/>
        <c:spPr>
          <a:solidFill>
            <a:schemeClr val="accent1"/>
          </a:solidFill>
          <a:ln w="19050">
            <a:solidFill>
              <a:schemeClr val="lt1"/>
            </a:solidFill>
          </a:ln>
          <a:effectLst/>
        </c:spPr>
      </c:pivotFmt>
      <c:pivotFmt>
        <c:idx val="2002"/>
        <c:spPr>
          <a:solidFill>
            <a:schemeClr val="accent1"/>
          </a:solidFill>
          <a:ln w="19050">
            <a:solidFill>
              <a:schemeClr val="lt1"/>
            </a:solidFill>
          </a:ln>
          <a:effectLst/>
        </c:spPr>
      </c:pivotFmt>
      <c:pivotFmt>
        <c:idx val="2003"/>
        <c:spPr>
          <a:solidFill>
            <a:schemeClr val="accent1"/>
          </a:solidFill>
          <a:ln w="19050">
            <a:solidFill>
              <a:schemeClr val="lt1"/>
            </a:solidFill>
          </a:ln>
          <a:effectLst/>
        </c:spPr>
      </c:pivotFmt>
      <c:pivotFmt>
        <c:idx val="2004"/>
        <c:spPr>
          <a:solidFill>
            <a:schemeClr val="accent1"/>
          </a:solidFill>
          <a:ln w="19050">
            <a:solidFill>
              <a:schemeClr val="lt1"/>
            </a:solidFill>
          </a:ln>
          <a:effectLst/>
        </c:spPr>
      </c:pivotFmt>
      <c:pivotFmt>
        <c:idx val="2005"/>
        <c:spPr>
          <a:solidFill>
            <a:schemeClr val="accent1"/>
          </a:solidFill>
          <a:ln w="19050">
            <a:solidFill>
              <a:schemeClr val="lt1"/>
            </a:solidFill>
          </a:ln>
          <a:effectLst/>
        </c:spPr>
      </c:pivotFmt>
      <c:pivotFmt>
        <c:idx val="2006"/>
        <c:spPr>
          <a:solidFill>
            <a:schemeClr val="accent1"/>
          </a:solidFill>
          <a:ln w="19050">
            <a:solidFill>
              <a:schemeClr val="lt1"/>
            </a:solidFill>
          </a:ln>
          <a:effectLst/>
        </c:spPr>
      </c:pivotFmt>
      <c:pivotFmt>
        <c:idx val="2007"/>
        <c:spPr>
          <a:solidFill>
            <a:schemeClr val="accent1"/>
          </a:solidFill>
          <a:ln w="19050">
            <a:solidFill>
              <a:schemeClr val="lt1"/>
            </a:solidFill>
          </a:ln>
          <a:effectLst/>
        </c:spPr>
      </c:pivotFmt>
      <c:pivotFmt>
        <c:idx val="2008"/>
        <c:spPr>
          <a:solidFill>
            <a:schemeClr val="accent1"/>
          </a:solidFill>
          <a:ln w="19050">
            <a:solidFill>
              <a:schemeClr val="lt1"/>
            </a:solidFill>
          </a:ln>
          <a:effectLst/>
        </c:spPr>
      </c:pivotFmt>
      <c:pivotFmt>
        <c:idx val="2009"/>
        <c:spPr>
          <a:solidFill>
            <a:schemeClr val="accent1"/>
          </a:solidFill>
          <a:ln w="19050">
            <a:solidFill>
              <a:schemeClr val="lt1"/>
            </a:solidFill>
          </a:ln>
          <a:effectLst/>
        </c:spPr>
      </c:pivotFmt>
      <c:pivotFmt>
        <c:idx val="2010"/>
        <c:spPr>
          <a:solidFill>
            <a:schemeClr val="accent1"/>
          </a:solidFill>
          <a:ln w="19050">
            <a:solidFill>
              <a:schemeClr val="lt1"/>
            </a:solidFill>
          </a:ln>
          <a:effectLst/>
        </c:spPr>
      </c:pivotFmt>
      <c:pivotFmt>
        <c:idx val="2011"/>
        <c:spPr>
          <a:solidFill>
            <a:schemeClr val="accent1"/>
          </a:solidFill>
          <a:ln w="19050">
            <a:solidFill>
              <a:schemeClr val="lt1"/>
            </a:solidFill>
          </a:ln>
          <a:effectLst/>
        </c:spPr>
      </c:pivotFmt>
      <c:pivotFmt>
        <c:idx val="2012"/>
        <c:spPr>
          <a:solidFill>
            <a:schemeClr val="accent1"/>
          </a:solidFill>
          <a:ln w="19050">
            <a:solidFill>
              <a:schemeClr val="lt1"/>
            </a:solidFill>
          </a:ln>
          <a:effectLst/>
        </c:spPr>
      </c:pivotFmt>
      <c:pivotFmt>
        <c:idx val="2013"/>
        <c:spPr>
          <a:solidFill>
            <a:schemeClr val="accent1"/>
          </a:solidFill>
          <a:ln w="19050">
            <a:solidFill>
              <a:schemeClr val="lt1"/>
            </a:solidFill>
          </a:ln>
          <a:effectLst/>
        </c:spPr>
      </c:pivotFmt>
      <c:pivotFmt>
        <c:idx val="2014"/>
        <c:spPr>
          <a:solidFill>
            <a:schemeClr val="accent1"/>
          </a:solidFill>
          <a:ln w="19050">
            <a:solidFill>
              <a:schemeClr val="lt1"/>
            </a:solidFill>
          </a:ln>
          <a:effectLst/>
        </c:spPr>
      </c:pivotFmt>
      <c:pivotFmt>
        <c:idx val="2015"/>
        <c:spPr>
          <a:solidFill>
            <a:schemeClr val="accent1"/>
          </a:solidFill>
          <a:ln w="19050">
            <a:solidFill>
              <a:schemeClr val="lt1"/>
            </a:solidFill>
          </a:ln>
          <a:effectLst/>
        </c:spPr>
      </c:pivotFmt>
      <c:pivotFmt>
        <c:idx val="2016"/>
        <c:spPr>
          <a:solidFill>
            <a:schemeClr val="accent1"/>
          </a:solidFill>
          <a:ln w="19050">
            <a:solidFill>
              <a:schemeClr val="lt1"/>
            </a:solidFill>
          </a:ln>
          <a:effectLst/>
        </c:spPr>
      </c:pivotFmt>
      <c:pivotFmt>
        <c:idx val="2017"/>
        <c:spPr>
          <a:solidFill>
            <a:schemeClr val="accent1"/>
          </a:solidFill>
          <a:ln w="19050">
            <a:solidFill>
              <a:schemeClr val="lt1"/>
            </a:solidFill>
          </a:ln>
          <a:effectLst/>
        </c:spPr>
      </c:pivotFmt>
      <c:pivotFmt>
        <c:idx val="2018"/>
        <c:spPr>
          <a:solidFill>
            <a:schemeClr val="accent1"/>
          </a:solidFill>
          <a:ln w="19050">
            <a:solidFill>
              <a:schemeClr val="lt1"/>
            </a:solidFill>
          </a:ln>
          <a:effectLst/>
        </c:spPr>
      </c:pivotFmt>
      <c:pivotFmt>
        <c:idx val="2019"/>
        <c:spPr>
          <a:solidFill>
            <a:schemeClr val="accent1"/>
          </a:solidFill>
          <a:ln w="19050">
            <a:solidFill>
              <a:schemeClr val="lt1"/>
            </a:solidFill>
          </a:ln>
          <a:effectLst/>
        </c:spPr>
      </c:pivotFmt>
      <c:pivotFmt>
        <c:idx val="2020"/>
        <c:spPr>
          <a:solidFill>
            <a:schemeClr val="accent1"/>
          </a:solidFill>
          <a:ln w="19050">
            <a:solidFill>
              <a:schemeClr val="lt1"/>
            </a:solidFill>
          </a:ln>
          <a:effectLst/>
        </c:spPr>
      </c:pivotFmt>
      <c:pivotFmt>
        <c:idx val="2021"/>
        <c:spPr>
          <a:solidFill>
            <a:schemeClr val="accent1"/>
          </a:solidFill>
          <a:ln w="19050">
            <a:solidFill>
              <a:schemeClr val="lt1"/>
            </a:solidFill>
          </a:ln>
          <a:effectLst/>
        </c:spPr>
      </c:pivotFmt>
      <c:pivotFmt>
        <c:idx val="2022"/>
        <c:spPr>
          <a:solidFill>
            <a:schemeClr val="accent1"/>
          </a:solidFill>
          <a:ln w="19050">
            <a:solidFill>
              <a:schemeClr val="lt1"/>
            </a:solidFill>
          </a:ln>
          <a:effectLst/>
        </c:spPr>
      </c:pivotFmt>
      <c:pivotFmt>
        <c:idx val="2023"/>
        <c:spPr>
          <a:solidFill>
            <a:schemeClr val="accent1"/>
          </a:solidFill>
          <a:ln w="19050">
            <a:solidFill>
              <a:schemeClr val="lt1"/>
            </a:solidFill>
          </a:ln>
          <a:effectLst/>
        </c:spPr>
      </c:pivotFmt>
      <c:pivotFmt>
        <c:idx val="2024"/>
        <c:spPr>
          <a:solidFill>
            <a:schemeClr val="accent1"/>
          </a:solidFill>
          <a:ln w="19050">
            <a:solidFill>
              <a:schemeClr val="lt1"/>
            </a:solidFill>
          </a:ln>
          <a:effectLst/>
        </c:spPr>
      </c:pivotFmt>
      <c:pivotFmt>
        <c:idx val="2025"/>
        <c:spPr>
          <a:solidFill>
            <a:schemeClr val="accent1"/>
          </a:solidFill>
          <a:ln w="19050">
            <a:solidFill>
              <a:schemeClr val="lt1"/>
            </a:solidFill>
          </a:ln>
          <a:effectLst/>
        </c:spPr>
      </c:pivotFmt>
      <c:pivotFmt>
        <c:idx val="2026"/>
        <c:spPr>
          <a:solidFill>
            <a:schemeClr val="accent1"/>
          </a:solidFill>
          <a:ln w="19050">
            <a:solidFill>
              <a:schemeClr val="lt1"/>
            </a:solidFill>
          </a:ln>
          <a:effectLst/>
        </c:spPr>
      </c:pivotFmt>
      <c:pivotFmt>
        <c:idx val="2027"/>
        <c:spPr>
          <a:solidFill>
            <a:schemeClr val="accent1"/>
          </a:solidFill>
          <a:ln w="19050">
            <a:solidFill>
              <a:schemeClr val="lt1"/>
            </a:solidFill>
          </a:ln>
          <a:effectLst/>
        </c:spPr>
      </c:pivotFmt>
      <c:pivotFmt>
        <c:idx val="2028"/>
        <c:spPr>
          <a:solidFill>
            <a:schemeClr val="accent1"/>
          </a:solidFill>
          <a:ln w="19050">
            <a:solidFill>
              <a:schemeClr val="lt1"/>
            </a:solidFill>
          </a:ln>
          <a:effectLst/>
        </c:spPr>
      </c:pivotFmt>
      <c:pivotFmt>
        <c:idx val="2029"/>
        <c:spPr>
          <a:solidFill>
            <a:schemeClr val="accent1"/>
          </a:solidFill>
          <a:ln w="19050">
            <a:solidFill>
              <a:schemeClr val="lt1"/>
            </a:solidFill>
          </a:ln>
          <a:effectLst/>
        </c:spPr>
      </c:pivotFmt>
      <c:pivotFmt>
        <c:idx val="2030"/>
        <c:spPr>
          <a:solidFill>
            <a:schemeClr val="accent1"/>
          </a:solidFill>
          <a:ln w="19050">
            <a:solidFill>
              <a:schemeClr val="lt1"/>
            </a:solidFill>
          </a:ln>
          <a:effectLst/>
        </c:spPr>
      </c:pivotFmt>
      <c:pivotFmt>
        <c:idx val="2031"/>
        <c:spPr>
          <a:solidFill>
            <a:schemeClr val="accent1"/>
          </a:solidFill>
          <a:ln w="19050">
            <a:solidFill>
              <a:schemeClr val="lt1"/>
            </a:solidFill>
          </a:ln>
          <a:effectLst/>
        </c:spPr>
      </c:pivotFmt>
      <c:pivotFmt>
        <c:idx val="2032"/>
        <c:spPr>
          <a:solidFill>
            <a:schemeClr val="accent1"/>
          </a:solidFill>
          <a:ln w="19050">
            <a:solidFill>
              <a:schemeClr val="lt1"/>
            </a:solidFill>
          </a:ln>
          <a:effectLst/>
        </c:spPr>
      </c:pivotFmt>
      <c:pivotFmt>
        <c:idx val="2033"/>
        <c:spPr>
          <a:solidFill>
            <a:schemeClr val="accent1"/>
          </a:solidFill>
          <a:ln w="19050">
            <a:solidFill>
              <a:schemeClr val="lt1"/>
            </a:solidFill>
          </a:ln>
          <a:effectLst/>
        </c:spPr>
      </c:pivotFmt>
      <c:pivotFmt>
        <c:idx val="2034"/>
        <c:spPr>
          <a:solidFill>
            <a:schemeClr val="accent1"/>
          </a:solidFill>
          <a:ln w="19050">
            <a:solidFill>
              <a:schemeClr val="lt1"/>
            </a:solidFill>
          </a:ln>
          <a:effectLst/>
        </c:spPr>
      </c:pivotFmt>
      <c:pivotFmt>
        <c:idx val="2035"/>
        <c:spPr>
          <a:solidFill>
            <a:schemeClr val="accent1"/>
          </a:solidFill>
          <a:ln w="19050">
            <a:solidFill>
              <a:schemeClr val="lt1"/>
            </a:solidFill>
          </a:ln>
          <a:effectLst/>
        </c:spPr>
      </c:pivotFmt>
      <c:pivotFmt>
        <c:idx val="2036"/>
        <c:spPr>
          <a:solidFill>
            <a:schemeClr val="accent1"/>
          </a:solidFill>
          <a:ln w="19050">
            <a:solidFill>
              <a:schemeClr val="lt1"/>
            </a:solidFill>
          </a:ln>
          <a:effectLst/>
        </c:spPr>
      </c:pivotFmt>
      <c:pivotFmt>
        <c:idx val="2037"/>
        <c:spPr>
          <a:solidFill>
            <a:schemeClr val="accent1"/>
          </a:solidFill>
          <a:ln w="19050">
            <a:solidFill>
              <a:schemeClr val="lt1"/>
            </a:solidFill>
          </a:ln>
          <a:effectLst/>
        </c:spPr>
      </c:pivotFmt>
      <c:pivotFmt>
        <c:idx val="2038"/>
        <c:spPr>
          <a:solidFill>
            <a:schemeClr val="accent1"/>
          </a:solidFill>
          <a:ln w="19050">
            <a:solidFill>
              <a:schemeClr val="lt1"/>
            </a:solidFill>
          </a:ln>
          <a:effectLst/>
        </c:spPr>
      </c:pivotFmt>
      <c:pivotFmt>
        <c:idx val="2039"/>
        <c:spPr>
          <a:solidFill>
            <a:schemeClr val="accent1"/>
          </a:solidFill>
          <a:ln w="19050">
            <a:solidFill>
              <a:schemeClr val="lt1"/>
            </a:solidFill>
          </a:ln>
          <a:effectLst/>
        </c:spPr>
      </c:pivotFmt>
      <c:pivotFmt>
        <c:idx val="2040"/>
        <c:spPr>
          <a:solidFill>
            <a:schemeClr val="accent1"/>
          </a:solidFill>
          <a:ln w="19050">
            <a:solidFill>
              <a:schemeClr val="lt1"/>
            </a:solidFill>
          </a:ln>
          <a:effectLst/>
        </c:spPr>
      </c:pivotFmt>
      <c:pivotFmt>
        <c:idx val="2041"/>
        <c:spPr>
          <a:solidFill>
            <a:schemeClr val="accent1"/>
          </a:solidFill>
          <a:ln w="19050">
            <a:solidFill>
              <a:schemeClr val="lt1"/>
            </a:solidFill>
          </a:ln>
          <a:effectLst/>
        </c:spPr>
      </c:pivotFmt>
      <c:pivotFmt>
        <c:idx val="2042"/>
        <c:spPr>
          <a:solidFill>
            <a:schemeClr val="accent1"/>
          </a:solidFill>
          <a:ln w="19050">
            <a:solidFill>
              <a:schemeClr val="lt1"/>
            </a:solidFill>
          </a:ln>
          <a:effectLst/>
        </c:spPr>
      </c:pivotFmt>
      <c:pivotFmt>
        <c:idx val="2043"/>
        <c:spPr>
          <a:solidFill>
            <a:schemeClr val="accent1"/>
          </a:solidFill>
          <a:ln w="19050">
            <a:solidFill>
              <a:schemeClr val="lt1"/>
            </a:solidFill>
          </a:ln>
          <a:effectLst/>
        </c:spPr>
      </c:pivotFmt>
      <c:pivotFmt>
        <c:idx val="2044"/>
        <c:spPr>
          <a:solidFill>
            <a:schemeClr val="accent1"/>
          </a:solidFill>
          <a:ln w="19050">
            <a:solidFill>
              <a:schemeClr val="lt1"/>
            </a:solidFill>
          </a:ln>
          <a:effectLst/>
        </c:spPr>
      </c:pivotFmt>
      <c:pivotFmt>
        <c:idx val="2045"/>
        <c:spPr>
          <a:solidFill>
            <a:schemeClr val="accent1"/>
          </a:solidFill>
          <a:ln w="19050">
            <a:solidFill>
              <a:schemeClr val="lt1"/>
            </a:solidFill>
          </a:ln>
          <a:effectLst/>
        </c:spPr>
      </c:pivotFmt>
      <c:pivotFmt>
        <c:idx val="2046"/>
        <c:spPr>
          <a:solidFill>
            <a:schemeClr val="accent1"/>
          </a:solidFill>
          <a:ln w="19050">
            <a:solidFill>
              <a:schemeClr val="lt1"/>
            </a:solidFill>
          </a:ln>
          <a:effectLst/>
        </c:spPr>
      </c:pivotFmt>
      <c:pivotFmt>
        <c:idx val="2047"/>
        <c:spPr>
          <a:solidFill>
            <a:schemeClr val="accent1"/>
          </a:solidFill>
          <a:ln w="19050">
            <a:solidFill>
              <a:schemeClr val="lt1"/>
            </a:solidFill>
          </a:ln>
          <a:effectLst/>
        </c:spPr>
      </c:pivotFmt>
      <c:pivotFmt>
        <c:idx val="2048"/>
        <c:spPr>
          <a:solidFill>
            <a:schemeClr val="accent1"/>
          </a:solidFill>
          <a:ln w="19050">
            <a:solidFill>
              <a:schemeClr val="lt1"/>
            </a:solidFill>
          </a:ln>
          <a:effectLst/>
        </c:spPr>
      </c:pivotFmt>
      <c:pivotFmt>
        <c:idx val="2049"/>
        <c:spPr>
          <a:solidFill>
            <a:schemeClr val="accent1"/>
          </a:solidFill>
          <a:ln w="19050">
            <a:solidFill>
              <a:schemeClr val="lt1"/>
            </a:solidFill>
          </a:ln>
          <a:effectLst/>
        </c:spPr>
      </c:pivotFmt>
      <c:pivotFmt>
        <c:idx val="2050"/>
        <c:spPr>
          <a:solidFill>
            <a:schemeClr val="accent1"/>
          </a:solidFill>
          <a:ln w="19050">
            <a:solidFill>
              <a:schemeClr val="lt1"/>
            </a:solidFill>
          </a:ln>
          <a:effectLst/>
        </c:spPr>
      </c:pivotFmt>
      <c:pivotFmt>
        <c:idx val="2051"/>
        <c:spPr>
          <a:solidFill>
            <a:schemeClr val="accent1"/>
          </a:solidFill>
          <a:ln w="19050">
            <a:solidFill>
              <a:schemeClr val="lt1"/>
            </a:solidFill>
          </a:ln>
          <a:effectLst/>
        </c:spPr>
      </c:pivotFmt>
      <c:pivotFmt>
        <c:idx val="2052"/>
        <c:spPr>
          <a:solidFill>
            <a:schemeClr val="accent1"/>
          </a:solidFill>
          <a:ln w="19050">
            <a:solidFill>
              <a:schemeClr val="lt1"/>
            </a:solidFill>
          </a:ln>
          <a:effectLst/>
        </c:spPr>
      </c:pivotFmt>
      <c:pivotFmt>
        <c:idx val="2053"/>
        <c:spPr>
          <a:solidFill>
            <a:schemeClr val="accent1"/>
          </a:solidFill>
          <a:ln w="19050">
            <a:solidFill>
              <a:schemeClr val="lt1"/>
            </a:solidFill>
          </a:ln>
          <a:effectLst/>
        </c:spPr>
      </c:pivotFmt>
      <c:pivotFmt>
        <c:idx val="2054"/>
        <c:spPr>
          <a:solidFill>
            <a:schemeClr val="accent1"/>
          </a:solidFill>
          <a:ln w="19050">
            <a:solidFill>
              <a:schemeClr val="lt1"/>
            </a:solidFill>
          </a:ln>
          <a:effectLst/>
        </c:spPr>
      </c:pivotFmt>
      <c:pivotFmt>
        <c:idx val="2055"/>
        <c:spPr>
          <a:solidFill>
            <a:schemeClr val="accent1"/>
          </a:solidFill>
          <a:ln w="19050">
            <a:solidFill>
              <a:schemeClr val="lt1"/>
            </a:solidFill>
          </a:ln>
          <a:effectLst/>
        </c:spPr>
      </c:pivotFmt>
      <c:pivotFmt>
        <c:idx val="2056"/>
        <c:spPr>
          <a:solidFill>
            <a:schemeClr val="accent1"/>
          </a:solidFill>
          <a:ln w="19050">
            <a:solidFill>
              <a:schemeClr val="lt1"/>
            </a:solidFill>
          </a:ln>
          <a:effectLst/>
        </c:spPr>
      </c:pivotFmt>
      <c:pivotFmt>
        <c:idx val="2057"/>
        <c:spPr>
          <a:solidFill>
            <a:schemeClr val="accent1"/>
          </a:solidFill>
          <a:ln w="19050">
            <a:solidFill>
              <a:schemeClr val="lt1"/>
            </a:solidFill>
          </a:ln>
          <a:effectLst/>
        </c:spPr>
      </c:pivotFmt>
      <c:pivotFmt>
        <c:idx val="2058"/>
        <c:spPr>
          <a:solidFill>
            <a:schemeClr val="accent1"/>
          </a:solidFill>
          <a:ln w="19050">
            <a:solidFill>
              <a:schemeClr val="lt1"/>
            </a:solidFill>
          </a:ln>
          <a:effectLst/>
        </c:spPr>
      </c:pivotFmt>
      <c:pivotFmt>
        <c:idx val="2059"/>
        <c:spPr>
          <a:solidFill>
            <a:schemeClr val="accent1"/>
          </a:solidFill>
          <a:ln w="19050">
            <a:solidFill>
              <a:schemeClr val="lt1"/>
            </a:solidFill>
          </a:ln>
          <a:effectLst/>
        </c:spPr>
      </c:pivotFmt>
      <c:pivotFmt>
        <c:idx val="2060"/>
        <c:spPr>
          <a:solidFill>
            <a:schemeClr val="accent1"/>
          </a:solidFill>
          <a:ln w="19050">
            <a:solidFill>
              <a:schemeClr val="lt1"/>
            </a:solidFill>
          </a:ln>
          <a:effectLst/>
        </c:spPr>
      </c:pivotFmt>
      <c:pivotFmt>
        <c:idx val="2061"/>
        <c:spPr>
          <a:solidFill>
            <a:schemeClr val="accent1"/>
          </a:solidFill>
          <a:ln w="19050">
            <a:solidFill>
              <a:schemeClr val="lt1"/>
            </a:solidFill>
          </a:ln>
          <a:effectLst/>
        </c:spPr>
      </c:pivotFmt>
      <c:pivotFmt>
        <c:idx val="2062"/>
        <c:spPr>
          <a:solidFill>
            <a:schemeClr val="accent1"/>
          </a:solidFill>
          <a:ln w="19050">
            <a:solidFill>
              <a:schemeClr val="lt1"/>
            </a:solidFill>
          </a:ln>
          <a:effectLst/>
        </c:spPr>
      </c:pivotFmt>
      <c:pivotFmt>
        <c:idx val="2063"/>
        <c:spPr>
          <a:solidFill>
            <a:schemeClr val="accent1"/>
          </a:solidFill>
          <a:ln w="19050">
            <a:solidFill>
              <a:schemeClr val="lt1"/>
            </a:solidFill>
          </a:ln>
          <a:effectLst/>
        </c:spPr>
      </c:pivotFmt>
      <c:pivotFmt>
        <c:idx val="2064"/>
        <c:spPr>
          <a:solidFill>
            <a:schemeClr val="accent1"/>
          </a:solidFill>
          <a:ln w="19050">
            <a:solidFill>
              <a:schemeClr val="lt1"/>
            </a:solidFill>
          </a:ln>
          <a:effectLst/>
        </c:spPr>
      </c:pivotFmt>
      <c:pivotFmt>
        <c:idx val="2065"/>
        <c:spPr>
          <a:solidFill>
            <a:schemeClr val="accent1"/>
          </a:solidFill>
          <a:ln w="19050">
            <a:solidFill>
              <a:schemeClr val="lt1"/>
            </a:solidFill>
          </a:ln>
          <a:effectLst/>
        </c:spPr>
      </c:pivotFmt>
      <c:pivotFmt>
        <c:idx val="2066"/>
        <c:spPr>
          <a:solidFill>
            <a:schemeClr val="accent1"/>
          </a:solidFill>
          <a:ln w="19050">
            <a:solidFill>
              <a:schemeClr val="lt1"/>
            </a:solidFill>
          </a:ln>
          <a:effectLst/>
        </c:spPr>
      </c:pivotFmt>
      <c:pivotFmt>
        <c:idx val="2067"/>
        <c:spPr>
          <a:solidFill>
            <a:schemeClr val="accent1"/>
          </a:solidFill>
          <a:ln w="19050">
            <a:solidFill>
              <a:schemeClr val="lt1"/>
            </a:solidFill>
          </a:ln>
          <a:effectLst/>
        </c:spPr>
      </c:pivotFmt>
      <c:pivotFmt>
        <c:idx val="2068"/>
        <c:spPr>
          <a:solidFill>
            <a:schemeClr val="accent1"/>
          </a:solidFill>
          <a:ln w="19050">
            <a:solidFill>
              <a:schemeClr val="lt1"/>
            </a:solidFill>
          </a:ln>
          <a:effectLst/>
        </c:spPr>
      </c:pivotFmt>
      <c:pivotFmt>
        <c:idx val="2069"/>
        <c:spPr>
          <a:solidFill>
            <a:schemeClr val="accent1"/>
          </a:solidFill>
          <a:ln w="19050">
            <a:solidFill>
              <a:schemeClr val="lt1"/>
            </a:solidFill>
          </a:ln>
          <a:effectLst/>
        </c:spPr>
      </c:pivotFmt>
      <c:pivotFmt>
        <c:idx val="2070"/>
        <c:spPr>
          <a:solidFill>
            <a:schemeClr val="accent1"/>
          </a:solidFill>
          <a:ln w="19050">
            <a:solidFill>
              <a:schemeClr val="lt1"/>
            </a:solidFill>
          </a:ln>
          <a:effectLst/>
        </c:spPr>
      </c:pivotFmt>
      <c:pivotFmt>
        <c:idx val="2071"/>
        <c:spPr>
          <a:solidFill>
            <a:schemeClr val="accent1"/>
          </a:solidFill>
          <a:ln w="19050">
            <a:solidFill>
              <a:schemeClr val="lt1"/>
            </a:solidFill>
          </a:ln>
          <a:effectLst/>
        </c:spPr>
      </c:pivotFmt>
      <c:pivotFmt>
        <c:idx val="2072"/>
        <c:spPr>
          <a:solidFill>
            <a:schemeClr val="accent1"/>
          </a:solidFill>
          <a:ln w="19050">
            <a:solidFill>
              <a:schemeClr val="lt1"/>
            </a:solidFill>
          </a:ln>
          <a:effectLst/>
        </c:spPr>
      </c:pivotFmt>
      <c:pivotFmt>
        <c:idx val="2073"/>
        <c:spPr>
          <a:solidFill>
            <a:schemeClr val="accent1"/>
          </a:solidFill>
          <a:ln w="19050">
            <a:solidFill>
              <a:schemeClr val="lt1"/>
            </a:solidFill>
          </a:ln>
          <a:effectLst/>
        </c:spPr>
      </c:pivotFmt>
      <c:pivotFmt>
        <c:idx val="2074"/>
        <c:spPr>
          <a:solidFill>
            <a:schemeClr val="accent1"/>
          </a:solidFill>
          <a:ln w="19050">
            <a:solidFill>
              <a:schemeClr val="lt1"/>
            </a:solidFill>
          </a:ln>
          <a:effectLst/>
        </c:spPr>
      </c:pivotFmt>
      <c:pivotFmt>
        <c:idx val="2075"/>
        <c:spPr>
          <a:solidFill>
            <a:schemeClr val="accent1"/>
          </a:solidFill>
          <a:ln w="19050">
            <a:solidFill>
              <a:schemeClr val="lt1"/>
            </a:solidFill>
          </a:ln>
          <a:effectLst/>
        </c:spPr>
      </c:pivotFmt>
      <c:pivotFmt>
        <c:idx val="2076"/>
        <c:spPr>
          <a:solidFill>
            <a:schemeClr val="accent1"/>
          </a:solidFill>
          <a:ln w="19050">
            <a:solidFill>
              <a:schemeClr val="lt1"/>
            </a:solidFill>
          </a:ln>
          <a:effectLst/>
        </c:spPr>
      </c:pivotFmt>
      <c:pivotFmt>
        <c:idx val="2077"/>
        <c:spPr>
          <a:solidFill>
            <a:schemeClr val="accent1"/>
          </a:solidFill>
          <a:ln w="19050">
            <a:solidFill>
              <a:schemeClr val="lt1"/>
            </a:solidFill>
          </a:ln>
          <a:effectLst/>
        </c:spPr>
      </c:pivotFmt>
      <c:pivotFmt>
        <c:idx val="2078"/>
        <c:spPr>
          <a:solidFill>
            <a:schemeClr val="accent1"/>
          </a:solidFill>
          <a:ln w="19050">
            <a:solidFill>
              <a:schemeClr val="lt1"/>
            </a:solidFill>
          </a:ln>
          <a:effectLst/>
        </c:spPr>
      </c:pivotFmt>
      <c:pivotFmt>
        <c:idx val="2079"/>
        <c:spPr>
          <a:solidFill>
            <a:schemeClr val="accent1"/>
          </a:solidFill>
          <a:ln w="19050">
            <a:solidFill>
              <a:schemeClr val="lt1"/>
            </a:solidFill>
          </a:ln>
          <a:effectLst/>
        </c:spPr>
      </c:pivotFmt>
      <c:pivotFmt>
        <c:idx val="2080"/>
        <c:spPr>
          <a:solidFill>
            <a:schemeClr val="accent1"/>
          </a:solidFill>
          <a:ln w="19050">
            <a:solidFill>
              <a:schemeClr val="lt1"/>
            </a:solidFill>
          </a:ln>
          <a:effectLst/>
        </c:spPr>
      </c:pivotFmt>
      <c:pivotFmt>
        <c:idx val="2081"/>
        <c:spPr>
          <a:solidFill>
            <a:schemeClr val="accent1"/>
          </a:solidFill>
          <a:ln w="19050">
            <a:solidFill>
              <a:schemeClr val="lt1"/>
            </a:solidFill>
          </a:ln>
          <a:effectLst/>
        </c:spPr>
      </c:pivotFmt>
      <c:pivotFmt>
        <c:idx val="2082"/>
        <c:spPr>
          <a:solidFill>
            <a:schemeClr val="accent1"/>
          </a:solidFill>
          <a:ln w="19050">
            <a:solidFill>
              <a:schemeClr val="lt1"/>
            </a:solidFill>
          </a:ln>
          <a:effectLst/>
        </c:spPr>
      </c:pivotFmt>
      <c:pivotFmt>
        <c:idx val="2083"/>
        <c:spPr>
          <a:solidFill>
            <a:schemeClr val="accent1"/>
          </a:solidFill>
          <a:ln w="19050">
            <a:solidFill>
              <a:schemeClr val="lt1"/>
            </a:solidFill>
          </a:ln>
          <a:effectLst/>
        </c:spPr>
      </c:pivotFmt>
      <c:pivotFmt>
        <c:idx val="2084"/>
        <c:spPr>
          <a:solidFill>
            <a:schemeClr val="accent1"/>
          </a:solidFill>
          <a:ln w="19050">
            <a:solidFill>
              <a:schemeClr val="lt1"/>
            </a:solidFill>
          </a:ln>
          <a:effectLst/>
        </c:spPr>
      </c:pivotFmt>
      <c:pivotFmt>
        <c:idx val="2085"/>
        <c:spPr>
          <a:solidFill>
            <a:schemeClr val="accent1"/>
          </a:solidFill>
          <a:ln w="19050">
            <a:solidFill>
              <a:schemeClr val="lt1"/>
            </a:solidFill>
          </a:ln>
          <a:effectLst/>
        </c:spPr>
      </c:pivotFmt>
      <c:pivotFmt>
        <c:idx val="2086"/>
        <c:spPr>
          <a:solidFill>
            <a:schemeClr val="accent1"/>
          </a:solidFill>
          <a:ln w="19050">
            <a:solidFill>
              <a:schemeClr val="lt1"/>
            </a:solidFill>
          </a:ln>
          <a:effectLst/>
        </c:spPr>
      </c:pivotFmt>
      <c:pivotFmt>
        <c:idx val="2087"/>
        <c:spPr>
          <a:solidFill>
            <a:schemeClr val="accent1"/>
          </a:solidFill>
          <a:ln w="19050">
            <a:solidFill>
              <a:schemeClr val="lt1"/>
            </a:solidFill>
          </a:ln>
          <a:effectLst/>
        </c:spPr>
      </c:pivotFmt>
      <c:pivotFmt>
        <c:idx val="2088"/>
        <c:spPr>
          <a:solidFill>
            <a:schemeClr val="accent1"/>
          </a:solidFill>
          <a:ln w="19050">
            <a:solidFill>
              <a:schemeClr val="lt1"/>
            </a:solidFill>
          </a:ln>
          <a:effectLst/>
        </c:spPr>
      </c:pivotFmt>
      <c:pivotFmt>
        <c:idx val="2089"/>
        <c:spPr>
          <a:solidFill>
            <a:schemeClr val="accent1"/>
          </a:solidFill>
          <a:ln w="19050">
            <a:solidFill>
              <a:schemeClr val="lt1"/>
            </a:solidFill>
          </a:ln>
          <a:effectLst/>
        </c:spPr>
      </c:pivotFmt>
      <c:pivotFmt>
        <c:idx val="2090"/>
        <c:spPr>
          <a:solidFill>
            <a:schemeClr val="accent1"/>
          </a:solidFill>
          <a:ln w="19050">
            <a:solidFill>
              <a:schemeClr val="lt1"/>
            </a:solidFill>
          </a:ln>
          <a:effectLst/>
        </c:spPr>
      </c:pivotFmt>
      <c:pivotFmt>
        <c:idx val="2091"/>
        <c:spPr>
          <a:solidFill>
            <a:schemeClr val="accent1"/>
          </a:solidFill>
          <a:ln w="19050">
            <a:solidFill>
              <a:schemeClr val="lt1"/>
            </a:solidFill>
          </a:ln>
          <a:effectLst/>
        </c:spPr>
      </c:pivotFmt>
      <c:pivotFmt>
        <c:idx val="2092"/>
        <c:spPr>
          <a:solidFill>
            <a:schemeClr val="accent1"/>
          </a:solidFill>
          <a:ln w="19050">
            <a:solidFill>
              <a:schemeClr val="lt1"/>
            </a:solidFill>
          </a:ln>
          <a:effectLst/>
        </c:spPr>
      </c:pivotFmt>
      <c:pivotFmt>
        <c:idx val="2093"/>
        <c:spPr>
          <a:solidFill>
            <a:schemeClr val="accent1"/>
          </a:solidFill>
          <a:ln w="19050">
            <a:solidFill>
              <a:schemeClr val="lt1"/>
            </a:solidFill>
          </a:ln>
          <a:effectLst/>
        </c:spPr>
      </c:pivotFmt>
      <c:pivotFmt>
        <c:idx val="2094"/>
        <c:spPr>
          <a:solidFill>
            <a:schemeClr val="accent1"/>
          </a:solidFill>
          <a:ln w="19050">
            <a:solidFill>
              <a:schemeClr val="lt1"/>
            </a:solidFill>
          </a:ln>
          <a:effectLst/>
        </c:spPr>
      </c:pivotFmt>
      <c:pivotFmt>
        <c:idx val="2095"/>
        <c:spPr>
          <a:solidFill>
            <a:schemeClr val="accent1"/>
          </a:solidFill>
          <a:ln w="19050">
            <a:solidFill>
              <a:schemeClr val="lt1"/>
            </a:solidFill>
          </a:ln>
          <a:effectLst/>
        </c:spPr>
      </c:pivotFmt>
      <c:pivotFmt>
        <c:idx val="2096"/>
        <c:spPr>
          <a:solidFill>
            <a:schemeClr val="accent1"/>
          </a:solidFill>
          <a:ln w="19050">
            <a:solidFill>
              <a:schemeClr val="lt1"/>
            </a:solidFill>
          </a:ln>
          <a:effectLst/>
        </c:spPr>
      </c:pivotFmt>
      <c:pivotFmt>
        <c:idx val="2097"/>
        <c:spPr>
          <a:solidFill>
            <a:schemeClr val="accent1"/>
          </a:solidFill>
          <a:ln w="19050">
            <a:solidFill>
              <a:schemeClr val="lt1"/>
            </a:solidFill>
          </a:ln>
          <a:effectLst/>
        </c:spPr>
      </c:pivotFmt>
      <c:pivotFmt>
        <c:idx val="2098"/>
        <c:spPr>
          <a:solidFill>
            <a:schemeClr val="accent1"/>
          </a:solidFill>
          <a:ln w="19050">
            <a:solidFill>
              <a:schemeClr val="lt1"/>
            </a:solidFill>
          </a:ln>
          <a:effectLst/>
        </c:spPr>
      </c:pivotFmt>
      <c:pivotFmt>
        <c:idx val="2099"/>
        <c:spPr>
          <a:solidFill>
            <a:schemeClr val="accent1"/>
          </a:solidFill>
          <a:ln w="19050">
            <a:solidFill>
              <a:schemeClr val="lt1"/>
            </a:solidFill>
          </a:ln>
          <a:effectLst/>
        </c:spPr>
      </c:pivotFmt>
      <c:pivotFmt>
        <c:idx val="2100"/>
        <c:spPr>
          <a:solidFill>
            <a:schemeClr val="accent1"/>
          </a:solidFill>
          <a:ln w="19050">
            <a:solidFill>
              <a:schemeClr val="lt1"/>
            </a:solidFill>
          </a:ln>
          <a:effectLst/>
        </c:spPr>
      </c:pivotFmt>
      <c:pivotFmt>
        <c:idx val="2101"/>
        <c:spPr>
          <a:solidFill>
            <a:schemeClr val="accent1"/>
          </a:solidFill>
          <a:ln w="19050">
            <a:solidFill>
              <a:schemeClr val="lt1"/>
            </a:solidFill>
          </a:ln>
          <a:effectLst/>
        </c:spPr>
      </c:pivotFmt>
      <c:pivotFmt>
        <c:idx val="2102"/>
        <c:spPr>
          <a:solidFill>
            <a:schemeClr val="accent1"/>
          </a:solidFill>
          <a:ln w="19050">
            <a:solidFill>
              <a:schemeClr val="lt1"/>
            </a:solidFill>
          </a:ln>
          <a:effectLst/>
        </c:spPr>
      </c:pivotFmt>
      <c:pivotFmt>
        <c:idx val="2103"/>
        <c:spPr>
          <a:solidFill>
            <a:schemeClr val="accent1"/>
          </a:solidFill>
          <a:ln w="19050">
            <a:solidFill>
              <a:schemeClr val="lt1"/>
            </a:solidFill>
          </a:ln>
          <a:effectLst/>
        </c:spPr>
      </c:pivotFmt>
      <c:pivotFmt>
        <c:idx val="2104"/>
        <c:spPr>
          <a:solidFill>
            <a:schemeClr val="accent1"/>
          </a:solidFill>
          <a:ln w="19050">
            <a:solidFill>
              <a:schemeClr val="lt1"/>
            </a:solidFill>
          </a:ln>
          <a:effectLst/>
        </c:spPr>
      </c:pivotFmt>
      <c:pivotFmt>
        <c:idx val="2105"/>
        <c:spPr>
          <a:solidFill>
            <a:schemeClr val="accent1"/>
          </a:solidFill>
          <a:ln w="19050">
            <a:solidFill>
              <a:schemeClr val="lt1"/>
            </a:solidFill>
          </a:ln>
          <a:effectLst/>
        </c:spPr>
      </c:pivotFmt>
      <c:pivotFmt>
        <c:idx val="2106"/>
        <c:spPr>
          <a:solidFill>
            <a:schemeClr val="accent1"/>
          </a:solidFill>
          <a:ln w="19050">
            <a:solidFill>
              <a:schemeClr val="lt1"/>
            </a:solidFill>
          </a:ln>
          <a:effectLst/>
        </c:spPr>
      </c:pivotFmt>
      <c:pivotFmt>
        <c:idx val="2107"/>
        <c:spPr>
          <a:solidFill>
            <a:schemeClr val="accent1"/>
          </a:solidFill>
          <a:ln w="19050">
            <a:solidFill>
              <a:schemeClr val="lt1"/>
            </a:solidFill>
          </a:ln>
          <a:effectLst/>
        </c:spPr>
      </c:pivotFmt>
      <c:pivotFmt>
        <c:idx val="2108"/>
        <c:spPr>
          <a:solidFill>
            <a:schemeClr val="accent1"/>
          </a:solidFill>
          <a:ln w="19050">
            <a:solidFill>
              <a:schemeClr val="lt1"/>
            </a:solidFill>
          </a:ln>
          <a:effectLst/>
        </c:spPr>
      </c:pivotFmt>
      <c:pivotFmt>
        <c:idx val="2109"/>
        <c:spPr>
          <a:solidFill>
            <a:schemeClr val="accent1"/>
          </a:solidFill>
          <a:ln w="19050">
            <a:solidFill>
              <a:schemeClr val="lt1"/>
            </a:solidFill>
          </a:ln>
          <a:effectLst/>
        </c:spPr>
      </c:pivotFmt>
      <c:pivotFmt>
        <c:idx val="2110"/>
        <c:spPr>
          <a:solidFill>
            <a:schemeClr val="accent1"/>
          </a:solidFill>
          <a:ln w="19050">
            <a:solidFill>
              <a:schemeClr val="lt1"/>
            </a:solidFill>
          </a:ln>
          <a:effectLst/>
        </c:spPr>
      </c:pivotFmt>
      <c:pivotFmt>
        <c:idx val="2111"/>
        <c:spPr>
          <a:solidFill>
            <a:schemeClr val="accent1"/>
          </a:solidFill>
          <a:ln w="19050">
            <a:solidFill>
              <a:schemeClr val="lt1"/>
            </a:solidFill>
          </a:ln>
          <a:effectLst/>
        </c:spPr>
      </c:pivotFmt>
      <c:pivotFmt>
        <c:idx val="2112"/>
        <c:spPr>
          <a:solidFill>
            <a:schemeClr val="accent1"/>
          </a:solidFill>
          <a:ln w="19050">
            <a:solidFill>
              <a:schemeClr val="lt1"/>
            </a:solidFill>
          </a:ln>
          <a:effectLst/>
        </c:spPr>
      </c:pivotFmt>
      <c:pivotFmt>
        <c:idx val="2113"/>
        <c:spPr>
          <a:solidFill>
            <a:schemeClr val="accent1"/>
          </a:solidFill>
          <a:ln w="19050">
            <a:solidFill>
              <a:schemeClr val="lt1"/>
            </a:solidFill>
          </a:ln>
          <a:effectLst/>
        </c:spPr>
      </c:pivotFmt>
      <c:pivotFmt>
        <c:idx val="2114"/>
        <c:spPr>
          <a:solidFill>
            <a:schemeClr val="accent1"/>
          </a:solidFill>
          <a:ln w="19050">
            <a:solidFill>
              <a:schemeClr val="lt1"/>
            </a:solidFill>
          </a:ln>
          <a:effectLst/>
        </c:spPr>
      </c:pivotFmt>
      <c:pivotFmt>
        <c:idx val="2115"/>
        <c:spPr>
          <a:solidFill>
            <a:schemeClr val="accent1"/>
          </a:solidFill>
          <a:ln w="19050">
            <a:solidFill>
              <a:schemeClr val="lt1"/>
            </a:solidFill>
          </a:ln>
          <a:effectLst/>
        </c:spPr>
      </c:pivotFmt>
      <c:pivotFmt>
        <c:idx val="2116"/>
        <c:spPr>
          <a:solidFill>
            <a:schemeClr val="accent1"/>
          </a:solidFill>
          <a:ln w="19050">
            <a:solidFill>
              <a:schemeClr val="lt1"/>
            </a:solidFill>
          </a:ln>
          <a:effectLst/>
        </c:spPr>
      </c:pivotFmt>
      <c:pivotFmt>
        <c:idx val="2117"/>
        <c:spPr>
          <a:solidFill>
            <a:schemeClr val="accent1"/>
          </a:solidFill>
          <a:ln w="19050">
            <a:solidFill>
              <a:schemeClr val="lt1"/>
            </a:solidFill>
          </a:ln>
          <a:effectLst/>
        </c:spPr>
      </c:pivotFmt>
      <c:pivotFmt>
        <c:idx val="2118"/>
        <c:spPr>
          <a:solidFill>
            <a:schemeClr val="accent1"/>
          </a:solidFill>
          <a:ln w="19050">
            <a:solidFill>
              <a:schemeClr val="lt1"/>
            </a:solidFill>
          </a:ln>
          <a:effectLst/>
        </c:spPr>
      </c:pivotFmt>
      <c:pivotFmt>
        <c:idx val="2119"/>
        <c:spPr>
          <a:solidFill>
            <a:schemeClr val="accent1"/>
          </a:solidFill>
          <a:ln w="19050">
            <a:solidFill>
              <a:schemeClr val="lt1"/>
            </a:solidFill>
          </a:ln>
          <a:effectLst/>
        </c:spPr>
      </c:pivotFmt>
      <c:pivotFmt>
        <c:idx val="2120"/>
        <c:spPr>
          <a:solidFill>
            <a:schemeClr val="accent1"/>
          </a:solidFill>
          <a:ln w="19050">
            <a:solidFill>
              <a:schemeClr val="lt1"/>
            </a:solidFill>
          </a:ln>
          <a:effectLst/>
        </c:spPr>
      </c:pivotFmt>
      <c:pivotFmt>
        <c:idx val="2121"/>
        <c:spPr>
          <a:solidFill>
            <a:schemeClr val="accent1"/>
          </a:solidFill>
          <a:ln w="19050">
            <a:solidFill>
              <a:schemeClr val="lt1"/>
            </a:solidFill>
          </a:ln>
          <a:effectLst/>
        </c:spPr>
      </c:pivotFmt>
      <c:pivotFmt>
        <c:idx val="2122"/>
        <c:spPr>
          <a:solidFill>
            <a:schemeClr val="accent1"/>
          </a:solidFill>
          <a:ln w="19050">
            <a:solidFill>
              <a:schemeClr val="lt1"/>
            </a:solidFill>
          </a:ln>
          <a:effectLst/>
        </c:spPr>
      </c:pivotFmt>
      <c:pivotFmt>
        <c:idx val="2123"/>
        <c:spPr>
          <a:solidFill>
            <a:schemeClr val="accent1"/>
          </a:solidFill>
          <a:ln w="19050">
            <a:solidFill>
              <a:schemeClr val="lt1"/>
            </a:solidFill>
          </a:ln>
          <a:effectLst/>
        </c:spPr>
      </c:pivotFmt>
      <c:pivotFmt>
        <c:idx val="2124"/>
        <c:spPr>
          <a:solidFill>
            <a:schemeClr val="accent1"/>
          </a:solidFill>
          <a:ln w="19050">
            <a:solidFill>
              <a:schemeClr val="lt1"/>
            </a:solidFill>
          </a:ln>
          <a:effectLst/>
        </c:spPr>
      </c:pivotFmt>
      <c:pivotFmt>
        <c:idx val="2125"/>
        <c:spPr>
          <a:solidFill>
            <a:schemeClr val="accent1"/>
          </a:solidFill>
          <a:ln w="19050">
            <a:solidFill>
              <a:schemeClr val="lt1"/>
            </a:solidFill>
          </a:ln>
          <a:effectLst/>
        </c:spPr>
      </c:pivotFmt>
      <c:pivotFmt>
        <c:idx val="2126"/>
        <c:spPr>
          <a:solidFill>
            <a:schemeClr val="accent1"/>
          </a:solidFill>
          <a:ln w="19050">
            <a:solidFill>
              <a:schemeClr val="lt1"/>
            </a:solidFill>
          </a:ln>
          <a:effectLst/>
        </c:spPr>
      </c:pivotFmt>
      <c:pivotFmt>
        <c:idx val="2127"/>
        <c:spPr>
          <a:solidFill>
            <a:schemeClr val="accent1"/>
          </a:solidFill>
          <a:ln w="19050">
            <a:solidFill>
              <a:schemeClr val="lt1"/>
            </a:solidFill>
          </a:ln>
          <a:effectLst/>
        </c:spPr>
      </c:pivotFmt>
      <c:pivotFmt>
        <c:idx val="2128"/>
        <c:spPr>
          <a:solidFill>
            <a:schemeClr val="accent1"/>
          </a:solidFill>
          <a:ln w="19050">
            <a:solidFill>
              <a:schemeClr val="lt1"/>
            </a:solidFill>
          </a:ln>
          <a:effectLst/>
        </c:spPr>
      </c:pivotFmt>
      <c:pivotFmt>
        <c:idx val="2129"/>
        <c:spPr>
          <a:solidFill>
            <a:schemeClr val="accent1"/>
          </a:solidFill>
          <a:ln w="19050">
            <a:solidFill>
              <a:schemeClr val="lt1"/>
            </a:solidFill>
          </a:ln>
          <a:effectLst/>
        </c:spPr>
      </c:pivotFmt>
      <c:pivotFmt>
        <c:idx val="2130"/>
        <c:spPr>
          <a:solidFill>
            <a:schemeClr val="accent1"/>
          </a:solidFill>
          <a:ln w="19050">
            <a:solidFill>
              <a:schemeClr val="lt1"/>
            </a:solidFill>
          </a:ln>
          <a:effectLst/>
        </c:spPr>
      </c:pivotFmt>
      <c:pivotFmt>
        <c:idx val="2131"/>
        <c:spPr>
          <a:solidFill>
            <a:schemeClr val="accent1"/>
          </a:solidFill>
          <a:ln w="19050">
            <a:solidFill>
              <a:schemeClr val="lt1"/>
            </a:solidFill>
          </a:ln>
          <a:effectLst/>
        </c:spPr>
      </c:pivotFmt>
      <c:pivotFmt>
        <c:idx val="2132"/>
        <c:spPr>
          <a:solidFill>
            <a:schemeClr val="accent1"/>
          </a:solidFill>
          <a:ln w="19050">
            <a:solidFill>
              <a:schemeClr val="lt1"/>
            </a:solidFill>
          </a:ln>
          <a:effectLst/>
        </c:spPr>
      </c:pivotFmt>
      <c:pivotFmt>
        <c:idx val="2133"/>
        <c:spPr>
          <a:solidFill>
            <a:schemeClr val="accent1"/>
          </a:solidFill>
          <a:ln w="19050">
            <a:solidFill>
              <a:schemeClr val="lt1"/>
            </a:solidFill>
          </a:ln>
          <a:effectLst/>
        </c:spPr>
      </c:pivotFmt>
      <c:pivotFmt>
        <c:idx val="2134"/>
        <c:spPr>
          <a:solidFill>
            <a:schemeClr val="accent1"/>
          </a:solidFill>
          <a:ln w="19050">
            <a:solidFill>
              <a:schemeClr val="lt1"/>
            </a:solidFill>
          </a:ln>
          <a:effectLst/>
        </c:spPr>
      </c:pivotFmt>
      <c:pivotFmt>
        <c:idx val="2135"/>
        <c:spPr>
          <a:solidFill>
            <a:schemeClr val="accent1"/>
          </a:solidFill>
          <a:ln w="19050">
            <a:solidFill>
              <a:schemeClr val="lt1"/>
            </a:solidFill>
          </a:ln>
          <a:effectLst/>
        </c:spPr>
      </c:pivotFmt>
      <c:pivotFmt>
        <c:idx val="2136"/>
        <c:spPr>
          <a:solidFill>
            <a:schemeClr val="accent1"/>
          </a:solidFill>
          <a:ln w="19050">
            <a:solidFill>
              <a:schemeClr val="lt1"/>
            </a:solidFill>
          </a:ln>
          <a:effectLst/>
        </c:spPr>
      </c:pivotFmt>
      <c:pivotFmt>
        <c:idx val="2137"/>
        <c:spPr>
          <a:solidFill>
            <a:schemeClr val="accent1"/>
          </a:solidFill>
          <a:ln w="19050">
            <a:solidFill>
              <a:schemeClr val="lt1"/>
            </a:solidFill>
          </a:ln>
          <a:effectLst/>
        </c:spPr>
      </c:pivotFmt>
      <c:pivotFmt>
        <c:idx val="2138"/>
        <c:spPr>
          <a:solidFill>
            <a:schemeClr val="accent1"/>
          </a:solidFill>
          <a:ln w="19050">
            <a:solidFill>
              <a:schemeClr val="lt1"/>
            </a:solidFill>
          </a:ln>
          <a:effectLst/>
        </c:spPr>
      </c:pivotFmt>
      <c:pivotFmt>
        <c:idx val="2139"/>
        <c:spPr>
          <a:solidFill>
            <a:schemeClr val="accent1"/>
          </a:solidFill>
          <a:ln w="19050">
            <a:solidFill>
              <a:schemeClr val="lt1"/>
            </a:solidFill>
          </a:ln>
          <a:effectLst/>
        </c:spPr>
      </c:pivotFmt>
      <c:pivotFmt>
        <c:idx val="2140"/>
        <c:spPr>
          <a:solidFill>
            <a:schemeClr val="accent1"/>
          </a:solidFill>
          <a:ln w="19050">
            <a:solidFill>
              <a:schemeClr val="lt1"/>
            </a:solidFill>
          </a:ln>
          <a:effectLst/>
        </c:spPr>
      </c:pivotFmt>
      <c:pivotFmt>
        <c:idx val="2141"/>
        <c:spPr>
          <a:solidFill>
            <a:schemeClr val="accent1"/>
          </a:solidFill>
          <a:ln w="19050">
            <a:solidFill>
              <a:schemeClr val="lt1"/>
            </a:solidFill>
          </a:ln>
          <a:effectLst/>
        </c:spPr>
      </c:pivotFmt>
      <c:pivotFmt>
        <c:idx val="2142"/>
        <c:spPr>
          <a:solidFill>
            <a:schemeClr val="accent1"/>
          </a:solidFill>
          <a:ln w="19050">
            <a:solidFill>
              <a:schemeClr val="lt1"/>
            </a:solidFill>
          </a:ln>
          <a:effectLst/>
        </c:spPr>
      </c:pivotFmt>
      <c:pivotFmt>
        <c:idx val="2143"/>
        <c:spPr>
          <a:solidFill>
            <a:schemeClr val="accent1"/>
          </a:solidFill>
          <a:ln w="19050">
            <a:solidFill>
              <a:schemeClr val="lt1"/>
            </a:solidFill>
          </a:ln>
          <a:effectLst/>
        </c:spPr>
      </c:pivotFmt>
      <c:pivotFmt>
        <c:idx val="2144"/>
        <c:spPr>
          <a:solidFill>
            <a:schemeClr val="accent1"/>
          </a:solidFill>
          <a:ln w="19050">
            <a:solidFill>
              <a:schemeClr val="lt1"/>
            </a:solidFill>
          </a:ln>
          <a:effectLst/>
        </c:spPr>
      </c:pivotFmt>
      <c:pivotFmt>
        <c:idx val="2145"/>
        <c:spPr>
          <a:solidFill>
            <a:schemeClr val="accent1"/>
          </a:solidFill>
          <a:ln w="19050">
            <a:solidFill>
              <a:schemeClr val="lt1"/>
            </a:solidFill>
          </a:ln>
          <a:effectLst/>
        </c:spPr>
      </c:pivotFmt>
      <c:pivotFmt>
        <c:idx val="2146"/>
        <c:spPr>
          <a:solidFill>
            <a:schemeClr val="accent1"/>
          </a:solidFill>
          <a:ln w="19050">
            <a:solidFill>
              <a:schemeClr val="lt1"/>
            </a:solidFill>
          </a:ln>
          <a:effectLst/>
        </c:spPr>
      </c:pivotFmt>
      <c:pivotFmt>
        <c:idx val="2147"/>
        <c:spPr>
          <a:solidFill>
            <a:schemeClr val="accent1"/>
          </a:solidFill>
          <a:ln w="19050">
            <a:solidFill>
              <a:schemeClr val="lt1"/>
            </a:solidFill>
          </a:ln>
          <a:effectLst/>
        </c:spPr>
      </c:pivotFmt>
      <c:pivotFmt>
        <c:idx val="2148"/>
        <c:spPr>
          <a:solidFill>
            <a:schemeClr val="accent1"/>
          </a:solidFill>
          <a:ln w="19050">
            <a:solidFill>
              <a:schemeClr val="lt1"/>
            </a:solidFill>
          </a:ln>
          <a:effectLst/>
        </c:spPr>
      </c:pivotFmt>
      <c:pivotFmt>
        <c:idx val="2149"/>
        <c:spPr>
          <a:solidFill>
            <a:schemeClr val="accent1"/>
          </a:solidFill>
          <a:ln w="19050">
            <a:solidFill>
              <a:schemeClr val="lt1"/>
            </a:solidFill>
          </a:ln>
          <a:effectLst/>
        </c:spPr>
      </c:pivotFmt>
      <c:pivotFmt>
        <c:idx val="2150"/>
        <c:spPr>
          <a:solidFill>
            <a:schemeClr val="accent1"/>
          </a:solidFill>
          <a:ln w="19050">
            <a:solidFill>
              <a:schemeClr val="lt1"/>
            </a:solidFill>
          </a:ln>
          <a:effectLst/>
        </c:spPr>
      </c:pivotFmt>
      <c:pivotFmt>
        <c:idx val="2151"/>
        <c:spPr>
          <a:solidFill>
            <a:schemeClr val="accent1"/>
          </a:solidFill>
          <a:ln w="19050">
            <a:solidFill>
              <a:schemeClr val="lt1"/>
            </a:solidFill>
          </a:ln>
          <a:effectLst/>
        </c:spPr>
      </c:pivotFmt>
      <c:pivotFmt>
        <c:idx val="2152"/>
        <c:spPr>
          <a:solidFill>
            <a:schemeClr val="accent1"/>
          </a:solidFill>
          <a:ln w="19050">
            <a:solidFill>
              <a:schemeClr val="lt1"/>
            </a:solidFill>
          </a:ln>
          <a:effectLst/>
        </c:spPr>
      </c:pivotFmt>
      <c:pivotFmt>
        <c:idx val="2153"/>
        <c:spPr>
          <a:solidFill>
            <a:schemeClr val="accent1"/>
          </a:solidFill>
          <a:ln w="19050">
            <a:solidFill>
              <a:schemeClr val="lt1"/>
            </a:solidFill>
          </a:ln>
          <a:effectLst/>
        </c:spPr>
      </c:pivotFmt>
      <c:pivotFmt>
        <c:idx val="2154"/>
        <c:spPr>
          <a:solidFill>
            <a:schemeClr val="accent1"/>
          </a:solidFill>
          <a:ln w="19050">
            <a:solidFill>
              <a:schemeClr val="lt1"/>
            </a:solidFill>
          </a:ln>
          <a:effectLst/>
        </c:spPr>
      </c:pivotFmt>
      <c:pivotFmt>
        <c:idx val="2155"/>
        <c:spPr>
          <a:solidFill>
            <a:schemeClr val="accent1"/>
          </a:solidFill>
          <a:ln w="19050">
            <a:solidFill>
              <a:schemeClr val="lt1"/>
            </a:solidFill>
          </a:ln>
          <a:effectLst/>
        </c:spPr>
      </c:pivotFmt>
      <c:pivotFmt>
        <c:idx val="2156"/>
        <c:spPr>
          <a:solidFill>
            <a:schemeClr val="accent1"/>
          </a:solidFill>
          <a:ln w="19050">
            <a:solidFill>
              <a:schemeClr val="lt1"/>
            </a:solidFill>
          </a:ln>
          <a:effectLst/>
        </c:spPr>
      </c:pivotFmt>
      <c:pivotFmt>
        <c:idx val="2157"/>
        <c:spPr>
          <a:solidFill>
            <a:schemeClr val="accent1"/>
          </a:solidFill>
          <a:ln w="19050">
            <a:solidFill>
              <a:schemeClr val="lt1"/>
            </a:solidFill>
          </a:ln>
          <a:effectLst/>
        </c:spPr>
      </c:pivotFmt>
      <c:pivotFmt>
        <c:idx val="2158"/>
        <c:spPr>
          <a:solidFill>
            <a:schemeClr val="accent1"/>
          </a:solidFill>
          <a:ln w="19050">
            <a:solidFill>
              <a:schemeClr val="lt1"/>
            </a:solidFill>
          </a:ln>
          <a:effectLst/>
        </c:spPr>
      </c:pivotFmt>
      <c:pivotFmt>
        <c:idx val="2159"/>
        <c:spPr>
          <a:solidFill>
            <a:schemeClr val="accent1"/>
          </a:solidFill>
          <a:ln w="19050">
            <a:solidFill>
              <a:schemeClr val="lt1"/>
            </a:solidFill>
          </a:ln>
          <a:effectLst/>
        </c:spPr>
      </c:pivotFmt>
      <c:pivotFmt>
        <c:idx val="2160"/>
        <c:spPr>
          <a:solidFill>
            <a:schemeClr val="accent1"/>
          </a:solidFill>
          <a:ln w="19050">
            <a:solidFill>
              <a:schemeClr val="lt1"/>
            </a:solidFill>
          </a:ln>
          <a:effectLst/>
        </c:spPr>
      </c:pivotFmt>
      <c:pivotFmt>
        <c:idx val="2161"/>
        <c:spPr>
          <a:solidFill>
            <a:schemeClr val="accent1"/>
          </a:solidFill>
          <a:ln w="19050">
            <a:solidFill>
              <a:schemeClr val="lt1"/>
            </a:solidFill>
          </a:ln>
          <a:effectLst/>
        </c:spPr>
      </c:pivotFmt>
      <c:pivotFmt>
        <c:idx val="2162"/>
        <c:spPr>
          <a:solidFill>
            <a:schemeClr val="accent1"/>
          </a:solidFill>
          <a:ln w="19050">
            <a:solidFill>
              <a:schemeClr val="lt1"/>
            </a:solidFill>
          </a:ln>
          <a:effectLst/>
        </c:spPr>
      </c:pivotFmt>
      <c:pivotFmt>
        <c:idx val="2163"/>
        <c:spPr>
          <a:solidFill>
            <a:schemeClr val="accent1"/>
          </a:solidFill>
          <a:ln w="19050">
            <a:solidFill>
              <a:schemeClr val="lt1"/>
            </a:solidFill>
          </a:ln>
          <a:effectLst/>
        </c:spPr>
      </c:pivotFmt>
      <c:pivotFmt>
        <c:idx val="2164"/>
        <c:spPr>
          <a:solidFill>
            <a:schemeClr val="accent1"/>
          </a:solidFill>
          <a:ln w="19050">
            <a:solidFill>
              <a:schemeClr val="lt1"/>
            </a:solidFill>
          </a:ln>
          <a:effectLst/>
        </c:spPr>
      </c:pivotFmt>
      <c:pivotFmt>
        <c:idx val="2165"/>
        <c:spPr>
          <a:solidFill>
            <a:schemeClr val="accent1"/>
          </a:solidFill>
          <a:ln w="19050">
            <a:solidFill>
              <a:schemeClr val="lt1"/>
            </a:solidFill>
          </a:ln>
          <a:effectLst/>
        </c:spPr>
      </c:pivotFmt>
      <c:pivotFmt>
        <c:idx val="2166"/>
        <c:spPr>
          <a:solidFill>
            <a:schemeClr val="accent1"/>
          </a:solidFill>
          <a:ln w="19050">
            <a:solidFill>
              <a:schemeClr val="lt1"/>
            </a:solidFill>
          </a:ln>
          <a:effectLst/>
        </c:spPr>
      </c:pivotFmt>
      <c:pivotFmt>
        <c:idx val="2167"/>
        <c:spPr>
          <a:solidFill>
            <a:schemeClr val="accent1"/>
          </a:solidFill>
          <a:ln w="19050">
            <a:solidFill>
              <a:schemeClr val="lt1"/>
            </a:solidFill>
          </a:ln>
          <a:effectLst/>
        </c:spPr>
      </c:pivotFmt>
      <c:pivotFmt>
        <c:idx val="2168"/>
        <c:spPr>
          <a:solidFill>
            <a:schemeClr val="accent1"/>
          </a:solidFill>
          <a:ln w="19050">
            <a:solidFill>
              <a:schemeClr val="lt1"/>
            </a:solidFill>
          </a:ln>
          <a:effectLst/>
        </c:spPr>
      </c:pivotFmt>
      <c:pivotFmt>
        <c:idx val="2169"/>
        <c:spPr>
          <a:solidFill>
            <a:schemeClr val="accent1"/>
          </a:solidFill>
          <a:ln w="19050">
            <a:solidFill>
              <a:schemeClr val="lt1"/>
            </a:solidFill>
          </a:ln>
          <a:effectLst/>
        </c:spPr>
      </c:pivotFmt>
      <c:pivotFmt>
        <c:idx val="2170"/>
        <c:spPr>
          <a:solidFill>
            <a:schemeClr val="accent1"/>
          </a:solidFill>
          <a:ln w="19050">
            <a:solidFill>
              <a:schemeClr val="lt1"/>
            </a:solidFill>
          </a:ln>
          <a:effectLst/>
        </c:spPr>
      </c:pivotFmt>
      <c:pivotFmt>
        <c:idx val="2171"/>
        <c:spPr>
          <a:solidFill>
            <a:schemeClr val="accent1"/>
          </a:solidFill>
          <a:ln w="19050">
            <a:solidFill>
              <a:schemeClr val="lt1"/>
            </a:solidFill>
          </a:ln>
          <a:effectLst/>
        </c:spPr>
      </c:pivotFmt>
      <c:pivotFmt>
        <c:idx val="2172"/>
        <c:spPr>
          <a:solidFill>
            <a:schemeClr val="accent1"/>
          </a:solidFill>
          <a:ln w="19050">
            <a:solidFill>
              <a:schemeClr val="lt1"/>
            </a:solidFill>
          </a:ln>
          <a:effectLst/>
        </c:spPr>
      </c:pivotFmt>
      <c:pivotFmt>
        <c:idx val="2173"/>
        <c:spPr>
          <a:solidFill>
            <a:schemeClr val="accent1"/>
          </a:solidFill>
          <a:ln w="19050">
            <a:solidFill>
              <a:schemeClr val="lt1"/>
            </a:solidFill>
          </a:ln>
          <a:effectLst/>
        </c:spPr>
      </c:pivotFmt>
      <c:pivotFmt>
        <c:idx val="2174"/>
        <c:spPr>
          <a:solidFill>
            <a:schemeClr val="accent1"/>
          </a:solidFill>
          <a:ln w="19050">
            <a:solidFill>
              <a:schemeClr val="lt1"/>
            </a:solidFill>
          </a:ln>
          <a:effectLst/>
        </c:spPr>
      </c:pivotFmt>
      <c:pivotFmt>
        <c:idx val="2175"/>
        <c:spPr>
          <a:solidFill>
            <a:schemeClr val="accent1"/>
          </a:solidFill>
          <a:ln w="19050">
            <a:solidFill>
              <a:schemeClr val="lt1"/>
            </a:solidFill>
          </a:ln>
          <a:effectLst/>
        </c:spPr>
      </c:pivotFmt>
      <c:pivotFmt>
        <c:idx val="2176"/>
        <c:spPr>
          <a:solidFill>
            <a:schemeClr val="accent1"/>
          </a:solidFill>
          <a:ln w="19050">
            <a:solidFill>
              <a:schemeClr val="lt1"/>
            </a:solidFill>
          </a:ln>
          <a:effectLst/>
        </c:spPr>
      </c:pivotFmt>
      <c:pivotFmt>
        <c:idx val="2177"/>
        <c:spPr>
          <a:solidFill>
            <a:schemeClr val="accent1"/>
          </a:solidFill>
          <a:ln w="19050">
            <a:solidFill>
              <a:schemeClr val="lt1"/>
            </a:solidFill>
          </a:ln>
          <a:effectLst/>
        </c:spPr>
      </c:pivotFmt>
      <c:pivotFmt>
        <c:idx val="2178"/>
        <c:spPr>
          <a:solidFill>
            <a:schemeClr val="accent1"/>
          </a:solidFill>
          <a:ln w="19050">
            <a:solidFill>
              <a:schemeClr val="lt1"/>
            </a:solidFill>
          </a:ln>
          <a:effectLst/>
        </c:spPr>
      </c:pivotFmt>
      <c:pivotFmt>
        <c:idx val="2179"/>
        <c:spPr>
          <a:solidFill>
            <a:schemeClr val="accent1"/>
          </a:solidFill>
          <a:ln w="19050">
            <a:solidFill>
              <a:schemeClr val="lt1"/>
            </a:solidFill>
          </a:ln>
          <a:effectLst/>
        </c:spPr>
      </c:pivotFmt>
      <c:pivotFmt>
        <c:idx val="2180"/>
        <c:spPr>
          <a:solidFill>
            <a:schemeClr val="accent1"/>
          </a:solidFill>
          <a:ln w="19050">
            <a:solidFill>
              <a:schemeClr val="lt1"/>
            </a:solidFill>
          </a:ln>
          <a:effectLst/>
        </c:spPr>
      </c:pivotFmt>
      <c:pivotFmt>
        <c:idx val="2181"/>
        <c:spPr>
          <a:solidFill>
            <a:schemeClr val="accent1"/>
          </a:solidFill>
          <a:ln w="19050">
            <a:solidFill>
              <a:schemeClr val="lt1"/>
            </a:solidFill>
          </a:ln>
          <a:effectLst/>
        </c:spPr>
      </c:pivotFmt>
      <c:pivotFmt>
        <c:idx val="2182"/>
        <c:spPr>
          <a:solidFill>
            <a:schemeClr val="accent1"/>
          </a:solidFill>
          <a:ln w="19050">
            <a:solidFill>
              <a:schemeClr val="lt1"/>
            </a:solidFill>
          </a:ln>
          <a:effectLst/>
        </c:spPr>
      </c:pivotFmt>
      <c:pivotFmt>
        <c:idx val="2183"/>
        <c:spPr>
          <a:solidFill>
            <a:schemeClr val="accent1"/>
          </a:solidFill>
          <a:ln w="19050">
            <a:solidFill>
              <a:schemeClr val="lt1"/>
            </a:solidFill>
          </a:ln>
          <a:effectLst/>
        </c:spPr>
      </c:pivotFmt>
      <c:pivotFmt>
        <c:idx val="2184"/>
        <c:spPr>
          <a:solidFill>
            <a:schemeClr val="accent1"/>
          </a:solidFill>
          <a:ln w="19050">
            <a:solidFill>
              <a:schemeClr val="lt1"/>
            </a:solidFill>
          </a:ln>
          <a:effectLst/>
        </c:spPr>
      </c:pivotFmt>
      <c:pivotFmt>
        <c:idx val="2185"/>
        <c:spPr>
          <a:solidFill>
            <a:schemeClr val="accent1"/>
          </a:solidFill>
          <a:ln w="19050">
            <a:solidFill>
              <a:schemeClr val="lt1"/>
            </a:solidFill>
          </a:ln>
          <a:effectLst/>
        </c:spPr>
      </c:pivotFmt>
      <c:pivotFmt>
        <c:idx val="2186"/>
        <c:spPr>
          <a:solidFill>
            <a:schemeClr val="accent1"/>
          </a:solidFill>
          <a:ln w="19050">
            <a:solidFill>
              <a:schemeClr val="lt1"/>
            </a:solidFill>
          </a:ln>
          <a:effectLst/>
        </c:spPr>
      </c:pivotFmt>
      <c:pivotFmt>
        <c:idx val="2187"/>
        <c:spPr>
          <a:solidFill>
            <a:schemeClr val="accent1"/>
          </a:solidFill>
          <a:ln w="19050">
            <a:solidFill>
              <a:schemeClr val="lt1"/>
            </a:solidFill>
          </a:ln>
          <a:effectLst/>
        </c:spPr>
      </c:pivotFmt>
      <c:pivotFmt>
        <c:idx val="2188"/>
        <c:spPr>
          <a:solidFill>
            <a:schemeClr val="accent1"/>
          </a:solidFill>
          <a:ln w="19050">
            <a:solidFill>
              <a:schemeClr val="lt1"/>
            </a:solidFill>
          </a:ln>
          <a:effectLst/>
        </c:spPr>
      </c:pivotFmt>
      <c:pivotFmt>
        <c:idx val="2189"/>
        <c:spPr>
          <a:solidFill>
            <a:schemeClr val="accent1"/>
          </a:solidFill>
          <a:ln w="19050">
            <a:solidFill>
              <a:schemeClr val="lt1"/>
            </a:solidFill>
          </a:ln>
          <a:effectLst/>
        </c:spPr>
      </c:pivotFmt>
      <c:pivotFmt>
        <c:idx val="2190"/>
        <c:spPr>
          <a:solidFill>
            <a:schemeClr val="accent1"/>
          </a:solidFill>
          <a:ln w="19050">
            <a:solidFill>
              <a:schemeClr val="lt1"/>
            </a:solidFill>
          </a:ln>
          <a:effectLst/>
        </c:spPr>
      </c:pivotFmt>
      <c:pivotFmt>
        <c:idx val="2191"/>
        <c:spPr>
          <a:solidFill>
            <a:schemeClr val="accent1"/>
          </a:solidFill>
          <a:ln w="19050">
            <a:solidFill>
              <a:schemeClr val="lt1"/>
            </a:solidFill>
          </a:ln>
          <a:effectLst/>
        </c:spPr>
      </c:pivotFmt>
      <c:pivotFmt>
        <c:idx val="2192"/>
        <c:spPr>
          <a:solidFill>
            <a:schemeClr val="accent1"/>
          </a:solidFill>
          <a:ln w="19050">
            <a:solidFill>
              <a:schemeClr val="lt1"/>
            </a:solidFill>
          </a:ln>
          <a:effectLst/>
        </c:spPr>
      </c:pivotFmt>
      <c:pivotFmt>
        <c:idx val="2193"/>
        <c:spPr>
          <a:solidFill>
            <a:schemeClr val="accent1"/>
          </a:solidFill>
          <a:ln w="19050">
            <a:solidFill>
              <a:schemeClr val="lt1"/>
            </a:solidFill>
          </a:ln>
          <a:effectLst/>
        </c:spPr>
      </c:pivotFmt>
      <c:pivotFmt>
        <c:idx val="2194"/>
        <c:spPr>
          <a:solidFill>
            <a:schemeClr val="accent1"/>
          </a:solidFill>
          <a:ln w="19050">
            <a:solidFill>
              <a:schemeClr val="lt1"/>
            </a:solidFill>
          </a:ln>
          <a:effectLst/>
        </c:spPr>
      </c:pivotFmt>
      <c:pivotFmt>
        <c:idx val="2195"/>
        <c:spPr>
          <a:solidFill>
            <a:schemeClr val="accent1"/>
          </a:solidFill>
          <a:ln w="19050">
            <a:solidFill>
              <a:schemeClr val="lt1"/>
            </a:solidFill>
          </a:ln>
          <a:effectLst/>
        </c:spPr>
      </c:pivotFmt>
      <c:pivotFmt>
        <c:idx val="2196"/>
        <c:spPr>
          <a:solidFill>
            <a:schemeClr val="accent1"/>
          </a:solidFill>
          <a:ln w="19050">
            <a:solidFill>
              <a:schemeClr val="lt1"/>
            </a:solidFill>
          </a:ln>
          <a:effectLst/>
        </c:spPr>
      </c:pivotFmt>
      <c:pivotFmt>
        <c:idx val="2197"/>
        <c:spPr>
          <a:solidFill>
            <a:schemeClr val="accent1"/>
          </a:solidFill>
          <a:ln w="19050">
            <a:solidFill>
              <a:schemeClr val="lt1"/>
            </a:solidFill>
          </a:ln>
          <a:effectLst/>
        </c:spPr>
      </c:pivotFmt>
      <c:pivotFmt>
        <c:idx val="2198"/>
        <c:spPr>
          <a:solidFill>
            <a:schemeClr val="accent1"/>
          </a:solidFill>
          <a:ln w="19050">
            <a:solidFill>
              <a:schemeClr val="lt1"/>
            </a:solidFill>
          </a:ln>
          <a:effectLst/>
        </c:spPr>
      </c:pivotFmt>
      <c:pivotFmt>
        <c:idx val="2199"/>
        <c:spPr>
          <a:solidFill>
            <a:schemeClr val="accent1"/>
          </a:solidFill>
          <a:ln w="19050">
            <a:solidFill>
              <a:schemeClr val="lt1"/>
            </a:solidFill>
          </a:ln>
          <a:effectLst/>
        </c:spPr>
      </c:pivotFmt>
      <c:pivotFmt>
        <c:idx val="2200"/>
        <c:spPr>
          <a:solidFill>
            <a:schemeClr val="accent1"/>
          </a:solidFill>
          <a:ln w="19050">
            <a:solidFill>
              <a:schemeClr val="lt1"/>
            </a:solidFill>
          </a:ln>
          <a:effectLst/>
        </c:spPr>
      </c:pivotFmt>
      <c:pivotFmt>
        <c:idx val="2201"/>
        <c:spPr>
          <a:solidFill>
            <a:schemeClr val="accent1"/>
          </a:solidFill>
          <a:ln w="19050">
            <a:solidFill>
              <a:schemeClr val="lt1"/>
            </a:solidFill>
          </a:ln>
          <a:effectLst/>
        </c:spPr>
      </c:pivotFmt>
      <c:pivotFmt>
        <c:idx val="2202"/>
        <c:spPr>
          <a:solidFill>
            <a:schemeClr val="accent1"/>
          </a:solidFill>
          <a:ln w="19050">
            <a:solidFill>
              <a:schemeClr val="lt1"/>
            </a:solidFill>
          </a:ln>
          <a:effectLst/>
        </c:spPr>
      </c:pivotFmt>
      <c:pivotFmt>
        <c:idx val="2203"/>
        <c:spPr>
          <a:solidFill>
            <a:schemeClr val="accent1"/>
          </a:solidFill>
          <a:ln w="19050">
            <a:solidFill>
              <a:schemeClr val="lt1"/>
            </a:solidFill>
          </a:ln>
          <a:effectLst/>
        </c:spPr>
      </c:pivotFmt>
      <c:pivotFmt>
        <c:idx val="2204"/>
        <c:spPr>
          <a:solidFill>
            <a:schemeClr val="accent1"/>
          </a:solidFill>
          <a:ln w="19050">
            <a:solidFill>
              <a:schemeClr val="lt1"/>
            </a:solidFill>
          </a:ln>
          <a:effectLst/>
        </c:spPr>
      </c:pivotFmt>
      <c:pivotFmt>
        <c:idx val="2205"/>
        <c:spPr>
          <a:solidFill>
            <a:schemeClr val="accent1"/>
          </a:solidFill>
          <a:ln w="19050">
            <a:solidFill>
              <a:schemeClr val="lt1"/>
            </a:solidFill>
          </a:ln>
          <a:effectLst/>
        </c:spPr>
      </c:pivotFmt>
      <c:pivotFmt>
        <c:idx val="2206"/>
        <c:spPr>
          <a:solidFill>
            <a:schemeClr val="accent1"/>
          </a:solidFill>
          <a:ln w="19050">
            <a:solidFill>
              <a:schemeClr val="lt1"/>
            </a:solidFill>
          </a:ln>
          <a:effectLst/>
        </c:spPr>
      </c:pivotFmt>
      <c:pivotFmt>
        <c:idx val="2207"/>
        <c:spPr>
          <a:solidFill>
            <a:schemeClr val="accent1"/>
          </a:solidFill>
          <a:ln w="19050">
            <a:solidFill>
              <a:schemeClr val="lt1"/>
            </a:solidFill>
          </a:ln>
          <a:effectLst/>
        </c:spPr>
      </c:pivotFmt>
      <c:pivotFmt>
        <c:idx val="2208"/>
        <c:spPr>
          <a:solidFill>
            <a:schemeClr val="accent1"/>
          </a:solidFill>
          <a:ln w="19050">
            <a:solidFill>
              <a:schemeClr val="lt1"/>
            </a:solidFill>
          </a:ln>
          <a:effectLst/>
        </c:spPr>
      </c:pivotFmt>
      <c:pivotFmt>
        <c:idx val="2209"/>
        <c:spPr>
          <a:solidFill>
            <a:schemeClr val="accent1"/>
          </a:solidFill>
          <a:ln w="19050">
            <a:solidFill>
              <a:schemeClr val="lt1"/>
            </a:solidFill>
          </a:ln>
          <a:effectLst/>
        </c:spPr>
      </c:pivotFmt>
      <c:pivotFmt>
        <c:idx val="2210"/>
        <c:spPr>
          <a:solidFill>
            <a:schemeClr val="accent1"/>
          </a:solidFill>
          <a:ln w="19050">
            <a:solidFill>
              <a:schemeClr val="lt1"/>
            </a:solidFill>
          </a:ln>
          <a:effectLst/>
        </c:spPr>
      </c:pivotFmt>
      <c:pivotFmt>
        <c:idx val="2211"/>
        <c:spPr>
          <a:solidFill>
            <a:schemeClr val="accent1"/>
          </a:solidFill>
          <a:ln w="19050">
            <a:solidFill>
              <a:schemeClr val="lt1"/>
            </a:solidFill>
          </a:ln>
          <a:effectLst/>
        </c:spPr>
      </c:pivotFmt>
      <c:pivotFmt>
        <c:idx val="2212"/>
        <c:spPr>
          <a:solidFill>
            <a:schemeClr val="accent1"/>
          </a:solidFill>
          <a:ln w="19050">
            <a:solidFill>
              <a:schemeClr val="lt1"/>
            </a:solidFill>
          </a:ln>
          <a:effectLst/>
        </c:spPr>
      </c:pivotFmt>
      <c:pivotFmt>
        <c:idx val="2213"/>
        <c:spPr>
          <a:solidFill>
            <a:schemeClr val="accent1"/>
          </a:solidFill>
          <a:ln w="19050">
            <a:solidFill>
              <a:schemeClr val="lt1"/>
            </a:solidFill>
          </a:ln>
          <a:effectLst/>
        </c:spPr>
      </c:pivotFmt>
      <c:pivotFmt>
        <c:idx val="2214"/>
        <c:spPr>
          <a:solidFill>
            <a:schemeClr val="accent1"/>
          </a:solidFill>
          <a:ln w="19050">
            <a:solidFill>
              <a:schemeClr val="lt1"/>
            </a:solidFill>
          </a:ln>
          <a:effectLst/>
        </c:spPr>
      </c:pivotFmt>
      <c:pivotFmt>
        <c:idx val="2215"/>
        <c:spPr>
          <a:solidFill>
            <a:schemeClr val="accent1"/>
          </a:solidFill>
          <a:ln w="19050">
            <a:solidFill>
              <a:schemeClr val="lt1"/>
            </a:solidFill>
          </a:ln>
          <a:effectLst/>
        </c:spPr>
      </c:pivotFmt>
      <c:pivotFmt>
        <c:idx val="2216"/>
        <c:spPr>
          <a:solidFill>
            <a:schemeClr val="accent1"/>
          </a:solidFill>
          <a:ln w="19050">
            <a:solidFill>
              <a:schemeClr val="lt1"/>
            </a:solidFill>
          </a:ln>
          <a:effectLst/>
        </c:spPr>
      </c:pivotFmt>
      <c:pivotFmt>
        <c:idx val="2217"/>
        <c:spPr>
          <a:solidFill>
            <a:schemeClr val="accent1"/>
          </a:solidFill>
          <a:ln w="19050">
            <a:solidFill>
              <a:schemeClr val="lt1"/>
            </a:solidFill>
          </a:ln>
          <a:effectLst/>
        </c:spPr>
      </c:pivotFmt>
      <c:pivotFmt>
        <c:idx val="2218"/>
        <c:spPr>
          <a:solidFill>
            <a:schemeClr val="accent1"/>
          </a:solidFill>
          <a:ln w="19050">
            <a:solidFill>
              <a:schemeClr val="lt1"/>
            </a:solidFill>
          </a:ln>
          <a:effectLst/>
        </c:spPr>
      </c:pivotFmt>
      <c:pivotFmt>
        <c:idx val="2219"/>
        <c:spPr>
          <a:solidFill>
            <a:schemeClr val="accent1"/>
          </a:solidFill>
          <a:ln w="19050">
            <a:solidFill>
              <a:schemeClr val="lt1"/>
            </a:solidFill>
          </a:ln>
          <a:effectLst/>
        </c:spPr>
      </c:pivotFmt>
      <c:pivotFmt>
        <c:idx val="2220"/>
        <c:spPr>
          <a:solidFill>
            <a:schemeClr val="accent1"/>
          </a:solidFill>
          <a:ln w="19050">
            <a:solidFill>
              <a:schemeClr val="lt1"/>
            </a:solidFill>
          </a:ln>
          <a:effectLst/>
        </c:spPr>
      </c:pivotFmt>
      <c:pivotFmt>
        <c:idx val="2221"/>
        <c:spPr>
          <a:solidFill>
            <a:schemeClr val="accent1"/>
          </a:solidFill>
          <a:ln w="19050">
            <a:solidFill>
              <a:schemeClr val="lt1"/>
            </a:solidFill>
          </a:ln>
          <a:effectLst/>
        </c:spPr>
      </c:pivotFmt>
      <c:pivotFmt>
        <c:idx val="2222"/>
        <c:spPr>
          <a:solidFill>
            <a:schemeClr val="accent1"/>
          </a:solidFill>
          <a:ln w="19050">
            <a:solidFill>
              <a:schemeClr val="lt1"/>
            </a:solidFill>
          </a:ln>
          <a:effectLst/>
        </c:spPr>
      </c:pivotFmt>
      <c:pivotFmt>
        <c:idx val="2223"/>
        <c:spPr>
          <a:solidFill>
            <a:schemeClr val="accent1"/>
          </a:solidFill>
          <a:ln w="19050">
            <a:solidFill>
              <a:schemeClr val="lt1"/>
            </a:solidFill>
          </a:ln>
          <a:effectLst/>
        </c:spPr>
      </c:pivotFmt>
      <c:pivotFmt>
        <c:idx val="2224"/>
        <c:spPr>
          <a:solidFill>
            <a:schemeClr val="accent1"/>
          </a:solidFill>
          <a:ln w="19050">
            <a:solidFill>
              <a:schemeClr val="lt1"/>
            </a:solidFill>
          </a:ln>
          <a:effectLst/>
        </c:spPr>
      </c:pivotFmt>
      <c:pivotFmt>
        <c:idx val="2225"/>
        <c:spPr>
          <a:solidFill>
            <a:schemeClr val="accent1"/>
          </a:solidFill>
          <a:ln w="19050">
            <a:solidFill>
              <a:schemeClr val="lt1"/>
            </a:solidFill>
          </a:ln>
          <a:effectLst/>
        </c:spPr>
      </c:pivotFmt>
      <c:pivotFmt>
        <c:idx val="2226"/>
        <c:spPr>
          <a:solidFill>
            <a:schemeClr val="accent1"/>
          </a:solidFill>
          <a:ln w="19050">
            <a:solidFill>
              <a:schemeClr val="lt1"/>
            </a:solidFill>
          </a:ln>
          <a:effectLst/>
        </c:spPr>
      </c:pivotFmt>
      <c:pivotFmt>
        <c:idx val="2227"/>
        <c:spPr>
          <a:solidFill>
            <a:schemeClr val="accent1"/>
          </a:solidFill>
          <a:ln w="19050">
            <a:solidFill>
              <a:schemeClr val="lt1"/>
            </a:solidFill>
          </a:ln>
          <a:effectLst/>
        </c:spPr>
      </c:pivotFmt>
      <c:pivotFmt>
        <c:idx val="2228"/>
        <c:spPr>
          <a:solidFill>
            <a:schemeClr val="accent1"/>
          </a:solidFill>
          <a:ln w="19050">
            <a:solidFill>
              <a:schemeClr val="lt1"/>
            </a:solidFill>
          </a:ln>
          <a:effectLst/>
        </c:spPr>
      </c:pivotFmt>
      <c:pivotFmt>
        <c:idx val="2229"/>
        <c:spPr>
          <a:solidFill>
            <a:schemeClr val="accent1"/>
          </a:solidFill>
          <a:ln w="19050">
            <a:solidFill>
              <a:schemeClr val="lt1"/>
            </a:solidFill>
          </a:ln>
          <a:effectLst/>
        </c:spPr>
      </c:pivotFmt>
      <c:pivotFmt>
        <c:idx val="2230"/>
        <c:spPr>
          <a:solidFill>
            <a:schemeClr val="accent1"/>
          </a:solidFill>
          <a:ln w="19050">
            <a:solidFill>
              <a:schemeClr val="lt1"/>
            </a:solidFill>
          </a:ln>
          <a:effectLst/>
        </c:spPr>
      </c:pivotFmt>
      <c:pivotFmt>
        <c:idx val="2231"/>
        <c:spPr>
          <a:solidFill>
            <a:schemeClr val="accent1"/>
          </a:solidFill>
          <a:ln w="19050">
            <a:solidFill>
              <a:schemeClr val="lt1"/>
            </a:solidFill>
          </a:ln>
          <a:effectLst/>
        </c:spPr>
      </c:pivotFmt>
      <c:pivotFmt>
        <c:idx val="2232"/>
        <c:spPr>
          <a:solidFill>
            <a:schemeClr val="accent1"/>
          </a:solidFill>
          <a:ln w="19050">
            <a:solidFill>
              <a:schemeClr val="lt1"/>
            </a:solidFill>
          </a:ln>
          <a:effectLst/>
        </c:spPr>
      </c:pivotFmt>
      <c:pivotFmt>
        <c:idx val="2233"/>
        <c:spPr>
          <a:solidFill>
            <a:schemeClr val="accent1"/>
          </a:solidFill>
          <a:ln w="19050">
            <a:solidFill>
              <a:schemeClr val="lt1"/>
            </a:solidFill>
          </a:ln>
          <a:effectLst/>
        </c:spPr>
      </c:pivotFmt>
      <c:pivotFmt>
        <c:idx val="2234"/>
        <c:spPr>
          <a:solidFill>
            <a:schemeClr val="accent1"/>
          </a:solidFill>
          <a:ln w="19050">
            <a:solidFill>
              <a:schemeClr val="lt1"/>
            </a:solidFill>
          </a:ln>
          <a:effectLst/>
        </c:spPr>
      </c:pivotFmt>
      <c:pivotFmt>
        <c:idx val="2235"/>
        <c:spPr>
          <a:solidFill>
            <a:schemeClr val="accent1"/>
          </a:solidFill>
          <a:ln w="19050">
            <a:solidFill>
              <a:schemeClr val="lt1"/>
            </a:solidFill>
          </a:ln>
          <a:effectLst/>
        </c:spPr>
      </c:pivotFmt>
      <c:pivotFmt>
        <c:idx val="2236"/>
        <c:spPr>
          <a:solidFill>
            <a:schemeClr val="accent1"/>
          </a:solidFill>
          <a:ln w="19050">
            <a:solidFill>
              <a:schemeClr val="lt1"/>
            </a:solidFill>
          </a:ln>
          <a:effectLst/>
        </c:spPr>
      </c:pivotFmt>
      <c:pivotFmt>
        <c:idx val="2237"/>
        <c:spPr>
          <a:solidFill>
            <a:schemeClr val="accent1"/>
          </a:solidFill>
          <a:ln w="19050">
            <a:solidFill>
              <a:schemeClr val="lt1"/>
            </a:solidFill>
          </a:ln>
          <a:effectLst/>
        </c:spPr>
      </c:pivotFmt>
      <c:pivotFmt>
        <c:idx val="2238"/>
        <c:spPr>
          <a:solidFill>
            <a:schemeClr val="accent1"/>
          </a:solidFill>
          <a:ln w="19050">
            <a:solidFill>
              <a:schemeClr val="lt1"/>
            </a:solidFill>
          </a:ln>
          <a:effectLst/>
        </c:spPr>
      </c:pivotFmt>
      <c:pivotFmt>
        <c:idx val="2239"/>
        <c:spPr>
          <a:solidFill>
            <a:schemeClr val="accent1"/>
          </a:solidFill>
          <a:ln w="19050">
            <a:solidFill>
              <a:schemeClr val="lt1"/>
            </a:solidFill>
          </a:ln>
          <a:effectLst/>
        </c:spPr>
      </c:pivotFmt>
      <c:pivotFmt>
        <c:idx val="2240"/>
        <c:spPr>
          <a:solidFill>
            <a:schemeClr val="accent1"/>
          </a:solidFill>
          <a:ln w="19050">
            <a:solidFill>
              <a:schemeClr val="lt1"/>
            </a:solidFill>
          </a:ln>
          <a:effectLst/>
        </c:spPr>
      </c:pivotFmt>
      <c:pivotFmt>
        <c:idx val="2241"/>
        <c:spPr>
          <a:solidFill>
            <a:schemeClr val="accent1"/>
          </a:solidFill>
          <a:ln w="19050">
            <a:solidFill>
              <a:schemeClr val="lt1"/>
            </a:solidFill>
          </a:ln>
          <a:effectLst/>
        </c:spPr>
      </c:pivotFmt>
      <c:pivotFmt>
        <c:idx val="2242"/>
        <c:spPr>
          <a:solidFill>
            <a:schemeClr val="accent1"/>
          </a:solidFill>
          <a:ln w="19050">
            <a:solidFill>
              <a:schemeClr val="lt1"/>
            </a:solidFill>
          </a:ln>
          <a:effectLst/>
        </c:spPr>
      </c:pivotFmt>
      <c:pivotFmt>
        <c:idx val="2243"/>
        <c:spPr>
          <a:solidFill>
            <a:schemeClr val="accent1"/>
          </a:solidFill>
          <a:ln w="19050">
            <a:solidFill>
              <a:schemeClr val="lt1"/>
            </a:solidFill>
          </a:ln>
          <a:effectLst/>
        </c:spPr>
      </c:pivotFmt>
      <c:pivotFmt>
        <c:idx val="2244"/>
        <c:spPr>
          <a:solidFill>
            <a:schemeClr val="accent1"/>
          </a:solidFill>
          <a:ln w="19050">
            <a:solidFill>
              <a:schemeClr val="lt1"/>
            </a:solidFill>
          </a:ln>
          <a:effectLst/>
        </c:spPr>
      </c:pivotFmt>
      <c:pivotFmt>
        <c:idx val="2245"/>
        <c:spPr>
          <a:solidFill>
            <a:schemeClr val="accent1"/>
          </a:solidFill>
          <a:ln w="19050">
            <a:solidFill>
              <a:schemeClr val="lt1"/>
            </a:solidFill>
          </a:ln>
          <a:effectLst/>
        </c:spPr>
      </c:pivotFmt>
      <c:pivotFmt>
        <c:idx val="2246"/>
        <c:spPr>
          <a:solidFill>
            <a:schemeClr val="accent1"/>
          </a:solidFill>
          <a:ln w="19050">
            <a:solidFill>
              <a:schemeClr val="lt1"/>
            </a:solidFill>
          </a:ln>
          <a:effectLst/>
        </c:spPr>
      </c:pivotFmt>
      <c:pivotFmt>
        <c:idx val="2247"/>
        <c:spPr>
          <a:solidFill>
            <a:schemeClr val="accent1"/>
          </a:solidFill>
          <a:ln w="19050">
            <a:solidFill>
              <a:schemeClr val="lt1"/>
            </a:solidFill>
          </a:ln>
          <a:effectLst/>
        </c:spPr>
      </c:pivotFmt>
      <c:pivotFmt>
        <c:idx val="2248"/>
        <c:spPr>
          <a:solidFill>
            <a:schemeClr val="accent1"/>
          </a:solidFill>
          <a:ln w="19050">
            <a:solidFill>
              <a:schemeClr val="lt1"/>
            </a:solidFill>
          </a:ln>
          <a:effectLst/>
        </c:spPr>
      </c:pivotFmt>
      <c:pivotFmt>
        <c:idx val="2249"/>
        <c:spPr>
          <a:solidFill>
            <a:schemeClr val="accent1"/>
          </a:solidFill>
          <a:ln w="19050">
            <a:solidFill>
              <a:schemeClr val="lt1"/>
            </a:solidFill>
          </a:ln>
          <a:effectLst/>
        </c:spPr>
      </c:pivotFmt>
      <c:pivotFmt>
        <c:idx val="2250"/>
        <c:spPr>
          <a:solidFill>
            <a:schemeClr val="accent1"/>
          </a:solidFill>
          <a:ln w="19050">
            <a:solidFill>
              <a:schemeClr val="lt1"/>
            </a:solidFill>
          </a:ln>
          <a:effectLst/>
        </c:spPr>
      </c:pivotFmt>
      <c:pivotFmt>
        <c:idx val="2251"/>
        <c:spPr>
          <a:solidFill>
            <a:schemeClr val="accent1"/>
          </a:solidFill>
          <a:ln w="19050">
            <a:solidFill>
              <a:schemeClr val="lt1"/>
            </a:solidFill>
          </a:ln>
          <a:effectLst/>
        </c:spPr>
      </c:pivotFmt>
      <c:pivotFmt>
        <c:idx val="2252"/>
        <c:spPr>
          <a:solidFill>
            <a:schemeClr val="accent1"/>
          </a:solidFill>
          <a:ln w="19050">
            <a:solidFill>
              <a:schemeClr val="lt1"/>
            </a:solidFill>
          </a:ln>
          <a:effectLst/>
        </c:spPr>
      </c:pivotFmt>
      <c:pivotFmt>
        <c:idx val="2253"/>
        <c:spPr>
          <a:solidFill>
            <a:schemeClr val="accent1"/>
          </a:solidFill>
          <a:ln w="19050">
            <a:solidFill>
              <a:schemeClr val="lt1"/>
            </a:solidFill>
          </a:ln>
          <a:effectLst/>
        </c:spPr>
      </c:pivotFmt>
      <c:pivotFmt>
        <c:idx val="2254"/>
        <c:spPr>
          <a:solidFill>
            <a:schemeClr val="accent1"/>
          </a:solidFill>
          <a:ln w="19050">
            <a:solidFill>
              <a:schemeClr val="lt1"/>
            </a:solidFill>
          </a:ln>
          <a:effectLst/>
        </c:spPr>
      </c:pivotFmt>
      <c:pivotFmt>
        <c:idx val="2255"/>
        <c:spPr>
          <a:solidFill>
            <a:schemeClr val="accent1"/>
          </a:solidFill>
          <a:ln w="19050">
            <a:solidFill>
              <a:schemeClr val="lt1"/>
            </a:solidFill>
          </a:ln>
          <a:effectLst/>
        </c:spPr>
      </c:pivotFmt>
      <c:pivotFmt>
        <c:idx val="2256"/>
        <c:spPr>
          <a:solidFill>
            <a:schemeClr val="accent1"/>
          </a:solidFill>
          <a:ln w="19050">
            <a:solidFill>
              <a:schemeClr val="lt1"/>
            </a:solidFill>
          </a:ln>
          <a:effectLst/>
        </c:spPr>
      </c:pivotFmt>
      <c:pivotFmt>
        <c:idx val="2257"/>
        <c:spPr>
          <a:solidFill>
            <a:schemeClr val="accent1"/>
          </a:solidFill>
          <a:ln w="19050">
            <a:solidFill>
              <a:schemeClr val="lt1"/>
            </a:solidFill>
          </a:ln>
          <a:effectLst/>
        </c:spPr>
      </c:pivotFmt>
      <c:pivotFmt>
        <c:idx val="2258"/>
        <c:spPr>
          <a:solidFill>
            <a:schemeClr val="accent1"/>
          </a:solidFill>
          <a:ln w="19050">
            <a:solidFill>
              <a:schemeClr val="lt1"/>
            </a:solidFill>
          </a:ln>
          <a:effectLst/>
        </c:spPr>
      </c:pivotFmt>
      <c:pivotFmt>
        <c:idx val="2259"/>
        <c:spPr>
          <a:solidFill>
            <a:schemeClr val="accent1"/>
          </a:solidFill>
          <a:ln w="19050">
            <a:solidFill>
              <a:schemeClr val="lt1"/>
            </a:solidFill>
          </a:ln>
          <a:effectLst/>
        </c:spPr>
      </c:pivotFmt>
      <c:pivotFmt>
        <c:idx val="2260"/>
        <c:spPr>
          <a:solidFill>
            <a:schemeClr val="accent1"/>
          </a:solidFill>
          <a:ln w="19050">
            <a:solidFill>
              <a:schemeClr val="lt1"/>
            </a:solidFill>
          </a:ln>
          <a:effectLst/>
        </c:spPr>
      </c:pivotFmt>
      <c:pivotFmt>
        <c:idx val="2261"/>
        <c:spPr>
          <a:solidFill>
            <a:schemeClr val="accent1"/>
          </a:solidFill>
          <a:ln w="19050">
            <a:solidFill>
              <a:schemeClr val="lt1"/>
            </a:solidFill>
          </a:ln>
          <a:effectLst/>
        </c:spPr>
      </c:pivotFmt>
      <c:pivotFmt>
        <c:idx val="2262"/>
        <c:spPr>
          <a:solidFill>
            <a:schemeClr val="accent1"/>
          </a:solidFill>
          <a:ln w="19050">
            <a:solidFill>
              <a:schemeClr val="lt1"/>
            </a:solidFill>
          </a:ln>
          <a:effectLst/>
        </c:spPr>
      </c:pivotFmt>
      <c:pivotFmt>
        <c:idx val="2263"/>
        <c:spPr>
          <a:solidFill>
            <a:schemeClr val="accent1"/>
          </a:solidFill>
          <a:ln w="19050">
            <a:solidFill>
              <a:schemeClr val="lt1"/>
            </a:solidFill>
          </a:ln>
          <a:effectLst/>
        </c:spPr>
      </c:pivotFmt>
      <c:pivotFmt>
        <c:idx val="2264"/>
        <c:spPr>
          <a:solidFill>
            <a:schemeClr val="accent1"/>
          </a:solidFill>
          <a:ln w="19050">
            <a:solidFill>
              <a:schemeClr val="lt1"/>
            </a:solidFill>
          </a:ln>
          <a:effectLst/>
        </c:spPr>
      </c:pivotFmt>
      <c:pivotFmt>
        <c:idx val="2265"/>
        <c:spPr>
          <a:solidFill>
            <a:schemeClr val="accent1"/>
          </a:solidFill>
          <a:ln w="19050">
            <a:solidFill>
              <a:schemeClr val="lt1"/>
            </a:solidFill>
          </a:ln>
          <a:effectLst/>
        </c:spPr>
      </c:pivotFmt>
      <c:pivotFmt>
        <c:idx val="2266"/>
        <c:spPr>
          <a:solidFill>
            <a:schemeClr val="accent1"/>
          </a:solidFill>
          <a:ln w="19050">
            <a:solidFill>
              <a:schemeClr val="lt1"/>
            </a:solidFill>
          </a:ln>
          <a:effectLst/>
        </c:spPr>
      </c:pivotFmt>
      <c:pivotFmt>
        <c:idx val="2267"/>
        <c:spPr>
          <a:solidFill>
            <a:schemeClr val="accent1"/>
          </a:solidFill>
          <a:ln w="19050">
            <a:solidFill>
              <a:schemeClr val="lt1"/>
            </a:solidFill>
          </a:ln>
          <a:effectLst/>
        </c:spPr>
      </c:pivotFmt>
      <c:pivotFmt>
        <c:idx val="2268"/>
        <c:spPr>
          <a:solidFill>
            <a:schemeClr val="accent1"/>
          </a:solidFill>
          <a:ln w="19050">
            <a:solidFill>
              <a:schemeClr val="lt1"/>
            </a:solidFill>
          </a:ln>
          <a:effectLst/>
        </c:spPr>
      </c:pivotFmt>
      <c:pivotFmt>
        <c:idx val="2269"/>
        <c:spPr>
          <a:solidFill>
            <a:schemeClr val="accent1"/>
          </a:solidFill>
          <a:ln w="19050">
            <a:solidFill>
              <a:schemeClr val="lt1"/>
            </a:solidFill>
          </a:ln>
          <a:effectLst/>
        </c:spPr>
      </c:pivotFmt>
      <c:pivotFmt>
        <c:idx val="2270"/>
        <c:spPr>
          <a:solidFill>
            <a:schemeClr val="accent1"/>
          </a:solidFill>
          <a:ln w="19050">
            <a:solidFill>
              <a:schemeClr val="lt1"/>
            </a:solidFill>
          </a:ln>
          <a:effectLst/>
        </c:spPr>
      </c:pivotFmt>
      <c:pivotFmt>
        <c:idx val="2271"/>
        <c:spPr>
          <a:solidFill>
            <a:schemeClr val="accent1"/>
          </a:solidFill>
          <a:ln w="19050">
            <a:solidFill>
              <a:schemeClr val="lt1"/>
            </a:solidFill>
          </a:ln>
          <a:effectLst/>
        </c:spPr>
      </c:pivotFmt>
      <c:pivotFmt>
        <c:idx val="2272"/>
        <c:spPr>
          <a:solidFill>
            <a:schemeClr val="accent1"/>
          </a:solidFill>
          <a:ln w="19050">
            <a:solidFill>
              <a:schemeClr val="lt1"/>
            </a:solidFill>
          </a:ln>
          <a:effectLst/>
        </c:spPr>
      </c:pivotFmt>
      <c:pivotFmt>
        <c:idx val="2273"/>
        <c:spPr>
          <a:solidFill>
            <a:schemeClr val="accent1"/>
          </a:solidFill>
          <a:ln w="19050">
            <a:solidFill>
              <a:schemeClr val="lt1"/>
            </a:solidFill>
          </a:ln>
          <a:effectLst/>
        </c:spPr>
      </c:pivotFmt>
      <c:pivotFmt>
        <c:idx val="2274"/>
        <c:spPr>
          <a:solidFill>
            <a:schemeClr val="accent1"/>
          </a:solidFill>
          <a:ln w="19050">
            <a:solidFill>
              <a:schemeClr val="lt1"/>
            </a:solidFill>
          </a:ln>
          <a:effectLst/>
        </c:spPr>
      </c:pivotFmt>
      <c:pivotFmt>
        <c:idx val="2275"/>
        <c:spPr>
          <a:solidFill>
            <a:schemeClr val="accent1"/>
          </a:solidFill>
          <a:ln w="19050">
            <a:solidFill>
              <a:schemeClr val="lt1"/>
            </a:solidFill>
          </a:ln>
          <a:effectLst/>
        </c:spPr>
      </c:pivotFmt>
      <c:pivotFmt>
        <c:idx val="2276"/>
        <c:spPr>
          <a:solidFill>
            <a:schemeClr val="accent1"/>
          </a:solidFill>
          <a:ln w="19050">
            <a:solidFill>
              <a:schemeClr val="lt1"/>
            </a:solidFill>
          </a:ln>
          <a:effectLst/>
        </c:spPr>
      </c:pivotFmt>
      <c:pivotFmt>
        <c:idx val="2277"/>
        <c:spPr>
          <a:solidFill>
            <a:schemeClr val="accent1"/>
          </a:solidFill>
          <a:ln w="19050">
            <a:solidFill>
              <a:schemeClr val="lt1"/>
            </a:solidFill>
          </a:ln>
          <a:effectLst/>
        </c:spPr>
      </c:pivotFmt>
      <c:pivotFmt>
        <c:idx val="2278"/>
        <c:spPr>
          <a:solidFill>
            <a:schemeClr val="accent1"/>
          </a:solidFill>
          <a:ln w="19050">
            <a:solidFill>
              <a:schemeClr val="lt1"/>
            </a:solidFill>
          </a:ln>
          <a:effectLst/>
        </c:spPr>
      </c:pivotFmt>
      <c:pivotFmt>
        <c:idx val="2279"/>
        <c:spPr>
          <a:solidFill>
            <a:schemeClr val="accent1"/>
          </a:solidFill>
          <a:ln w="19050">
            <a:solidFill>
              <a:schemeClr val="lt1"/>
            </a:solidFill>
          </a:ln>
          <a:effectLst/>
        </c:spPr>
      </c:pivotFmt>
      <c:pivotFmt>
        <c:idx val="2280"/>
        <c:spPr>
          <a:solidFill>
            <a:schemeClr val="accent1"/>
          </a:solidFill>
          <a:ln w="19050">
            <a:solidFill>
              <a:schemeClr val="lt1"/>
            </a:solidFill>
          </a:ln>
          <a:effectLst/>
        </c:spPr>
      </c:pivotFmt>
      <c:pivotFmt>
        <c:idx val="2281"/>
        <c:spPr>
          <a:solidFill>
            <a:schemeClr val="accent1"/>
          </a:solidFill>
          <a:ln w="19050">
            <a:solidFill>
              <a:schemeClr val="lt1"/>
            </a:solidFill>
          </a:ln>
          <a:effectLst/>
        </c:spPr>
      </c:pivotFmt>
      <c:pivotFmt>
        <c:idx val="2282"/>
        <c:spPr>
          <a:solidFill>
            <a:schemeClr val="accent1"/>
          </a:solidFill>
          <a:ln w="19050">
            <a:solidFill>
              <a:schemeClr val="lt1"/>
            </a:solidFill>
          </a:ln>
          <a:effectLst/>
        </c:spPr>
      </c:pivotFmt>
      <c:pivotFmt>
        <c:idx val="2283"/>
        <c:spPr>
          <a:solidFill>
            <a:schemeClr val="accent1"/>
          </a:solidFill>
          <a:ln w="19050">
            <a:solidFill>
              <a:schemeClr val="lt1"/>
            </a:solidFill>
          </a:ln>
          <a:effectLst/>
        </c:spPr>
      </c:pivotFmt>
      <c:pivotFmt>
        <c:idx val="2284"/>
        <c:spPr>
          <a:solidFill>
            <a:schemeClr val="accent1"/>
          </a:solidFill>
          <a:ln w="19050">
            <a:solidFill>
              <a:schemeClr val="lt1"/>
            </a:solidFill>
          </a:ln>
          <a:effectLst/>
        </c:spPr>
      </c:pivotFmt>
      <c:pivotFmt>
        <c:idx val="2285"/>
        <c:spPr>
          <a:solidFill>
            <a:schemeClr val="accent1"/>
          </a:solidFill>
          <a:ln w="19050">
            <a:solidFill>
              <a:schemeClr val="lt1"/>
            </a:solidFill>
          </a:ln>
          <a:effectLst/>
        </c:spPr>
      </c:pivotFmt>
      <c:pivotFmt>
        <c:idx val="2286"/>
        <c:spPr>
          <a:solidFill>
            <a:schemeClr val="accent1"/>
          </a:solidFill>
          <a:ln w="19050">
            <a:solidFill>
              <a:schemeClr val="lt1"/>
            </a:solidFill>
          </a:ln>
          <a:effectLst/>
        </c:spPr>
      </c:pivotFmt>
      <c:pivotFmt>
        <c:idx val="2287"/>
        <c:spPr>
          <a:solidFill>
            <a:schemeClr val="accent1"/>
          </a:solidFill>
          <a:ln w="19050">
            <a:solidFill>
              <a:schemeClr val="lt1"/>
            </a:solidFill>
          </a:ln>
          <a:effectLst/>
        </c:spPr>
      </c:pivotFmt>
      <c:pivotFmt>
        <c:idx val="2288"/>
        <c:spPr>
          <a:solidFill>
            <a:schemeClr val="accent1"/>
          </a:solidFill>
          <a:ln w="19050">
            <a:solidFill>
              <a:schemeClr val="lt1"/>
            </a:solidFill>
          </a:ln>
          <a:effectLst/>
        </c:spPr>
      </c:pivotFmt>
      <c:pivotFmt>
        <c:idx val="2289"/>
        <c:spPr>
          <a:solidFill>
            <a:schemeClr val="accent1"/>
          </a:solidFill>
          <a:ln w="19050">
            <a:solidFill>
              <a:schemeClr val="lt1"/>
            </a:solidFill>
          </a:ln>
          <a:effectLst/>
        </c:spPr>
      </c:pivotFmt>
      <c:pivotFmt>
        <c:idx val="2290"/>
        <c:spPr>
          <a:solidFill>
            <a:schemeClr val="accent1"/>
          </a:solidFill>
          <a:ln w="19050">
            <a:solidFill>
              <a:schemeClr val="lt1"/>
            </a:solidFill>
          </a:ln>
          <a:effectLst/>
        </c:spPr>
      </c:pivotFmt>
      <c:pivotFmt>
        <c:idx val="2291"/>
        <c:spPr>
          <a:solidFill>
            <a:schemeClr val="accent1"/>
          </a:solidFill>
          <a:ln w="19050">
            <a:solidFill>
              <a:schemeClr val="lt1"/>
            </a:solidFill>
          </a:ln>
          <a:effectLst/>
        </c:spPr>
      </c:pivotFmt>
      <c:pivotFmt>
        <c:idx val="2292"/>
        <c:spPr>
          <a:solidFill>
            <a:schemeClr val="accent1"/>
          </a:solidFill>
          <a:ln w="19050">
            <a:solidFill>
              <a:schemeClr val="lt1"/>
            </a:solidFill>
          </a:ln>
          <a:effectLst/>
        </c:spPr>
      </c:pivotFmt>
      <c:pivotFmt>
        <c:idx val="2293"/>
        <c:spPr>
          <a:solidFill>
            <a:schemeClr val="accent1"/>
          </a:solidFill>
          <a:ln w="19050">
            <a:solidFill>
              <a:schemeClr val="lt1"/>
            </a:solidFill>
          </a:ln>
          <a:effectLst/>
        </c:spPr>
      </c:pivotFmt>
      <c:pivotFmt>
        <c:idx val="2294"/>
        <c:spPr>
          <a:solidFill>
            <a:schemeClr val="accent1"/>
          </a:solidFill>
          <a:ln w="19050">
            <a:solidFill>
              <a:schemeClr val="lt1"/>
            </a:solidFill>
          </a:ln>
          <a:effectLst/>
        </c:spPr>
      </c:pivotFmt>
      <c:pivotFmt>
        <c:idx val="2295"/>
        <c:spPr>
          <a:solidFill>
            <a:schemeClr val="accent1"/>
          </a:solidFill>
          <a:ln w="19050">
            <a:solidFill>
              <a:schemeClr val="lt1"/>
            </a:solidFill>
          </a:ln>
          <a:effectLst/>
        </c:spPr>
      </c:pivotFmt>
      <c:pivotFmt>
        <c:idx val="2296"/>
        <c:spPr>
          <a:solidFill>
            <a:schemeClr val="accent1"/>
          </a:solidFill>
          <a:ln w="19050">
            <a:solidFill>
              <a:schemeClr val="lt1"/>
            </a:solidFill>
          </a:ln>
          <a:effectLst/>
        </c:spPr>
      </c:pivotFmt>
      <c:pivotFmt>
        <c:idx val="2297"/>
        <c:spPr>
          <a:solidFill>
            <a:schemeClr val="accent1"/>
          </a:solidFill>
          <a:ln w="19050">
            <a:solidFill>
              <a:schemeClr val="lt1"/>
            </a:solidFill>
          </a:ln>
          <a:effectLst/>
        </c:spPr>
      </c:pivotFmt>
      <c:pivotFmt>
        <c:idx val="2298"/>
        <c:spPr>
          <a:solidFill>
            <a:schemeClr val="accent1"/>
          </a:solidFill>
          <a:ln w="19050">
            <a:solidFill>
              <a:schemeClr val="lt1"/>
            </a:solidFill>
          </a:ln>
          <a:effectLst/>
        </c:spPr>
      </c:pivotFmt>
      <c:pivotFmt>
        <c:idx val="2299"/>
        <c:spPr>
          <a:solidFill>
            <a:schemeClr val="accent1"/>
          </a:solidFill>
          <a:ln w="19050">
            <a:solidFill>
              <a:schemeClr val="lt1"/>
            </a:solidFill>
          </a:ln>
          <a:effectLst/>
        </c:spPr>
      </c:pivotFmt>
      <c:pivotFmt>
        <c:idx val="2300"/>
        <c:spPr>
          <a:solidFill>
            <a:schemeClr val="accent1"/>
          </a:solidFill>
          <a:ln w="19050">
            <a:solidFill>
              <a:schemeClr val="lt1"/>
            </a:solidFill>
          </a:ln>
          <a:effectLst/>
        </c:spPr>
      </c:pivotFmt>
      <c:pivotFmt>
        <c:idx val="2301"/>
        <c:spPr>
          <a:solidFill>
            <a:schemeClr val="accent1"/>
          </a:solidFill>
          <a:ln w="19050">
            <a:solidFill>
              <a:schemeClr val="lt1"/>
            </a:solidFill>
          </a:ln>
          <a:effectLst/>
        </c:spPr>
      </c:pivotFmt>
      <c:pivotFmt>
        <c:idx val="2302"/>
        <c:spPr>
          <a:solidFill>
            <a:schemeClr val="accent1"/>
          </a:solidFill>
          <a:ln w="19050">
            <a:solidFill>
              <a:schemeClr val="lt1"/>
            </a:solidFill>
          </a:ln>
          <a:effectLst/>
        </c:spPr>
      </c:pivotFmt>
      <c:pivotFmt>
        <c:idx val="2303"/>
        <c:spPr>
          <a:solidFill>
            <a:schemeClr val="accent1"/>
          </a:solidFill>
          <a:ln w="19050">
            <a:solidFill>
              <a:schemeClr val="lt1"/>
            </a:solidFill>
          </a:ln>
          <a:effectLst/>
        </c:spPr>
      </c:pivotFmt>
      <c:pivotFmt>
        <c:idx val="2304"/>
        <c:spPr>
          <a:solidFill>
            <a:schemeClr val="accent1"/>
          </a:solidFill>
          <a:ln w="19050">
            <a:solidFill>
              <a:schemeClr val="lt1"/>
            </a:solidFill>
          </a:ln>
          <a:effectLst/>
        </c:spPr>
      </c:pivotFmt>
      <c:pivotFmt>
        <c:idx val="2305"/>
        <c:spPr>
          <a:solidFill>
            <a:schemeClr val="accent1"/>
          </a:solidFill>
          <a:ln w="19050">
            <a:solidFill>
              <a:schemeClr val="lt1"/>
            </a:solidFill>
          </a:ln>
          <a:effectLst/>
        </c:spPr>
      </c:pivotFmt>
      <c:pivotFmt>
        <c:idx val="2306"/>
        <c:spPr>
          <a:solidFill>
            <a:schemeClr val="accent1"/>
          </a:solidFill>
          <a:ln w="19050">
            <a:solidFill>
              <a:schemeClr val="lt1"/>
            </a:solidFill>
          </a:ln>
          <a:effectLst/>
        </c:spPr>
      </c:pivotFmt>
      <c:pivotFmt>
        <c:idx val="2307"/>
        <c:spPr>
          <a:solidFill>
            <a:schemeClr val="accent1"/>
          </a:solidFill>
          <a:ln w="19050">
            <a:solidFill>
              <a:schemeClr val="lt1"/>
            </a:solidFill>
          </a:ln>
          <a:effectLst/>
        </c:spPr>
      </c:pivotFmt>
      <c:pivotFmt>
        <c:idx val="2308"/>
        <c:spPr>
          <a:solidFill>
            <a:schemeClr val="accent1"/>
          </a:solidFill>
          <a:ln w="19050">
            <a:solidFill>
              <a:schemeClr val="lt1"/>
            </a:solidFill>
          </a:ln>
          <a:effectLst/>
        </c:spPr>
      </c:pivotFmt>
      <c:pivotFmt>
        <c:idx val="2309"/>
        <c:spPr>
          <a:solidFill>
            <a:schemeClr val="accent1"/>
          </a:solidFill>
          <a:ln w="19050">
            <a:solidFill>
              <a:schemeClr val="lt1"/>
            </a:solidFill>
          </a:ln>
          <a:effectLst/>
        </c:spPr>
      </c:pivotFmt>
      <c:pivotFmt>
        <c:idx val="2310"/>
        <c:spPr>
          <a:solidFill>
            <a:schemeClr val="accent1"/>
          </a:solidFill>
          <a:ln w="19050">
            <a:solidFill>
              <a:schemeClr val="lt1"/>
            </a:solidFill>
          </a:ln>
          <a:effectLst/>
        </c:spPr>
      </c:pivotFmt>
      <c:pivotFmt>
        <c:idx val="2311"/>
        <c:spPr>
          <a:solidFill>
            <a:schemeClr val="accent1"/>
          </a:solidFill>
          <a:ln w="19050">
            <a:solidFill>
              <a:schemeClr val="lt1"/>
            </a:solidFill>
          </a:ln>
          <a:effectLst/>
        </c:spPr>
      </c:pivotFmt>
      <c:pivotFmt>
        <c:idx val="2312"/>
        <c:spPr>
          <a:solidFill>
            <a:schemeClr val="accent1"/>
          </a:solidFill>
          <a:ln w="19050">
            <a:solidFill>
              <a:schemeClr val="lt1"/>
            </a:solidFill>
          </a:ln>
          <a:effectLst/>
        </c:spPr>
      </c:pivotFmt>
      <c:pivotFmt>
        <c:idx val="2313"/>
        <c:spPr>
          <a:solidFill>
            <a:schemeClr val="accent1"/>
          </a:solidFill>
          <a:ln w="19050">
            <a:solidFill>
              <a:schemeClr val="lt1"/>
            </a:solidFill>
          </a:ln>
          <a:effectLst/>
        </c:spPr>
      </c:pivotFmt>
      <c:pivotFmt>
        <c:idx val="2314"/>
        <c:spPr>
          <a:solidFill>
            <a:schemeClr val="accent1"/>
          </a:solidFill>
          <a:ln w="19050">
            <a:solidFill>
              <a:schemeClr val="lt1"/>
            </a:solidFill>
          </a:ln>
          <a:effectLst/>
        </c:spPr>
      </c:pivotFmt>
      <c:pivotFmt>
        <c:idx val="2315"/>
        <c:spPr>
          <a:solidFill>
            <a:schemeClr val="accent1"/>
          </a:solidFill>
          <a:ln w="19050">
            <a:solidFill>
              <a:schemeClr val="lt1"/>
            </a:solidFill>
          </a:ln>
          <a:effectLst/>
        </c:spPr>
      </c:pivotFmt>
      <c:pivotFmt>
        <c:idx val="2316"/>
        <c:spPr>
          <a:solidFill>
            <a:schemeClr val="accent1"/>
          </a:solidFill>
          <a:ln w="19050">
            <a:solidFill>
              <a:schemeClr val="lt1"/>
            </a:solidFill>
          </a:ln>
          <a:effectLst/>
        </c:spPr>
      </c:pivotFmt>
      <c:pivotFmt>
        <c:idx val="2317"/>
        <c:spPr>
          <a:solidFill>
            <a:schemeClr val="accent1"/>
          </a:solidFill>
          <a:ln w="19050">
            <a:solidFill>
              <a:schemeClr val="lt1"/>
            </a:solidFill>
          </a:ln>
          <a:effectLst/>
        </c:spPr>
      </c:pivotFmt>
      <c:pivotFmt>
        <c:idx val="2318"/>
        <c:spPr>
          <a:solidFill>
            <a:schemeClr val="accent1"/>
          </a:solidFill>
          <a:ln w="19050">
            <a:solidFill>
              <a:schemeClr val="lt1"/>
            </a:solidFill>
          </a:ln>
          <a:effectLst/>
        </c:spPr>
      </c:pivotFmt>
      <c:pivotFmt>
        <c:idx val="2319"/>
        <c:spPr>
          <a:solidFill>
            <a:schemeClr val="accent1"/>
          </a:solidFill>
          <a:ln w="19050">
            <a:solidFill>
              <a:schemeClr val="lt1"/>
            </a:solidFill>
          </a:ln>
          <a:effectLst/>
        </c:spPr>
      </c:pivotFmt>
      <c:pivotFmt>
        <c:idx val="2320"/>
        <c:spPr>
          <a:solidFill>
            <a:schemeClr val="accent1"/>
          </a:solidFill>
          <a:ln w="19050">
            <a:solidFill>
              <a:schemeClr val="lt1"/>
            </a:solidFill>
          </a:ln>
          <a:effectLst/>
        </c:spPr>
      </c:pivotFmt>
      <c:pivotFmt>
        <c:idx val="2321"/>
        <c:spPr>
          <a:solidFill>
            <a:schemeClr val="accent1"/>
          </a:solidFill>
          <a:ln w="19050">
            <a:solidFill>
              <a:schemeClr val="lt1"/>
            </a:solidFill>
          </a:ln>
          <a:effectLst/>
        </c:spPr>
      </c:pivotFmt>
      <c:pivotFmt>
        <c:idx val="2322"/>
        <c:spPr>
          <a:solidFill>
            <a:schemeClr val="accent1"/>
          </a:solidFill>
          <a:ln w="19050">
            <a:solidFill>
              <a:schemeClr val="lt1"/>
            </a:solidFill>
          </a:ln>
          <a:effectLst/>
        </c:spPr>
      </c:pivotFmt>
      <c:pivotFmt>
        <c:idx val="2323"/>
        <c:spPr>
          <a:solidFill>
            <a:schemeClr val="accent1"/>
          </a:solidFill>
          <a:ln w="19050">
            <a:solidFill>
              <a:schemeClr val="lt1"/>
            </a:solidFill>
          </a:ln>
          <a:effectLst/>
        </c:spPr>
      </c:pivotFmt>
      <c:pivotFmt>
        <c:idx val="2324"/>
        <c:spPr>
          <a:solidFill>
            <a:schemeClr val="accent1"/>
          </a:solidFill>
          <a:ln w="19050">
            <a:solidFill>
              <a:schemeClr val="lt1"/>
            </a:solidFill>
          </a:ln>
          <a:effectLst/>
        </c:spPr>
      </c:pivotFmt>
      <c:pivotFmt>
        <c:idx val="2325"/>
        <c:spPr>
          <a:solidFill>
            <a:schemeClr val="accent1"/>
          </a:solidFill>
          <a:ln w="19050">
            <a:solidFill>
              <a:schemeClr val="lt1"/>
            </a:solidFill>
          </a:ln>
          <a:effectLst/>
        </c:spPr>
      </c:pivotFmt>
      <c:pivotFmt>
        <c:idx val="2326"/>
        <c:spPr>
          <a:solidFill>
            <a:schemeClr val="accent1"/>
          </a:solidFill>
          <a:ln w="19050">
            <a:solidFill>
              <a:schemeClr val="lt1"/>
            </a:solidFill>
          </a:ln>
          <a:effectLst/>
        </c:spPr>
      </c:pivotFmt>
      <c:pivotFmt>
        <c:idx val="2327"/>
        <c:spPr>
          <a:solidFill>
            <a:schemeClr val="accent1"/>
          </a:solidFill>
          <a:ln w="19050">
            <a:solidFill>
              <a:schemeClr val="lt1"/>
            </a:solidFill>
          </a:ln>
          <a:effectLst/>
        </c:spPr>
      </c:pivotFmt>
      <c:pivotFmt>
        <c:idx val="2328"/>
        <c:spPr>
          <a:solidFill>
            <a:schemeClr val="accent1"/>
          </a:solidFill>
          <a:ln w="19050">
            <a:solidFill>
              <a:schemeClr val="lt1"/>
            </a:solidFill>
          </a:ln>
          <a:effectLst/>
        </c:spPr>
      </c:pivotFmt>
      <c:pivotFmt>
        <c:idx val="2329"/>
        <c:spPr>
          <a:solidFill>
            <a:schemeClr val="accent1"/>
          </a:solidFill>
          <a:ln w="19050">
            <a:solidFill>
              <a:schemeClr val="lt1"/>
            </a:solidFill>
          </a:ln>
          <a:effectLst/>
        </c:spPr>
      </c:pivotFmt>
      <c:pivotFmt>
        <c:idx val="2330"/>
        <c:spPr>
          <a:solidFill>
            <a:schemeClr val="accent1"/>
          </a:solidFill>
          <a:ln w="19050">
            <a:solidFill>
              <a:schemeClr val="lt1"/>
            </a:solidFill>
          </a:ln>
          <a:effectLst/>
        </c:spPr>
      </c:pivotFmt>
      <c:pivotFmt>
        <c:idx val="2331"/>
        <c:spPr>
          <a:solidFill>
            <a:schemeClr val="accent1"/>
          </a:solidFill>
          <a:ln w="19050">
            <a:solidFill>
              <a:schemeClr val="lt1"/>
            </a:solidFill>
          </a:ln>
          <a:effectLst/>
        </c:spPr>
      </c:pivotFmt>
      <c:pivotFmt>
        <c:idx val="2332"/>
        <c:spPr>
          <a:solidFill>
            <a:schemeClr val="accent1"/>
          </a:solidFill>
          <a:ln w="19050">
            <a:solidFill>
              <a:schemeClr val="lt1"/>
            </a:solidFill>
          </a:ln>
          <a:effectLst/>
        </c:spPr>
      </c:pivotFmt>
      <c:pivotFmt>
        <c:idx val="2333"/>
        <c:spPr>
          <a:solidFill>
            <a:schemeClr val="accent1"/>
          </a:solidFill>
          <a:ln w="19050">
            <a:solidFill>
              <a:schemeClr val="lt1"/>
            </a:solidFill>
          </a:ln>
          <a:effectLst/>
        </c:spPr>
      </c:pivotFmt>
      <c:pivotFmt>
        <c:idx val="2334"/>
        <c:spPr>
          <a:solidFill>
            <a:schemeClr val="accent1"/>
          </a:solidFill>
          <a:ln w="19050">
            <a:solidFill>
              <a:schemeClr val="lt1"/>
            </a:solidFill>
          </a:ln>
          <a:effectLst/>
        </c:spPr>
      </c:pivotFmt>
      <c:pivotFmt>
        <c:idx val="2335"/>
        <c:spPr>
          <a:solidFill>
            <a:schemeClr val="accent1"/>
          </a:solidFill>
          <a:ln w="19050">
            <a:solidFill>
              <a:schemeClr val="lt1"/>
            </a:solidFill>
          </a:ln>
          <a:effectLst/>
        </c:spPr>
      </c:pivotFmt>
      <c:pivotFmt>
        <c:idx val="2336"/>
        <c:spPr>
          <a:solidFill>
            <a:schemeClr val="accent1"/>
          </a:solidFill>
          <a:ln w="19050">
            <a:solidFill>
              <a:schemeClr val="lt1"/>
            </a:solidFill>
          </a:ln>
          <a:effectLst/>
        </c:spPr>
      </c:pivotFmt>
      <c:pivotFmt>
        <c:idx val="2337"/>
        <c:spPr>
          <a:solidFill>
            <a:schemeClr val="accent1"/>
          </a:solidFill>
          <a:ln w="19050">
            <a:solidFill>
              <a:schemeClr val="lt1"/>
            </a:solidFill>
          </a:ln>
          <a:effectLst/>
        </c:spPr>
      </c:pivotFmt>
      <c:pivotFmt>
        <c:idx val="2338"/>
        <c:spPr>
          <a:solidFill>
            <a:schemeClr val="accent1"/>
          </a:solidFill>
          <a:ln w="19050">
            <a:solidFill>
              <a:schemeClr val="lt1"/>
            </a:solidFill>
          </a:ln>
          <a:effectLst/>
        </c:spPr>
      </c:pivotFmt>
      <c:pivotFmt>
        <c:idx val="2339"/>
        <c:spPr>
          <a:solidFill>
            <a:schemeClr val="accent1"/>
          </a:solidFill>
          <a:ln w="19050">
            <a:solidFill>
              <a:schemeClr val="lt1"/>
            </a:solidFill>
          </a:ln>
          <a:effectLst/>
        </c:spPr>
      </c:pivotFmt>
      <c:pivotFmt>
        <c:idx val="2340"/>
        <c:spPr>
          <a:solidFill>
            <a:schemeClr val="accent1"/>
          </a:solidFill>
          <a:ln w="19050">
            <a:solidFill>
              <a:schemeClr val="lt1"/>
            </a:solidFill>
          </a:ln>
          <a:effectLst/>
        </c:spPr>
      </c:pivotFmt>
      <c:pivotFmt>
        <c:idx val="2341"/>
        <c:spPr>
          <a:solidFill>
            <a:schemeClr val="accent1"/>
          </a:solidFill>
          <a:ln w="19050">
            <a:solidFill>
              <a:schemeClr val="lt1"/>
            </a:solidFill>
          </a:ln>
          <a:effectLst/>
        </c:spPr>
      </c:pivotFmt>
      <c:pivotFmt>
        <c:idx val="2342"/>
        <c:spPr>
          <a:solidFill>
            <a:schemeClr val="accent1"/>
          </a:solidFill>
          <a:ln w="19050">
            <a:solidFill>
              <a:schemeClr val="lt1"/>
            </a:solidFill>
          </a:ln>
          <a:effectLst/>
        </c:spPr>
      </c:pivotFmt>
      <c:pivotFmt>
        <c:idx val="2343"/>
        <c:spPr>
          <a:solidFill>
            <a:schemeClr val="accent1"/>
          </a:solidFill>
          <a:ln w="19050">
            <a:solidFill>
              <a:schemeClr val="lt1"/>
            </a:solidFill>
          </a:ln>
          <a:effectLst/>
        </c:spPr>
      </c:pivotFmt>
      <c:pivotFmt>
        <c:idx val="2344"/>
        <c:spPr>
          <a:solidFill>
            <a:schemeClr val="accent1"/>
          </a:solidFill>
          <a:ln w="19050">
            <a:solidFill>
              <a:schemeClr val="lt1"/>
            </a:solidFill>
          </a:ln>
          <a:effectLst/>
        </c:spPr>
      </c:pivotFmt>
      <c:pivotFmt>
        <c:idx val="2345"/>
        <c:spPr>
          <a:solidFill>
            <a:schemeClr val="accent1"/>
          </a:solidFill>
          <a:ln w="19050">
            <a:solidFill>
              <a:schemeClr val="lt1"/>
            </a:solidFill>
          </a:ln>
          <a:effectLst/>
        </c:spPr>
      </c:pivotFmt>
      <c:pivotFmt>
        <c:idx val="2346"/>
        <c:spPr>
          <a:solidFill>
            <a:schemeClr val="accent1"/>
          </a:solidFill>
          <a:ln w="19050">
            <a:solidFill>
              <a:schemeClr val="lt1"/>
            </a:solidFill>
          </a:ln>
          <a:effectLst/>
        </c:spPr>
      </c:pivotFmt>
      <c:pivotFmt>
        <c:idx val="2347"/>
        <c:spPr>
          <a:solidFill>
            <a:schemeClr val="accent1"/>
          </a:solidFill>
          <a:ln w="19050">
            <a:solidFill>
              <a:schemeClr val="lt1"/>
            </a:solidFill>
          </a:ln>
          <a:effectLst/>
        </c:spPr>
      </c:pivotFmt>
      <c:pivotFmt>
        <c:idx val="2348"/>
        <c:spPr>
          <a:solidFill>
            <a:schemeClr val="accent1"/>
          </a:solidFill>
          <a:ln w="19050">
            <a:solidFill>
              <a:schemeClr val="lt1"/>
            </a:solidFill>
          </a:ln>
          <a:effectLst/>
        </c:spPr>
      </c:pivotFmt>
      <c:pivotFmt>
        <c:idx val="2349"/>
        <c:spPr>
          <a:solidFill>
            <a:schemeClr val="accent1"/>
          </a:solidFill>
          <a:ln w="19050">
            <a:solidFill>
              <a:schemeClr val="lt1"/>
            </a:solidFill>
          </a:ln>
          <a:effectLst/>
        </c:spPr>
      </c:pivotFmt>
      <c:pivotFmt>
        <c:idx val="2350"/>
        <c:spPr>
          <a:solidFill>
            <a:schemeClr val="accent1"/>
          </a:solidFill>
          <a:ln w="19050">
            <a:solidFill>
              <a:schemeClr val="lt1"/>
            </a:solidFill>
          </a:ln>
          <a:effectLst/>
        </c:spPr>
      </c:pivotFmt>
      <c:pivotFmt>
        <c:idx val="2351"/>
        <c:spPr>
          <a:solidFill>
            <a:schemeClr val="accent1"/>
          </a:solidFill>
          <a:ln w="19050">
            <a:solidFill>
              <a:schemeClr val="lt1"/>
            </a:solidFill>
          </a:ln>
          <a:effectLst/>
        </c:spPr>
      </c:pivotFmt>
      <c:pivotFmt>
        <c:idx val="2352"/>
        <c:spPr>
          <a:solidFill>
            <a:schemeClr val="accent1"/>
          </a:solidFill>
          <a:ln w="19050">
            <a:solidFill>
              <a:schemeClr val="lt1"/>
            </a:solidFill>
          </a:ln>
          <a:effectLst/>
        </c:spPr>
      </c:pivotFmt>
      <c:pivotFmt>
        <c:idx val="2353"/>
        <c:spPr>
          <a:solidFill>
            <a:schemeClr val="accent1"/>
          </a:solidFill>
          <a:ln w="19050">
            <a:solidFill>
              <a:schemeClr val="lt1"/>
            </a:solidFill>
          </a:ln>
          <a:effectLst/>
        </c:spPr>
      </c:pivotFmt>
      <c:pivotFmt>
        <c:idx val="2354"/>
        <c:spPr>
          <a:solidFill>
            <a:schemeClr val="accent1"/>
          </a:solidFill>
          <a:ln w="19050">
            <a:solidFill>
              <a:schemeClr val="lt1"/>
            </a:solidFill>
          </a:ln>
          <a:effectLst/>
        </c:spPr>
      </c:pivotFmt>
      <c:pivotFmt>
        <c:idx val="2355"/>
        <c:spPr>
          <a:solidFill>
            <a:schemeClr val="accent1"/>
          </a:solidFill>
          <a:ln w="19050">
            <a:solidFill>
              <a:schemeClr val="lt1"/>
            </a:solidFill>
          </a:ln>
          <a:effectLst/>
        </c:spPr>
      </c:pivotFmt>
      <c:pivotFmt>
        <c:idx val="2356"/>
        <c:spPr>
          <a:solidFill>
            <a:schemeClr val="accent1"/>
          </a:solidFill>
          <a:ln w="19050">
            <a:solidFill>
              <a:schemeClr val="lt1"/>
            </a:solidFill>
          </a:ln>
          <a:effectLst/>
        </c:spPr>
      </c:pivotFmt>
      <c:pivotFmt>
        <c:idx val="2357"/>
        <c:spPr>
          <a:solidFill>
            <a:schemeClr val="accent1"/>
          </a:solidFill>
          <a:ln w="19050">
            <a:solidFill>
              <a:schemeClr val="lt1"/>
            </a:solidFill>
          </a:ln>
          <a:effectLst/>
        </c:spPr>
      </c:pivotFmt>
      <c:pivotFmt>
        <c:idx val="2358"/>
        <c:spPr>
          <a:solidFill>
            <a:schemeClr val="accent1"/>
          </a:solidFill>
          <a:ln w="19050">
            <a:solidFill>
              <a:schemeClr val="lt1"/>
            </a:solidFill>
          </a:ln>
          <a:effectLst/>
        </c:spPr>
      </c:pivotFmt>
      <c:pivotFmt>
        <c:idx val="2359"/>
        <c:spPr>
          <a:solidFill>
            <a:schemeClr val="accent1"/>
          </a:solidFill>
          <a:ln w="19050">
            <a:solidFill>
              <a:schemeClr val="lt1"/>
            </a:solidFill>
          </a:ln>
          <a:effectLst/>
        </c:spPr>
      </c:pivotFmt>
      <c:pivotFmt>
        <c:idx val="2360"/>
        <c:spPr>
          <a:solidFill>
            <a:schemeClr val="accent1"/>
          </a:solidFill>
          <a:ln w="19050">
            <a:solidFill>
              <a:schemeClr val="lt1"/>
            </a:solidFill>
          </a:ln>
          <a:effectLst/>
        </c:spPr>
      </c:pivotFmt>
      <c:pivotFmt>
        <c:idx val="2361"/>
        <c:spPr>
          <a:solidFill>
            <a:schemeClr val="accent1"/>
          </a:solidFill>
          <a:ln w="19050">
            <a:solidFill>
              <a:schemeClr val="lt1"/>
            </a:solidFill>
          </a:ln>
          <a:effectLst/>
        </c:spPr>
      </c:pivotFmt>
      <c:pivotFmt>
        <c:idx val="2362"/>
        <c:spPr>
          <a:solidFill>
            <a:schemeClr val="accent1"/>
          </a:solidFill>
          <a:ln w="19050">
            <a:solidFill>
              <a:schemeClr val="lt1"/>
            </a:solidFill>
          </a:ln>
          <a:effectLst/>
        </c:spPr>
      </c:pivotFmt>
      <c:pivotFmt>
        <c:idx val="2363"/>
        <c:spPr>
          <a:solidFill>
            <a:schemeClr val="accent1"/>
          </a:solidFill>
          <a:ln w="19050">
            <a:solidFill>
              <a:schemeClr val="lt1"/>
            </a:solidFill>
          </a:ln>
          <a:effectLst/>
        </c:spPr>
      </c:pivotFmt>
      <c:pivotFmt>
        <c:idx val="2364"/>
        <c:spPr>
          <a:solidFill>
            <a:schemeClr val="accent1"/>
          </a:solidFill>
          <a:ln w="19050">
            <a:solidFill>
              <a:schemeClr val="lt1"/>
            </a:solidFill>
          </a:ln>
          <a:effectLst/>
        </c:spPr>
      </c:pivotFmt>
      <c:pivotFmt>
        <c:idx val="2365"/>
        <c:spPr>
          <a:solidFill>
            <a:schemeClr val="accent1"/>
          </a:solidFill>
          <a:ln w="19050">
            <a:solidFill>
              <a:schemeClr val="lt1"/>
            </a:solidFill>
          </a:ln>
          <a:effectLst/>
        </c:spPr>
      </c:pivotFmt>
      <c:pivotFmt>
        <c:idx val="2366"/>
        <c:spPr>
          <a:solidFill>
            <a:schemeClr val="accent1"/>
          </a:solidFill>
          <a:ln w="19050">
            <a:solidFill>
              <a:schemeClr val="lt1"/>
            </a:solidFill>
          </a:ln>
          <a:effectLst/>
        </c:spPr>
      </c:pivotFmt>
      <c:pivotFmt>
        <c:idx val="2367"/>
        <c:spPr>
          <a:solidFill>
            <a:schemeClr val="accent1"/>
          </a:solidFill>
          <a:ln w="19050">
            <a:solidFill>
              <a:schemeClr val="lt1"/>
            </a:solidFill>
          </a:ln>
          <a:effectLst/>
        </c:spPr>
      </c:pivotFmt>
      <c:pivotFmt>
        <c:idx val="2368"/>
        <c:spPr>
          <a:solidFill>
            <a:schemeClr val="accent1"/>
          </a:solidFill>
          <a:ln w="19050">
            <a:solidFill>
              <a:schemeClr val="lt1"/>
            </a:solidFill>
          </a:ln>
          <a:effectLst/>
        </c:spPr>
      </c:pivotFmt>
      <c:pivotFmt>
        <c:idx val="2369"/>
        <c:spPr>
          <a:solidFill>
            <a:schemeClr val="accent1"/>
          </a:solidFill>
          <a:ln w="19050">
            <a:solidFill>
              <a:schemeClr val="lt1"/>
            </a:solidFill>
          </a:ln>
          <a:effectLst/>
        </c:spPr>
      </c:pivotFmt>
      <c:pivotFmt>
        <c:idx val="2370"/>
        <c:spPr>
          <a:solidFill>
            <a:schemeClr val="accent1"/>
          </a:solidFill>
          <a:ln w="19050">
            <a:solidFill>
              <a:schemeClr val="lt1"/>
            </a:solidFill>
          </a:ln>
          <a:effectLst/>
        </c:spPr>
      </c:pivotFmt>
      <c:pivotFmt>
        <c:idx val="2371"/>
        <c:spPr>
          <a:solidFill>
            <a:schemeClr val="accent1"/>
          </a:solidFill>
          <a:ln w="19050">
            <a:solidFill>
              <a:schemeClr val="lt1"/>
            </a:solidFill>
          </a:ln>
          <a:effectLst/>
        </c:spPr>
      </c:pivotFmt>
      <c:pivotFmt>
        <c:idx val="2372"/>
        <c:spPr>
          <a:solidFill>
            <a:schemeClr val="accent1"/>
          </a:solidFill>
          <a:ln w="19050">
            <a:solidFill>
              <a:schemeClr val="lt1"/>
            </a:solidFill>
          </a:ln>
          <a:effectLst/>
        </c:spPr>
      </c:pivotFmt>
      <c:pivotFmt>
        <c:idx val="2373"/>
        <c:spPr>
          <a:solidFill>
            <a:schemeClr val="accent1"/>
          </a:solidFill>
          <a:ln w="19050">
            <a:solidFill>
              <a:schemeClr val="lt1"/>
            </a:solidFill>
          </a:ln>
          <a:effectLst/>
        </c:spPr>
      </c:pivotFmt>
      <c:pivotFmt>
        <c:idx val="2374"/>
        <c:spPr>
          <a:solidFill>
            <a:schemeClr val="accent1"/>
          </a:solidFill>
          <a:ln w="19050">
            <a:solidFill>
              <a:schemeClr val="lt1"/>
            </a:solidFill>
          </a:ln>
          <a:effectLst/>
        </c:spPr>
      </c:pivotFmt>
      <c:pivotFmt>
        <c:idx val="2375"/>
        <c:spPr>
          <a:solidFill>
            <a:schemeClr val="accent1"/>
          </a:solidFill>
          <a:ln w="19050">
            <a:solidFill>
              <a:schemeClr val="lt1"/>
            </a:solidFill>
          </a:ln>
          <a:effectLst/>
        </c:spPr>
      </c:pivotFmt>
      <c:pivotFmt>
        <c:idx val="2376"/>
        <c:spPr>
          <a:solidFill>
            <a:schemeClr val="accent1"/>
          </a:solidFill>
          <a:ln w="19050">
            <a:solidFill>
              <a:schemeClr val="lt1"/>
            </a:solidFill>
          </a:ln>
          <a:effectLst/>
        </c:spPr>
      </c:pivotFmt>
      <c:pivotFmt>
        <c:idx val="2377"/>
        <c:spPr>
          <a:solidFill>
            <a:schemeClr val="accent1"/>
          </a:solidFill>
          <a:ln w="19050">
            <a:solidFill>
              <a:schemeClr val="lt1"/>
            </a:solidFill>
          </a:ln>
          <a:effectLst/>
        </c:spPr>
      </c:pivotFmt>
      <c:pivotFmt>
        <c:idx val="2378"/>
        <c:spPr>
          <a:solidFill>
            <a:schemeClr val="accent1"/>
          </a:solidFill>
          <a:ln w="19050">
            <a:solidFill>
              <a:schemeClr val="lt1"/>
            </a:solidFill>
          </a:ln>
          <a:effectLst/>
        </c:spPr>
      </c:pivotFmt>
      <c:pivotFmt>
        <c:idx val="2379"/>
        <c:spPr>
          <a:solidFill>
            <a:schemeClr val="accent1"/>
          </a:solidFill>
          <a:ln w="19050">
            <a:solidFill>
              <a:schemeClr val="lt1"/>
            </a:solidFill>
          </a:ln>
          <a:effectLst/>
        </c:spPr>
      </c:pivotFmt>
      <c:pivotFmt>
        <c:idx val="2380"/>
        <c:spPr>
          <a:solidFill>
            <a:schemeClr val="accent1"/>
          </a:solidFill>
          <a:ln w="19050">
            <a:solidFill>
              <a:schemeClr val="lt1"/>
            </a:solidFill>
          </a:ln>
          <a:effectLst/>
        </c:spPr>
      </c:pivotFmt>
      <c:pivotFmt>
        <c:idx val="2381"/>
        <c:spPr>
          <a:solidFill>
            <a:schemeClr val="accent1"/>
          </a:solidFill>
          <a:ln w="19050">
            <a:solidFill>
              <a:schemeClr val="lt1"/>
            </a:solidFill>
          </a:ln>
          <a:effectLst/>
        </c:spPr>
      </c:pivotFmt>
      <c:pivotFmt>
        <c:idx val="2382"/>
        <c:spPr>
          <a:solidFill>
            <a:schemeClr val="accent1"/>
          </a:solidFill>
          <a:ln w="19050">
            <a:solidFill>
              <a:schemeClr val="lt1"/>
            </a:solidFill>
          </a:ln>
          <a:effectLst/>
        </c:spPr>
      </c:pivotFmt>
      <c:pivotFmt>
        <c:idx val="2383"/>
        <c:spPr>
          <a:solidFill>
            <a:schemeClr val="accent1"/>
          </a:solidFill>
          <a:ln w="19050">
            <a:solidFill>
              <a:schemeClr val="lt1"/>
            </a:solidFill>
          </a:ln>
          <a:effectLst/>
        </c:spPr>
      </c:pivotFmt>
      <c:pivotFmt>
        <c:idx val="2384"/>
        <c:spPr>
          <a:solidFill>
            <a:schemeClr val="accent1"/>
          </a:solidFill>
          <a:ln w="19050">
            <a:solidFill>
              <a:schemeClr val="lt1"/>
            </a:solidFill>
          </a:ln>
          <a:effectLst/>
        </c:spPr>
      </c:pivotFmt>
      <c:pivotFmt>
        <c:idx val="2385"/>
        <c:spPr>
          <a:solidFill>
            <a:schemeClr val="accent1"/>
          </a:solidFill>
          <a:ln w="19050">
            <a:solidFill>
              <a:schemeClr val="lt1"/>
            </a:solidFill>
          </a:ln>
          <a:effectLst/>
        </c:spPr>
      </c:pivotFmt>
      <c:pivotFmt>
        <c:idx val="2386"/>
        <c:spPr>
          <a:solidFill>
            <a:schemeClr val="accent1"/>
          </a:solidFill>
          <a:ln w="19050">
            <a:solidFill>
              <a:schemeClr val="lt1"/>
            </a:solidFill>
          </a:ln>
          <a:effectLst/>
        </c:spPr>
      </c:pivotFmt>
      <c:pivotFmt>
        <c:idx val="2387"/>
        <c:spPr>
          <a:solidFill>
            <a:schemeClr val="accent1"/>
          </a:solidFill>
          <a:ln w="19050">
            <a:solidFill>
              <a:schemeClr val="lt1"/>
            </a:solidFill>
          </a:ln>
          <a:effectLst/>
        </c:spPr>
      </c:pivotFmt>
      <c:pivotFmt>
        <c:idx val="2388"/>
        <c:spPr>
          <a:solidFill>
            <a:schemeClr val="accent1"/>
          </a:solidFill>
          <a:ln w="19050">
            <a:solidFill>
              <a:schemeClr val="lt1"/>
            </a:solidFill>
          </a:ln>
          <a:effectLst/>
        </c:spPr>
      </c:pivotFmt>
      <c:pivotFmt>
        <c:idx val="2389"/>
        <c:spPr>
          <a:solidFill>
            <a:schemeClr val="accent1"/>
          </a:solidFill>
          <a:ln w="19050">
            <a:solidFill>
              <a:schemeClr val="lt1"/>
            </a:solidFill>
          </a:ln>
          <a:effectLst/>
        </c:spPr>
      </c:pivotFmt>
      <c:pivotFmt>
        <c:idx val="2390"/>
        <c:spPr>
          <a:solidFill>
            <a:schemeClr val="accent1"/>
          </a:solidFill>
          <a:ln w="19050">
            <a:solidFill>
              <a:schemeClr val="lt1"/>
            </a:solidFill>
          </a:ln>
          <a:effectLst/>
        </c:spPr>
      </c:pivotFmt>
      <c:pivotFmt>
        <c:idx val="2391"/>
        <c:spPr>
          <a:solidFill>
            <a:schemeClr val="accent1"/>
          </a:solidFill>
          <a:ln w="19050">
            <a:solidFill>
              <a:schemeClr val="lt1"/>
            </a:solidFill>
          </a:ln>
          <a:effectLst/>
        </c:spPr>
      </c:pivotFmt>
      <c:pivotFmt>
        <c:idx val="2392"/>
        <c:spPr>
          <a:solidFill>
            <a:schemeClr val="accent1"/>
          </a:solidFill>
          <a:ln w="19050">
            <a:solidFill>
              <a:schemeClr val="lt1"/>
            </a:solidFill>
          </a:ln>
          <a:effectLst/>
        </c:spPr>
      </c:pivotFmt>
      <c:pivotFmt>
        <c:idx val="2393"/>
        <c:spPr>
          <a:solidFill>
            <a:schemeClr val="accent1"/>
          </a:solidFill>
          <a:ln w="19050">
            <a:solidFill>
              <a:schemeClr val="lt1"/>
            </a:solidFill>
          </a:ln>
          <a:effectLst/>
        </c:spPr>
      </c:pivotFmt>
      <c:pivotFmt>
        <c:idx val="2394"/>
        <c:spPr>
          <a:solidFill>
            <a:schemeClr val="accent1"/>
          </a:solidFill>
          <a:ln w="19050">
            <a:solidFill>
              <a:schemeClr val="lt1"/>
            </a:solidFill>
          </a:ln>
          <a:effectLst/>
        </c:spPr>
      </c:pivotFmt>
      <c:pivotFmt>
        <c:idx val="2395"/>
        <c:spPr>
          <a:solidFill>
            <a:schemeClr val="accent1"/>
          </a:solidFill>
          <a:ln w="19050">
            <a:solidFill>
              <a:schemeClr val="lt1"/>
            </a:solidFill>
          </a:ln>
          <a:effectLst/>
        </c:spPr>
      </c:pivotFmt>
      <c:pivotFmt>
        <c:idx val="2396"/>
        <c:spPr>
          <a:solidFill>
            <a:schemeClr val="accent1"/>
          </a:solidFill>
          <a:ln w="19050">
            <a:solidFill>
              <a:schemeClr val="lt1"/>
            </a:solidFill>
          </a:ln>
          <a:effectLst/>
        </c:spPr>
      </c:pivotFmt>
      <c:pivotFmt>
        <c:idx val="2397"/>
        <c:spPr>
          <a:solidFill>
            <a:schemeClr val="accent1"/>
          </a:solidFill>
          <a:ln w="19050">
            <a:solidFill>
              <a:schemeClr val="lt1"/>
            </a:solidFill>
          </a:ln>
          <a:effectLst/>
        </c:spPr>
      </c:pivotFmt>
      <c:pivotFmt>
        <c:idx val="2398"/>
        <c:spPr>
          <a:solidFill>
            <a:schemeClr val="accent1"/>
          </a:solidFill>
          <a:ln w="19050">
            <a:solidFill>
              <a:schemeClr val="lt1"/>
            </a:solidFill>
          </a:ln>
          <a:effectLst/>
        </c:spPr>
      </c:pivotFmt>
      <c:pivotFmt>
        <c:idx val="2399"/>
        <c:spPr>
          <a:solidFill>
            <a:schemeClr val="accent1"/>
          </a:solidFill>
          <a:ln w="19050">
            <a:solidFill>
              <a:schemeClr val="lt1"/>
            </a:solidFill>
          </a:ln>
          <a:effectLst/>
        </c:spPr>
      </c:pivotFmt>
      <c:pivotFmt>
        <c:idx val="2400"/>
        <c:spPr>
          <a:solidFill>
            <a:schemeClr val="accent1"/>
          </a:solidFill>
          <a:ln w="19050">
            <a:solidFill>
              <a:schemeClr val="lt1"/>
            </a:solidFill>
          </a:ln>
          <a:effectLst/>
        </c:spPr>
      </c:pivotFmt>
      <c:pivotFmt>
        <c:idx val="2401"/>
        <c:spPr>
          <a:solidFill>
            <a:schemeClr val="accent1"/>
          </a:solidFill>
          <a:ln w="19050">
            <a:solidFill>
              <a:schemeClr val="lt1"/>
            </a:solidFill>
          </a:ln>
          <a:effectLst/>
        </c:spPr>
      </c:pivotFmt>
      <c:pivotFmt>
        <c:idx val="2402"/>
        <c:spPr>
          <a:solidFill>
            <a:schemeClr val="accent1"/>
          </a:solidFill>
          <a:ln w="19050">
            <a:solidFill>
              <a:schemeClr val="lt1"/>
            </a:solidFill>
          </a:ln>
          <a:effectLst/>
        </c:spPr>
      </c:pivotFmt>
      <c:pivotFmt>
        <c:idx val="2403"/>
        <c:spPr>
          <a:solidFill>
            <a:schemeClr val="accent1"/>
          </a:solidFill>
          <a:ln w="19050">
            <a:solidFill>
              <a:schemeClr val="lt1"/>
            </a:solidFill>
          </a:ln>
          <a:effectLst/>
        </c:spPr>
      </c:pivotFmt>
      <c:pivotFmt>
        <c:idx val="2404"/>
        <c:spPr>
          <a:solidFill>
            <a:schemeClr val="accent1"/>
          </a:solidFill>
          <a:ln w="19050">
            <a:solidFill>
              <a:schemeClr val="lt1"/>
            </a:solidFill>
          </a:ln>
          <a:effectLst/>
        </c:spPr>
      </c:pivotFmt>
      <c:pivotFmt>
        <c:idx val="2405"/>
        <c:spPr>
          <a:solidFill>
            <a:schemeClr val="accent1"/>
          </a:solidFill>
          <a:ln w="19050">
            <a:solidFill>
              <a:schemeClr val="lt1"/>
            </a:solidFill>
          </a:ln>
          <a:effectLst/>
        </c:spPr>
      </c:pivotFmt>
      <c:pivotFmt>
        <c:idx val="2406"/>
        <c:spPr>
          <a:solidFill>
            <a:schemeClr val="accent1"/>
          </a:solidFill>
          <a:ln w="19050">
            <a:solidFill>
              <a:schemeClr val="lt1"/>
            </a:solidFill>
          </a:ln>
          <a:effectLst/>
        </c:spPr>
      </c:pivotFmt>
      <c:pivotFmt>
        <c:idx val="2407"/>
        <c:spPr>
          <a:solidFill>
            <a:schemeClr val="accent1"/>
          </a:solidFill>
          <a:ln w="19050">
            <a:solidFill>
              <a:schemeClr val="lt1"/>
            </a:solidFill>
          </a:ln>
          <a:effectLst/>
        </c:spPr>
      </c:pivotFmt>
      <c:pivotFmt>
        <c:idx val="2408"/>
        <c:spPr>
          <a:solidFill>
            <a:schemeClr val="accent1"/>
          </a:solidFill>
          <a:ln w="19050">
            <a:solidFill>
              <a:schemeClr val="lt1"/>
            </a:solidFill>
          </a:ln>
          <a:effectLst/>
        </c:spPr>
      </c:pivotFmt>
      <c:pivotFmt>
        <c:idx val="2409"/>
        <c:spPr>
          <a:solidFill>
            <a:schemeClr val="accent1"/>
          </a:solidFill>
          <a:ln w="19050">
            <a:solidFill>
              <a:schemeClr val="lt1"/>
            </a:solidFill>
          </a:ln>
          <a:effectLst/>
        </c:spPr>
      </c:pivotFmt>
      <c:pivotFmt>
        <c:idx val="2410"/>
        <c:spPr>
          <a:solidFill>
            <a:schemeClr val="accent1"/>
          </a:solidFill>
          <a:ln w="19050">
            <a:solidFill>
              <a:schemeClr val="lt1"/>
            </a:solidFill>
          </a:ln>
          <a:effectLst/>
        </c:spPr>
      </c:pivotFmt>
      <c:pivotFmt>
        <c:idx val="2411"/>
        <c:spPr>
          <a:solidFill>
            <a:schemeClr val="accent1"/>
          </a:solidFill>
          <a:ln w="19050">
            <a:solidFill>
              <a:schemeClr val="lt1"/>
            </a:solidFill>
          </a:ln>
          <a:effectLst/>
        </c:spPr>
      </c:pivotFmt>
      <c:pivotFmt>
        <c:idx val="2412"/>
        <c:spPr>
          <a:solidFill>
            <a:schemeClr val="accent1"/>
          </a:solidFill>
          <a:ln w="19050">
            <a:solidFill>
              <a:schemeClr val="lt1"/>
            </a:solidFill>
          </a:ln>
          <a:effectLst/>
        </c:spPr>
      </c:pivotFmt>
      <c:pivotFmt>
        <c:idx val="2413"/>
        <c:spPr>
          <a:solidFill>
            <a:schemeClr val="accent1"/>
          </a:solidFill>
          <a:ln w="19050">
            <a:solidFill>
              <a:schemeClr val="lt1"/>
            </a:solidFill>
          </a:ln>
          <a:effectLst/>
        </c:spPr>
      </c:pivotFmt>
      <c:pivotFmt>
        <c:idx val="2414"/>
        <c:spPr>
          <a:solidFill>
            <a:schemeClr val="accent1"/>
          </a:solidFill>
          <a:ln w="19050">
            <a:solidFill>
              <a:schemeClr val="lt1"/>
            </a:solidFill>
          </a:ln>
          <a:effectLst/>
        </c:spPr>
      </c:pivotFmt>
      <c:pivotFmt>
        <c:idx val="2415"/>
        <c:spPr>
          <a:solidFill>
            <a:schemeClr val="accent1"/>
          </a:solidFill>
          <a:ln w="19050">
            <a:solidFill>
              <a:schemeClr val="lt1"/>
            </a:solidFill>
          </a:ln>
          <a:effectLst/>
        </c:spPr>
      </c:pivotFmt>
      <c:pivotFmt>
        <c:idx val="2416"/>
        <c:spPr>
          <a:solidFill>
            <a:schemeClr val="accent1"/>
          </a:solidFill>
          <a:ln w="19050">
            <a:solidFill>
              <a:schemeClr val="lt1"/>
            </a:solidFill>
          </a:ln>
          <a:effectLst/>
        </c:spPr>
      </c:pivotFmt>
      <c:pivotFmt>
        <c:idx val="2417"/>
        <c:spPr>
          <a:solidFill>
            <a:schemeClr val="accent1"/>
          </a:solidFill>
          <a:ln w="19050">
            <a:solidFill>
              <a:schemeClr val="lt1"/>
            </a:solidFill>
          </a:ln>
          <a:effectLst/>
        </c:spPr>
      </c:pivotFmt>
      <c:pivotFmt>
        <c:idx val="2418"/>
        <c:spPr>
          <a:solidFill>
            <a:schemeClr val="accent1"/>
          </a:solidFill>
          <a:ln w="19050">
            <a:solidFill>
              <a:schemeClr val="lt1"/>
            </a:solidFill>
          </a:ln>
          <a:effectLst/>
        </c:spPr>
      </c:pivotFmt>
      <c:pivotFmt>
        <c:idx val="2419"/>
        <c:spPr>
          <a:solidFill>
            <a:schemeClr val="accent1"/>
          </a:solidFill>
          <a:ln w="19050">
            <a:solidFill>
              <a:schemeClr val="lt1"/>
            </a:solidFill>
          </a:ln>
          <a:effectLst/>
        </c:spPr>
      </c:pivotFmt>
      <c:pivotFmt>
        <c:idx val="2420"/>
        <c:spPr>
          <a:solidFill>
            <a:schemeClr val="accent1"/>
          </a:solidFill>
          <a:ln w="19050">
            <a:solidFill>
              <a:schemeClr val="lt1"/>
            </a:solidFill>
          </a:ln>
          <a:effectLst/>
        </c:spPr>
      </c:pivotFmt>
      <c:pivotFmt>
        <c:idx val="2421"/>
        <c:spPr>
          <a:solidFill>
            <a:schemeClr val="accent1"/>
          </a:solidFill>
          <a:ln w="19050">
            <a:solidFill>
              <a:schemeClr val="lt1"/>
            </a:solidFill>
          </a:ln>
          <a:effectLst/>
        </c:spPr>
      </c:pivotFmt>
      <c:pivotFmt>
        <c:idx val="2422"/>
        <c:spPr>
          <a:solidFill>
            <a:schemeClr val="accent1"/>
          </a:solidFill>
          <a:ln w="19050">
            <a:solidFill>
              <a:schemeClr val="lt1"/>
            </a:solidFill>
          </a:ln>
          <a:effectLst/>
        </c:spPr>
      </c:pivotFmt>
      <c:pivotFmt>
        <c:idx val="2423"/>
        <c:spPr>
          <a:solidFill>
            <a:schemeClr val="accent1"/>
          </a:solidFill>
          <a:ln w="19050">
            <a:solidFill>
              <a:schemeClr val="lt1"/>
            </a:solidFill>
          </a:ln>
          <a:effectLst/>
        </c:spPr>
      </c:pivotFmt>
      <c:pivotFmt>
        <c:idx val="2424"/>
        <c:spPr>
          <a:solidFill>
            <a:schemeClr val="accent1"/>
          </a:solidFill>
          <a:ln w="19050">
            <a:solidFill>
              <a:schemeClr val="lt1"/>
            </a:solidFill>
          </a:ln>
          <a:effectLst/>
        </c:spPr>
      </c:pivotFmt>
      <c:pivotFmt>
        <c:idx val="2425"/>
        <c:spPr>
          <a:solidFill>
            <a:schemeClr val="accent1"/>
          </a:solidFill>
          <a:ln w="19050">
            <a:solidFill>
              <a:schemeClr val="lt1"/>
            </a:solidFill>
          </a:ln>
          <a:effectLst/>
        </c:spPr>
      </c:pivotFmt>
      <c:pivotFmt>
        <c:idx val="2426"/>
        <c:spPr>
          <a:solidFill>
            <a:schemeClr val="accent1"/>
          </a:solidFill>
          <a:ln w="19050">
            <a:solidFill>
              <a:schemeClr val="lt1"/>
            </a:solidFill>
          </a:ln>
          <a:effectLst/>
        </c:spPr>
      </c:pivotFmt>
      <c:pivotFmt>
        <c:idx val="2427"/>
        <c:spPr>
          <a:solidFill>
            <a:schemeClr val="accent1"/>
          </a:solidFill>
          <a:ln w="19050">
            <a:solidFill>
              <a:schemeClr val="lt1"/>
            </a:solidFill>
          </a:ln>
          <a:effectLst/>
        </c:spPr>
      </c:pivotFmt>
      <c:pivotFmt>
        <c:idx val="2428"/>
        <c:spPr>
          <a:solidFill>
            <a:schemeClr val="accent1"/>
          </a:solidFill>
          <a:ln w="19050">
            <a:solidFill>
              <a:schemeClr val="lt1"/>
            </a:solidFill>
          </a:ln>
          <a:effectLst/>
        </c:spPr>
      </c:pivotFmt>
      <c:pivotFmt>
        <c:idx val="2429"/>
        <c:spPr>
          <a:solidFill>
            <a:schemeClr val="accent1"/>
          </a:solidFill>
          <a:ln w="19050">
            <a:solidFill>
              <a:schemeClr val="lt1"/>
            </a:solidFill>
          </a:ln>
          <a:effectLst/>
        </c:spPr>
      </c:pivotFmt>
      <c:pivotFmt>
        <c:idx val="2430"/>
        <c:spPr>
          <a:solidFill>
            <a:schemeClr val="accent1"/>
          </a:solidFill>
          <a:ln w="19050">
            <a:solidFill>
              <a:schemeClr val="lt1"/>
            </a:solidFill>
          </a:ln>
          <a:effectLst/>
        </c:spPr>
      </c:pivotFmt>
      <c:pivotFmt>
        <c:idx val="2431"/>
        <c:spPr>
          <a:solidFill>
            <a:schemeClr val="accent1"/>
          </a:solidFill>
          <a:ln w="19050">
            <a:solidFill>
              <a:schemeClr val="lt1"/>
            </a:solidFill>
          </a:ln>
          <a:effectLst/>
        </c:spPr>
      </c:pivotFmt>
      <c:pivotFmt>
        <c:idx val="2432"/>
        <c:spPr>
          <a:solidFill>
            <a:schemeClr val="accent1"/>
          </a:solidFill>
          <a:ln w="19050">
            <a:solidFill>
              <a:schemeClr val="lt1"/>
            </a:solidFill>
          </a:ln>
          <a:effectLst/>
        </c:spPr>
      </c:pivotFmt>
      <c:pivotFmt>
        <c:idx val="2433"/>
        <c:spPr>
          <a:solidFill>
            <a:schemeClr val="accent1"/>
          </a:solidFill>
          <a:ln w="19050">
            <a:solidFill>
              <a:schemeClr val="lt1"/>
            </a:solidFill>
          </a:ln>
          <a:effectLst/>
        </c:spPr>
      </c:pivotFmt>
      <c:pivotFmt>
        <c:idx val="2434"/>
        <c:spPr>
          <a:solidFill>
            <a:schemeClr val="accent1"/>
          </a:solidFill>
          <a:ln w="19050">
            <a:solidFill>
              <a:schemeClr val="lt1"/>
            </a:solidFill>
          </a:ln>
          <a:effectLst/>
        </c:spPr>
      </c:pivotFmt>
      <c:pivotFmt>
        <c:idx val="2435"/>
        <c:spPr>
          <a:solidFill>
            <a:schemeClr val="accent1"/>
          </a:solidFill>
          <a:ln w="19050">
            <a:solidFill>
              <a:schemeClr val="lt1"/>
            </a:solidFill>
          </a:ln>
          <a:effectLst/>
        </c:spPr>
      </c:pivotFmt>
      <c:pivotFmt>
        <c:idx val="2436"/>
        <c:spPr>
          <a:solidFill>
            <a:schemeClr val="accent1"/>
          </a:solidFill>
          <a:ln w="19050">
            <a:solidFill>
              <a:schemeClr val="lt1"/>
            </a:solidFill>
          </a:ln>
          <a:effectLst/>
        </c:spPr>
      </c:pivotFmt>
      <c:pivotFmt>
        <c:idx val="2437"/>
        <c:spPr>
          <a:solidFill>
            <a:schemeClr val="accent1"/>
          </a:solidFill>
          <a:ln w="19050">
            <a:solidFill>
              <a:schemeClr val="lt1"/>
            </a:solidFill>
          </a:ln>
          <a:effectLst/>
        </c:spPr>
      </c:pivotFmt>
      <c:pivotFmt>
        <c:idx val="2438"/>
        <c:spPr>
          <a:solidFill>
            <a:schemeClr val="accent1"/>
          </a:solidFill>
          <a:ln w="19050">
            <a:solidFill>
              <a:schemeClr val="lt1"/>
            </a:solidFill>
          </a:ln>
          <a:effectLst/>
        </c:spPr>
      </c:pivotFmt>
      <c:pivotFmt>
        <c:idx val="2439"/>
        <c:spPr>
          <a:solidFill>
            <a:schemeClr val="accent1"/>
          </a:solidFill>
          <a:ln w="19050">
            <a:solidFill>
              <a:schemeClr val="lt1"/>
            </a:solidFill>
          </a:ln>
          <a:effectLst/>
        </c:spPr>
      </c:pivotFmt>
      <c:pivotFmt>
        <c:idx val="2440"/>
        <c:spPr>
          <a:solidFill>
            <a:schemeClr val="accent1"/>
          </a:solidFill>
          <a:ln w="19050">
            <a:solidFill>
              <a:schemeClr val="lt1"/>
            </a:solidFill>
          </a:ln>
          <a:effectLst/>
        </c:spPr>
      </c:pivotFmt>
      <c:pivotFmt>
        <c:idx val="2441"/>
        <c:spPr>
          <a:solidFill>
            <a:schemeClr val="accent1"/>
          </a:solidFill>
          <a:ln w="19050">
            <a:solidFill>
              <a:schemeClr val="lt1"/>
            </a:solidFill>
          </a:ln>
          <a:effectLst/>
        </c:spPr>
      </c:pivotFmt>
      <c:pivotFmt>
        <c:idx val="2442"/>
        <c:spPr>
          <a:solidFill>
            <a:schemeClr val="accent1"/>
          </a:solidFill>
          <a:ln w="19050">
            <a:solidFill>
              <a:schemeClr val="lt1"/>
            </a:solidFill>
          </a:ln>
          <a:effectLst/>
        </c:spPr>
      </c:pivotFmt>
      <c:pivotFmt>
        <c:idx val="2443"/>
        <c:spPr>
          <a:solidFill>
            <a:schemeClr val="accent1"/>
          </a:solidFill>
          <a:ln w="19050">
            <a:solidFill>
              <a:schemeClr val="lt1"/>
            </a:solidFill>
          </a:ln>
          <a:effectLst/>
        </c:spPr>
      </c:pivotFmt>
      <c:pivotFmt>
        <c:idx val="2444"/>
        <c:spPr>
          <a:solidFill>
            <a:schemeClr val="accent1"/>
          </a:solidFill>
          <a:ln w="19050">
            <a:solidFill>
              <a:schemeClr val="lt1"/>
            </a:solidFill>
          </a:ln>
          <a:effectLst/>
        </c:spPr>
      </c:pivotFmt>
      <c:pivotFmt>
        <c:idx val="2445"/>
        <c:spPr>
          <a:solidFill>
            <a:schemeClr val="accent1"/>
          </a:solidFill>
          <a:ln w="19050">
            <a:solidFill>
              <a:schemeClr val="lt1"/>
            </a:solidFill>
          </a:ln>
          <a:effectLst/>
        </c:spPr>
      </c:pivotFmt>
      <c:pivotFmt>
        <c:idx val="2446"/>
        <c:spPr>
          <a:solidFill>
            <a:schemeClr val="accent1"/>
          </a:solidFill>
          <a:ln w="19050">
            <a:solidFill>
              <a:schemeClr val="lt1"/>
            </a:solidFill>
          </a:ln>
          <a:effectLst/>
        </c:spPr>
      </c:pivotFmt>
      <c:pivotFmt>
        <c:idx val="2447"/>
        <c:spPr>
          <a:solidFill>
            <a:schemeClr val="accent1"/>
          </a:solidFill>
          <a:ln w="19050">
            <a:solidFill>
              <a:schemeClr val="lt1"/>
            </a:solidFill>
          </a:ln>
          <a:effectLst/>
        </c:spPr>
      </c:pivotFmt>
      <c:pivotFmt>
        <c:idx val="2448"/>
        <c:spPr>
          <a:solidFill>
            <a:schemeClr val="accent1"/>
          </a:solidFill>
          <a:ln w="19050">
            <a:solidFill>
              <a:schemeClr val="lt1"/>
            </a:solidFill>
          </a:ln>
          <a:effectLst/>
        </c:spPr>
      </c:pivotFmt>
      <c:pivotFmt>
        <c:idx val="2449"/>
        <c:spPr>
          <a:solidFill>
            <a:schemeClr val="accent1"/>
          </a:solidFill>
          <a:ln w="19050">
            <a:solidFill>
              <a:schemeClr val="lt1"/>
            </a:solidFill>
          </a:ln>
          <a:effectLst/>
        </c:spPr>
      </c:pivotFmt>
      <c:pivotFmt>
        <c:idx val="2450"/>
        <c:spPr>
          <a:solidFill>
            <a:schemeClr val="accent1"/>
          </a:solidFill>
          <a:ln w="19050">
            <a:solidFill>
              <a:schemeClr val="lt1"/>
            </a:solidFill>
          </a:ln>
          <a:effectLst/>
        </c:spPr>
      </c:pivotFmt>
      <c:pivotFmt>
        <c:idx val="2451"/>
        <c:spPr>
          <a:solidFill>
            <a:schemeClr val="accent1"/>
          </a:solidFill>
          <a:ln w="19050">
            <a:solidFill>
              <a:schemeClr val="lt1"/>
            </a:solidFill>
          </a:ln>
          <a:effectLst/>
        </c:spPr>
      </c:pivotFmt>
      <c:pivotFmt>
        <c:idx val="2452"/>
        <c:spPr>
          <a:solidFill>
            <a:schemeClr val="accent1"/>
          </a:solidFill>
          <a:ln w="19050">
            <a:solidFill>
              <a:schemeClr val="lt1"/>
            </a:solidFill>
          </a:ln>
          <a:effectLst/>
        </c:spPr>
      </c:pivotFmt>
      <c:pivotFmt>
        <c:idx val="2453"/>
        <c:spPr>
          <a:solidFill>
            <a:schemeClr val="accent1"/>
          </a:solidFill>
          <a:ln w="19050">
            <a:solidFill>
              <a:schemeClr val="lt1"/>
            </a:solidFill>
          </a:ln>
          <a:effectLst/>
        </c:spPr>
      </c:pivotFmt>
      <c:pivotFmt>
        <c:idx val="2454"/>
        <c:spPr>
          <a:solidFill>
            <a:schemeClr val="accent1"/>
          </a:solidFill>
          <a:ln w="19050">
            <a:solidFill>
              <a:schemeClr val="lt1"/>
            </a:solidFill>
          </a:ln>
          <a:effectLst/>
        </c:spPr>
      </c:pivotFmt>
      <c:pivotFmt>
        <c:idx val="2455"/>
        <c:spPr>
          <a:solidFill>
            <a:schemeClr val="accent1"/>
          </a:solidFill>
          <a:ln w="19050">
            <a:solidFill>
              <a:schemeClr val="lt1"/>
            </a:solidFill>
          </a:ln>
          <a:effectLst/>
        </c:spPr>
      </c:pivotFmt>
      <c:pivotFmt>
        <c:idx val="2456"/>
        <c:spPr>
          <a:solidFill>
            <a:schemeClr val="accent1"/>
          </a:solidFill>
          <a:ln w="19050">
            <a:solidFill>
              <a:schemeClr val="lt1"/>
            </a:solidFill>
          </a:ln>
          <a:effectLst/>
        </c:spPr>
      </c:pivotFmt>
      <c:pivotFmt>
        <c:idx val="2457"/>
        <c:spPr>
          <a:solidFill>
            <a:schemeClr val="accent1"/>
          </a:solidFill>
          <a:ln w="19050">
            <a:solidFill>
              <a:schemeClr val="lt1"/>
            </a:solidFill>
          </a:ln>
          <a:effectLst/>
        </c:spPr>
      </c:pivotFmt>
      <c:pivotFmt>
        <c:idx val="2458"/>
        <c:spPr>
          <a:solidFill>
            <a:schemeClr val="accent1"/>
          </a:solidFill>
          <a:ln w="19050">
            <a:solidFill>
              <a:schemeClr val="lt1"/>
            </a:solidFill>
          </a:ln>
          <a:effectLst/>
        </c:spPr>
      </c:pivotFmt>
      <c:pivotFmt>
        <c:idx val="2459"/>
        <c:spPr>
          <a:solidFill>
            <a:schemeClr val="accent1"/>
          </a:solidFill>
          <a:ln w="19050">
            <a:solidFill>
              <a:schemeClr val="lt1"/>
            </a:solidFill>
          </a:ln>
          <a:effectLst/>
        </c:spPr>
      </c:pivotFmt>
      <c:pivotFmt>
        <c:idx val="2460"/>
        <c:spPr>
          <a:solidFill>
            <a:schemeClr val="accent1"/>
          </a:solidFill>
          <a:ln w="19050">
            <a:solidFill>
              <a:schemeClr val="lt1"/>
            </a:solidFill>
          </a:ln>
          <a:effectLst/>
        </c:spPr>
      </c:pivotFmt>
      <c:pivotFmt>
        <c:idx val="2461"/>
        <c:spPr>
          <a:solidFill>
            <a:schemeClr val="accent1"/>
          </a:solidFill>
          <a:ln w="19050">
            <a:solidFill>
              <a:schemeClr val="lt1"/>
            </a:solidFill>
          </a:ln>
          <a:effectLst/>
        </c:spPr>
      </c:pivotFmt>
      <c:pivotFmt>
        <c:idx val="2462"/>
        <c:spPr>
          <a:solidFill>
            <a:schemeClr val="accent1"/>
          </a:solidFill>
          <a:ln w="19050">
            <a:solidFill>
              <a:schemeClr val="lt1"/>
            </a:solidFill>
          </a:ln>
          <a:effectLst/>
        </c:spPr>
      </c:pivotFmt>
      <c:pivotFmt>
        <c:idx val="2463"/>
        <c:spPr>
          <a:solidFill>
            <a:schemeClr val="accent1"/>
          </a:solidFill>
          <a:ln w="19050">
            <a:solidFill>
              <a:schemeClr val="lt1"/>
            </a:solidFill>
          </a:ln>
          <a:effectLst/>
        </c:spPr>
      </c:pivotFmt>
      <c:pivotFmt>
        <c:idx val="2464"/>
        <c:spPr>
          <a:solidFill>
            <a:schemeClr val="accent1"/>
          </a:solidFill>
          <a:ln w="19050">
            <a:solidFill>
              <a:schemeClr val="lt1"/>
            </a:solidFill>
          </a:ln>
          <a:effectLst/>
        </c:spPr>
      </c:pivotFmt>
      <c:pivotFmt>
        <c:idx val="2465"/>
        <c:spPr>
          <a:solidFill>
            <a:schemeClr val="accent1"/>
          </a:solidFill>
          <a:ln w="19050">
            <a:solidFill>
              <a:schemeClr val="lt1"/>
            </a:solidFill>
          </a:ln>
          <a:effectLst/>
        </c:spPr>
      </c:pivotFmt>
      <c:pivotFmt>
        <c:idx val="2466"/>
        <c:spPr>
          <a:solidFill>
            <a:schemeClr val="accent1"/>
          </a:solidFill>
          <a:ln w="19050">
            <a:solidFill>
              <a:schemeClr val="lt1"/>
            </a:solidFill>
          </a:ln>
          <a:effectLst/>
        </c:spPr>
      </c:pivotFmt>
      <c:pivotFmt>
        <c:idx val="2467"/>
        <c:spPr>
          <a:solidFill>
            <a:schemeClr val="accent1"/>
          </a:solidFill>
          <a:ln w="19050">
            <a:solidFill>
              <a:schemeClr val="lt1"/>
            </a:solidFill>
          </a:ln>
          <a:effectLst/>
        </c:spPr>
      </c:pivotFmt>
      <c:pivotFmt>
        <c:idx val="2468"/>
        <c:spPr>
          <a:solidFill>
            <a:schemeClr val="accent1"/>
          </a:solidFill>
          <a:ln w="19050">
            <a:solidFill>
              <a:schemeClr val="lt1"/>
            </a:solidFill>
          </a:ln>
          <a:effectLst/>
        </c:spPr>
      </c:pivotFmt>
      <c:pivotFmt>
        <c:idx val="2469"/>
        <c:spPr>
          <a:solidFill>
            <a:schemeClr val="accent1"/>
          </a:solidFill>
          <a:ln w="19050">
            <a:solidFill>
              <a:schemeClr val="lt1"/>
            </a:solidFill>
          </a:ln>
          <a:effectLst/>
        </c:spPr>
      </c:pivotFmt>
      <c:pivotFmt>
        <c:idx val="2470"/>
        <c:spPr>
          <a:solidFill>
            <a:schemeClr val="accent1"/>
          </a:solidFill>
          <a:ln w="19050">
            <a:solidFill>
              <a:schemeClr val="lt1"/>
            </a:solidFill>
          </a:ln>
          <a:effectLst/>
        </c:spPr>
      </c:pivotFmt>
      <c:pivotFmt>
        <c:idx val="2471"/>
        <c:spPr>
          <a:solidFill>
            <a:schemeClr val="accent1"/>
          </a:solidFill>
          <a:ln w="19050">
            <a:solidFill>
              <a:schemeClr val="lt1"/>
            </a:solidFill>
          </a:ln>
          <a:effectLst/>
        </c:spPr>
      </c:pivotFmt>
      <c:pivotFmt>
        <c:idx val="2472"/>
        <c:spPr>
          <a:solidFill>
            <a:schemeClr val="accent1"/>
          </a:solidFill>
          <a:ln w="19050">
            <a:solidFill>
              <a:schemeClr val="lt1"/>
            </a:solidFill>
          </a:ln>
          <a:effectLst/>
        </c:spPr>
      </c:pivotFmt>
      <c:pivotFmt>
        <c:idx val="2473"/>
        <c:spPr>
          <a:solidFill>
            <a:schemeClr val="accent1"/>
          </a:solidFill>
          <a:ln w="19050">
            <a:solidFill>
              <a:schemeClr val="lt1"/>
            </a:solidFill>
          </a:ln>
          <a:effectLst/>
        </c:spPr>
      </c:pivotFmt>
      <c:pivotFmt>
        <c:idx val="2474"/>
        <c:spPr>
          <a:solidFill>
            <a:schemeClr val="accent1"/>
          </a:solidFill>
          <a:ln w="19050">
            <a:solidFill>
              <a:schemeClr val="lt1"/>
            </a:solidFill>
          </a:ln>
          <a:effectLst/>
        </c:spPr>
      </c:pivotFmt>
      <c:pivotFmt>
        <c:idx val="2475"/>
        <c:spPr>
          <a:solidFill>
            <a:schemeClr val="accent1"/>
          </a:solidFill>
          <a:ln w="19050">
            <a:solidFill>
              <a:schemeClr val="lt1"/>
            </a:solidFill>
          </a:ln>
          <a:effectLst/>
        </c:spPr>
      </c:pivotFmt>
      <c:pivotFmt>
        <c:idx val="2476"/>
        <c:spPr>
          <a:solidFill>
            <a:schemeClr val="accent1"/>
          </a:solidFill>
          <a:ln w="19050">
            <a:solidFill>
              <a:schemeClr val="lt1"/>
            </a:solidFill>
          </a:ln>
          <a:effectLst/>
        </c:spPr>
      </c:pivotFmt>
      <c:pivotFmt>
        <c:idx val="2477"/>
        <c:spPr>
          <a:solidFill>
            <a:schemeClr val="accent1"/>
          </a:solidFill>
          <a:ln w="19050">
            <a:solidFill>
              <a:schemeClr val="lt1"/>
            </a:solidFill>
          </a:ln>
          <a:effectLst/>
        </c:spPr>
      </c:pivotFmt>
      <c:pivotFmt>
        <c:idx val="2478"/>
        <c:spPr>
          <a:solidFill>
            <a:schemeClr val="accent1"/>
          </a:solidFill>
          <a:ln w="19050">
            <a:solidFill>
              <a:schemeClr val="lt1"/>
            </a:solidFill>
          </a:ln>
          <a:effectLst/>
        </c:spPr>
      </c:pivotFmt>
      <c:pivotFmt>
        <c:idx val="2479"/>
        <c:spPr>
          <a:solidFill>
            <a:schemeClr val="accent1"/>
          </a:solidFill>
          <a:ln w="19050">
            <a:solidFill>
              <a:schemeClr val="lt1"/>
            </a:solidFill>
          </a:ln>
          <a:effectLst/>
        </c:spPr>
      </c:pivotFmt>
      <c:pivotFmt>
        <c:idx val="2480"/>
        <c:spPr>
          <a:solidFill>
            <a:schemeClr val="accent1"/>
          </a:solidFill>
          <a:ln w="19050">
            <a:solidFill>
              <a:schemeClr val="lt1"/>
            </a:solidFill>
          </a:ln>
          <a:effectLst/>
        </c:spPr>
      </c:pivotFmt>
      <c:pivotFmt>
        <c:idx val="2481"/>
        <c:spPr>
          <a:solidFill>
            <a:schemeClr val="accent1"/>
          </a:solidFill>
          <a:ln w="19050">
            <a:solidFill>
              <a:schemeClr val="lt1"/>
            </a:solidFill>
          </a:ln>
          <a:effectLst/>
        </c:spPr>
      </c:pivotFmt>
      <c:pivotFmt>
        <c:idx val="2482"/>
        <c:spPr>
          <a:solidFill>
            <a:schemeClr val="accent1"/>
          </a:solidFill>
          <a:ln w="19050">
            <a:solidFill>
              <a:schemeClr val="lt1"/>
            </a:solidFill>
          </a:ln>
          <a:effectLst/>
        </c:spPr>
      </c:pivotFmt>
      <c:pivotFmt>
        <c:idx val="2483"/>
        <c:spPr>
          <a:solidFill>
            <a:schemeClr val="accent1"/>
          </a:solidFill>
          <a:ln w="19050">
            <a:solidFill>
              <a:schemeClr val="lt1"/>
            </a:solidFill>
          </a:ln>
          <a:effectLst/>
        </c:spPr>
      </c:pivotFmt>
      <c:pivotFmt>
        <c:idx val="2484"/>
        <c:spPr>
          <a:solidFill>
            <a:schemeClr val="accent1"/>
          </a:solidFill>
          <a:ln w="19050">
            <a:solidFill>
              <a:schemeClr val="lt1"/>
            </a:solidFill>
          </a:ln>
          <a:effectLst/>
        </c:spPr>
      </c:pivotFmt>
      <c:pivotFmt>
        <c:idx val="2485"/>
        <c:spPr>
          <a:solidFill>
            <a:schemeClr val="accent1"/>
          </a:solidFill>
          <a:ln w="19050">
            <a:solidFill>
              <a:schemeClr val="lt1"/>
            </a:solidFill>
          </a:ln>
          <a:effectLst/>
        </c:spPr>
      </c:pivotFmt>
      <c:pivotFmt>
        <c:idx val="2486"/>
        <c:spPr>
          <a:solidFill>
            <a:schemeClr val="accent1"/>
          </a:solidFill>
          <a:ln w="19050">
            <a:solidFill>
              <a:schemeClr val="lt1"/>
            </a:solidFill>
          </a:ln>
          <a:effectLst/>
        </c:spPr>
      </c:pivotFmt>
      <c:pivotFmt>
        <c:idx val="2487"/>
        <c:spPr>
          <a:solidFill>
            <a:schemeClr val="accent1"/>
          </a:solidFill>
          <a:ln w="19050">
            <a:solidFill>
              <a:schemeClr val="lt1"/>
            </a:solidFill>
          </a:ln>
          <a:effectLst/>
        </c:spPr>
      </c:pivotFmt>
      <c:pivotFmt>
        <c:idx val="2488"/>
        <c:spPr>
          <a:solidFill>
            <a:schemeClr val="accent1"/>
          </a:solidFill>
          <a:ln w="19050">
            <a:solidFill>
              <a:schemeClr val="lt1"/>
            </a:solidFill>
          </a:ln>
          <a:effectLst/>
        </c:spPr>
      </c:pivotFmt>
      <c:pivotFmt>
        <c:idx val="2489"/>
        <c:spPr>
          <a:solidFill>
            <a:schemeClr val="accent1"/>
          </a:solidFill>
          <a:ln w="19050">
            <a:solidFill>
              <a:schemeClr val="lt1"/>
            </a:solidFill>
          </a:ln>
          <a:effectLst/>
        </c:spPr>
      </c:pivotFmt>
      <c:pivotFmt>
        <c:idx val="2490"/>
        <c:spPr>
          <a:solidFill>
            <a:schemeClr val="accent1"/>
          </a:solidFill>
          <a:ln w="19050">
            <a:solidFill>
              <a:schemeClr val="lt1"/>
            </a:solidFill>
          </a:ln>
          <a:effectLst/>
        </c:spPr>
      </c:pivotFmt>
      <c:pivotFmt>
        <c:idx val="2491"/>
        <c:spPr>
          <a:solidFill>
            <a:schemeClr val="accent1"/>
          </a:solidFill>
          <a:ln w="19050">
            <a:solidFill>
              <a:schemeClr val="lt1"/>
            </a:solidFill>
          </a:ln>
          <a:effectLst/>
        </c:spPr>
      </c:pivotFmt>
      <c:pivotFmt>
        <c:idx val="2492"/>
        <c:spPr>
          <a:solidFill>
            <a:schemeClr val="accent1"/>
          </a:solidFill>
          <a:ln w="19050">
            <a:solidFill>
              <a:schemeClr val="lt1"/>
            </a:solidFill>
          </a:ln>
          <a:effectLst/>
        </c:spPr>
      </c:pivotFmt>
      <c:pivotFmt>
        <c:idx val="2493"/>
        <c:spPr>
          <a:solidFill>
            <a:schemeClr val="accent1"/>
          </a:solidFill>
          <a:ln w="19050">
            <a:solidFill>
              <a:schemeClr val="lt1"/>
            </a:solidFill>
          </a:ln>
          <a:effectLst/>
        </c:spPr>
      </c:pivotFmt>
      <c:pivotFmt>
        <c:idx val="2494"/>
        <c:spPr>
          <a:solidFill>
            <a:schemeClr val="accent1"/>
          </a:solidFill>
          <a:ln w="19050">
            <a:solidFill>
              <a:schemeClr val="lt1"/>
            </a:solidFill>
          </a:ln>
          <a:effectLst/>
        </c:spPr>
      </c:pivotFmt>
      <c:pivotFmt>
        <c:idx val="2495"/>
        <c:spPr>
          <a:solidFill>
            <a:schemeClr val="accent1"/>
          </a:solidFill>
          <a:ln w="19050">
            <a:solidFill>
              <a:schemeClr val="lt1"/>
            </a:solidFill>
          </a:ln>
          <a:effectLst/>
        </c:spPr>
      </c:pivotFmt>
      <c:pivotFmt>
        <c:idx val="2496"/>
        <c:spPr>
          <a:solidFill>
            <a:schemeClr val="accent1"/>
          </a:solidFill>
          <a:ln w="19050">
            <a:solidFill>
              <a:schemeClr val="lt1"/>
            </a:solidFill>
          </a:ln>
          <a:effectLst/>
        </c:spPr>
      </c:pivotFmt>
      <c:pivotFmt>
        <c:idx val="2497"/>
        <c:spPr>
          <a:solidFill>
            <a:schemeClr val="accent1"/>
          </a:solidFill>
          <a:ln w="19050">
            <a:solidFill>
              <a:schemeClr val="lt1"/>
            </a:solidFill>
          </a:ln>
          <a:effectLst/>
        </c:spPr>
      </c:pivotFmt>
      <c:pivotFmt>
        <c:idx val="2498"/>
        <c:spPr>
          <a:solidFill>
            <a:schemeClr val="accent1"/>
          </a:solidFill>
          <a:ln w="19050">
            <a:solidFill>
              <a:schemeClr val="lt1"/>
            </a:solidFill>
          </a:ln>
          <a:effectLst/>
        </c:spPr>
      </c:pivotFmt>
      <c:pivotFmt>
        <c:idx val="2499"/>
        <c:spPr>
          <a:solidFill>
            <a:schemeClr val="accent1"/>
          </a:solidFill>
          <a:ln w="19050">
            <a:solidFill>
              <a:schemeClr val="lt1"/>
            </a:solidFill>
          </a:ln>
          <a:effectLst/>
        </c:spPr>
      </c:pivotFmt>
      <c:pivotFmt>
        <c:idx val="2500"/>
        <c:spPr>
          <a:solidFill>
            <a:schemeClr val="accent1"/>
          </a:solidFill>
          <a:ln w="19050">
            <a:solidFill>
              <a:schemeClr val="lt1"/>
            </a:solidFill>
          </a:ln>
          <a:effectLst/>
        </c:spPr>
      </c:pivotFmt>
      <c:pivotFmt>
        <c:idx val="2501"/>
        <c:spPr>
          <a:solidFill>
            <a:schemeClr val="accent1"/>
          </a:solidFill>
          <a:ln w="19050">
            <a:solidFill>
              <a:schemeClr val="lt1"/>
            </a:solidFill>
          </a:ln>
          <a:effectLst/>
        </c:spPr>
      </c:pivotFmt>
      <c:pivotFmt>
        <c:idx val="2502"/>
        <c:spPr>
          <a:solidFill>
            <a:schemeClr val="accent1"/>
          </a:solidFill>
          <a:ln w="19050">
            <a:solidFill>
              <a:schemeClr val="lt1"/>
            </a:solidFill>
          </a:ln>
          <a:effectLst/>
        </c:spPr>
      </c:pivotFmt>
      <c:pivotFmt>
        <c:idx val="2503"/>
        <c:spPr>
          <a:solidFill>
            <a:schemeClr val="accent1"/>
          </a:solidFill>
          <a:ln w="19050">
            <a:solidFill>
              <a:schemeClr val="lt1"/>
            </a:solidFill>
          </a:ln>
          <a:effectLst/>
        </c:spPr>
      </c:pivotFmt>
      <c:pivotFmt>
        <c:idx val="2504"/>
        <c:spPr>
          <a:solidFill>
            <a:schemeClr val="accent1"/>
          </a:solidFill>
          <a:ln w="19050">
            <a:solidFill>
              <a:schemeClr val="lt1"/>
            </a:solidFill>
          </a:ln>
          <a:effectLst/>
        </c:spPr>
      </c:pivotFmt>
      <c:pivotFmt>
        <c:idx val="2505"/>
        <c:spPr>
          <a:solidFill>
            <a:schemeClr val="accent1"/>
          </a:solidFill>
          <a:ln w="19050">
            <a:solidFill>
              <a:schemeClr val="lt1"/>
            </a:solidFill>
          </a:ln>
          <a:effectLst/>
        </c:spPr>
      </c:pivotFmt>
      <c:pivotFmt>
        <c:idx val="2506"/>
        <c:spPr>
          <a:solidFill>
            <a:schemeClr val="accent1"/>
          </a:solidFill>
          <a:ln w="19050">
            <a:solidFill>
              <a:schemeClr val="lt1"/>
            </a:solidFill>
          </a:ln>
          <a:effectLst/>
        </c:spPr>
      </c:pivotFmt>
      <c:pivotFmt>
        <c:idx val="2507"/>
        <c:spPr>
          <a:solidFill>
            <a:schemeClr val="accent1"/>
          </a:solidFill>
          <a:ln w="19050">
            <a:solidFill>
              <a:schemeClr val="lt1"/>
            </a:solidFill>
          </a:ln>
          <a:effectLst/>
        </c:spPr>
      </c:pivotFmt>
      <c:pivotFmt>
        <c:idx val="2508"/>
        <c:spPr>
          <a:solidFill>
            <a:schemeClr val="accent1"/>
          </a:solidFill>
          <a:ln w="19050">
            <a:solidFill>
              <a:schemeClr val="lt1"/>
            </a:solidFill>
          </a:ln>
          <a:effectLst/>
        </c:spPr>
      </c:pivotFmt>
      <c:pivotFmt>
        <c:idx val="2509"/>
        <c:spPr>
          <a:solidFill>
            <a:schemeClr val="accent1"/>
          </a:solidFill>
          <a:ln w="19050">
            <a:solidFill>
              <a:schemeClr val="lt1"/>
            </a:solidFill>
          </a:ln>
          <a:effectLst/>
        </c:spPr>
      </c:pivotFmt>
      <c:pivotFmt>
        <c:idx val="2510"/>
        <c:spPr>
          <a:solidFill>
            <a:schemeClr val="accent1"/>
          </a:solidFill>
          <a:ln w="19050">
            <a:solidFill>
              <a:schemeClr val="lt1"/>
            </a:solidFill>
          </a:ln>
          <a:effectLst/>
        </c:spPr>
      </c:pivotFmt>
      <c:pivotFmt>
        <c:idx val="2511"/>
        <c:spPr>
          <a:solidFill>
            <a:schemeClr val="accent1"/>
          </a:solidFill>
          <a:ln w="19050">
            <a:solidFill>
              <a:schemeClr val="lt1"/>
            </a:solidFill>
          </a:ln>
          <a:effectLst/>
        </c:spPr>
      </c:pivotFmt>
      <c:pivotFmt>
        <c:idx val="2512"/>
        <c:spPr>
          <a:solidFill>
            <a:schemeClr val="accent1"/>
          </a:solidFill>
          <a:ln w="19050">
            <a:solidFill>
              <a:schemeClr val="lt1"/>
            </a:solidFill>
          </a:ln>
          <a:effectLst/>
        </c:spPr>
      </c:pivotFmt>
      <c:pivotFmt>
        <c:idx val="2513"/>
        <c:spPr>
          <a:solidFill>
            <a:schemeClr val="accent1"/>
          </a:solidFill>
          <a:ln w="19050">
            <a:solidFill>
              <a:schemeClr val="lt1"/>
            </a:solidFill>
          </a:ln>
          <a:effectLst/>
        </c:spPr>
      </c:pivotFmt>
      <c:pivotFmt>
        <c:idx val="2514"/>
        <c:spPr>
          <a:solidFill>
            <a:schemeClr val="accent1"/>
          </a:solidFill>
          <a:ln w="19050">
            <a:solidFill>
              <a:schemeClr val="lt1"/>
            </a:solidFill>
          </a:ln>
          <a:effectLst/>
        </c:spPr>
      </c:pivotFmt>
      <c:pivotFmt>
        <c:idx val="2515"/>
        <c:spPr>
          <a:solidFill>
            <a:schemeClr val="accent1"/>
          </a:solidFill>
          <a:ln w="19050">
            <a:solidFill>
              <a:schemeClr val="lt1"/>
            </a:solidFill>
          </a:ln>
          <a:effectLst/>
        </c:spPr>
      </c:pivotFmt>
      <c:pivotFmt>
        <c:idx val="2516"/>
        <c:spPr>
          <a:solidFill>
            <a:schemeClr val="accent1"/>
          </a:solidFill>
          <a:ln w="19050">
            <a:solidFill>
              <a:schemeClr val="lt1"/>
            </a:solidFill>
          </a:ln>
          <a:effectLst/>
        </c:spPr>
      </c:pivotFmt>
      <c:pivotFmt>
        <c:idx val="2517"/>
        <c:spPr>
          <a:solidFill>
            <a:schemeClr val="accent1"/>
          </a:solidFill>
          <a:ln w="19050">
            <a:solidFill>
              <a:schemeClr val="lt1"/>
            </a:solidFill>
          </a:ln>
          <a:effectLst/>
        </c:spPr>
      </c:pivotFmt>
      <c:pivotFmt>
        <c:idx val="2518"/>
        <c:spPr>
          <a:solidFill>
            <a:schemeClr val="accent1"/>
          </a:solidFill>
          <a:ln w="19050">
            <a:solidFill>
              <a:schemeClr val="lt1"/>
            </a:solidFill>
          </a:ln>
          <a:effectLst/>
        </c:spPr>
      </c:pivotFmt>
      <c:pivotFmt>
        <c:idx val="2519"/>
        <c:spPr>
          <a:solidFill>
            <a:schemeClr val="accent1"/>
          </a:solidFill>
          <a:ln w="19050">
            <a:solidFill>
              <a:schemeClr val="lt1"/>
            </a:solidFill>
          </a:ln>
          <a:effectLst/>
        </c:spPr>
      </c:pivotFmt>
      <c:pivotFmt>
        <c:idx val="2520"/>
        <c:spPr>
          <a:solidFill>
            <a:schemeClr val="accent1"/>
          </a:solidFill>
          <a:ln w="19050">
            <a:solidFill>
              <a:schemeClr val="lt1"/>
            </a:solidFill>
          </a:ln>
          <a:effectLst/>
        </c:spPr>
      </c:pivotFmt>
      <c:pivotFmt>
        <c:idx val="2521"/>
        <c:spPr>
          <a:solidFill>
            <a:schemeClr val="accent1"/>
          </a:solidFill>
          <a:ln w="19050">
            <a:solidFill>
              <a:schemeClr val="lt1"/>
            </a:solidFill>
          </a:ln>
          <a:effectLst/>
        </c:spPr>
      </c:pivotFmt>
      <c:pivotFmt>
        <c:idx val="2522"/>
        <c:spPr>
          <a:solidFill>
            <a:schemeClr val="accent1"/>
          </a:solidFill>
          <a:ln w="19050">
            <a:solidFill>
              <a:schemeClr val="lt1"/>
            </a:solidFill>
          </a:ln>
          <a:effectLst/>
        </c:spPr>
      </c:pivotFmt>
      <c:pivotFmt>
        <c:idx val="2523"/>
        <c:spPr>
          <a:solidFill>
            <a:schemeClr val="accent1"/>
          </a:solidFill>
          <a:ln w="19050">
            <a:solidFill>
              <a:schemeClr val="lt1"/>
            </a:solidFill>
          </a:ln>
          <a:effectLst/>
        </c:spPr>
      </c:pivotFmt>
      <c:pivotFmt>
        <c:idx val="2524"/>
        <c:spPr>
          <a:solidFill>
            <a:schemeClr val="accent1"/>
          </a:solidFill>
          <a:ln w="19050">
            <a:solidFill>
              <a:schemeClr val="lt1"/>
            </a:solidFill>
          </a:ln>
          <a:effectLst/>
        </c:spPr>
      </c:pivotFmt>
      <c:pivotFmt>
        <c:idx val="2525"/>
        <c:spPr>
          <a:solidFill>
            <a:schemeClr val="accent1"/>
          </a:solidFill>
          <a:ln w="19050">
            <a:solidFill>
              <a:schemeClr val="lt1"/>
            </a:solidFill>
          </a:ln>
          <a:effectLst/>
        </c:spPr>
      </c:pivotFmt>
      <c:pivotFmt>
        <c:idx val="2526"/>
        <c:spPr>
          <a:solidFill>
            <a:schemeClr val="accent1"/>
          </a:solidFill>
          <a:ln w="19050">
            <a:solidFill>
              <a:schemeClr val="lt1"/>
            </a:solidFill>
          </a:ln>
          <a:effectLst/>
        </c:spPr>
      </c:pivotFmt>
      <c:pivotFmt>
        <c:idx val="2527"/>
        <c:spPr>
          <a:solidFill>
            <a:schemeClr val="accent1"/>
          </a:solidFill>
          <a:ln w="19050">
            <a:solidFill>
              <a:schemeClr val="lt1"/>
            </a:solidFill>
          </a:ln>
          <a:effectLst/>
        </c:spPr>
      </c:pivotFmt>
      <c:pivotFmt>
        <c:idx val="2528"/>
        <c:spPr>
          <a:solidFill>
            <a:schemeClr val="accent1"/>
          </a:solidFill>
          <a:ln w="19050">
            <a:solidFill>
              <a:schemeClr val="lt1"/>
            </a:solidFill>
          </a:ln>
          <a:effectLst/>
        </c:spPr>
      </c:pivotFmt>
      <c:pivotFmt>
        <c:idx val="2529"/>
        <c:spPr>
          <a:solidFill>
            <a:schemeClr val="accent1"/>
          </a:solidFill>
          <a:ln w="19050">
            <a:solidFill>
              <a:schemeClr val="lt1"/>
            </a:solidFill>
          </a:ln>
          <a:effectLst/>
        </c:spPr>
      </c:pivotFmt>
      <c:pivotFmt>
        <c:idx val="2530"/>
        <c:spPr>
          <a:solidFill>
            <a:schemeClr val="accent1"/>
          </a:solidFill>
          <a:ln w="19050">
            <a:solidFill>
              <a:schemeClr val="lt1"/>
            </a:solidFill>
          </a:ln>
          <a:effectLst/>
        </c:spPr>
      </c:pivotFmt>
      <c:pivotFmt>
        <c:idx val="2531"/>
        <c:spPr>
          <a:solidFill>
            <a:schemeClr val="accent1"/>
          </a:solidFill>
          <a:ln w="19050">
            <a:solidFill>
              <a:schemeClr val="lt1"/>
            </a:solidFill>
          </a:ln>
          <a:effectLst/>
        </c:spPr>
      </c:pivotFmt>
      <c:pivotFmt>
        <c:idx val="2532"/>
        <c:spPr>
          <a:solidFill>
            <a:schemeClr val="accent1"/>
          </a:solidFill>
          <a:ln w="19050">
            <a:solidFill>
              <a:schemeClr val="lt1"/>
            </a:solidFill>
          </a:ln>
          <a:effectLst/>
        </c:spPr>
      </c:pivotFmt>
      <c:pivotFmt>
        <c:idx val="2533"/>
        <c:spPr>
          <a:solidFill>
            <a:schemeClr val="accent1"/>
          </a:solidFill>
          <a:ln w="19050">
            <a:solidFill>
              <a:schemeClr val="lt1"/>
            </a:solidFill>
          </a:ln>
          <a:effectLst/>
        </c:spPr>
      </c:pivotFmt>
      <c:pivotFmt>
        <c:idx val="2534"/>
        <c:spPr>
          <a:solidFill>
            <a:schemeClr val="accent1"/>
          </a:solidFill>
          <a:ln w="19050">
            <a:solidFill>
              <a:schemeClr val="lt1"/>
            </a:solidFill>
          </a:ln>
          <a:effectLst/>
        </c:spPr>
      </c:pivotFmt>
      <c:pivotFmt>
        <c:idx val="2535"/>
        <c:spPr>
          <a:solidFill>
            <a:schemeClr val="accent1"/>
          </a:solidFill>
          <a:ln w="19050">
            <a:solidFill>
              <a:schemeClr val="lt1"/>
            </a:solidFill>
          </a:ln>
          <a:effectLst/>
        </c:spPr>
      </c:pivotFmt>
      <c:pivotFmt>
        <c:idx val="2536"/>
        <c:spPr>
          <a:solidFill>
            <a:schemeClr val="accent1"/>
          </a:solidFill>
          <a:ln w="19050">
            <a:solidFill>
              <a:schemeClr val="lt1"/>
            </a:solidFill>
          </a:ln>
          <a:effectLst/>
        </c:spPr>
      </c:pivotFmt>
      <c:pivotFmt>
        <c:idx val="2537"/>
        <c:spPr>
          <a:solidFill>
            <a:schemeClr val="accent1"/>
          </a:solidFill>
          <a:ln w="19050">
            <a:solidFill>
              <a:schemeClr val="lt1"/>
            </a:solidFill>
          </a:ln>
          <a:effectLst/>
        </c:spPr>
      </c:pivotFmt>
      <c:pivotFmt>
        <c:idx val="2538"/>
        <c:spPr>
          <a:solidFill>
            <a:schemeClr val="accent1"/>
          </a:solidFill>
          <a:ln w="19050">
            <a:solidFill>
              <a:schemeClr val="lt1"/>
            </a:solidFill>
          </a:ln>
          <a:effectLst/>
        </c:spPr>
      </c:pivotFmt>
      <c:pivotFmt>
        <c:idx val="2539"/>
        <c:spPr>
          <a:solidFill>
            <a:schemeClr val="accent1"/>
          </a:solidFill>
          <a:ln w="19050">
            <a:solidFill>
              <a:schemeClr val="lt1"/>
            </a:solidFill>
          </a:ln>
          <a:effectLst/>
        </c:spPr>
      </c:pivotFmt>
      <c:pivotFmt>
        <c:idx val="2540"/>
        <c:spPr>
          <a:solidFill>
            <a:schemeClr val="accent1"/>
          </a:solidFill>
          <a:ln w="19050">
            <a:solidFill>
              <a:schemeClr val="lt1"/>
            </a:solidFill>
          </a:ln>
          <a:effectLst/>
        </c:spPr>
      </c:pivotFmt>
      <c:pivotFmt>
        <c:idx val="2541"/>
        <c:spPr>
          <a:solidFill>
            <a:schemeClr val="accent1"/>
          </a:solidFill>
          <a:ln w="19050">
            <a:solidFill>
              <a:schemeClr val="lt1"/>
            </a:solidFill>
          </a:ln>
          <a:effectLst/>
        </c:spPr>
      </c:pivotFmt>
      <c:pivotFmt>
        <c:idx val="2542"/>
        <c:spPr>
          <a:solidFill>
            <a:schemeClr val="accent1"/>
          </a:solidFill>
          <a:ln w="19050">
            <a:solidFill>
              <a:schemeClr val="lt1"/>
            </a:solidFill>
          </a:ln>
          <a:effectLst/>
        </c:spPr>
      </c:pivotFmt>
      <c:pivotFmt>
        <c:idx val="2543"/>
        <c:spPr>
          <a:solidFill>
            <a:schemeClr val="accent1"/>
          </a:solidFill>
          <a:ln w="19050">
            <a:solidFill>
              <a:schemeClr val="lt1"/>
            </a:solidFill>
          </a:ln>
          <a:effectLst/>
        </c:spPr>
      </c:pivotFmt>
      <c:pivotFmt>
        <c:idx val="2544"/>
        <c:spPr>
          <a:solidFill>
            <a:schemeClr val="accent1"/>
          </a:solidFill>
          <a:ln w="19050">
            <a:solidFill>
              <a:schemeClr val="lt1"/>
            </a:solidFill>
          </a:ln>
          <a:effectLst/>
        </c:spPr>
      </c:pivotFmt>
      <c:pivotFmt>
        <c:idx val="2545"/>
        <c:spPr>
          <a:solidFill>
            <a:schemeClr val="accent1"/>
          </a:solidFill>
          <a:ln w="19050">
            <a:solidFill>
              <a:schemeClr val="lt1"/>
            </a:solidFill>
          </a:ln>
          <a:effectLst/>
        </c:spPr>
      </c:pivotFmt>
      <c:pivotFmt>
        <c:idx val="2546"/>
        <c:spPr>
          <a:solidFill>
            <a:schemeClr val="accent1"/>
          </a:solidFill>
          <a:ln w="19050">
            <a:solidFill>
              <a:schemeClr val="lt1"/>
            </a:solidFill>
          </a:ln>
          <a:effectLst/>
        </c:spPr>
      </c:pivotFmt>
      <c:pivotFmt>
        <c:idx val="2547"/>
        <c:spPr>
          <a:solidFill>
            <a:schemeClr val="accent1"/>
          </a:solidFill>
          <a:ln w="19050">
            <a:solidFill>
              <a:schemeClr val="lt1"/>
            </a:solidFill>
          </a:ln>
          <a:effectLst/>
        </c:spPr>
      </c:pivotFmt>
      <c:pivotFmt>
        <c:idx val="2548"/>
        <c:spPr>
          <a:solidFill>
            <a:schemeClr val="accent1"/>
          </a:solidFill>
          <a:ln w="19050">
            <a:solidFill>
              <a:schemeClr val="lt1"/>
            </a:solidFill>
          </a:ln>
          <a:effectLst/>
        </c:spPr>
      </c:pivotFmt>
      <c:pivotFmt>
        <c:idx val="2549"/>
        <c:spPr>
          <a:solidFill>
            <a:schemeClr val="accent1"/>
          </a:solidFill>
          <a:ln w="19050">
            <a:solidFill>
              <a:schemeClr val="lt1"/>
            </a:solidFill>
          </a:ln>
          <a:effectLst/>
        </c:spPr>
      </c:pivotFmt>
      <c:pivotFmt>
        <c:idx val="2550"/>
        <c:spPr>
          <a:solidFill>
            <a:schemeClr val="accent1"/>
          </a:solidFill>
          <a:ln w="19050">
            <a:solidFill>
              <a:schemeClr val="lt1"/>
            </a:solidFill>
          </a:ln>
          <a:effectLst/>
        </c:spPr>
      </c:pivotFmt>
      <c:pivotFmt>
        <c:idx val="2551"/>
        <c:spPr>
          <a:solidFill>
            <a:schemeClr val="accent1"/>
          </a:solidFill>
          <a:ln w="19050">
            <a:solidFill>
              <a:schemeClr val="lt1"/>
            </a:solidFill>
          </a:ln>
          <a:effectLst/>
        </c:spPr>
      </c:pivotFmt>
      <c:pivotFmt>
        <c:idx val="2552"/>
        <c:spPr>
          <a:solidFill>
            <a:schemeClr val="accent1"/>
          </a:solidFill>
          <a:ln w="19050">
            <a:solidFill>
              <a:schemeClr val="lt1"/>
            </a:solidFill>
          </a:ln>
          <a:effectLst/>
        </c:spPr>
      </c:pivotFmt>
      <c:pivotFmt>
        <c:idx val="2553"/>
        <c:spPr>
          <a:solidFill>
            <a:schemeClr val="accent1"/>
          </a:solidFill>
          <a:ln w="19050">
            <a:solidFill>
              <a:schemeClr val="lt1"/>
            </a:solidFill>
          </a:ln>
          <a:effectLst/>
        </c:spPr>
      </c:pivotFmt>
      <c:pivotFmt>
        <c:idx val="2554"/>
        <c:spPr>
          <a:solidFill>
            <a:schemeClr val="accent1"/>
          </a:solidFill>
          <a:ln w="19050">
            <a:solidFill>
              <a:schemeClr val="lt1"/>
            </a:solidFill>
          </a:ln>
          <a:effectLst/>
        </c:spPr>
      </c:pivotFmt>
      <c:pivotFmt>
        <c:idx val="2555"/>
        <c:spPr>
          <a:solidFill>
            <a:schemeClr val="accent1"/>
          </a:solidFill>
          <a:ln w="19050">
            <a:solidFill>
              <a:schemeClr val="lt1"/>
            </a:solidFill>
          </a:ln>
          <a:effectLst/>
        </c:spPr>
      </c:pivotFmt>
      <c:pivotFmt>
        <c:idx val="2556"/>
        <c:spPr>
          <a:solidFill>
            <a:schemeClr val="accent1"/>
          </a:solidFill>
          <a:ln w="19050">
            <a:solidFill>
              <a:schemeClr val="lt1"/>
            </a:solidFill>
          </a:ln>
          <a:effectLst/>
        </c:spPr>
      </c:pivotFmt>
      <c:pivotFmt>
        <c:idx val="2557"/>
        <c:spPr>
          <a:solidFill>
            <a:schemeClr val="accent1"/>
          </a:solidFill>
          <a:ln w="19050">
            <a:solidFill>
              <a:schemeClr val="lt1"/>
            </a:solidFill>
          </a:ln>
          <a:effectLst/>
        </c:spPr>
      </c:pivotFmt>
      <c:pivotFmt>
        <c:idx val="2558"/>
        <c:spPr>
          <a:solidFill>
            <a:schemeClr val="accent1"/>
          </a:solidFill>
          <a:ln w="19050">
            <a:solidFill>
              <a:schemeClr val="lt1"/>
            </a:solidFill>
          </a:ln>
          <a:effectLst/>
        </c:spPr>
      </c:pivotFmt>
      <c:pivotFmt>
        <c:idx val="2559"/>
        <c:spPr>
          <a:solidFill>
            <a:schemeClr val="accent1"/>
          </a:solidFill>
          <a:ln w="19050">
            <a:solidFill>
              <a:schemeClr val="lt1"/>
            </a:solidFill>
          </a:ln>
          <a:effectLst/>
        </c:spPr>
      </c:pivotFmt>
      <c:pivotFmt>
        <c:idx val="2560"/>
        <c:spPr>
          <a:solidFill>
            <a:schemeClr val="accent1"/>
          </a:solidFill>
          <a:ln w="19050">
            <a:solidFill>
              <a:schemeClr val="lt1"/>
            </a:solidFill>
          </a:ln>
          <a:effectLst/>
        </c:spPr>
      </c:pivotFmt>
      <c:pivotFmt>
        <c:idx val="2561"/>
        <c:spPr>
          <a:solidFill>
            <a:schemeClr val="accent1"/>
          </a:solidFill>
          <a:ln w="19050">
            <a:solidFill>
              <a:schemeClr val="lt1"/>
            </a:solidFill>
          </a:ln>
          <a:effectLst/>
        </c:spPr>
      </c:pivotFmt>
      <c:pivotFmt>
        <c:idx val="2562"/>
        <c:spPr>
          <a:solidFill>
            <a:schemeClr val="accent1"/>
          </a:solidFill>
          <a:ln w="19050">
            <a:solidFill>
              <a:schemeClr val="lt1"/>
            </a:solidFill>
          </a:ln>
          <a:effectLst/>
        </c:spPr>
      </c:pivotFmt>
      <c:pivotFmt>
        <c:idx val="2563"/>
        <c:spPr>
          <a:solidFill>
            <a:schemeClr val="accent1"/>
          </a:solidFill>
          <a:ln w="19050">
            <a:solidFill>
              <a:schemeClr val="lt1"/>
            </a:solidFill>
          </a:ln>
          <a:effectLst/>
        </c:spPr>
      </c:pivotFmt>
      <c:pivotFmt>
        <c:idx val="2564"/>
        <c:spPr>
          <a:solidFill>
            <a:schemeClr val="accent1"/>
          </a:solidFill>
          <a:ln w="19050">
            <a:solidFill>
              <a:schemeClr val="lt1"/>
            </a:solidFill>
          </a:ln>
          <a:effectLst/>
        </c:spPr>
      </c:pivotFmt>
      <c:pivotFmt>
        <c:idx val="2565"/>
        <c:spPr>
          <a:solidFill>
            <a:schemeClr val="accent1"/>
          </a:solidFill>
          <a:ln w="19050">
            <a:solidFill>
              <a:schemeClr val="lt1"/>
            </a:solidFill>
          </a:ln>
          <a:effectLst/>
        </c:spPr>
      </c:pivotFmt>
      <c:pivotFmt>
        <c:idx val="2566"/>
        <c:spPr>
          <a:solidFill>
            <a:schemeClr val="accent1"/>
          </a:solidFill>
          <a:ln w="19050">
            <a:solidFill>
              <a:schemeClr val="lt1"/>
            </a:solidFill>
          </a:ln>
          <a:effectLst/>
        </c:spPr>
      </c:pivotFmt>
      <c:pivotFmt>
        <c:idx val="2567"/>
        <c:spPr>
          <a:solidFill>
            <a:schemeClr val="accent1"/>
          </a:solidFill>
          <a:ln w="19050">
            <a:solidFill>
              <a:schemeClr val="lt1"/>
            </a:solidFill>
          </a:ln>
          <a:effectLst/>
        </c:spPr>
      </c:pivotFmt>
      <c:pivotFmt>
        <c:idx val="2568"/>
        <c:spPr>
          <a:solidFill>
            <a:schemeClr val="accent1"/>
          </a:solidFill>
          <a:ln w="19050">
            <a:solidFill>
              <a:schemeClr val="lt1"/>
            </a:solidFill>
          </a:ln>
          <a:effectLst/>
        </c:spPr>
      </c:pivotFmt>
      <c:pivotFmt>
        <c:idx val="2569"/>
        <c:spPr>
          <a:solidFill>
            <a:schemeClr val="accent1"/>
          </a:solidFill>
          <a:ln w="19050">
            <a:solidFill>
              <a:schemeClr val="lt1"/>
            </a:solidFill>
          </a:ln>
          <a:effectLst/>
        </c:spPr>
      </c:pivotFmt>
      <c:pivotFmt>
        <c:idx val="2570"/>
        <c:spPr>
          <a:solidFill>
            <a:schemeClr val="accent1"/>
          </a:solidFill>
          <a:ln w="19050">
            <a:solidFill>
              <a:schemeClr val="lt1"/>
            </a:solidFill>
          </a:ln>
          <a:effectLst/>
        </c:spPr>
      </c:pivotFmt>
      <c:pivotFmt>
        <c:idx val="2571"/>
        <c:spPr>
          <a:solidFill>
            <a:schemeClr val="accent1"/>
          </a:solidFill>
          <a:ln w="19050">
            <a:solidFill>
              <a:schemeClr val="lt1"/>
            </a:solidFill>
          </a:ln>
          <a:effectLst/>
        </c:spPr>
      </c:pivotFmt>
      <c:pivotFmt>
        <c:idx val="2572"/>
        <c:spPr>
          <a:solidFill>
            <a:schemeClr val="accent1"/>
          </a:solidFill>
          <a:ln w="19050">
            <a:solidFill>
              <a:schemeClr val="lt1"/>
            </a:solidFill>
          </a:ln>
          <a:effectLst/>
        </c:spPr>
      </c:pivotFmt>
      <c:pivotFmt>
        <c:idx val="2573"/>
        <c:spPr>
          <a:solidFill>
            <a:schemeClr val="accent1"/>
          </a:solidFill>
          <a:ln w="19050">
            <a:solidFill>
              <a:schemeClr val="lt1"/>
            </a:solidFill>
          </a:ln>
          <a:effectLst/>
        </c:spPr>
      </c:pivotFmt>
      <c:pivotFmt>
        <c:idx val="2574"/>
        <c:spPr>
          <a:solidFill>
            <a:schemeClr val="accent1"/>
          </a:solidFill>
          <a:ln w="19050">
            <a:solidFill>
              <a:schemeClr val="lt1"/>
            </a:solidFill>
          </a:ln>
          <a:effectLst/>
        </c:spPr>
      </c:pivotFmt>
      <c:pivotFmt>
        <c:idx val="2575"/>
        <c:spPr>
          <a:solidFill>
            <a:schemeClr val="accent1"/>
          </a:solidFill>
          <a:ln w="19050">
            <a:solidFill>
              <a:schemeClr val="lt1"/>
            </a:solidFill>
          </a:ln>
          <a:effectLst/>
        </c:spPr>
      </c:pivotFmt>
      <c:pivotFmt>
        <c:idx val="2576"/>
        <c:spPr>
          <a:solidFill>
            <a:schemeClr val="accent1"/>
          </a:solidFill>
          <a:ln w="19050">
            <a:solidFill>
              <a:schemeClr val="lt1"/>
            </a:solidFill>
          </a:ln>
          <a:effectLst/>
        </c:spPr>
      </c:pivotFmt>
      <c:pivotFmt>
        <c:idx val="2577"/>
        <c:spPr>
          <a:solidFill>
            <a:schemeClr val="accent1"/>
          </a:solidFill>
          <a:ln w="19050">
            <a:solidFill>
              <a:schemeClr val="lt1"/>
            </a:solidFill>
          </a:ln>
          <a:effectLst/>
        </c:spPr>
      </c:pivotFmt>
      <c:pivotFmt>
        <c:idx val="2578"/>
        <c:spPr>
          <a:solidFill>
            <a:schemeClr val="accent1"/>
          </a:solidFill>
          <a:ln w="19050">
            <a:solidFill>
              <a:schemeClr val="lt1"/>
            </a:solidFill>
          </a:ln>
          <a:effectLst/>
        </c:spPr>
      </c:pivotFmt>
      <c:pivotFmt>
        <c:idx val="2579"/>
        <c:spPr>
          <a:solidFill>
            <a:schemeClr val="accent1"/>
          </a:solidFill>
          <a:ln w="19050">
            <a:solidFill>
              <a:schemeClr val="lt1"/>
            </a:solidFill>
          </a:ln>
          <a:effectLst/>
        </c:spPr>
      </c:pivotFmt>
      <c:pivotFmt>
        <c:idx val="2580"/>
        <c:spPr>
          <a:solidFill>
            <a:schemeClr val="accent1"/>
          </a:solidFill>
          <a:ln w="19050">
            <a:solidFill>
              <a:schemeClr val="lt1"/>
            </a:solidFill>
          </a:ln>
          <a:effectLst/>
        </c:spPr>
      </c:pivotFmt>
      <c:pivotFmt>
        <c:idx val="2581"/>
        <c:spPr>
          <a:solidFill>
            <a:schemeClr val="accent1"/>
          </a:solidFill>
          <a:ln w="19050">
            <a:solidFill>
              <a:schemeClr val="lt1"/>
            </a:solidFill>
          </a:ln>
          <a:effectLst/>
        </c:spPr>
      </c:pivotFmt>
      <c:pivotFmt>
        <c:idx val="2582"/>
        <c:spPr>
          <a:solidFill>
            <a:schemeClr val="accent1"/>
          </a:solidFill>
          <a:ln w="19050">
            <a:solidFill>
              <a:schemeClr val="lt1"/>
            </a:solidFill>
          </a:ln>
          <a:effectLst/>
        </c:spPr>
      </c:pivotFmt>
      <c:pivotFmt>
        <c:idx val="2583"/>
        <c:spPr>
          <a:solidFill>
            <a:schemeClr val="accent1"/>
          </a:solidFill>
          <a:ln w="19050">
            <a:solidFill>
              <a:schemeClr val="lt1"/>
            </a:solidFill>
          </a:ln>
          <a:effectLst/>
        </c:spPr>
      </c:pivotFmt>
      <c:pivotFmt>
        <c:idx val="2584"/>
        <c:spPr>
          <a:solidFill>
            <a:schemeClr val="accent1"/>
          </a:solidFill>
          <a:ln w="19050">
            <a:solidFill>
              <a:schemeClr val="lt1"/>
            </a:solidFill>
          </a:ln>
          <a:effectLst/>
        </c:spPr>
      </c:pivotFmt>
      <c:pivotFmt>
        <c:idx val="2585"/>
        <c:spPr>
          <a:solidFill>
            <a:schemeClr val="accent1"/>
          </a:solidFill>
          <a:ln w="19050">
            <a:solidFill>
              <a:schemeClr val="lt1"/>
            </a:solidFill>
          </a:ln>
          <a:effectLst/>
        </c:spPr>
      </c:pivotFmt>
      <c:pivotFmt>
        <c:idx val="2586"/>
        <c:spPr>
          <a:solidFill>
            <a:schemeClr val="accent1"/>
          </a:solidFill>
          <a:ln w="19050">
            <a:solidFill>
              <a:schemeClr val="lt1"/>
            </a:solidFill>
          </a:ln>
          <a:effectLst/>
        </c:spPr>
      </c:pivotFmt>
      <c:pivotFmt>
        <c:idx val="2587"/>
        <c:spPr>
          <a:solidFill>
            <a:schemeClr val="accent1"/>
          </a:solidFill>
          <a:ln w="19050">
            <a:solidFill>
              <a:schemeClr val="lt1"/>
            </a:solidFill>
          </a:ln>
          <a:effectLst/>
        </c:spPr>
      </c:pivotFmt>
      <c:pivotFmt>
        <c:idx val="2588"/>
        <c:spPr>
          <a:solidFill>
            <a:schemeClr val="accent1"/>
          </a:solidFill>
          <a:ln w="19050">
            <a:solidFill>
              <a:schemeClr val="lt1"/>
            </a:solidFill>
          </a:ln>
          <a:effectLst/>
        </c:spPr>
      </c:pivotFmt>
      <c:pivotFmt>
        <c:idx val="2589"/>
        <c:spPr>
          <a:solidFill>
            <a:schemeClr val="accent1"/>
          </a:solidFill>
          <a:ln w="19050">
            <a:solidFill>
              <a:schemeClr val="lt1"/>
            </a:solidFill>
          </a:ln>
          <a:effectLst/>
        </c:spPr>
      </c:pivotFmt>
      <c:pivotFmt>
        <c:idx val="2590"/>
        <c:spPr>
          <a:solidFill>
            <a:schemeClr val="accent1"/>
          </a:solidFill>
          <a:ln w="19050">
            <a:solidFill>
              <a:schemeClr val="lt1"/>
            </a:solidFill>
          </a:ln>
          <a:effectLst/>
        </c:spPr>
      </c:pivotFmt>
      <c:pivotFmt>
        <c:idx val="2591"/>
        <c:spPr>
          <a:solidFill>
            <a:schemeClr val="accent1"/>
          </a:solidFill>
          <a:ln w="19050">
            <a:solidFill>
              <a:schemeClr val="lt1"/>
            </a:solidFill>
          </a:ln>
          <a:effectLst/>
        </c:spPr>
      </c:pivotFmt>
      <c:pivotFmt>
        <c:idx val="2592"/>
        <c:spPr>
          <a:solidFill>
            <a:schemeClr val="accent1"/>
          </a:solidFill>
          <a:ln w="19050">
            <a:solidFill>
              <a:schemeClr val="lt1"/>
            </a:solidFill>
          </a:ln>
          <a:effectLst/>
        </c:spPr>
      </c:pivotFmt>
      <c:pivotFmt>
        <c:idx val="2593"/>
        <c:spPr>
          <a:solidFill>
            <a:schemeClr val="accent1"/>
          </a:solidFill>
          <a:ln w="19050">
            <a:solidFill>
              <a:schemeClr val="lt1"/>
            </a:solidFill>
          </a:ln>
          <a:effectLst/>
        </c:spPr>
      </c:pivotFmt>
      <c:pivotFmt>
        <c:idx val="2594"/>
        <c:spPr>
          <a:solidFill>
            <a:schemeClr val="accent1"/>
          </a:solidFill>
          <a:ln w="19050">
            <a:solidFill>
              <a:schemeClr val="lt1"/>
            </a:solidFill>
          </a:ln>
          <a:effectLst/>
        </c:spPr>
      </c:pivotFmt>
      <c:pivotFmt>
        <c:idx val="2595"/>
        <c:spPr>
          <a:solidFill>
            <a:schemeClr val="accent1"/>
          </a:solidFill>
          <a:ln w="19050">
            <a:solidFill>
              <a:schemeClr val="lt1"/>
            </a:solidFill>
          </a:ln>
          <a:effectLst/>
        </c:spPr>
      </c:pivotFmt>
      <c:pivotFmt>
        <c:idx val="2596"/>
        <c:spPr>
          <a:solidFill>
            <a:schemeClr val="accent1"/>
          </a:solidFill>
          <a:ln w="19050">
            <a:solidFill>
              <a:schemeClr val="lt1"/>
            </a:solidFill>
          </a:ln>
          <a:effectLst/>
        </c:spPr>
      </c:pivotFmt>
      <c:pivotFmt>
        <c:idx val="2597"/>
        <c:spPr>
          <a:solidFill>
            <a:schemeClr val="accent1"/>
          </a:solidFill>
          <a:ln w="19050">
            <a:solidFill>
              <a:schemeClr val="lt1"/>
            </a:solidFill>
          </a:ln>
          <a:effectLst/>
        </c:spPr>
      </c:pivotFmt>
      <c:pivotFmt>
        <c:idx val="2598"/>
        <c:spPr>
          <a:solidFill>
            <a:schemeClr val="accent1"/>
          </a:solidFill>
          <a:ln w="19050">
            <a:solidFill>
              <a:schemeClr val="lt1"/>
            </a:solidFill>
          </a:ln>
          <a:effectLst/>
        </c:spPr>
      </c:pivotFmt>
      <c:pivotFmt>
        <c:idx val="2599"/>
        <c:spPr>
          <a:solidFill>
            <a:schemeClr val="accent1"/>
          </a:solidFill>
          <a:ln w="19050">
            <a:solidFill>
              <a:schemeClr val="lt1"/>
            </a:solidFill>
          </a:ln>
          <a:effectLst/>
        </c:spPr>
      </c:pivotFmt>
      <c:pivotFmt>
        <c:idx val="2600"/>
        <c:spPr>
          <a:solidFill>
            <a:schemeClr val="accent1"/>
          </a:solidFill>
          <a:ln w="19050">
            <a:solidFill>
              <a:schemeClr val="lt1"/>
            </a:solidFill>
          </a:ln>
          <a:effectLst/>
        </c:spPr>
      </c:pivotFmt>
      <c:pivotFmt>
        <c:idx val="2601"/>
        <c:spPr>
          <a:solidFill>
            <a:schemeClr val="accent1"/>
          </a:solidFill>
          <a:ln w="19050">
            <a:solidFill>
              <a:schemeClr val="lt1"/>
            </a:solidFill>
          </a:ln>
          <a:effectLst/>
        </c:spPr>
      </c:pivotFmt>
      <c:pivotFmt>
        <c:idx val="2602"/>
        <c:spPr>
          <a:solidFill>
            <a:schemeClr val="accent1"/>
          </a:solidFill>
          <a:ln w="19050">
            <a:solidFill>
              <a:schemeClr val="lt1"/>
            </a:solidFill>
          </a:ln>
          <a:effectLst/>
        </c:spPr>
      </c:pivotFmt>
      <c:pivotFmt>
        <c:idx val="2603"/>
        <c:spPr>
          <a:solidFill>
            <a:schemeClr val="accent1"/>
          </a:solidFill>
          <a:ln w="19050">
            <a:solidFill>
              <a:schemeClr val="lt1"/>
            </a:solidFill>
          </a:ln>
          <a:effectLst/>
        </c:spPr>
      </c:pivotFmt>
      <c:pivotFmt>
        <c:idx val="2604"/>
        <c:spPr>
          <a:solidFill>
            <a:schemeClr val="accent1"/>
          </a:solidFill>
          <a:ln w="19050">
            <a:solidFill>
              <a:schemeClr val="lt1"/>
            </a:solidFill>
          </a:ln>
          <a:effectLst/>
        </c:spPr>
      </c:pivotFmt>
      <c:pivotFmt>
        <c:idx val="2605"/>
        <c:spPr>
          <a:solidFill>
            <a:schemeClr val="accent1"/>
          </a:solidFill>
          <a:ln w="19050">
            <a:solidFill>
              <a:schemeClr val="lt1"/>
            </a:solidFill>
          </a:ln>
          <a:effectLst/>
        </c:spPr>
      </c:pivotFmt>
      <c:pivotFmt>
        <c:idx val="2606"/>
        <c:spPr>
          <a:solidFill>
            <a:schemeClr val="accent1"/>
          </a:solidFill>
          <a:ln w="19050">
            <a:solidFill>
              <a:schemeClr val="lt1"/>
            </a:solidFill>
          </a:ln>
          <a:effectLst/>
        </c:spPr>
      </c:pivotFmt>
      <c:pivotFmt>
        <c:idx val="2607"/>
        <c:spPr>
          <a:solidFill>
            <a:schemeClr val="accent1"/>
          </a:solidFill>
          <a:ln w="19050">
            <a:solidFill>
              <a:schemeClr val="lt1"/>
            </a:solidFill>
          </a:ln>
          <a:effectLst/>
        </c:spPr>
      </c:pivotFmt>
      <c:pivotFmt>
        <c:idx val="2608"/>
        <c:spPr>
          <a:solidFill>
            <a:schemeClr val="accent1"/>
          </a:solidFill>
          <a:ln w="19050">
            <a:solidFill>
              <a:schemeClr val="lt1"/>
            </a:solidFill>
          </a:ln>
          <a:effectLst/>
        </c:spPr>
      </c:pivotFmt>
      <c:pivotFmt>
        <c:idx val="2609"/>
        <c:spPr>
          <a:solidFill>
            <a:schemeClr val="accent1"/>
          </a:solidFill>
          <a:ln w="19050">
            <a:solidFill>
              <a:schemeClr val="lt1"/>
            </a:solidFill>
          </a:ln>
          <a:effectLst/>
        </c:spPr>
      </c:pivotFmt>
      <c:pivotFmt>
        <c:idx val="2610"/>
        <c:spPr>
          <a:solidFill>
            <a:schemeClr val="accent1"/>
          </a:solidFill>
          <a:ln w="19050">
            <a:solidFill>
              <a:schemeClr val="lt1"/>
            </a:solidFill>
          </a:ln>
          <a:effectLst/>
        </c:spPr>
      </c:pivotFmt>
      <c:pivotFmt>
        <c:idx val="2611"/>
        <c:spPr>
          <a:solidFill>
            <a:schemeClr val="accent1"/>
          </a:solidFill>
          <a:ln w="19050">
            <a:solidFill>
              <a:schemeClr val="lt1"/>
            </a:solidFill>
          </a:ln>
          <a:effectLst/>
        </c:spPr>
      </c:pivotFmt>
      <c:pivotFmt>
        <c:idx val="2612"/>
        <c:spPr>
          <a:solidFill>
            <a:schemeClr val="accent1"/>
          </a:solidFill>
          <a:ln w="19050">
            <a:solidFill>
              <a:schemeClr val="lt1"/>
            </a:solidFill>
          </a:ln>
          <a:effectLst/>
        </c:spPr>
      </c:pivotFmt>
      <c:pivotFmt>
        <c:idx val="2613"/>
        <c:spPr>
          <a:solidFill>
            <a:schemeClr val="accent1"/>
          </a:solidFill>
          <a:ln w="19050">
            <a:solidFill>
              <a:schemeClr val="lt1"/>
            </a:solidFill>
          </a:ln>
          <a:effectLst/>
        </c:spPr>
      </c:pivotFmt>
      <c:pivotFmt>
        <c:idx val="2614"/>
        <c:spPr>
          <a:solidFill>
            <a:schemeClr val="accent1"/>
          </a:solidFill>
          <a:ln w="19050">
            <a:solidFill>
              <a:schemeClr val="lt1"/>
            </a:solidFill>
          </a:ln>
          <a:effectLst/>
        </c:spPr>
      </c:pivotFmt>
      <c:pivotFmt>
        <c:idx val="2615"/>
        <c:spPr>
          <a:solidFill>
            <a:schemeClr val="accent1"/>
          </a:solidFill>
          <a:ln w="19050">
            <a:solidFill>
              <a:schemeClr val="lt1"/>
            </a:solidFill>
          </a:ln>
          <a:effectLst/>
        </c:spPr>
      </c:pivotFmt>
      <c:pivotFmt>
        <c:idx val="2616"/>
        <c:spPr>
          <a:solidFill>
            <a:schemeClr val="accent1"/>
          </a:solidFill>
          <a:ln w="19050">
            <a:solidFill>
              <a:schemeClr val="lt1"/>
            </a:solidFill>
          </a:ln>
          <a:effectLst/>
        </c:spPr>
      </c:pivotFmt>
      <c:pivotFmt>
        <c:idx val="2617"/>
        <c:spPr>
          <a:solidFill>
            <a:schemeClr val="accent1"/>
          </a:solidFill>
          <a:ln w="19050">
            <a:solidFill>
              <a:schemeClr val="lt1"/>
            </a:solidFill>
          </a:ln>
          <a:effectLst/>
        </c:spPr>
      </c:pivotFmt>
      <c:pivotFmt>
        <c:idx val="2618"/>
        <c:spPr>
          <a:solidFill>
            <a:schemeClr val="accent1"/>
          </a:solidFill>
          <a:ln w="19050">
            <a:solidFill>
              <a:schemeClr val="lt1"/>
            </a:solidFill>
          </a:ln>
          <a:effectLst/>
        </c:spPr>
      </c:pivotFmt>
      <c:pivotFmt>
        <c:idx val="2619"/>
        <c:spPr>
          <a:solidFill>
            <a:schemeClr val="accent1"/>
          </a:solidFill>
          <a:ln w="19050">
            <a:solidFill>
              <a:schemeClr val="lt1"/>
            </a:solidFill>
          </a:ln>
          <a:effectLst/>
        </c:spPr>
      </c:pivotFmt>
      <c:pivotFmt>
        <c:idx val="2620"/>
        <c:spPr>
          <a:solidFill>
            <a:schemeClr val="accent1"/>
          </a:solidFill>
          <a:ln w="19050">
            <a:solidFill>
              <a:schemeClr val="lt1"/>
            </a:solidFill>
          </a:ln>
          <a:effectLst/>
        </c:spPr>
      </c:pivotFmt>
      <c:pivotFmt>
        <c:idx val="2621"/>
        <c:spPr>
          <a:solidFill>
            <a:schemeClr val="accent1"/>
          </a:solidFill>
          <a:ln w="19050">
            <a:solidFill>
              <a:schemeClr val="lt1"/>
            </a:solidFill>
          </a:ln>
          <a:effectLst/>
        </c:spPr>
      </c:pivotFmt>
      <c:pivotFmt>
        <c:idx val="2622"/>
        <c:spPr>
          <a:solidFill>
            <a:schemeClr val="accent1"/>
          </a:solidFill>
          <a:ln w="19050">
            <a:solidFill>
              <a:schemeClr val="lt1"/>
            </a:solidFill>
          </a:ln>
          <a:effectLst/>
        </c:spPr>
      </c:pivotFmt>
      <c:pivotFmt>
        <c:idx val="2623"/>
        <c:spPr>
          <a:solidFill>
            <a:schemeClr val="accent1"/>
          </a:solidFill>
          <a:ln w="19050">
            <a:solidFill>
              <a:schemeClr val="lt1"/>
            </a:solidFill>
          </a:ln>
          <a:effectLst/>
        </c:spPr>
      </c:pivotFmt>
      <c:pivotFmt>
        <c:idx val="2624"/>
        <c:spPr>
          <a:solidFill>
            <a:schemeClr val="accent1"/>
          </a:solidFill>
          <a:ln w="19050">
            <a:solidFill>
              <a:schemeClr val="lt1"/>
            </a:solidFill>
          </a:ln>
          <a:effectLst/>
        </c:spPr>
      </c:pivotFmt>
      <c:pivotFmt>
        <c:idx val="2625"/>
        <c:spPr>
          <a:solidFill>
            <a:schemeClr val="accent1"/>
          </a:solidFill>
          <a:ln w="19050">
            <a:solidFill>
              <a:schemeClr val="lt1"/>
            </a:solidFill>
          </a:ln>
          <a:effectLst/>
        </c:spPr>
      </c:pivotFmt>
      <c:pivotFmt>
        <c:idx val="2626"/>
        <c:spPr>
          <a:solidFill>
            <a:schemeClr val="accent1"/>
          </a:solidFill>
          <a:ln w="19050">
            <a:solidFill>
              <a:schemeClr val="lt1"/>
            </a:solidFill>
          </a:ln>
          <a:effectLst/>
        </c:spPr>
      </c:pivotFmt>
      <c:pivotFmt>
        <c:idx val="2627"/>
        <c:spPr>
          <a:solidFill>
            <a:schemeClr val="accent1"/>
          </a:solidFill>
          <a:ln w="19050">
            <a:solidFill>
              <a:schemeClr val="lt1"/>
            </a:solidFill>
          </a:ln>
          <a:effectLst/>
        </c:spPr>
      </c:pivotFmt>
      <c:pivotFmt>
        <c:idx val="2628"/>
        <c:spPr>
          <a:solidFill>
            <a:schemeClr val="accent1"/>
          </a:solidFill>
          <a:ln w="19050">
            <a:solidFill>
              <a:schemeClr val="lt1"/>
            </a:solidFill>
          </a:ln>
          <a:effectLst/>
        </c:spPr>
      </c:pivotFmt>
      <c:pivotFmt>
        <c:idx val="2629"/>
        <c:spPr>
          <a:solidFill>
            <a:schemeClr val="accent1"/>
          </a:solidFill>
          <a:ln w="19050">
            <a:solidFill>
              <a:schemeClr val="lt1"/>
            </a:solidFill>
          </a:ln>
          <a:effectLst/>
        </c:spPr>
      </c:pivotFmt>
      <c:pivotFmt>
        <c:idx val="2630"/>
        <c:spPr>
          <a:solidFill>
            <a:schemeClr val="accent1"/>
          </a:solidFill>
          <a:ln w="19050">
            <a:solidFill>
              <a:schemeClr val="lt1"/>
            </a:solidFill>
          </a:ln>
          <a:effectLst/>
        </c:spPr>
      </c:pivotFmt>
      <c:pivotFmt>
        <c:idx val="2631"/>
        <c:spPr>
          <a:solidFill>
            <a:schemeClr val="accent1"/>
          </a:solidFill>
          <a:ln w="19050">
            <a:solidFill>
              <a:schemeClr val="lt1"/>
            </a:solidFill>
          </a:ln>
          <a:effectLst/>
        </c:spPr>
      </c:pivotFmt>
      <c:pivotFmt>
        <c:idx val="2632"/>
        <c:spPr>
          <a:solidFill>
            <a:schemeClr val="accent1"/>
          </a:solidFill>
          <a:ln w="19050">
            <a:solidFill>
              <a:schemeClr val="lt1"/>
            </a:solidFill>
          </a:ln>
          <a:effectLst/>
        </c:spPr>
      </c:pivotFmt>
      <c:pivotFmt>
        <c:idx val="2633"/>
        <c:spPr>
          <a:solidFill>
            <a:schemeClr val="accent1"/>
          </a:solidFill>
          <a:ln w="19050">
            <a:solidFill>
              <a:schemeClr val="lt1"/>
            </a:solidFill>
          </a:ln>
          <a:effectLst/>
        </c:spPr>
      </c:pivotFmt>
      <c:pivotFmt>
        <c:idx val="2634"/>
        <c:spPr>
          <a:solidFill>
            <a:schemeClr val="accent1"/>
          </a:solidFill>
          <a:ln w="19050">
            <a:solidFill>
              <a:schemeClr val="lt1"/>
            </a:solidFill>
          </a:ln>
          <a:effectLst/>
        </c:spPr>
      </c:pivotFmt>
      <c:pivotFmt>
        <c:idx val="2635"/>
        <c:spPr>
          <a:solidFill>
            <a:schemeClr val="accent1"/>
          </a:solidFill>
          <a:ln w="19050">
            <a:solidFill>
              <a:schemeClr val="lt1"/>
            </a:solidFill>
          </a:ln>
          <a:effectLst/>
        </c:spPr>
      </c:pivotFmt>
      <c:pivotFmt>
        <c:idx val="2636"/>
        <c:spPr>
          <a:solidFill>
            <a:schemeClr val="accent1"/>
          </a:solidFill>
          <a:ln w="19050">
            <a:solidFill>
              <a:schemeClr val="lt1"/>
            </a:solidFill>
          </a:ln>
          <a:effectLst/>
        </c:spPr>
      </c:pivotFmt>
      <c:pivotFmt>
        <c:idx val="2637"/>
        <c:spPr>
          <a:solidFill>
            <a:schemeClr val="accent1"/>
          </a:solidFill>
          <a:ln w="19050">
            <a:solidFill>
              <a:schemeClr val="lt1"/>
            </a:solidFill>
          </a:ln>
          <a:effectLst/>
        </c:spPr>
      </c:pivotFmt>
      <c:pivotFmt>
        <c:idx val="2638"/>
        <c:spPr>
          <a:solidFill>
            <a:schemeClr val="accent1"/>
          </a:solidFill>
          <a:ln w="19050">
            <a:solidFill>
              <a:schemeClr val="lt1"/>
            </a:solidFill>
          </a:ln>
          <a:effectLst/>
        </c:spPr>
      </c:pivotFmt>
      <c:pivotFmt>
        <c:idx val="2639"/>
        <c:spPr>
          <a:solidFill>
            <a:schemeClr val="accent1"/>
          </a:solidFill>
          <a:ln w="19050">
            <a:solidFill>
              <a:schemeClr val="lt1"/>
            </a:solidFill>
          </a:ln>
          <a:effectLst/>
        </c:spPr>
      </c:pivotFmt>
      <c:pivotFmt>
        <c:idx val="2640"/>
        <c:spPr>
          <a:solidFill>
            <a:schemeClr val="accent1"/>
          </a:solidFill>
          <a:ln w="19050">
            <a:solidFill>
              <a:schemeClr val="lt1"/>
            </a:solidFill>
          </a:ln>
          <a:effectLst/>
        </c:spPr>
      </c:pivotFmt>
      <c:pivotFmt>
        <c:idx val="2641"/>
        <c:spPr>
          <a:solidFill>
            <a:schemeClr val="accent1"/>
          </a:solidFill>
          <a:ln w="19050">
            <a:solidFill>
              <a:schemeClr val="lt1"/>
            </a:solidFill>
          </a:ln>
          <a:effectLst/>
        </c:spPr>
      </c:pivotFmt>
      <c:pivotFmt>
        <c:idx val="2642"/>
        <c:spPr>
          <a:solidFill>
            <a:schemeClr val="accent1"/>
          </a:solidFill>
          <a:ln w="19050">
            <a:solidFill>
              <a:schemeClr val="lt1"/>
            </a:solidFill>
          </a:ln>
          <a:effectLst/>
        </c:spPr>
      </c:pivotFmt>
      <c:pivotFmt>
        <c:idx val="2643"/>
        <c:spPr>
          <a:solidFill>
            <a:schemeClr val="accent1"/>
          </a:solidFill>
          <a:ln w="19050">
            <a:solidFill>
              <a:schemeClr val="lt1"/>
            </a:solidFill>
          </a:ln>
          <a:effectLst/>
        </c:spPr>
      </c:pivotFmt>
      <c:pivotFmt>
        <c:idx val="2644"/>
        <c:spPr>
          <a:solidFill>
            <a:schemeClr val="accent1"/>
          </a:solidFill>
          <a:ln w="19050">
            <a:solidFill>
              <a:schemeClr val="lt1"/>
            </a:solidFill>
          </a:ln>
          <a:effectLst/>
        </c:spPr>
      </c:pivotFmt>
      <c:pivotFmt>
        <c:idx val="2645"/>
        <c:spPr>
          <a:solidFill>
            <a:schemeClr val="accent1"/>
          </a:solidFill>
          <a:ln w="19050">
            <a:solidFill>
              <a:schemeClr val="lt1"/>
            </a:solidFill>
          </a:ln>
          <a:effectLst/>
        </c:spPr>
      </c:pivotFmt>
      <c:pivotFmt>
        <c:idx val="2646"/>
        <c:spPr>
          <a:solidFill>
            <a:schemeClr val="accent1"/>
          </a:solidFill>
          <a:ln w="19050">
            <a:solidFill>
              <a:schemeClr val="lt1"/>
            </a:solidFill>
          </a:ln>
          <a:effectLst/>
        </c:spPr>
      </c:pivotFmt>
      <c:pivotFmt>
        <c:idx val="2647"/>
        <c:spPr>
          <a:solidFill>
            <a:schemeClr val="accent1"/>
          </a:solidFill>
          <a:ln w="19050">
            <a:solidFill>
              <a:schemeClr val="lt1"/>
            </a:solidFill>
          </a:ln>
          <a:effectLst/>
        </c:spPr>
      </c:pivotFmt>
      <c:pivotFmt>
        <c:idx val="2648"/>
        <c:spPr>
          <a:solidFill>
            <a:schemeClr val="accent1"/>
          </a:solidFill>
          <a:ln w="19050">
            <a:solidFill>
              <a:schemeClr val="lt1"/>
            </a:solidFill>
          </a:ln>
          <a:effectLst/>
        </c:spPr>
      </c:pivotFmt>
      <c:pivotFmt>
        <c:idx val="2649"/>
        <c:spPr>
          <a:solidFill>
            <a:schemeClr val="accent1"/>
          </a:solidFill>
          <a:ln w="19050">
            <a:solidFill>
              <a:schemeClr val="lt1"/>
            </a:solidFill>
          </a:ln>
          <a:effectLst/>
        </c:spPr>
      </c:pivotFmt>
      <c:pivotFmt>
        <c:idx val="2650"/>
        <c:spPr>
          <a:solidFill>
            <a:schemeClr val="accent1"/>
          </a:solidFill>
          <a:ln w="19050">
            <a:solidFill>
              <a:schemeClr val="lt1"/>
            </a:solidFill>
          </a:ln>
          <a:effectLst/>
        </c:spPr>
      </c:pivotFmt>
      <c:pivotFmt>
        <c:idx val="2651"/>
        <c:spPr>
          <a:solidFill>
            <a:schemeClr val="accent1"/>
          </a:solidFill>
          <a:ln w="19050">
            <a:solidFill>
              <a:schemeClr val="lt1"/>
            </a:solidFill>
          </a:ln>
          <a:effectLst/>
        </c:spPr>
      </c:pivotFmt>
      <c:pivotFmt>
        <c:idx val="2652"/>
        <c:spPr>
          <a:solidFill>
            <a:schemeClr val="accent1"/>
          </a:solidFill>
          <a:ln w="19050">
            <a:solidFill>
              <a:schemeClr val="lt1"/>
            </a:solidFill>
          </a:ln>
          <a:effectLst/>
        </c:spPr>
      </c:pivotFmt>
      <c:pivotFmt>
        <c:idx val="2653"/>
        <c:spPr>
          <a:solidFill>
            <a:schemeClr val="accent1"/>
          </a:solidFill>
          <a:ln w="19050">
            <a:solidFill>
              <a:schemeClr val="lt1"/>
            </a:solidFill>
          </a:ln>
          <a:effectLst/>
        </c:spPr>
      </c:pivotFmt>
      <c:pivotFmt>
        <c:idx val="2654"/>
        <c:spPr>
          <a:solidFill>
            <a:schemeClr val="accent1"/>
          </a:solidFill>
          <a:ln w="19050">
            <a:solidFill>
              <a:schemeClr val="lt1"/>
            </a:solidFill>
          </a:ln>
          <a:effectLst/>
        </c:spPr>
      </c:pivotFmt>
      <c:pivotFmt>
        <c:idx val="2655"/>
        <c:spPr>
          <a:solidFill>
            <a:schemeClr val="accent1"/>
          </a:solidFill>
          <a:ln w="19050">
            <a:solidFill>
              <a:schemeClr val="lt1"/>
            </a:solidFill>
          </a:ln>
          <a:effectLst/>
        </c:spPr>
      </c:pivotFmt>
      <c:pivotFmt>
        <c:idx val="2656"/>
        <c:spPr>
          <a:solidFill>
            <a:schemeClr val="accent1"/>
          </a:solidFill>
          <a:ln w="19050">
            <a:solidFill>
              <a:schemeClr val="lt1"/>
            </a:solidFill>
          </a:ln>
          <a:effectLst/>
        </c:spPr>
      </c:pivotFmt>
      <c:pivotFmt>
        <c:idx val="2657"/>
        <c:spPr>
          <a:solidFill>
            <a:schemeClr val="accent1"/>
          </a:solidFill>
          <a:ln w="19050">
            <a:solidFill>
              <a:schemeClr val="lt1"/>
            </a:solidFill>
          </a:ln>
          <a:effectLst/>
        </c:spPr>
      </c:pivotFmt>
      <c:pivotFmt>
        <c:idx val="2658"/>
        <c:spPr>
          <a:solidFill>
            <a:schemeClr val="accent1"/>
          </a:solidFill>
          <a:ln w="19050">
            <a:solidFill>
              <a:schemeClr val="lt1"/>
            </a:solidFill>
          </a:ln>
          <a:effectLst/>
        </c:spPr>
      </c:pivotFmt>
      <c:pivotFmt>
        <c:idx val="2659"/>
        <c:spPr>
          <a:solidFill>
            <a:schemeClr val="accent1"/>
          </a:solidFill>
          <a:ln w="19050">
            <a:solidFill>
              <a:schemeClr val="lt1"/>
            </a:solidFill>
          </a:ln>
          <a:effectLst/>
        </c:spPr>
      </c:pivotFmt>
      <c:pivotFmt>
        <c:idx val="2660"/>
        <c:spPr>
          <a:solidFill>
            <a:schemeClr val="accent1"/>
          </a:solidFill>
          <a:ln w="19050">
            <a:solidFill>
              <a:schemeClr val="lt1"/>
            </a:solidFill>
          </a:ln>
          <a:effectLst/>
        </c:spPr>
      </c:pivotFmt>
      <c:pivotFmt>
        <c:idx val="2661"/>
        <c:spPr>
          <a:solidFill>
            <a:schemeClr val="accent1"/>
          </a:solidFill>
          <a:ln w="19050">
            <a:solidFill>
              <a:schemeClr val="lt1"/>
            </a:solidFill>
          </a:ln>
          <a:effectLst/>
        </c:spPr>
      </c:pivotFmt>
      <c:pivotFmt>
        <c:idx val="2662"/>
        <c:spPr>
          <a:solidFill>
            <a:schemeClr val="accent1"/>
          </a:solidFill>
          <a:ln w="19050">
            <a:solidFill>
              <a:schemeClr val="lt1"/>
            </a:solidFill>
          </a:ln>
          <a:effectLst/>
        </c:spPr>
      </c:pivotFmt>
      <c:pivotFmt>
        <c:idx val="2663"/>
        <c:spPr>
          <a:solidFill>
            <a:schemeClr val="accent1"/>
          </a:solidFill>
          <a:ln w="19050">
            <a:solidFill>
              <a:schemeClr val="lt1"/>
            </a:solidFill>
          </a:ln>
          <a:effectLst/>
        </c:spPr>
      </c:pivotFmt>
      <c:pivotFmt>
        <c:idx val="2664"/>
        <c:spPr>
          <a:solidFill>
            <a:schemeClr val="accent1"/>
          </a:solidFill>
          <a:ln w="19050">
            <a:solidFill>
              <a:schemeClr val="lt1"/>
            </a:solidFill>
          </a:ln>
          <a:effectLst/>
        </c:spPr>
      </c:pivotFmt>
      <c:pivotFmt>
        <c:idx val="2665"/>
        <c:spPr>
          <a:solidFill>
            <a:schemeClr val="accent1"/>
          </a:solidFill>
          <a:ln w="19050">
            <a:solidFill>
              <a:schemeClr val="lt1"/>
            </a:solidFill>
          </a:ln>
          <a:effectLst/>
        </c:spPr>
      </c:pivotFmt>
      <c:pivotFmt>
        <c:idx val="2666"/>
        <c:spPr>
          <a:solidFill>
            <a:schemeClr val="accent1"/>
          </a:solidFill>
          <a:ln w="19050">
            <a:solidFill>
              <a:schemeClr val="lt1"/>
            </a:solidFill>
          </a:ln>
          <a:effectLst/>
        </c:spPr>
      </c:pivotFmt>
      <c:pivotFmt>
        <c:idx val="2667"/>
        <c:spPr>
          <a:solidFill>
            <a:schemeClr val="accent1"/>
          </a:solidFill>
          <a:ln w="19050">
            <a:solidFill>
              <a:schemeClr val="lt1"/>
            </a:solidFill>
          </a:ln>
          <a:effectLst/>
        </c:spPr>
      </c:pivotFmt>
      <c:pivotFmt>
        <c:idx val="2668"/>
        <c:spPr>
          <a:solidFill>
            <a:schemeClr val="accent1"/>
          </a:solidFill>
          <a:ln w="19050">
            <a:solidFill>
              <a:schemeClr val="lt1"/>
            </a:solidFill>
          </a:ln>
          <a:effectLst/>
        </c:spPr>
      </c:pivotFmt>
      <c:pivotFmt>
        <c:idx val="2669"/>
        <c:spPr>
          <a:solidFill>
            <a:schemeClr val="accent1"/>
          </a:solidFill>
          <a:ln w="19050">
            <a:solidFill>
              <a:schemeClr val="lt1"/>
            </a:solidFill>
          </a:ln>
          <a:effectLst/>
        </c:spPr>
      </c:pivotFmt>
      <c:pivotFmt>
        <c:idx val="2670"/>
        <c:spPr>
          <a:solidFill>
            <a:schemeClr val="accent1"/>
          </a:solidFill>
          <a:ln w="19050">
            <a:solidFill>
              <a:schemeClr val="lt1"/>
            </a:solidFill>
          </a:ln>
          <a:effectLst/>
        </c:spPr>
      </c:pivotFmt>
      <c:pivotFmt>
        <c:idx val="2671"/>
        <c:spPr>
          <a:solidFill>
            <a:schemeClr val="accent1"/>
          </a:solidFill>
          <a:ln w="19050">
            <a:solidFill>
              <a:schemeClr val="lt1"/>
            </a:solidFill>
          </a:ln>
          <a:effectLst/>
        </c:spPr>
      </c:pivotFmt>
      <c:pivotFmt>
        <c:idx val="2672"/>
        <c:spPr>
          <a:solidFill>
            <a:schemeClr val="accent1"/>
          </a:solidFill>
          <a:ln w="19050">
            <a:solidFill>
              <a:schemeClr val="lt1"/>
            </a:solidFill>
          </a:ln>
          <a:effectLst/>
        </c:spPr>
      </c:pivotFmt>
      <c:pivotFmt>
        <c:idx val="2673"/>
        <c:spPr>
          <a:solidFill>
            <a:schemeClr val="accent1"/>
          </a:solidFill>
          <a:ln w="19050">
            <a:solidFill>
              <a:schemeClr val="lt1"/>
            </a:solidFill>
          </a:ln>
          <a:effectLst/>
        </c:spPr>
      </c:pivotFmt>
      <c:pivotFmt>
        <c:idx val="2674"/>
        <c:spPr>
          <a:solidFill>
            <a:schemeClr val="accent1"/>
          </a:solidFill>
          <a:ln w="19050">
            <a:solidFill>
              <a:schemeClr val="lt1"/>
            </a:solidFill>
          </a:ln>
          <a:effectLst/>
        </c:spPr>
      </c:pivotFmt>
      <c:pivotFmt>
        <c:idx val="2675"/>
        <c:spPr>
          <a:solidFill>
            <a:schemeClr val="accent1"/>
          </a:solidFill>
          <a:ln w="19050">
            <a:solidFill>
              <a:schemeClr val="lt1"/>
            </a:solidFill>
          </a:ln>
          <a:effectLst/>
        </c:spPr>
      </c:pivotFmt>
      <c:pivotFmt>
        <c:idx val="2676"/>
        <c:spPr>
          <a:solidFill>
            <a:schemeClr val="accent1"/>
          </a:solidFill>
          <a:ln w="19050">
            <a:solidFill>
              <a:schemeClr val="lt1"/>
            </a:solidFill>
          </a:ln>
          <a:effectLst/>
        </c:spPr>
      </c:pivotFmt>
      <c:pivotFmt>
        <c:idx val="2677"/>
        <c:spPr>
          <a:solidFill>
            <a:schemeClr val="accent1"/>
          </a:solidFill>
          <a:ln w="19050">
            <a:solidFill>
              <a:schemeClr val="lt1"/>
            </a:solidFill>
          </a:ln>
          <a:effectLst/>
        </c:spPr>
      </c:pivotFmt>
      <c:pivotFmt>
        <c:idx val="2678"/>
        <c:spPr>
          <a:solidFill>
            <a:schemeClr val="accent1"/>
          </a:solidFill>
          <a:ln w="19050">
            <a:solidFill>
              <a:schemeClr val="lt1"/>
            </a:solidFill>
          </a:ln>
          <a:effectLst/>
        </c:spPr>
      </c:pivotFmt>
      <c:pivotFmt>
        <c:idx val="2679"/>
        <c:spPr>
          <a:solidFill>
            <a:schemeClr val="accent1"/>
          </a:solidFill>
          <a:ln w="19050">
            <a:solidFill>
              <a:schemeClr val="lt1"/>
            </a:solidFill>
          </a:ln>
          <a:effectLst/>
        </c:spPr>
      </c:pivotFmt>
      <c:pivotFmt>
        <c:idx val="2680"/>
        <c:spPr>
          <a:solidFill>
            <a:schemeClr val="accent1"/>
          </a:solidFill>
          <a:ln w="19050">
            <a:solidFill>
              <a:schemeClr val="lt1"/>
            </a:solidFill>
          </a:ln>
          <a:effectLst/>
        </c:spPr>
      </c:pivotFmt>
      <c:pivotFmt>
        <c:idx val="2681"/>
        <c:spPr>
          <a:solidFill>
            <a:schemeClr val="accent1"/>
          </a:solidFill>
          <a:ln w="19050">
            <a:solidFill>
              <a:schemeClr val="lt1"/>
            </a:solidFill>
          </a:ln>
          <a:effectLst/>
        </c:spPr>
      </c:pivotFmt>
      <c:pivotFmt>
        <c:idx val="2682"/>
        <c:spPr>
          <a:solidFill>
            <a:schemeClr val="accent1"/>
          </a:solidFill>
          <a:ln w="19050">
            <a:solidFill>
              <a:schemeClr val="lt1"/>
            </a:solidFill>
          </a:ln>
          <a:effectLst/>
        </c:spPr>
      </c:pivotFmt>
      <c:pivotFmt>
        <c:idx val="2683"/>
        <c:spPr>
          <a:solidFill>
            <a:schemeClr val="accent1"/>
          </a:solidFill>
          <a:ln w="19050">
            <a:solidFill>
              <a:schemeClr val="lt1"/>
            </a:solidFill>
          </a:ln>
          <a:effectLst/>
        </c:spPr>
      </c:pivotFmt>
      <c:pivotFmt>
        <c:idx val="2684"/>
        <c:spPr>
          <a:solidFill>
            <a:schemeClr val="accent1"/>
          </a:solidFill>
          <a:ln w="19050">
            <a:solidFill>
              <a:schemeClr val="lt1"/>
            </a:solidFill>
          </a:ln>
          <a:effectLst/>
        </c:spPr>
      </c:pivotFmt>
      <c:pivotFmt>
        <c:idx val="2685"/>
        <c:spPr>
          <a:solidFill>
            <a:schemeClr val="accent1"/>
          </a:solidFill>
          <a:ln w="19050">
            <a:solidFill>
              <a:schemeClr val="lt1"/>
            </a:solidFill>
          </a:ln>
          <a:effectLst/>
        </c:spPr>
      </c:pivotFmt>
      <c:pivotFmt>
        <c:idx val="2686"/>
        <c:spPr>
          <a:solidFill>
            <a:schemeClr val="accent1"/>
          </a:solidFill>
          <a:ln w="19050">
            <a:solidFill>
              <a:schemeClr val="lt1"/>
            </a:solidFill>
          </a:ln>
          <a:effectLst/>
        </c:spPr>
      </c:pivotFmt>
      <c:pivotFmt>
        <c:idx val="2687"/>
        <c:spPr>
          <a:solidFill>
            <a:schemeClr val="accent1"/>
          </a:solidFill>
          <a:ln w="19050">
            <a:solidFill>
              <a:schemeClr val="lt1"/>
            </a:solidFill>
          </a:ln>
          <a:effectLst/>
        </c:spPr>
      </c:pivotFmt>
      <c:pivotFmt>
        <c:idx val="2688"/>
        <c:spPr>
          <a:solidFill>
            <a:schemeClr val="accent1"/>
          </a:solidFill>
          <a:ln w="19050">
            <a:solidFill>
              <a:schemeClr val="lt1"/>
            </a:solidFill>
          </a:ln>
          <a:effectLst/>
        </c:spPr>
      </c:pivotFmt>
      <c:pivotFmt>
        <c:idx val="2689"/>
        <c:spPr>
          <a:solidFill>
            <a:schemeClr val="accent1"/>
          </a:solidFill>
          <a:ln w="19050">
            <a:solidFill>
              <a:schemeClr val="lt1"/>
            </a:solidFill>
          </a:ln>
          <a:effectLst/>
        </c:spPr>
      </c:pivotFmt>
      <c:pivotFmt>
        <c:idx val="2690"/>
        <c:spPr>
          <a:solidFill>
            <a:schemeClr val="accent1"/>
          </a:solidFill>
          <a:ln w="19050">
            <a:solidFill>
              <a:schemeClr val="lt1"/>
            </a:solidFill>
          </a:ln>
          <a:effectLst/>
        </c:spPr>
      </c:pivotFmt>
      <c:pivotFmt>
        <c:idx val="2691"/>
        <c:spPr>
          <a:solidFill>
            <a:schemeClr val="accent1"/>
          </a:solidFill>
          <a:ln w="19050">
            <a:solidFill>
              <a:schemeClr val="lt1"/>
            </a:solidFill>
          </a:ln>
          <a:effectLst/>
        </c:spPr>
      </c:pivotFmt>
      <c:pivotFmt>
        <c:idx val="2692"/>
        <c:spPr>
          <a:solidFill>
            <a:schemeClr val="accent1"/>
          </a:solidFill>
          <a:ln w="19050">
            <a:solidFill>
              <a:schemeClr val="lt1"/>
            </a:solidFill>
          </a:ln>
          <a:effectLst/>
        </c:spPr>
      </c:pivotFmt>
      <c:pivotFmt>
        <c:idx val="2693"/>
        <c:spPr>
          <a:solidFill>
            <a:schemeClr val="accent1"/>
          </a:solidFill>
          <a:ln w="19050">
            <a:solidFill>
              <a:schemeClr val="lt1"/>
            </a:solidFill>
          </a:ln>
          <a:effectLst/>
        </c:spPr>
      </c:pivotFmt>
      <c:pivotFmt>
        <c:idx val="2694"/>
        <c:spPr>
          <a:solidFill>
            <a:schemeClr val="accent1"/>
          </a:solidFill>
          <a:ln w="19050">
            <a:solidFill>
              <a:schemeClr val="lt1"/>
            </a:solidFill>
          </a:ln>
          <a:effectLst/>
        </c:spPr>
      </c:pivotFmt>
      <c:pivotFmt>
        <c:idx val="2695"/>
        <c:spPr>
          <a:solidFill>
            <a:schemeClr val="accent1"/>
          </a:solidFill>
          <a:ln w="19050">
            <a:solidFill>
              <a:schemeClr val="lt1"/>
            </a:solidFill>
          </a:ln>
          <a:effectLst/>
        </c:spPr>
      </c:pivotFmt>
      <c:pivotFmt>
        <c:idx val="2696"/>
        <c:spPr>
          <a:solidFill>
            <a:schemeClr val="accent1"/>
          </a:solidFill>
          <a:ln w="19050">
            <a:solidFill>
              <a:schemeClr val="lt1"/>
            </a:solidFill>
          </a:ln>
          <a:effectLst/>
        </c:spPr>
      </c:pivotFmt>
      <c:pivotFmt>
        <c:idx val="2697"/>
        <c:spPr>
          <a:solidFill>
            <a:schemeClr val="accent1"/>
          </a:solidFill>
          <a:ln w="19050">
            <a:solidFill>
              <a:schemeClr val="lt1"/>
            </a:solidFill>
          </a:ln>
          <a:effectLst/>
        </c:spPr>
      </c:pivotFmt>
      <c:pivotFmt>
        <c:idx val="2698"/>
        <c:spPr>
          <a:solidFill>
            <a:schemeClr val="accent1"/>
          </a:solidFill>
          <a:ln w="19050">
            <a:solidFill>
              <a:schemeClr val="lt1"/>
            </a:solidFill>
          </a:ln>
          <a:effectLst/>
        </c:spPr>
      </c:pivotFmt>
      <c:pivotFmt>
        <c:idx val="2699"/>
        <c:spPr>
          <a:solidFill>
            <a:schemeClr val="accent1"/>
          </a:solidFill>
          <a:ln w="19050">
            <a:solidFill>
              <a:schemeClr val="lt1"/>
            </a:solidFill>
          </a:ln>
          <a:effectLst/>
        </c:spPr>
      </c:pivotFmt>
      <c:pivotFmt>
        <c:idx val="2700"/>
        <c:spPr>
          <a:solidFill>
            <a:schemeClr val="accent1"/>
          </a:solidFill>
          <a:ln w="19050">
            <a:solidFill>
              <a:schemeClr val="lt1"/>
            </a:solidFill>
          </a:ln>
          <a:effectLst/>
        </c:spPr>
      </c:pivotFmt>
      <c:pivotFmt>
        <c:idx val="2701"/>
        <c:spPr>
          <a:solidFill>
            <a:schemeClr val="accent1"/>
          </a:solidFill>
          <a:ln w="19050">
            <a:solidFill>
              <a:schemeClr val="lt1"/>
            </a:solidFill>
          </a:ln>
          <a:effectLst/>
        </c:spPr>
      </c:pivotFmt>
      <c:pivotFmt>
        <c:idx val="2702"/>
        <c:spPr>
          <a:solidFill>
            <a:schemeClr val="accent1"/>
          </a:solidFill>
          <a:ln w="19050">
            <a:solidFill>
              <a:schemeClr val="lt1"/>
            </a:solidFill>
          </a:ln>
          <a:effectLst/>
        </c:spPr>
      </c:pivotFmt>
      <c:pivotFmt>
        <c:idx val="2703"/>
        <c:spPr>
          <a:solidFill>
            <a:schemeClr val="accent1"/>
          </a:solidFill>
          <a:ln w="19050">
            <a:solidFill>
              <a:schemeClr val="lt1"/>
            </a:solidFill>
          </a:ln>
          <a:effectLst/>
        </c:spPr>
      </c:pivotFmt>
      <c:pivotFmt>
        <c:idx val="2704"/>
        <c:spPr>
          <a:solidFill>
            <a:schemeClr val="accent1"/>
          </a:solidFill>
          <a:ln w="19050">
            <a:solidFill>
              <a:schemeClr val="lt1"/>
            </a:solidFill>
          </a:ln>
          <a:effectLst/>
        </c:spPr>
      </c:pivotFmt>
      <c:pivotFmt>
        <c:idx val="2705"/>
        <c:spPr>
          <a:solidFill>
            <a:schemeClr val="accent1"/>
          </a:solidFill>
          <a:ln w="19050">
            <a:solidFill>
              <a:schemeClr val="lt1"/>
            </a:solidFill>
          </a:ln>
          <a:effectLst/>
        </c:spPr>
      </c:pivotFmt>
      <c:pivotFmt>
        <c:idx val="2706"/>
        <c:spPr>
          <a:solidFill>
            <a:schemeClr val="accent1"/>
          </a:solidFill>
          <a:ln w="19050">
            <a:solidFill>
              <a:schemeClr val="lt1"/>
            </a:solidFill>
          </a:ln>
          <a:effectLst/>
        </c:spPr>
      </c:pivotFmt>
      <c:pivotFmt>
        <c:idx val="2707"/>
        <c:spPr>
          <a:solidFill>
            <a:schemeClr val="accent1"/>
          </a:solidFill>
          <a:ln w="19050">
            <a:solidFill>
              <a:schemeClr val="lt1"/>
            </a:solidFill>
          </a:ln>
          <a:effectLst/>
        </c:spPr>
      </c:pivotFmt>
      <c:pivotFmt>
        <c:idx val="2708"/>
        <c:spPr>
          <a:solidFill>
            <a:schemeClr val="accent1"/>
          </a:solidFill>
          <a:ln w="19050">
            <a:solidFill>
              <a:schemeClr val="lt1"/>
            </a:solidFill>
          </a:ln>
          <a:effectLst/>
        </c:spPr>
      </c:pivotFmt>
      <c:pivotFmt>
        <c:idx val="2709"/>
        <c:spPr>
          <a:solidFill>
            <a:schemeClr val="accent1"/>
          </a:solidFill>
          <a:ln w="19050">
            <a:solidFill>
              <a:schemeClr val="lt1"/>
            </a:solidFill>
          </a:ln>
          <a:effectLst/>
        </c:spPr>
      </c:pivotFmt>
      <c:pivotFmt>
        <c:idx val="2710"/>
        <c:spPr>
          <a:solidFill>
            <a:schemeClr val="accent1"/>
          </a:solidFill>
          <a:ln w="19050">
            <a:solidFill>
              <a:schemeClr val="lt1"/>
            </a:solidFill>
          </a:ln>
          <a:effectLst/>
        </c:spPr>
      </c:pivotFmt>
      <c:pivotFmt>
        <c:idx val="2711"/>
        <c:spPr>
          <a:solidFill>
            <a:schemeClr val="accent1"/>
          </a:solidFill>
          <a:ln w="19050">
            <a:solidFill>
              <a:schemeClr val="lt1"/>
            </a:solidFill>
          </a:ln>
          <a:effectLst/>
        </c:spPr>
      </c:pivotFmt>
      <c:pivotFmt>
        <c:idx val="2712"/>
        <c:spPr>
          <a:solidFill>
            <a:schemeClr val="accent1"/>
          </a:solidFill>
          <a:ln w="19050">
            <a:solidFill>
              <a:schemeClr val="lt1"/>
            </a:solidFill>
          </a:ln>
          <a:effectLst/>
        </c:spPr>
      </c:pivotFmt>
      <c:pivotFmt>
        <c:idx val="2713"/>
        <c:spPr>
          <a:solidFill>
            <a:schemeClr val="accent1"/>
          </a:solidFill>
          <a:ln w="19050">
            <a:solidFill>
              <a:schemeClr val="lt1"/>
            </a:solidFill>
          </a:ln>
          <a:effectLst/>
        </c:spPr>
      </c:pivotFmt>
      <c:pivotFmt>
        <c:idx val="2714"/>
        <c:spPr>
          <a:solidFill>
            <a:schemeClr val="accent1"/>
          </a:solidFill>
          <a:ln w="19050">
            <a:solidFill>
              <a:schemeClr val="lt1"/>
            </a:solidFill>
          </a:ln>
          <a:effectLst/>
        </c:spPr>
      </c:pivotFmt>
      <c:pivotFmt>
        <c:idx val="2715"/>
        <c:spPr>
          <a:solidFill>
            <a:schemeClr val="accent1"/>
          </a:solidFill>
          <a:ln w="19050">
            <a:solidFill>
              <a:schemeClr val="lt1"/>
            </a:solidFill>
          </a:ln>
          <a:effectLst/>
        </c:spPr>
      </c:pivotFmt>
      <c:pivotFmt>
        <c:idx val="2716"/>
        <c:spPr>
          <a:solidFill>
            <a:schemeClr val="accent1"/>
          </a:solidFill>
          <a:ln w="19050">
            <a:solidFill>
              <a:schemeClr val="lt1"/>
            </a:solidFill>
          </a:ln>
          <a:effectLst/>
        </c:spPr>
      </c:pivotFmt>
      <c:pivotFmt>
        <c:idx val="2717"/>
        <c:spPr>
          <a:solidFill>
            <a:schemeClr val="accent1"/>
          </a:solidFill>
          <a:ln w="19050">
            <a:solidFill>
              <a:schemeClr val="lt1"/>
            </a:solidFill>
          </a:ln>
          <a:effectLst/>
        </c:spPr>
      </c:pivotFmt>
      <c:pivotFmt>
        <c:idx val="2718"/>
        <c:spPr>
          <a:solidFill>
            <a:schemeClr val="accent1"/>
          </a:solidFill>
          <a:ln w="19050">
            <a:solidFill>
              <a:schemeClr val="lt1"/>
            </a:solidFill>
          </a:ln>
          <a:effectLst/>
        </c:spPr>
      </c:pivotFmt>
      <c:pivotFmt>
        <c:idx val="2719"/>
        <c:spPr>
          <a:solidFill>
            <a:schemeClr val="accent1"/>
          </a:solidFill>
          <a:ln w="19050">
            <a:solidFill>
              <a:schemeClr val="lt1"/>
            </a:solidFill>
          </a:ln>
          <a:effectLst/>
        </c:spPr>
      </c:pivotFmt>
      <c:pivotFmt>
        <c:idx val="2720"/>
        <c:spPr>
          <a:solidFill>
            <a:schemeClr val="accent1"/>
          </a:solidFill>
          <a:ln w="19050">
            <a:solidFill>
              <a:schemeClr val="lt1"/>
            </a:solidFill>
          </a:ln>
          <a:effectLst/>
        </c:spPr>
      </c:pivotFmt>
      <c:pivotFmt>
        <c:idx val="2721"/>
        <c:spPr>
          <a:solidFill>
            <a:schemeClr val="accent1"/>
          </a:solidFill>
          <a:ln w="19050">
            <a:solidFill>
              <a:schemeClr val="lt1"/>
            </a:solidFill>
          </a:ln>
          <a:effectLst/>
        </c:spPr>
      </c:pivotFmt>
      <c:pivotFmt>
        <c:idx val="2722"/>
        <c:spPr>
          <a:solidFill>
            <a:schemeClr val="accent1"/>
          </a:solidFill>
          <a:ln w="19050">
            <a:solidFill>
              <a:schemeClr val="lt1"/>
            </a:solidFill>
          </a:ln>
          <a:effectLst/>
        </c:spPr>
      </c:pivotFmt>
      <c:pivotFmt>
        <c:idx val="2723"/>
        <c:spPr>
          <a:solidFill>
            <a:schemeClr val="accent1"/>
          </a:solidFill>
          <a:ln w="19050">
            <a:solidFill>
              <a:schemeClr val="lt1"/>
            </a:solidFill>
          </a:ln>
          <a:effectLst/>
        </c:spPr>
      </c:pivotFmt>
      <c:pivotFmt>
        <c:idx val="2724"/>
        <c:spPr>
          <a:solidFill>
            <a:schemeClr val="accent1"/>
          </a:solidFill>
          <a:ln w="19050">
            <a:solidFill>
              <a:schemeClr val="lt1"/>
            </a:solidFill>
          </a:ln>
          <a:effectLst/>
        </c:spPr>
      </c:pivotFmt>
      <c:pivotFmt>
        <c:idx val="2725"/>
        <c:spPr>
          <a:solidFill>
            <a:schemeClr val="accent1"/>
          </a:solidFill>
          <a:ln w="19050">
            <a:solidFill>
              <a:schemeClr val="lt1"/>
            </a:solidFill>
          </a:ln>
          <a:effectLst/>
        </c:spPr>
      </c:pivotFmt>
      <c:pivotFmt>
        <c:idx val="2726"/>
        <c:spPr>
          <a:solidFill>
            <a:schemeClr val="accent1"/>
          </a:solidFill>
          <a:ln w="19050">
            <a:solidFill>
              <a:schemeClr val="lt1"/>
            </a:solidFill>
          </a:ln>
          <a:effectLst/>
        </c:spPr>
      </c:pivotFmt>
      <c:pivotFmt>
        <c:idx val="2727"/>
        <c:spPr>
          <a:solidFill>
            <a:schemeClr val="accent1"/>
          </a:solidFill>
          <a:ln w="19050">
            <a:solidFill>
              <a:schemeClr val="lt1"/>
            </a:solidFill>
          </a:ln>
          <a:effectLst/>
        </c:spPr>
      </c:pivotFmt>
      <c:pivotFmt>
        <c:idx val="2728"/>
        <c:spPr>
          <a:solidFill>
            <a:schemeClr val="accent1"/>
          </a:solidFill>
          <a:ln w="19050">
            <a:solidFill>
              <a:schemeClr val="lt1"/>
            </a:solidFill>
          </a:ln>
          <a:effectLst/>
        </c:spPr>
      </c:pivotFmt>
      <c:pivotFmt>
        <c:idx val="2729"/>
        <c:spPr>
          <a:solidFill>
            <a:schemeClr val="accent1"/>
          </a:solidFill>
          <a:ln w="19050">
            <a:solidFill>
              <a:schemeClr val="lt1"/>
            </a:solidFill>
          </a:ln>
          <a:effectLst/>
        </c:spPr>
      </c:pivotFmt>
      <c:pivotFmt>
        <c:idx val="2730"/>
        <c:spPr>
          <a:solidFill>
            <a:schemeClr val="accent1"/>
          </a:solidFill>
          <a:ln w="19050">
            <a:solidFill>
              <a:schemeClr val="lt1"/>
            </a:solidFill>
          </a:ln>
          <a:effectLst/>
        </c:spPr>
      </c:pivotFmt>
      <c:pivotFmt>
        <c:idx val="2731"/>
        <c:spPr>
          <a:solidFill>
            <a:schemeClr val="accent1"/>
          </a:solidFill>
          <a:ln w="19050">
            <a:solidFill>
              <a:schemeClr val="lt1"/>
            </a:solidFill>
          </a:ln>
          <a:effectLst/>
        </c:spPr>
      </c:pivotFmt>
      <c:pivotFmt>
        <c:idx val="2732"/>
        <c:spPr>
          <a:solidFill>
            <a:schemeClr val="accent1"/>
          </a:solidFill>
          <a:ln w="19050">
            <a:solidFill>
              <a:schemeClr val="lt1"/>
            </a:solidFill>
          </a:ln>
          <a:effectLst/>
        </c:spPr>
      </c:pivotFmt>
      <c:pivotFmt>
        <c:idx val="2733"/>
        <c:spPr>
          <a:solidFill>
            <a:schemeClr val="accent1"/>
          </a:solidFill>
          <a:ln w="19050">
            <a:solidFill>
              <a:schemeClr val="lt1"/>
            </a:solidFill>
          </a:ln>
          <a:effectLst/>
        </c:spPr>
      </c:pivotFmt>
      <c:pivotFmt>
        <c:idx val="2734"/>
        <c:spPr>
          <a:solidFill>
            <a:schemeClr val="accent1"/>
          </a:solidFill>
          <a:ln w="19050">
            <a:solidFill>
              <a:schemeClr val="lt1"/>
            </a:solidFill>
          </a:ln>
          <a:effectLst/>
        </c:spPr>
      </c:pivotFmt>
      <c:pivotFmt>
        <c:idx val="2735"/>
        <c:spPr>
          <a:solidFill>
            <a:schemeClr val="accent1"/>
          </a:solidFill>
          <a:ln w="19050">
            <a:solidFill>
              <a:schemeClr val="lt1"/>
            </a:solidFill>
          </a:ln>
          <a:effectLst/>
        </c:spPr>
      </c:pivotFmt>
      <c:pivotFmt>
        <c:idx val="2736"/>
        <c:spPr>
          <a:solidFill>
            <a:schemeClr val="accent1"/>
          </a:solidFill>
          <a:ln w="19050">
            <a:solidFill>
              <a:schemeClr val="lt1"/>
            </a:solidFill>
          </a:ln>
          <a:effectLst/>
        </c:spPr>
      </c:pivotFmt>
      <c:pivotFmt>
        <c:idx val="2737"/>
        <c:spPr>
          <a:solidFill>
            <a:schemeClr val="accent1"/>
          </a:solidFill>
          <a:ln w="19050">
            <a:solidFill>
              <a:schemeClr val="lt1"/>
            </a:solidFill>
          </a:ln>
          <a:effectLst/>
        </c:spPr>
      </c:pivotFmt>
      <c:pivotFmt>
        <c:idx val="2738"/>
        <c:spPr>
          <a:solidFill>
            <a:schemeClr val="accent1"/>
          </a:solidFill>
          <a:ln w="19050">
            <a:solidFill>
              <a:schemeClr val="lt1"/>
            </a:solidFill>
          </a:ln>
          <a:effectLst/>
        </c:spPr>
      </c:pivotFmt>
      <c:pivotFmt>
        <c:idx val="2739"/>
        <c:spPr>
          <a:solidFill>
            <a:schemeClr val="accent1"/>
          </a:solidFill>
          <a:ln w="19050">
            <a:solidFill>
              <a:schemeClr val="lt1"/>
            </a:solidFill>
          </a:ln>
          <a:effectLst/>
        </c:spPr>
      </c:pivotFmt>
      <c:pivotFmt>
        <c:idx val="2740"/>
        <c:spPr>
          <a:solidFill>
            <a:schemeClr val="accent1"/>
          </a:solidFill>
          <a:ln w="19050">
            <a:solidFill>
              <a:schemeClr val="lt1"/>
            </a:solidFill>
          </a:ln>
          <a:effectLst/>
        </c:spPr>
      </c:pivotFmt>
      <c:pivotFmt>
        <c:idx val="2741"/>
        <c:spPr>
          <a:solidFill>
            <a:schemeClr val="accent1"/>
          </a:solidFill>
          <a:ln w="19050">
            <a:solidFill>
              <a:schemeClr val="lt1"/>
            </a:solidFill>
          </a:ln>
          <a:effectLst/>
        </c:spPr>
      </c:pivotFmt>
      <c:pivotFmt>
        <c:idx val="2742"/>
        <c:spPr>
          <a:solidFill>
            <a:schemeClr val="accent1"/>
          </a:solidFill>
          <a:ln w="19050">
            <a:solidFill>
              <a:schemeClr val="lt1"/>
            </a:solidFill>
          </a:ln>
          <a:effectLst/>
        </c:spPr>
      </c:pivotFmt>
      <c:pivotFmt>
        <c:idx val="2743"/>
        <c:spPr>
          <a:solidFill>
            <a:schemeClr val="accent1"/>
          </a:solidFill>
          <a:ln w="19050">
            <a:solidFill>
              <a:schemeClr val="lt1"/>
            </a:solidFill>
          </a:ln>
          <a:effectLst/>
        </c:spPr>
      </c:pivotFmt>
      <c:pivotFmt>
        <c:idx val="2744"/>
        <c:spPr>
          <a:solidFill>
            <a:schemeClr val="accent1"/>
          </a:solidFill>
          <a:ln w="19050">
            <a:solidFill>
              <a:schemeClr val="lt1"/>
            </a:solidFill>
          </a:ln>
          <a:effectLst/>
        </c:spPr>
      </c:pivotFmt>
      <c:pivotFmt>
        <c:idx val="2745"/>
        <c:spPr>
          <a:solidFill>
            <a:schemeClr val="accent1"/>
          </a:solidFill>
          <a:ln w="19050">
            <a:solidFill>
              <a:schemeClr val="lt1"/>
            </a:solidFill>
          </a:ln>
          <a:effectLst/>
        </c:spPr>
      </c:pivotFmt>
      <c:pivotFmt>
        <c:idx val="2746"/>
        <c:spPr>
          <a:solidFill>
            <a:schemeClr val="accent1"/>
          </a:solidFill>
          <a:ln w="19050">
            <a:solidFill>
              <a:schemeClr val="lt1"/>
            </a:solidFill>
          </a:ln>
          <a:effectLst/>
        </c:spPr>
      </c:pivotFmt>
      <c:pivotFmt>
        <c:idx val="2747"/>
        <c:spPr>
          <a:solidFill>
            <a:schemeClr val="accent1"/>
          </a:solidFill>
          <a:ln w="19050">
            <a:solidFill>
              <a:schemeClr val="lt1"/>
            </a:solidFill>
          </a:ln>
          <a:effectLst/>
        </c:spPr>
      </c:pivotFmt>
      <c:pivotFmt>
        <c:idx val="2748"/>
        <c:spPr>
          <a:solidFill>
            <a:schemeClr val="accent1"/>
          </a:solidFill>
          <a:ln w="19050">
            <a:solidFill>
              <a:schemeClr val="lt1"/>
            </a:solidFill>
          </a:ln>
          <a:effectLst/>
        </c:spPr>
      </c:pivotFmt>
      <c:pivotFmt>
        <c:idx val="2749"/>
        <c:spPr>
          <a:solidFill>
            <a:schemeClr val="accent1"/>
          </a:solidFill>
          <a:ln w="19050">
            <a:solidFill>
              <a:schemeClr val="lt1"/>
            </a:solidFill>
          </a:ln>
          <a:effectLst/>
        </c:spPr>
      </c:pivotFmt>
      <c:pivotFmt>
        <c:idx val="2750"/>
        <c:spPr>
          <a:solidFill>
            <a:schemeClr val="accent1"/>
          </a:solidFill>
          <a:ln w="19050">
            <a:solidFill>
              <a:schemeClr val="lt1"/>
            </a:solidFill>
          </a:ln>
          <a:effectLst/>
        </c:spPr>
      </c:pivotFmt>
      <c:pivotFmt>
        <c:idx val="2751"/>
        <c:spPr>
          <a:solidFill>
            <a:schemeClr val="accent1"/>
          </a:solidFill>
          <a:ln w="19050">
            <a:solidFill>
              <a:schemeClr val="lt1"/>
            </a:solidFill>
          </a:ln>
          <a:effectLst/>
        </c:spPr>
      </c:pivotFmt>
      <c:pivotFmt>
        <c:idx val="2752"/>
        <c:spPr>
          <a:solidFill>
            <a:schemeClr val="accent1"/>
          </a:solidFill>
          <a:ln w="19050">
            <a:solidFill>
              <a:schemeClr val="lt1"/>
            </a:solidFill>
          </a:ln>
          <a:effectLst/>
        </c:spPr>
      </c:pivotFmt>
      <c:pivotFmt>
        <c:idx val="2753"/>
        <c:spPr>
          <a:solidFill>
            <a:schemeClr val="accent1"/>
          </a:solidFill>
          <a:ln w="19050">
            <a:solidFill>
              <a:schemeClr val="lt1"/>
            </a:solidFill>
          </a:ln>
          <a:effectLst/>
        </c:spPr>
      </c:pivotFmt>
      <c:pivotFmt>
        <c:idx val="2754"/>
        <c:spPr>
          <a:solidFill>
            <a:schemeClr val="accent1"/>
          </a:solidFill>
          <a:ln w="19050">
            <a:solidFill>
              <a:schemeClr val="lt1"/>
            </a:solidFill>
          </a:ln>
          <a:effectLst/>
        </c:spPr>
      </c:pivotFmt>
      <c:pivotFmt>
        <c:idx val="2755"/>
        <c:spPr>
          <a:solidFill>
            <a:schemeClr val="accent1"/>
          </a:solidFill>
          <a:ln w="19050">
            <a:solidFill>
              <a:schemeClr val="lt1"/>
            </a:solidFill>
          </a:ln>
          <a:effectLst/>
        </c:spPr>
      </c:pivotFmt>
      <c:pivotFmt>
        <c:idx val="2756"/>
        <c:spPr>
          <a:solidFill>
            <a:schemeClr val="accent1"/>
          </a:solidFill>
          <a:ln w="19050">
            <a:solidFill>
              <a:schemeClr val="lt1"/>
            </a:solidFill>
          </a:ln>
          <a:effectLst/>
        </c:spPr>
      </c:pivotFmt>
      <c:pivotFmt>
        <c:idx val="2757"/>
        <c:spPr>
          <a:solidFill>
            <a:schemeClr val="accent1"/>
          </a:solidFill>
          <a:ln w="19050">
            <a:solidFill>
              <a:schemeClr val="lt1"/>
            </a:solidFill>
          </a:ln>
          <a:effectLst/>
        </c:spPr>
      </c:pivotFmt>
      <c:pivotFmt>
        <c:idx val="2758"/>
        <c:spPr>
          <a:solidFill>
            <a:schemeClr val="accent1"/>
          </a:solidFill>
          <a:ln w="19050">
            <a:solidFill>
              <a:schemeClr val="lt1"/>
            </a:solidFill>
          </a:ln>
          <a:effectLst/>
        </c:spPr>
      </c:pivotFmt>
      <c:pivotFmt>
        <c:idx val="2759"/>
        <c:spPr>
          <a:solidFill>
            <a:schemeClr val="accent1"/>
          </a:solidFill>
          <a:ln w="19050">
            <a:solidFill>
              <a:schemeClr val="lt1"/>
            </a:solidFill>
          </a:ln>
          <a:effectLst/>
        </c:spPr>
      </c:pivotFmt>
      <c:pivotFmt>
        <c:idx val="2760"/>
        <c:spPr>
          <a:solidFill>
            <a:schemeClr val="accent1"/>
          </a:solidFill>
          <a:ln w="19050">
            <a:solidFill>
              <a:schemeClr val="lt1"/>
            </a:solidFill>
          </a:ln>
          <a:effectLst/>
        </c:spPr>
      </c:pivotFmt>
      <c:pivotFmt>
        <c:idx val="2761"/>
        <c:spPr>
          <a:solidFill>
            <a:schemeClr val="accent1"/>
          </a:solidFill>
          <a:ln w="19050">
            <a:solidFill>
              <a:schemeClr val="lt1"/>
            </a:solidFill>
          </a:ln>
          <a:effectLst/>
        </c:spPr>
      </c:pivotFmt>
      <c:pivotFmt>
        <c:idx val="2762"/>
        <c:spPr>
          <a:solidFill>
            <a:schemeClr val="accent1"/>
          </a:solidFill>
          <a:ln w="19050">
            <a:solidFill>
              <a:schemeClr val="lt1"/>
            </a:solidFill>
          </a:ln>
          <a:effectLst/>
        </c:spPr>
      </c:pivotFmt>
      <c:pivotFmt>
        <c:idx val="2763"/>
        <c:spPr>
          <a:solidFill>
            <a:schemeClr val="accent1"/>
          </a:solidFill>
          <a:ln w="19050">
            <a:solidFill>
              <a:schemeClr val="lt1"/>
            </a:solidFill>
          </a:ln>
          <a:effectLst/>
        </c:spPr>
      </c:pivotFmt>
      <c:pivotFmt>
        <c:idx val="2764"/>
        <c:spPr>
          <a:solidFill>
            <a:schemeClr val="accent1"/>
          </a:solidFill>
          <a:ln w="19050">
            <a:solidFill>
              <a:schemeClr val="lt1"/>
            </a:solidFill>
          </a:ln>
          <a:effectLst/>
        </c:spPr>
      </c:pivotFmt>
      <c:pivotFmt>
        <c:idx val="2765"/>
        <c:spPr>
          <a:solidFill>
            <a:schemeClr val="accent1"/>
          </a:solidFill>
          <a:ln w="19050">
            <a:solidFill>
              <a:schemeClr val="lt1"/>
            </a:solidFill>
          </a:ln>
          <a:effectLst/>
        </c:spPr>
      </c:pivotFmt>
      <c:pivotFmt>
        <c:idx val="2766"/>
        <c:spPr>
          <a:solidFill>
            <a:schemeClr val="accent1"/>
          </a:solidFill>
          <a:ln w="19050">
            <a:solidFill>
              <a:schemeClr val="lt1"/>
            </a:solidFill>
          </a:ln>
          <a:effectLst/>
        </c:spPr>
      </c:pivotFmt>
      <c:pivotFmt>
        <c:idx val="2767"/>
        <c:spPr>
          <a:solidFill>
            <a:schemeClr val="accent1"/>
          </a:solidFill>
          <a:ln w="19050">
            <a:solidFill>
              <a:schemeClr val="lt1"/>
            </a:solidFill>
          </a:ln>
          <a:effectLst/>
        </c:spPr>
      </c:pivotFmt>
      <c:pivotFmt>
        <c:idx val="2768"/>
        <c:spPr>
          <a:solidFill>
            <a:schemeClr val="accent1"/>
          </a:solidFill>
          <a:ln w="19050">
            <a:solidFill>
              <a:schemeClr val="lt1"/>
            </a:solidFill>
          </a:ln>
          <a:effectLst/>
        </c:spPr>
      </c:pivotFmt>
      <c:pivotFmt>
        <c:idx val="2769"/>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770"/>
        <c:spPr>
          <a:solidFill>
            <a:schemeClr val="accent1"/>
          </a:solidFill>
          <a:ln w="19050">
            <a:solidFill>
              <a:schemeClr val="lt1"/>
            </a:solidFill>
          </a:ln>
          <a:effectLst/>
        </c:spPr>
      </c:pivotFmt>
      <c:pivotFmt>
        <c:idx val="2771"/>
        <c:spPr>
          <a:solidFill>
            <a:schemeClr val="accent1"/>
          </a:solidFill>
          <a:ln w="19050">
            <a:solidFill>
              <a:schemeClr val="lt1"/>
            </a:solidFill>
          </a:ln>
          <a:effectLst/>
        </c:spPr>
      </c:pivotFmt>
      <c:pivotFmt>
        <c:idx val="2772"/>
        <c:spPr>
          <a:solidFill>
            <a:schemeClr val="accent1"/>
          </a:solidFill>
          <a:ln w="19050">
            <a:solidFill>
              <a:schemeClr val="lt1"/>
            </a:solidFill>
          </a:ln>
          <a:effectLst/>
        </c:spPr>
      </c:pivotFmt>
      <c:pivotFmt>
        <c:idx val="2773"/>
        <c:spPr>
          <a:solidFill>
            <a:schemeClr val="accent1"/>
          </a:solidFill>
          <a:ln w="19050">
            <a:solidFill>
              <a:schemeClr val="lt1"/>
            </a:solidFill>
          </a:ln>
          <a:effectLst/>
        </c:spPr>
      </c:pivotFmt>
      <c:pivotFmt>
        <c:idx val="2774"/>
        <c:spPr>
          <a:solidFill>
            <a:schemeClr val="accent1"/>
          </a:solidFill>
          <a:ln w="19050">
            <a:solidFill>
              <a:schemeClr val="lt1"/>
            </a:solidFill>
          </a:ln>
          <a:effectLst/>
        </c:spPr>
      </c:pivotFmt>
      <c:pivotFmt>
        <c:idx val="2775"/>
        <c:spPr>
          <a:solidFill>
            <a:schemeClr val="accent1"/>
          </a:solidFill>
          <a:ln w="19050">
            <a:solidFill>
              <a:schemeClr val="lt1"/>
            </a:solidFill>
          </a:ln>
          <a:effectLst/>
        </c:spPr>
      </c:pivotFmt>
      <c:pivotFmt>
        <c:idx val="2776"/>
        <c:spPr>
          <a:solidFill>
            <a:schemeClr val="accent1"/>
          </a:solidFill>
          <a:ln w="19050">
            <a:solidFill>
              <a:schemeClr val="lt1"/>
            </a:solidFill>
          </a:ln>
          <a:effectLst/>
        </c:spPr>
      </c:pivotFmt>
      <c:pivotFmt>
        <c:idx val="2777"/>
        <c:spPr>
          <a:solidFill>
            <a:schemeClr val="accent1"/>
          </a:solidFill>
          <a:ln w="19050">
            <a:solidFill>
              <a:schemeClr val="lt1"/>
            </a:solidFill>
          </a:ln>
          <a:effectLst/>
        </c:spPr>
      </c:pivotFmt>
      <c:pivotFmt>
        <c:idx val="2778"/>
        <c:spPr>
          <a:solidFill>
            <a:schemeClr val="accent1"/>
          </a:solidFill>
          <a:ln w="19050">
            <a:solidFill>
              <a:schemeClr val="lt1"/>
            </a:solidFill>
          </a:ln>
          <a:effectLst/>
        </c:spPr>
      </c:pivotFmt>
      <c:pivotFmt>
        <c:idx val="2779"/>
        <c:spPr>
          <a:solidFill>
            <a:schemeClr val="accent1"/>
          </a:solidFill>
          <a:ln w="19050">
            <a:solidFill>
              <a:schemeClr val="lt1"/>
            </a:solidFill>
          </a:ln>
          <a:effectLst/>
        </c:spPr>
      </c:pivotFmt>
      <c:pivotFmt>
        <c:idx val="2780"/>
        <c:spPr>
          <a:solidFill>
            <a:schemeClr val="accent1"/>
          </a:solidFill>
          <a:ln w="19050">
            <a:solidFill>
              <a:schemeClr val="lt1"/>
            </a:solidFill>
          </a:ln>
          <a:effectLst/>
        </c:spPr>
      </c:pivotFmt>
      <c:pivotFmt>
        <c:idx val="2781"/>
        <c:spPr>
          <a:solidFill>
            <a:schemeClr val="accent1"/>
          </a:solidFill>
          <a:ln w="19050">
            <a:solidFill>
              <a:schemeClr val="lt1"/>
            </a:solidFill>
          </a:ln>
          <a:effectLst/>
        </c:spPr>
      </c:pivotFmt>
      <c:pivotFmt>
        <c:idx val="2782"/>
        <c:spPr>
          <a:solidFill>
            <a:schemeClr val="accent1"/>
          </a:solidFill>
          <a:ln w="19050">
            <a:solidFill>
              <a:schemeClr val="lt1"/>
            </a:solidFill>
          </a:ln>
          <a:effectLst/>
        </c:spPr>
      </c:pivotFmt>
      <c:pivotFmt>
        <c:idx val="2783"/>
        <c:spPr>
          <a:solidFill>
            <a:schemeClr val="accent1"/>
          </a:solidFill>
          <a:ln w="19050">
            <a:solidFill>
              <a:schemeClr val="lt1"/>
            </a:solidFill>
          </a:ln>
          <a:effectLst/>
        </c:spPr>
      </c:pivotFmt>
      <c:pivotFmt>
        <c:idx val="2784"/>
        <c:spPr>
          <a:solidFill>
            <a:schemeClr val="accent1"/>
          </a:solidFill>
          <a:ln w="19050">
            <a:solidFill>
              <a:schemeClr val="lt1"/>
            </a:solidFill>
          </a:ln>
          <a:effectLst/>
        </c:spPr>
      </c:pivotFmt>
      <c:pivotFmt>
        <c:idx val="2785"/>
        <c:spPr>
          <a:solidFill>
            <a:schemeClr val="accent1"/>
          </a:solidFill>
          <a:ln w="19050">
            <a:solidFill>
              <a:schemeClr val="lt1"/>
            </a:solidFill>
          </a:ln>
          <a:effectLst/>
        </c:spPr>
      </c:pivotFmt>
      <c:pivotFmt>
        <c:idx val="2786"/>
        <c:spPr>
          <a:solidFill>
            <a:schemeClr val="accent1"/>
          </a:solidFill>
          <a:ln w="19050">
            <a:solidFill>
              <a:schemeClr val="lt1"/>
            </a:solidFill>
          </a:ln>
          <a:effectLst/>
        </c:spPr>
      </c:pivotFmt>
      <c:pivotFmt>
        <c:idx val="2787"/>
        <c:spPr>
          <a:solidFill>
            <a:schemeClr val="accent1"/>
          </a:solidFill>
          <a:ln w="19050">
            <a:solidFill>
              <a:schemeClr val="lt1"/>
            </a:solidFill>
          </a:ln>
          <a:effectLst/>
        </c:spPr>
      </c:pivotFmt>
      <c:pivotFmt>
        <c:idx val="2788"/>
        <c:spPr>
          <a:solidFill>
            <a:schemeClr val="accent1"/>
          </a:solidFill>
          <a:ln w="19050">
            <a:solidFill>
              <a:schemeClr val="lt1"/>
            </a:solidFill>
          </a:ln>
          <a:effectLst/>
        </c:spPr>
      </c:pivotFmt>
      <c:pivotFmt>
        <c:idx val="2789"/>
        <c:spPr>
          <a:solidFill>
            <a:schemeClr val="accent1"/>
          </a:solidFill>
          <a:ln w="19050">
            <a:solidFill>
              <a:schemeClr val="lt1"/>
            </a:solidFill>
          </a:ln>
          <a:effectLst/>
        </c:spPr>
      </c:pivotFmt>
      <c:pivotFmt>
        <c:idx val="279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791"/>
        <c:spPr>
          <a:solidFill>
            <a:schemeClr val="accent1"/>
          </a:solidFill>
          <a:ln w="19050">
            <a:solidFill>
              <a:schemeClr val="lt1"/>
            </a:solidFill>
          </a:ln>
          <a:effectLst/>
        </c:spPr>
      </c:pivotFmt>
      <c:pivotFmt>
        <c:idx val="2792"/>
        <c:spPr>
          <a:solidFill>
            <a:schemeClr val="accent1"/>
          </a:solidFill>
          <a:ln w="19050">
            <a:solidFill>
              <a:schemeClr val="lt1"/>
            </a:solidFill>
          </a:ln>
          <a:effectLst/>
        </c:spPr>
      </c:pivotFmt>
      <c:pivotFmt>
        <c:idx val="2793"/>
        <c:spPr>
          <a:solidFill>
            <a:schemeClr val="accent1"/>
          </a:solidFill>
          <a:ln w="19050">
            <a:solidFill>
              <a:schemeClr val="lt1"/>
            </a:solidFill>
          </a:ln>
          <a:effectLst/>
        </c:spPr>
      </c:pivotFmt>
      <c:pivotFmt>
        <c:idx val="2794"/>
        <c:spPr>
          <a:solidFill>
            <a:schemeClr val="accent1"/>
          </a:solidFill>
          <a:ln w="19050">
            <a:solidFill>
              <a:schemeClr val="lt1"/>
            </a:solidFill>
          </a:ln>
          <a:effectLst/>
        </c:spPr>
      </c:pivotFmt>
      <c:pivotFmt>
        <c:idx val="2795"/>
        <c:spPr>
          <a:solidFill>
            <a:schemeClr val="accent1"/>
          </a:solidFill>
          <a:ln w="19050">
            <a:solidFill>
              <a:schemeClr val="lt1"/>
            </a:solidFill>
          </a:ln>
          <a:effectLst/>
        </c:spPr>
      </c:pivotFmt>
      <c:pivotFmt>
        <c:idx val="2796"/>
        <c:spPr>
          <a:solidFill>
            <a:schemeClr val="accent1"/>
          </a:solidFill>
          <a:ln w="19050">
            <a:solidFill>
              <a:schemeClr val="lt1"/>
            </a:solidFill>
          </a:ln>
          <a:effectLst/>
        </c:spPr>
      </c:pivotFmt>
      <c:pivotFmt>
        <c:idx val="2797"/>
        <c:spPr>
          <a:solidFill>
            <a:schemeClr val="accent1"/>
          </a:solidFill>
          <a:ln w="19050">
            <a:solidFill>
              <a:schemeClr val="lt1"/>
            </a:solidFill>
          </a:ln>
          <a:effectLst/>
        </c:spPr>
      </c:pivotFmt>
      <c:pivotFmt>
        <c:idx val="2798"/>
        <c:spPr>
          <a:solidFill>
            <a:schemeClr val="accent1"/>
          </a:solidFill>
          <a:ln w="19050">
            <a:solidFill>
              <a:schemeClr val="lt1"/>
            </a:solidFill>
          </a:ln>
          <a:effectLst/>
        </c:spPr>
      </c:pivotFmt>
      <c:pivotFmt>
        <c:idx val="2799"/>
        <c:spPr>
          <a:solidFill>
            <a:schemeClr val="accent1"/>
          </a:solidFill>
          <a:ln w="19050">
            <a:solidFill>
              <a:schemeClr val="lt1"/>
            </a:solidFill>
          </a:ln>
          <a:effectLst/>
        </c:spPr>
      </c:pivotFmt>
      <c:pivotFmt>
        <c:idx val="2800"/>
        <c:spPr>
          <a:solidFill>
            <a:schemeClr val="accent1"/>
          </a:solidFill>
          <a:ln w="19050">
            <a:solidFill>
              <a:schemeClr val="lt1"/>
            </a:solidFill>
          </a:ln>
          <a:effectLst/>
        </c:spPr>
      </c:pivotFmt>
      <c:pivotFmt>
        <c:idx val="2801"/>
        <c:spPr>
          <a:solidFill>
            <a:schemeClr val="accent1"/>
          </a:solidFill>
          <a:ln w="19050">
            <a:solidFill>
              <a:schemeClr val="lt1"/>
            </a:solidFill>
          </a:ln>
          <a:effectLst/>
        </c:spPr>
      </c:pivotFmt>
      <c:pivotFmt>
        <c:idx val="2802"/>
        <c:spPr>
          <a:solidFill>
            <a:schemeClr val="accent1"/>
          </a:solidFill>
          <a:ln w="19050">
            <a:solidFill>
              <a:schemeClr val="lt1"/>
            </a:solidFill>
          </a:ln>
          <a:effectLst/>
        </c:spPr>
      </c:pivotFmt>
      <c:pivotFmt>
        <c:idx val="2803"/>
        <c:spPr>
          <a:solidFill>
            <a:schemeClr val="accent1"/>
          </a:solidFill>
          <a:ln w="19050">
            <a:solidFill>
              <a:schemeClr val="lt1"/>
            </a:solidFill>
          </a:ln>
          <a:effectLst/>
        </c:spPr>
      </c:pivotFmt>
      <c:pivotFmt>
        <c:idx val="2804"/>
        <c:spPr>
          <a:solidFill>
            <a:schemeClr val="accent1"/>
          </a:solidFill>
          <a:ln w="19050">
            <a:solidFill>
              <a:schemeClr val="lt1"/>
            </a:solidFill>
          </a:ln>
          <a:effectLst/>
        </c:spPr>
      </c:pivotFmt>
      <c:pivotFmt>
        <c:idx val="2805"/>
        <c:spPr>
          <a:solidFill>
            <a:schemeClr val="accent1"/>
          </a:solidFill>
          <a:ln w="19050">
            <a:solidFill>
              <a:schemeClr val="lt1"/>
            </a:solidFill>
          </a:ln>
          <a:effectLst/>
        </c:spPr>
      </c:pivotFmt>
      <c:pivotFmt>
        <c:idx val="2806"/>
        <c:spPr>
          <a:solidFill>
            <a:schemeClr val="accent1"/>
          </a:solidFill>
          <a:ln w="19050">
            <a:solidFill>
              <a:schemeClr val="lt1"/>
            </a:solidFill>
          </a:ln>
          <a:effectLst/>
        </c:spPr>
      </c:pivotFmt>
      <c:pivotFmt>
        <c:idx val="2807"/>
        <c:spPr>
          <a:solidFill>
            <a:schemeClr val="accent1"/>
          </a:solidFill>
          <a:ln w="19050">
            <a:solidFill>
              <a:schemeClr val="lt1"/>
            </a:solidFill>
          </a:ln>
          <a:effectLst/>
        </c:spPr>
      </c:pivotFmt>
      <c:pivotFmt>
        <c:idx val="2808"/>
        <c:spPr>
          <a:solidFill>
            <a:schemeClr val="accent1"/>
          </a:solidFill>
          <a:ln w="19050">
            <a:solidFill>
              <a:schemeClr val="lt1"/>
            </a:solidFill>
          </a:ln>
          <a:effectLst/>
        </c:spPr>
      </c:pivotFmt>
      <c:pivotFmt>
        <c:idx val="2809"/>
        <c:spPr>
          <a:solidFill>
            <a:schemeClr val="accent1"/>
          </a:solidFill>
          <a:ln w="19050">
            <a:solidFill>
              <a:schemeClr val="lt1"/>
            </a:solidFill>
          </a:ln>
          <a:effectLst/>
        </c:spPr>
      </c:pivotFmt>
      <c:pivotFmt>
        <c:idx val="2810"/>
        <c:spPr>
          <a:solidFill>
            <a:schemeClr val="accent1"/>
          </a:solidFill>
          <a:ln w="19050">
            <a:solidFill>
              <a:schemeClr val="lt1"/>
            </a:solidFill>
          </a:ln>
          <a:effectLst/>
        </c:spPr>
      </c:pivotFmt>
    </c:pivotFmts>
    <c:plotArea>
      <c:layout/>
      <c:pieChart>
        <c:varyColors val="1"/>
        <c:ser>
          <c:idx val="0"/>
          <c:order val="0"/>
          <c:tx>
            <c:strRef>
              <c:f>'Product analysis'!$B$3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F6-4383-B5CC-D2D8B9C729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F6-4383-B5CC-D2D8B9C729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F6-4383-B5CC-D2D8B9C729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F6-4383-B5CC-D2D8B9C7294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CF6-4383-B5CC-D2D8B9C7294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CF6-4383-B5CC-D2D8B9C7294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9CF6-4383-B5CC-D2D8B9C72949}"/>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9CF6-4383-B5CC-D2D8B9C72949}"/>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9CF6-4383-B5CC-D2D8B9C72949}"/>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9CF6-4383-B5CC-D2D8B9C72949}"/>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9CF6-4383-B5CC-D2D8B9C72949}"/>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9CF6-4383-B5CC-D2D8B9C72949}"/>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9CF6-4383-B5CC-D2D8B9C72949}"/>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9CF6-4383-B5CC-D2D8B9C72949}"/>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9CF6-4383-B5CC-D2D8B9C72949}"/>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9CF6-4383-B5CC-D2D8B9C72949}"/>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9CF6-4383-B5CC-D2D8B9C72949}"/>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9CF6-4383-B5CC-D2D8B9C72949}"/>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9CF6-4383-B5CC-D2D8B9C72949}"/>
              </c:ext>
            </c:extLst>
          </c:dPt>
          <c:dPt>
            <c:idx val="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27-9CF6-4383-B5CC-D2D8B9C72949}"/>
              </c:ext>
            </c:extLst>
          </c:dPt>
          <c:dPt>
            <c:idx val="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29-9CF6-4383-B5CC-D2D8B9C72949}"/>
              </c:ext>
            </c:extLst>
          </c:dPt>
          <c:dPt>
            <c:idx val="2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2B-9CF6-4383-B5CC-D2D8B9C72949}"/>
              </c:ext>
            </c:extLst>
          </c:dPt>
          <c:dPt>
            <c:idx val="2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02D-9CF6-4383-B5CC-D2D8B9C72949}"/>
              </c:ext>
            </c:extLst>
          </c:dPt>
          <c:dPt>
            <c:idx val="2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2F-9CF6-4383-B5CC-D2D8B9C72949}"/>
              </c:ext>
            </c:extLst>
          </c:dPt>
          <c:dPt>
            <c:idx val="2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31-9CF6-4383-B5CC-D2D8B9C72949}"/>
              </c:ext>
            </c:extLst>
          </c:dPt>
          <c:dPt>
            <c:idx val="2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33-9CF6-4383-B5CC-D2D8B9C72949}"/>
              </c:ext>
            </c:extLst>
          </c:dPt>
          <c:dPt>
            <c:idx val="2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035-9CF6-4383-B5CC-D2D8B9C72949}"/>
              </c:ext>
            </c:extLst>
          </c:dPt>
          <c:dPt>
            <c:idx val="2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37-9CF6-4383-B5CC-D2D8B9C72949}"/>
              </c:ext>
            </c:extLst>
          </c:dPt>
          <c:dPt>
            <c:idx val="2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39-9CF6-4383-B5CC-D2D8B9C72949}"/>
              </c:ext>
            </c:extLst>
          </c:dPt>
          <c:dPt>
            <c:idx val="2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3B-9CF6-4383-B5CC-D2D8B9C72949}"/>
              </c:ext>
            </c:extLst>
          </c:dPt>
          <c:dPt>
            <c:idx val="3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03D-9CF6-4383-B5CC-D2D8B9C72949}"/>
              </c:ext>
            </c:extLst>
          </c:dPt>
          <c:dPt>
            <c:idx val="3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03F-9CF6-4383-B5CC-D2D8B9C72949}"/>
              </c:ext>
            </c:extLst>
          </c:dPt>
          <c:dPt>
            <c:idx val="3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041-9CF6-4383-B5CC-D2D8B9C72949}"/>
              </c:ext>
            </c:extLst>
          </c:dPt>
          <c:dPt>
            <c:idx val="3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043-9CF6-4383-B5CC-D2D8B9C72949}"/>
              </c:ext>
            </c:extLst>
          </c:dPt>
          <c:dPt>
            <c:idx val="3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45-9CF6-4383-B5CC-D2D8B9C72949}"/>
              </c:ext>
            </c:extLst>
          </c:dPt>
          <c:dPt>
            <c:idx val="3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047-9CF6-4383-B5CC-D2D8B9C72949}"/>
              </c:ext>
            </c:extLst>
          </c:dPt>
          <c:dPt>
            <c:idx val="3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049-9CF6-4383-B5CC-D2D8B9C72949}"/>
              </c:ext>
            </c:extLst>
          </c:dPt>
          <c:dPt>
            <c:idx val="3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04B-9CF6-4383-B5CC-D2D8B9C72949}"/>
              </c:ext>
            </c:extLst>
          </c:dPt>
          <c:dPt>
            <c:idx val="3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04D-9CF6-4383-B5CC-D2D8B9C72949}"/>
              </c:ext>
            </c:extLst>
          </c:dPt>
          <c:dPt>
            <c:idx val="3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04F-9CF6-4383-B5CC-D2D8B9C72949}"/>
              </c:ext>
            </c:extLst>
          </c:dPt>
          <c:dPt>
            <c:idx val="4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051-9CF6-4383-B5CC-D2D8B9C72949}"/>
              </c:ext>
            </c:extLst>
          </c:dPt>
          <c:dPt>
            <c:idx val="4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053-9CF6-4383-B5CC-D2D8B9C72949}"/>
              </c:ext>
            </c:extLst>
          </c:dPt>
          <c:dPt>
            <c:idx val="4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055-9CF6-4383-B5CC-D2D8B9C72949}"/>
              </c:ext>
            </c:extLst>
          </c:dPt>
          <c:dPt>
            <c:idx val="4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057-9CF6-4383-B5CC-D2D8B9C72949}"/>
              </c:ext>
            </c:extLst>
          </c:dPt>
          <c:dPt>
            <c:idx val="4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059-9CF6-4383-B5CC-D2D8B9C72949}"/>
              </c:ext>
            </c:extLst>
          </c:dPt>
          <c:dPt>
            <c:idx val="4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05B-9CF6-4383-B5CC-D2D8B9C72949}"/>
              </c:ext>
            </c:extLst>
          </c:dPt>
          <c:dPt>
            <c:idx val="4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05D-9CF6-4383-B5CC-D2D8B9C72949}"/>
              </c:ext>
            </c:extLst>
          </c:dPt>
          <c:dPt>
            <c:idx val="4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05F-9CF6-4383-B5CC-D2D8B9C72949}"/>
              </c:ext>
            </c:extLst>
          </c:dPt>
          <c:dPt>
            <c:idx val="4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061-9CF6-4383-B5CC-D2D8B9C72949}"/>
              </c:ext>
            </c:extLst>
          </c:dPt>
          <c:dPt>
            <c:idx val="4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063-9CF6-4383-B5CC-D2D8B9C72949}"/>
              </c:ext>
            </c:extLst>
          </c:dPt>
          <c:dPt>
            <c:idx val="5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065-9CF6-4383-B5CC-D2D8B9C72949}"/>
              </c:ext>
            </c:extLst>
          </c:dPt>
          <c:dPt>
            <c:idx val="5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067-9CF6-4383-B5CC-D2D8B9C72949}"/>
              </c:ext>
            </c:extLst>
          </c:dPt>
          <c:dPt>
            <c:idx val="5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069-9CF6-4383-B5CC-D2D8B9C72949}"/>
              </c:ext>
            </c:extLst>
          </c:dPt>
          <c:dPt>
            <c:idx val="5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06B-9CF6-4383-B5CC-D2D8B9C72949}"/>
              </c:ext>
            </c:extLst>
          </c:dPt>
          <c:dPt>
            <c:idx val="54"/>
            <c:bubble3D val="0"/>
            <c:spPr>
              <a:solidFill>
                <a:schemeClr val="accent1"/>
              </a:solidFill>
              <a:ln w="19050">
                <a:solidFill>
                  <a:schemeClr val="lt1"/>
                </a:solidFill>
              </a:ln>
              <a:effectLst/>
            </c:spPr>
            <c:extLst>
              <c:ext xmlns:c16="http://schemas.microsoft.com/office/drawing/2014/chart" uri="{C3380CC4-5D6E-409C-BE32-E72D297353CC}">
                <c16:uniqueId val="{0000006D-9CF6-4383-B5CC-D2D8B9C72949}"/>
              </c:ext>
            </c:extLst>
          </c:dPt>
          <c:dPt>
            <c:idx val="55"/>
            <c:bubble3D val="0"/>
            <c:spPr>
              <a:solidFill>
                <a:schemeClr val="accent2"/>
              </a:solidFill>
              <a:ln w="19050">
                <a:solidFill>
                  <a:schemeClr val="lt1"/>
                </a:solidFill>
              </a:ln>
              <a:effectLst/>
            </c:spPr>
            <c:extLst>
              <c:ext xmlns:c16="http://schemas.microsoft.com/office/drawing/2014/chart" uri="{C3380CC4-5D6E-409C-BE32-E72D297353CC}">
                <c16:uniqueId val="{0000006F-9CF6-4383-B5CC-D2D8B9C72949}"/>
              </c:ext>
            </c:extLst>
          </c:dPt>
          <c:dPt>
            <c:idx val="56"/>
            <c:bubble3D val="0"/>
            <c:spPr>
              <a:solidFill>
                <a:schemeClr val="accent3"/>
              </a:solidFill>
              <a:ln w="19050">
                <a:solidFill>
                  <a:schemeClr val="lt1"/>
                </a:solidFill>
              </a:ln>
              <a:effectLst/>
            </c:spPr>
            <c:extLst>
              <c:ext xmlns:c16="http://schemas.microsoft.com/office/drawing/2014/chart" uri="{C3380CC4-5D6E-409C-BE32-E72D297353CC}">
                <c16:uniqueId val="{00000071-9CF6-4383-B5CC-D2D8B9C72949}"/>
              </c:ext>
            </c:extLst>
          </c:dPt>
          <c:dPt>
            <c:idx val="57"/>
            <c:bubble3D val="0"/>
            <c:spPr>
              <a:solidFill>
                <a:schemeClr val="accent4"/>
              </a:solidFill>
              <a:ln w="19050">
                <a:solidFill>
                  <a:schemeClr val="lt1"/>
                </a:solidFill>
              </a:ln>
              <a:effectLst/>
            </c:spPr>
            <c:extLst>
              <c:ext xmlns:c16="http://schemas.microsoft.com/office/drawing/2014/chart" uri="{C3380CC4-5D6E-409C-BE32-E72D297353CC}">
                <c16:uniqueId val="{00000073-9CF6-4383-B5CC-D2D8B9C72949}"/>
              </c:ext>
            </c:extLst>
          </c:dPt>
          <c:dPt>
            <c:idx val="58"/>
            <c:bubble3D val="0"/>
            <c:spPr>
              <a:solidFill>
                <a:schemeClr val="accent5"/>
              </a:solidFill>
              <a:ln w="19050">
                <a:solidFill>
                  <a:schemeClr val="lt1"/>
                </a:solidFill>
              </a:ln>
              <a:effectLst/>
            </c:spPr>
            <c:extLst>
              <c:ext xmlns:c16="http://schemas.microsoft.com/office/drawing/2014/chart" uri="{C3380CC4-5D6E-409C-BE32-E72D297353CC}">
                <c16:uniqueId val="{00000075-9CF6-4383-B5CC-D2D8B9C72949}"/>
              </c:ext>
            </c:extLst>
          </c:dPt>
          <c:dPt>
            <c:idx val="59"/>
            <c:bubble3D val="0"/>
            <c:spPr>
              <a:solidFill>
                <a:schemeClr val="accent6"/>
              </a:solidFill>
              <a:ln w="19050">
                <a:solidFill>
                  <a:schemeClr val="lt1"/>
                </a:solidFill>
              </a:ln>
              <a:effectLst/>
            </c:spPr>
            <c:extLst>
              <c:ext xmlns:c16="http://schemas.microsoft.com/office/drawing/2014/chart" uri="{C3380CC4-5D6E-409C-BE32-E72D297353CC}">
                <c16:uniqueId val="{00000077-9CF6-4383-B5CC-D2D8B9C72949}"/>
              </c:ext>
            </c:extLst>
          </c:dPt>
          <c:dPt>
            <c:idx val="6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79-9CF6-4383-B5CC-D2D8B9C72949}"/>
              </c:ext>
            </c:extLst>
          </c:dPt>
          <c:dPt>
            <c:idx val="6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7B-9CF6-4383-B5CC-D2D8B9C72949}"/>
              </c:ext>
            </c:extLst>
          </c:dPt>
          <c:dPt>
            <c:idx val="6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7D-9CF6-4383-B5CC-D2D8B9C72949}"/>
              </c:ext>
            </c:extLst>
          </c:dPt>
          <c:dPt>
            <c:idx val="6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7F-9CF6-4383-B5CC-D2D8B9C72949}"/>
              </c:ext>
            </c:extLst>
          </c:dPt>
          <c:dPt>
            <c:idx val="6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81-9CF6-4383-B5CC-D2D8B9C72949}"/>
              </c:ext>
            </c:extLst>
          </c:dPt>
          <c:dPt>
            <c:idx val="6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83-9CF6-4383-B5CC-D2D8B9C72949}"/>
              </c:ext>
            </c:extLst>
          </c:dPt>
          <c:dPt>
            <c:idx val="6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85-9CF6-4383-B5CC-D2D8B9C72949}"/>
              </c:ext>
            </c:extLst>
          </c:dPt>
          <c:dPt>
            <c:idx val="6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87-9CF6-4383-B5CC-D2D8B9C72949}"/>
              </c:ext>
            </c:extLst>
          </c:dPt>
          <c:dPt>
            <c:idx val="6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89-9CF6-4383-B5CC-D2D8B9C72949}"/>
              </c:ext>
            </c:extLst>
          </c:dPt>
          <c:dPt>
            <c:idx val="6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8B-9CF6-4383-B5CC-D2D8B9C72949}"/>
              </c:ext>
            </c:extLst>
          </c:dPt>
          <c:dPt>
            <c:idx val="7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8D-9CF6-4383-B5CC-D2D8B9C72949}"/>
              </c:ext>
            </c:extLst>
          </c:dPt>
          <c:dPt>
            <c:idx val="7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8F-9CF6-4383-B5CC-D2D8B9C72949}"/>
              </c:ext>
            </c:extLst>
          </c:dPt>
          <c:dPt>
            <c:idx val="7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91-9CF6-4383-B5CC-D2D8B9C72949}"/>
              </c:ext>
            </c:extLst>
          </c:dPt>
          <c:dPt>
            <c:idx val="7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93-9CF6-4383-B5CC-D2D8B9C72949}"/>
              </c:ext>
            </c:extLst>
          </c:dPt>
          <c:dPt>
            <c:idx val="7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95-9CF6-4383-B5CC-D2D8B9C72949}"/>
              </c:ext>
            </c:extLst>
          </c:dPt>
          <c:dPt>
            <c:idx val="7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97-9CF6-4383-B5CC-D2D8B9C72949}"/>
              </c:ext>
            </c:extLst>
          </c:dPt>
          <c:dPt>
            <c:idx val="7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099-9CF6-4383-B5CC-D2D8B9C72949}"/>
              </c:ext>
            </c:extLst>
          </c:dPt>
          <c:dPt>
            <c:idx val="7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9B-9CF6-4383-B5CC-D2D8B9C72949}"/>
              </c:ext>
            </c:extLst>
          </c:dPt>
          <c:dPt>
            <c:idx val="7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9D-9CF6-4383-B5CC-D2D8B9C72949}"/>
              </c:ext>
            </c:extLst>
          </c:dPt>
          <c:dPt>
            <c:idx val="7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9F-9CF6-4383-B5CC-D2D8B9C72949}"/>
              </c:ext>
            </c:extLst>
          </c:dPt>
          <c:dPt>
            <c:idx val="8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0A1-9CF6-4383-B5CC-D2D8B9C72949}"/>
              </c:ext>
            </c:extLst>
          </c:dPt>
          <c:dPt>
            <c:idx val="8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A3-9CF6-4383-B5CC-D2D8B9C72949}"/>
              </c:ext>
            </c:extLst>
          </c:dPt>
          <c:dPt>
            <c:idx val="8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A5-9CF6-4383-B5CC-D2D8B9C72949}"/>
              </c:ext>
            </c:extLst>
          </c:dPt>
          <c:dPt>
            <c:idx val="8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A7-9CF6-4383-B5CC-D2D8B9C72949}"/>
              </c:ext>
            </c:extLst>
          </c:dPt>
          <c:dPt>
            <c:idx val="8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0A9-9CF6-4383-B5CC-D2D8B9C72949}"/>
              </c:ext>
            </c:extLst>
          </c:dPt>
          <c:dPt>
            <c:idx val="8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0AB-9CF6-4383-B5CC-D2D8B9C72949}"/>
              </c:ext>
            </c:extLst>
          </c:dPt>
          <c:dPt>
            <c:idx val="8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0AD-9CF6-4383-B5CC-D2D8B9C72949}"/>
              </c:ext>
            </c:extLst>
          </c:dPt>
          <c:dPt>
            <c:idx val="8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0AF-9CF6-4383-B5CC-D2D8B9C72949}"/>
              </c:ext>
            </c:extLst>
          </c:dPt>
          <c:dPt>
            <c:idx val="8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0B1-9CF6-4383-B5CC-D2D8B9C72949}"/>
              </c:ext>
            </c:extLst>
          </c:dPt>
          <c:dPt>
            <c:idx val="8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0B3-9CF6-4383-B5CC-D2D8B9C72949}"/>
              </c:ext>
            </c:extLst>
          </c:dPt>
          <c:dPt>
            <c:idx val="9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0B5-9CF6-4383-B5CC-D2D8B9C72949}"/>
              </c:ext>
            </c:extLst>
          </c:dPt>
          <c:dPt>
            <c:idx val="9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0B7-9CF6-4383-B5CC-D2D8B9C72949}"/>
              </c:ext>
            </c:extLst>
          </c:dPt>
          <c:dPt>
            <c:idx val="9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0B9-9CF6-4383-B5CC-D2D8B9C72949}"/>
              </c:ext>
            </c:extLst>
          </c:dPt>
          <c:dPt>
            <c:idx val="9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0BB-9CF6-4383-B5CC-D2D8B9C72949}"/>
              </c:ext>
            </c:extLst>
          </c:dPt>
          <c:dPt>
            <c:idx val="9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0BD-9CF6-4383-B5CC-D2D8B9C72949}"/>
              </c:ext>
            </c:extLst>
          </c:dPt>
          <c:dPt>
            <c:idx val="9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0BF-9CF6-4383-B5CC-D2D8B9C72949}"/>
              </c:ext>
            </c:extLst>
          </c:dPt>
          <c:dPt>
            <c:idx val="9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0C1-9CF6-4383-B5CC-D2D8B9C72949}"/>
              </c:ext>
            </c:extLst>
          </c:dPt>
          <c:dPt>
            <c:idx val="9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0C3-9CF6-4383-B5CC-D2D8B9C72949}"/>
              </c:ext>
            </c:extLst>
          </c:dPt>
          <c:dPt>
            <c:idx val="9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0C5-9CF6-4383-B5CC-D2D8B9C72949}"/>
              </c:ext>
            </c:extLst>
          </c:dPt>
          <c:dPt>
            <c:idx val="9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0C7-9CF6-4383-B5CC-D2D8B9C72949}"/>
              </c:ext>
            </c:extLst>
          </c:dPt>
          <c:dPt>
            <c:idx val="10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0C9-9CF6-4383-B5CC-D2D8B9C72949}"/>
              </c:ext>
            </c:extLst>
          </c:dPt>
          <c:dPt>
            <c:idx val="10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0CB-9CF6-4383-B5CC-D2D8B9C72949}"/>
              </c:ext>
            </c:extLst>
          </c:dPt>
          <c:dPt>
            <c:idx val="10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0CD-9CF6-4383-B5CC-D2D8B9C72949}"/>
              </c:ext>
            </c:extLst>
          </c:dPt>
          <c:dPt>
            <c:idx val="10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0CF-9CF6-4383-B5CC-D2D8B9C72949}"/>
              </c:ext>
            </c:extLst>
          </c:dPt>
          <c:dPt>
            <c:idx val="10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0D1-9CF6-4383-B5CC-D2D8B9C72949}"/>
              </c:ext>
            </c:extLst>
          </c:dPt>
          <c:dPt>
            <c:idx val="10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0D3-9CF6-4383-B5CC-D2D8B9C72949}"/>
              </c:ext>
            </c:extLst>
          </c:dPt>
          <c:dPt>
            <c:idx val="10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0D5-9CF6-4383-B5CC-D2D8B9C72949}"/>
              </c:ext>
            </c:extLst>
          </c:dPt>
          <c:dPt>
            <c:idx val="10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0D7-9CF6-4383-B5CC-D2D8B9C72949}"/>
              </c:ext>
            </c:extLst>
          </c:dPt>
          <c:dPt>
            <c:idx val="108"/>
            <c:bubble3D val="0"/>
            <c:spPr>
              <a:solidFill>
                <a:schemeClr val="accent1"/>
              </a:solidFill>
              <a:ln w="19050">
                <a:solidFill>
                  <a:schemeClr val="lt1"/>
                </a:solidFill>
              </a:ln>
              <a:effectLst/>
            </c:spPr>
            <c:extLst>
              <c:ext xmlns:c16="http://schemas.microsoft.com/office/drawing/2014/chart" uri="{C3380CC4-5D6E-409C-BE32-E72D297353CC}">
                <c16:uniqueId val="{000000D9-9CF6-4383-B5CC-D2D8B9C72949}"/>
              </c:ext>
            </c:extLst>
          </c:dPt>
          <c:dPt>
            <c:idx val="109"/>
            <c:bubble3D val="0"/>
            <c:spPr>
              <a:solidFill>
                <a:schemeClr val="accent2"/>
              </a:solidFill>
              <a:ln w="19050">
                <a:solidFill>
                  <a:schemeClr val="lt1"/>
                </a:solidFill>
              </a:ln>
              <a:effectLst/>
            </c:spPr>
            <c:extLst>
              <c:ext xmlns:c16="http://schemas.microsoft.com/office/drawing/2014/chart" uri="{C3380CC4-5D6E-409C-BE32-E72D297353CC}">
                <c16:uniqueId val="{000000DB-9CF6-4383-B5CC-D2D8B9C72949}"/>
              </c:ext>
            </c:extLst>
          </c:dPt>
          <c:dPt>
            <c:idx val="110"/>
            <c:bubble3D val="0"/>
            <c:spPr>
              <a:solidFill>
                <a:schemeClr val="accent3"/>
              </a:solidFill>
              <a:ln w="19050">
                <a:solidFill>
                  <a:schemeClr val="lt1"/>
                </a:solidFill>
              </a:ln>
              <a:effectLst/>
            </c:spPr>
            <c:extLst>
              <c:ext xmlns:c16="http://schemas.microsoft.com/office/drawing/2014/chart" uri="{C3380CC4-5D6E-409C-BE32-E72D297353CC}">
                <c16:uniqueId val="{000000DD-9CF6-4383-B5CC-D2D8B9C72949}"/>
              </c:ext>
            </c:extLst>
          </c:dPt>
          <c:dPt>
            <c:idx val="111"/>
            <c:bubble3D val="0"/>
            <c:spPr>
              <a:solidFill>
                <a:schemeClr val="accent4"/>
              </a:solidFill>
              <a:ln w="19050">
                <a:solidFill>
                  <a:schemeClr val="lt1"/>
                </a:solidFill>
              </a:ln>
              <a:effectLst/>
            </c:spPr>
            <c:extLst>
              <c:ext xmlns:c16="http://schemas.microsoft.com/office/drawing/2014/chart" uri="{C3380CC4-5D6E-409C-BE32-E72D297353CC}">
                <c16:uniqueId val="{000000DF-9CF6-4383-B5CC-D2D8B9C72949}"/>
              </c:ext>
            </c:extLst>
          </c:dPt>
          <c:dPt>
            <c:idx val="112"/>
            <c:bubble3D val="0"/>
            <c:spPr>
              <a:solidFill>
                <a:schemeClr val="accent5"/>
              </a:solidFill>
              <a:ln w="19050">
                <a:solidFill>
                  <a:schemeClr val="lt1"/>
                </a:solidFill>
              </a:ln>
              <a:effectLst/>
            </c:spPr>
            <c:extLst>
              <c:ext xmlns:c16="http://schemas.microsoft.com/office/drawing/2014/chart" uri="{C3380CC4-5D6E-409C-BE32-E72D297353CC}">
                <c16:uniqueId val="{000000E1-9CF6-4383-B5CC-D2D8B9C72949}"/>
              </c:ext>
            </c:extLst>
          </c:dPt>
          <c:dPt>
            <c:idx val="113"/>
            <c:bubble3D val="0"/>
            <c:spPr>
              <a:solidFill>
                <a:schemeClr val="accent6"/>
              </a:solidFill>
              <a:ln w="19050">
                <a:solidFill>
                  <a:schemeClr val="lt1"/>
                </a:solidFill>
              </a:ln>
              <a:effectLst/>
            </c:spPr>
            <c:extLst>
              <c:ext xmlns:c16="http://schemas.microsoft.com/office/drawing/2014/chart" uri="{C3380CC4-5D6E-409C-BE32-E72D297353CC}">
                <c16:uniqueId val="{000000E3-9CF6-4383-B5CC-D2D8B9C72949}"/>
              </c:ext>
            </c:extLst>
          </c:dPt>
          <c:dPt>
            <c:idx val="11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E5-9CF6-4383-B5CC-D2D8B9C72949}"/>
              </c:ext>
            </c:extLst>
          </c:dPt>
          <c:dPt>
            <c:idx val="11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E7-9CF6-4383-B5CC-D2D8B9C72949}"/>
              </c:ext>
            </c:extLst>
          </c:dPt>
          <c:dPt>
            <c:idx val="11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E9-9CF6-4383-B5CC-D2D8B9C72949}"/>
              </c:ext>
            </c:extLst>
          </c:dPt>
          <c:dPt>
            <c:idx val="11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EB-9CF6-4383-B5CC-D2D8B9C72949}"/>
              </c:ext>
            </c:extLst>
          </c:dPt>
          <c:dPt>
            <c:idx val="11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ED-9CF6-4383-B5CC-D2D8B9C72949}"/>
              </c:ext>
            </c:extLst>
          </c:dPt>
          <c:dPt>
            <c:idx val="11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EF-9CF6-4383-B5CC-D2D8B9C72949}"/>
              </c:ext>
            </c:extLst>
          </c:dPt>
          <c:dPt>
            <c:idx val="12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F1-9CF6-4383-B5CC-D2D8B9C72949}"/>
              </c:ext>
            </c:extLst>
          </c:dPt>
          <c:dPt>
            <c:idx val="12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F3-9CF6-4383-B5CC-D2D8B9C72949}"/>
              </c:ext>
            </c:extLst>
          </c:dPt>
          <c:dPt>
            <c:idx val="12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F5-9CF6-4383-B5CC-D2D8B9C72949}"/>
              </c:ext>
            </c:extLst>
          </c:dPt>
          <c:dPt>
            <c:idx val="12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F7-9CF6-4383-B5CC-D2D8B9C72949}"/>
              </c:ext>
            </c:extLst>
          </c:dPt>
          <c:dPt>
            <c:idx val="12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F9-9CF6-4383-B5CC-D2D8B9C72949}"/>
              </c:ext>
            </c:extLst>
          </c:dPt>
          <c:dPt>
            <c:idx val="12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FB-9CF6-4383-B5CC-D2D8B9C72949}"/>
              </c:ext>
            </c:extLst>
          </c:dPt>
          <c:dPt>
            <c:idx val="12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FD-9CF6-4383-B5CC-D2D8B9C72949}"/>
              </c:ext>
            </c:extLst>
          </c:dPt>
          <c:dPt>
            <c:idx val="12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FF-9CF6-4383-B5CC-D2D8B9C72949}"/>
              </c:ext>
            </c:extLst>
          </c:dPt>
          <c:dPt>
            <c:idx val="12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101-9CF6-4383-B5CC-D2D8B9C72949}"/>
              </c:ext>
            </c:extLst>
          </c:dPt>
          <c:dPt>
            <c:idx val="12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103-9CF6-4383-B5CC-D2D8B9C72949}"/>
              </c:ext>
            </c:extLst>
          </c:dPt>
          <c:dPt>
            <c:idx val="13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105-9CF6-4383-B5CC-D2D8B9C72949}"/>
              </c:ext>
            </c:extLst>
          </c:dPt>
          <c:dPt>
            <c:idx val="13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107-9CF6-4383-B5CC-D2D8B9C72949}"/>
              </c:ext>
            </c:extLst>
          </c:dPt>
          <c:dPt>
            <c:idx val="13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109-9CF6-4383-B5CC-D2D8B9C72949}"/>
              </c:ext>
            </c:extLst>
          </c:dPt>
          <c:dPt>
            <c:idx val="13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10B-9CF6-4383-B5CC-D2D8B9C72949}"/>
              </c:ext>
            </c:extLst>
          </c:dPt>
          <c:dPt>
            <c:idx val="13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10D-9CF6-4383-B5CC-D2D8B9C72949}"/>
              </c:ext>
            </c:extLst>
          </c:dPt>
          <c:dPt>
            <c:idx val="13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10F-9CF6-4383-B5CC-D2D8B9C72949}"/>
              </c:ext>
            </c:extLst>
          </c:dPt>
          <c:dPt>
            <c:idx val="13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111-9CF6-4383-B5CC-D2D8B9C72949}"/>
              </c:ext>
            </c:extLst>
          </c:dPt>
          <c:dPt>
            <c:idx val="13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113-9CF6-4383-B5CC-D2D8B9C72949}"/>
              </c:ext>
            </c:extLst>
          </c:dPt>
          <c:dPt>
            <c:idx val="13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115-9CF6-4383-B5CC-D2D8B9C72949}"/>
              </c:ext>
            </c:extLst>
          </c:dPt>
          <c:dPt>
            <c:idx val="13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117-9CF6-4383-B5CC-D2D8B9C72949}"/>
              </c:ext>
            </c:extLst>
          </c:dPt>
          <c:dPt>
            <c:idx val="14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119-9CF6-4383-B5CC-D2D8B9C72949}"/>
              </c:ext>
            </c:extLst>
          </c:dPt>
          <c:dPt>
            <c:idx val="14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11B-9CF6-4383-B5CC-D2D8B9C72949}"/>
              </c:ext>
            </c:extLst>
          </c:dPt>
          <c:dPt>
            <c:idx val="14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11D-9CF6-4383-B5CC-D2D8B9C72949}"/>
              </c:ext>
            </c:extLst>
          </c:dPt>
          <c:dPt>
            <c:idx val="14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11F-9CF6-4383-B5CC-D2D8B9C72949}"/>
              </c:ext>
            </c:extLst>
          </c:dPt>
          <c:dPt>
            <c:idx val="14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121-9CF6-4383-B5CC-D2D8B9C72949}"/>
              </c:ext>
            </c:extLst>
          </c:dPt>
          <c:dPt>
            <c:idx val="14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123-9CF6-4383-B5CC-D2D8B9C72949}"/>
              </c:ext>
            </c:extLst>
          </c:dPt>
          <c:dPt>
            <c:idx val="14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125-9CF6-4383-B5CC-D2D8B9C72949}"/>
              </c:ext>
            </c:extLst>
          </c:dPt>
          <c:dPt>
            <c:idx val="14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127-9CF6-4383-B5CC-D2D8B9C72949}"/>
              </c:ext>
            </c:extLst>
          </c:dPt>
          <c:dPt>
            <c:idx val="14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129-9CF6-4383-B5CC-D2D8B9C72949}"/>
              </c:ext>
            </c:extLst>
          </c:dPt>
          <c:dPt>
            <c:idx val="14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12B-9CF6-4383-B5CC-D2D8B9C72949}"/>
              </c:ext>
            </c:extLst>
          </c:dPt>
          <c:dPt>
            <c:idx val="15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12D-9CF6-4383-B5CC-D2D8B9C72949}"/>
              </c:ext>
            </c:extLst>
          </c:dPt>
          <c:dPt>
            <c:idx val="15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12F-9CF6-4383-B5CC-D2D8B9C72949}"/>
              </c:ext>
            </c:extLst>
          </c:dPt>
          <c:dPt>
            <c:idx val="15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131-9CF6-4383-B5CC-D2D8B9C72949}"/>
              </c:ext>
            </c:extLst>
          </c:dPt>
          <c:dPt>
            <c:idx val="15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133-9CF6-4383-B5CC-D2D8B9C72949}"/>
              </c:ext>
            </c:extLst>
          </c:dPt>
          <c:dPt>
            <c:idx val="15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135-9CF6-4383-B5CC-D2D8B9C72949}"/>
              </c:ext>
            </c:extLst>
          </c:dPt>
          <c:dPt>
            <c:idx val="15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137-9CF6-4383-B5CC-D2D8B9C72949}"/>
              </c:ext>
            </c:extLst>
          </c:dPt>
          <c:dPt>
            <c:idx val="15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139-9CF6-4383-B5CC-D2D8B9C72949}"/>
              </c:ext>
            </c:extLst>
          </c:dPt>
          <c:dPt>
            <c:idx val="15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13B-9CF6-4383-B5CC-D2D8B9C72949}"/>
              </c:ext>
            </c:extLst>
          </c:dPt>
          <c:dPt>
            <c:idx val="15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13D-9CF6-4383-B5CC-D2D8B9C72949}"/>
              </c:ext>
            </c:extLst>
          </c:dPt>
          <c:dPt>
            <c:idx val="15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13F-9CF6-4383-B5CC-D2D8B9C72949}"/>
              </c:ext>
            </c:extLst>
          </c:dPt>
          <c:dPt>
            <c:idx val="16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141-9CF6-4383-B5CC-D2D8B9C72949}"/>
              </c:ext>
            </c:extLst>
          </c:dPt>
          <c:dPt>
            <c:idx val="16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143-9CF6-4383-B5CC-D2D8B9C72949}"/>
              </c:ext>
            </c:extLst>
          </c:dPt>
          <c:dPt>
            <c:idx val="162"/>
            <c:bubble3D val="0"/>
            <c:spPr>
              <a:solidFill>
                <a:schemeClr val="accent1"/>
              </a:solidFill>
              <a:ln w="19050">
                <a:solidFill>
                  <a:schemeClr val="lt1"/>
                </a:solidFill>
              </a:ln>
              <a:effectLst/>
            </c:spPr>
            <c:extLst>
              <c:ext xmlns:c16="http://schemas.microsoft.com/office/drawing/2014/chart" uri="{C3380CC4-5D6E-409C-BE32-E72D297353CC}">
                <c16:uniqueId val="{00000145-9CF6-4383-B5CC-D2D8B9C72949}"/>
              </c:ext>
            </c:extLst>
          </c:dPt>
          <c:dPt>
            <c:idx val="163"/>
            <c:bubble3D val="0"/>
            <c:spPr>
              <a:solidFill>
                <a:schemeClr val="accent2"/>
              </a:solidFill>
              <a:ln w="19050">
                <a:solidFill>
                  <a:schemeClr val="lt1"/>
                </a:solidFill>
              </a:ln>
              <a:effectLst/>
            </c:spPr>
            <c:extLst>
              <c:ext xmlns:c16="http://schemas.microsoft.com/office/drawing/2014/chart" uri="{C3380CC4-5D6E-409C-BE32-E72D297353CC}">
                <c16:uniqueId val="{00000147-9CF6-4383-B5CC-D2D8B9C72949}"/>
              </c:ext>
            </c:extLst>
          </c:dPt>
          <c:dPt>
            <c:idx val="164"/>
            <c:bubble3D val="0"/>
            <c:spPr>
              <a:solidFill>
                <a:schemeClr val="accent3"/>
              </a:solidFill>
              <a:ln w="19050">
                <a:solidFill>
                  <a:schemeClr val="lt1"/>
                </a:solidFill>
              </a:ln>
              <a:effectLst/>
            </c:spPr>
            <c:extLst>
              <c:ext xmlns:c16="http://schemas.microsoft.com/office/drawing/2014/chart" uri="{C3380CC4-5D6E-409C-BE32-E72D297353CC}">
                <c16:uniqueId val="{00000149-9CF6-4383-B5CC-D2D8B9C72949}"/>
              </c:ext>
            </c:extLst>
          </c:dPt>
          <c:dPt>
            <c:idx val="165"/>
            <c:bubble3D val="0"/>
            <c:spPr>
              <a:solidFill>
                <a:schemeClr val="accent4"/>
              </a:solidFill>
              <a:ln w="19050">
                <a:solidFill>
                  <a:schemeClr val="lt1"/>
                </a:solidFill>
              </a:ln>
              <a:effectLst/>
            </c:spPr>
            <c:extLst>
              <c:ext xmlns:c16="http://schemas.microsoft.com/office/drawing/2014/chart" uri="{C3380CC4-5D6E-409C-BE32-E72D297353CC}">
                <c16:uniqueId val="{0000014B-9CF6-4383-B5CC-D2D8B9C72949}"/>
              </c:ext>
            </c:extLst>
          </c:dPt>
          <c:dPt>
            <c:idx val="166"/>
            <c:bubble3D val="0"/>
            <c:spPr>
              <a:solidFill>
                <a:schemeClr val="accent5"/>
              </a:solidFill>
              <a:ln w="19050">
                <a:solidFill>
                  <a:schemeClr val="lt1"/>
                </a:solidFill>
              </a:ln>
              <a:effectLst/>
            </c:spPr>
            <c:extLst>
              <c:ext xmlns:c16="http://schemas.microsoft.com/office/drawing/2014/chart" uri="{C3380CC4-5D6E-409C-BE32-E72D297353CC}">
                <c16:uniqueId val="{0000014D-9CF6-4383-B5CC-D2D8B9C72949}"/>
              </c:ext>
            </c:extLst>
          </c:dPt>
          <c:dPt>
            <c:idx val="167"/>
            <c:bubble3D val="0"/>
            <c:spPr>
              <a:solidFill>
                <a:schemeClr val="accent6"/>
              </a:solidFill>
              <a:ln w="19050">
                <a:solidFill>
                  <a:schemeClr val="lt1"/>
                </a:solidFill>
              </a:ln>
              <a:effectLst/>
            </c:spPr>
            <c:extLst>
              <c:ext xmlns:c16="http://schemas.microsoft.com/office/drawing/2014/chart" uri="{C3380CC4-5D6E-409C-BE32-E72D297353CC}">
                <c16:uniqueId val="{0000014F-9CF6-4383-B5CC-D2D8B9C72949}"/>
              </c:ext>
            </c:extLst>
          </c:dPt>
          <c:dPt>
            <c:idx val="16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151-9CF6-4383-B5CC-D2D8B9C72949}"/>
              </c:ext>
            </c:extLst>
          </c:dPt>
          <c:dPt>
            <c:idx val="16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153-9CF6-4383-B5CC-D2D8B9C72949}"/>
              </c:ext>
            </c:extLst>
          </c:dPt>
          <c:dPt>
            <c:idx val="17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155-9CF6-4383-B5CC-D2D8B9C72949}"/>
              </c:ext>
            </c:extLst>
          </c:dPt>
          <c:dPt>
            <c:idx val="17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157-9CF6-4383-B5CC-D2D8B9C72949}"/>
              </c:ext>
            </c:extLst>
          </c:dPt>
          <c:dPt>
            <c:idx val="17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159-9CF6-4383-B5CC-D2D8B9C72949}"/>
              </c:ext>
            </c:extLst>
          </c:dPt>
          <c:dPt>
            <c:idx val="17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15B-9CF6-4383-B5CC-D2D8B9C72949}"/>
              </c:ext>
            </c:extLst>
          </c:dPt>
          <c:dPt>
            <c:idx val="17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15D-9CF6-4383-B5CC-D2D8B9C72949}"/>
              </c:ext>
            </c:extLst>
          </c:dPt>
          <c:dPt>
            <c:idx val="17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15F-9CF6-4383-B5CC-D2D8B9C72949}"/>
              </c:ext>
            </c:extLst>
          </c:dPt>
          <c:dPt>
            <c:idx val="17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161-9CF6-4383-B5CC-D2D8B9C72949}"/>
              </c:ext>
            </c:extLst>
          </c:dPt>
          <c:dPt>
            <c:idx val="17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163-9CF6-4383-B5CC-D2D8B9C72949}"/>
              </c:ext>
            </c:extLst>
          </c:dPt>
          <c:dPt>
            <c:idx val="17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165-9CF6-4383-B5CC-D2D8B9C72949}"/>
              </c:ext>
            </c:extLst>
          </c:dPt>
          <c:dPt>
            <c:idx val="17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167-9CF6-4383-B5CC-D2D8B9C72949}"/>
              </c:ext>
            </c:extLst>
          </c:dPt>
          <c:dPt>
            <c:idx val="18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169-9CF6-4383-B5CC-D2D8B9C72949}"/>
              </c:ext>
            </c:extLst>
          </c:dPt>
          <c:dPt>
            <c:idx val="18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16B-9CF6-4383-B5CC-D2D8B9C72949}"/>
              </c:ext>
            </c:extLst>
          </c:dPt>
          <c:dPt>
            <c:idx val="18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16D-9CF6-4383-B5CC-D2D8B9C72949}"/>
              </c:ext>
            </c:extLst>
          </c:dPt>
          <c:dPt>
            <c:idx val="18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16F-9CF6-4383-B5CC-D2D8B9C72949}"/>
              </c:ext>
            </c:extLst>
          </c:dPt>
          <c:dPt>
            <c:idx val="18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171-9CF6-4383-B5CC-D2D8B9C72949}"/>
              </c:ext>
            </c:extLst>
          </c:dPt>
          <c:dPt>
            <c:idx val="18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173-9CF6-4383-B5CC-D2D8B9C72949}"/>
              </c:ext>
            </c:extLst>
          </c:dPt>
          <c:dPt>
            <c:idx val="18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175-9CF6-4383-B5CC-D2D8B9C72949}"/>
              </c:ext>
            </c:extLst>
          </c:dPt>
          <c:dPt>
            <c:idx val="18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177-9CF6-4383-B5CC-D2D8B9C72949}"/>
              </c:ext>
            </c:extLst>
          </c:dPt>
          <c:dPt>
            <c:idx val="18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179-9CF6-4383-B5CC-D2D8B9C72949}"/>
              </c:ext>
            </c:extLst>
          </c:dPt>
          <c:dPt>
            <c:idx val="18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17B-9CF6-4383-B5CC-D2D8B9C72949}"/>
              </c:ext>
            </c:extLst>
          </c:dPt>
          <c:dPt>
            <c:idx val="19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17D-9CF6-4383-B5CC-D2D8B9C72949}"/>
              </c:ext>
            </c:extLst>
          </c:dPt>
          <c:dPt>
            <c:idx val="19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17F-9CF6-4383-B5CC-D2D8B9C72949}"/>
              </c:ext>
            </c:extLst>
          </c:dPt>
          <c:dPt>
            <c:idx val="19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181-9CF6-4383-B5CC-D2D8B9C72949}"/>
              </c:ext>
            </c:extLst>
          </c:dPt>
          <c:dPt>
            <c:idx val="19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183-9CF6-4383-B5CC-D2D8B9C72949}"/>
              </c:ext>
            </c:extLst>
          </c:dPt>
          <c:dPt>
            <c:idx val="19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185-9CF6-4383-B5CC-D2D8B9C72949}"/>
              </c:ext>
            </c:extLst>
          </c:dPt>
          <c:dPt>
            <c:idx val="19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187-9CF6-4383-B5CC-D2D8B9C72949}"/>
              </c:ext>
            </c:extLst>
          </c:dPt>
          <c:dPt>
            <c:idx val="19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189-9CF6-4383-B5CC-D2D8B9C72949}"/>
              </c:ext>
            </c:extLst>
          </c:dPt>
          <c:dPt>
            <c:idx val="19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18B-9CF6-4383-B5CC-D2D8B9C72949}"/>
              </c:ext>
            </c:extLst>
          </c:dPt>
          <c:dPt>
            <c:idx val="19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18D-9CF6-4383-B5CC-D2D8B9C72949}"/>
              </c:ext>
            </c:extLst>
          </c:dPt>
          <c:dPt>
            <c:idx val="19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18F-9CF6-4383-B5CC-D2D8B9C72949}"/>
              </c:ext>
            </c:extLst>
          </c:dPt>
          <c:dPt>
            <c:idx val="20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191-9CF6-4383-B5CC-D2D8B9C72949}"/>
              </c:ext>
            </c:extLst>
          </c:dPt>
          <c:dPt>
            <c:idx val="20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193-9CF6-4383-B5CC-D2D8B9C72949}"/>
              </c:ext>
            </c:extLst>
          </c:dPt>
          <c:dPt>
            <c:idx val="20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195-9CF6-4383-B5CC-D2D8B9C72949}"/>
              </c:ext>
            </c:extLst>
          </c:dPt>
          <c:dPt>
            <c:idx val="20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197-9CF6-4383-B5CC-D2D8B9C72949}"/>
              </c:ext>
            </c:extLst>
          </c:dPt>
          <c:dPt>
            <c:idx val="20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199-9CF6-4383-B5CC-D2D8B9C72949}"/>
              </c:ext>
            </c:extLst>
          </c:dPt>
          <c:dPt>
            <c:idx val="20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19B-9CF6-4383-B5CC-D2D8B9C72949}"/>
              </c:ext>
            </c:extLst>
          </c:dPt>
          <c:dPt>
            <c:idx val="20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19D-9CF6-4383-B5CC-D2D8B9C72949}"/>
              </c:ext>
            </c:extLst>
          </c:dPt>
          <c:dPt>
            <c:idx val="20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19F-9CF6-4383-B5CC-D2D8B9C72949}"/>
              </c:ext>
            </c:extLst>
          </c:dPt>
          <c:dPt>
            <c:idx val="20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1A1-9CF6-4383-B5CC-D2D8B9C72949}"/>
              </c:ext>
            </c:extLst>
          </c:dPt>
          <c:dPt>
            <c:idx val="20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1A3-9CF6-4383-B5CC-D2D8B9C72949}"/>
              </c:ext>
            </c:extLst>
          </c:dPt>
          <c:dPt>
            <c:idx val="21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1A5-9CF6-4383-B5CC-D2D8B9C72949}"/>
              </c:ext>
            </c:extLst>
          </c:dPt>
          <c:dPt>
            <c:idx val="21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1A7-9CF6-4383-B5CC-D2D8B9C72949}"/>
              </c:ext>
            </c:extLst>
          </c:dPt>
          <c:dPt>
            <c:idx val="21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1A9-9CF6-4383-B5CC-D2D8B9C72949}"/>
              </c:ext>
            </c:extLst>
          </c:dPt>
          <c:dPt>
            <c:idx val="21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1AB-9CF6-4383-B5CC-D2D8B9C72949}"/>
              </c:ext>
            </c:extLst>
          </c:dPt>
          <c:dPt>
            <c:idx val="21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1AD-9CF6-4383-B5CC-D2D8B9C72949}"/>
              </c:ext>
            </c:extLst>
          </c:dPt>
          <c:dPt>
            <c:idx val="21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1AF-9CF6-4383-B5CC-D2D8B9C72949}"/>
              </c:ext>
            </c:extLst>
          </c:dPt>
          <c:dPt>
            <c:idx val="216"/>
            <c:bubble3D val="0"/>
            <c:spPr>
              <a:solidFill>
                <a:schemeClr val="accent1"/>
              </a:solidFill>
              <a:ln w="19050">
                <a:solidFill>
                  <a:schemeClr val="lt1"/>
                </a:solidFill>
              </a:ln>
              <a:effectLst/>
            </c:spPr>
            <c:extLst>
              <c:ext xmlns:c16="http://schemas.microsoft.com/office/drawing/2014/chart" uri="{C3380CC4-5D6E-409C-BE32-E72D297353CC}">
                <c16:uniqueId val="{000001B1-9CF6-4383-B5CC-D2D8B9C72949}"/>
              </c:ext>
            </c:extLst>
          </c:dPt>
          <c:dPt>
            <c:idx val="217"/>
            <c:bubble3D val="0"/>
            <c:spPr>
              <a:solidFill>
                <a:schemeClr val="accent2"/>
              </a:solidFill>
              <a:ln w="19050">
                <a:solidFill>
                  <a:schemeClr val="lt1"/>
                </a:solidFill>
              </a:ln>
              <a:effectLst/>
            </c:spPr>
            <c:extLst>
              <c:ext xmlns:c16="http://schemas.microsoft.com/office/drawing/2014/chart" uri="{C3380CC4-5D6E-409C-BE32-E72D297353CC}">
                <c16:uniqueId val="{000001B3-9CF6-4383-B5CC-D2D8B9C72949}"/>
              </c:ext>
            </c:extLst>
          </c:dPt>
          <c:dPt>
            <c:idx val="218"/>
            <c:bubble3D val="0"/>
            <c:spPr>
              <a:solidFill>
                <a:schemeClr val="accent3"/>
              </a:solidFill>
              <a:ln w="19050">
                <a:solidFill>
                  <a:schemeClr val="lt1"/>
                </a:solidFill>
              </a:ln>
              <a:effectLst/>
            </c:spPr>
            <c:extLst>
              <c:ext xmlns:c16="http://schemas.microsoft.com/office/drawing/2014/chart" uri="{C3380CC4-5D6E-409C-BE32-E72D297353CC}">
                <c16:uniqueId val="{000001B5-9CF6-4383-B5CC-D2D8B9C72949}"/>
              </c:ext>
            </c:extLst>
          </c:dPt>
          <c:dPt>
            <c:idx val="219"/>
            <c:bubble3D val="0"/>
            <c:spPr>
              <a:solidFill>
                <a:schemeClr val="accent4"/>
              </a:solidFill>
              <a:ln w="19050">
                <a:solidFill>
                  <a:schemeClr val="lt1"/>
                </a:solidFill>
              </a:ln>
              <a:effectLst/>
            </c:spPr>
            <c:extLst>
              <c:ext xmlns:c16="http://schemas.microsoft.com/office/drawing/2014/chart" uri="{C3380CC4-5D6E-409C-BE32-E72D297353CC}">
                <c16:uniqueId val="{000001B7-9CF6-4383-B5CC-D2D8B9C72949}"/>
              </c:ext>
            </c:extLst>
          </c:dPt>
          <c:dPt>
            <c:idx val="220"/>
            <c:bubble3D val="0"/>
            <c:spPr>
              <a:solidFill>
                <a:schemeClr val="accent5"/>
              </a:solidFill>
              <a:ln w="19050">
                <a:solidFill>
                  <a:schemeClr val="lt1"/>
                </a:solidFill>
              </a:ln>
              <a:effectLst/>
            </c:spPr>
            <c:extLst>
              <c:ext xmlns:c16="http://schemas.microsoft.com/office/drawing/2014/chart" uri="{C3380CC4-5D6E-409C-BE32-E72D297353CC}">
                <c16:uniqueId val="{000001B9-9CF6-4383-B5CC-D2D8B9C72949}"/>
              </c:ext>
            </c:extLst>
          </c:dPt>
          <c:dPt>
            <c:idx val="221"/>
            <c:bubble3D val="0"/>
            <c:spPr>
              <a:solidFill>
                <a:schemeClr val="accent6"/>
              </a:solidFill>
              <a:ln w="19050">
                <a:solidFill>
                  <a:schemeClr val="lt1"/>
                </a:solidFill>
              </a:ln>
              <a:effectLst/>
            </c:spPr>
            <c:extLst>
              <c:ext xmlns:c16="http://schemas.microsoft.com/office/drawing/2014/chart" uri="{C3380CC4-5D6E-409C-BE32-E72D297353CC}">
                <c16:uniqueId val="{000001BB-9CF6-4383-B5CC-D2D8B9C72949}"/>
              </c:ext>
            </c:extLst>
          </c:dPt>
          <c:dPt>
            <c:idx val="22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1BD-9CF6-4383-B5CC-D2D8B9C72949}"/>
              </c:ext>
            </c:extLst>
          </c:dPt>
          <c:dPt>
            <c:idx val="22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1BF-9CF6-4383-B5CC-D2D8B9C72949}"/>
              </c:ext>
            </c:extLst>
          </c:dPt>
          <c:dPt>
            <c:idx val="22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1C1-9CF6-4383-B5CC-D2D8B9C72949}"/>
              </c:ext>
            </c:extLst>
          </c:dPt>
          <c:dPt>
            <c:idx val="22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1C3-9CF6-4383-B5CC-D2D8B9C72949}"/>
              </c:ext>
            </c:extLst>
          </c:dPt>
          <c:dPt>
            <c:idx val="22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1C5-9CF6-4383-B5CC-D2D8B9C72949}"/>
              </c:ext>
            </c:extLst>
          </c:dPt>
          <c:dPt>
            <c:idx val="22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1C7-9CF6-4383-B5CC-D2D8B9C72949}"/>
              </c:ext>
            </c:extLst>
          </c:dPt>
          <c:dPt>
            <c:idx val="22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1C9-9CF6-4383-B5CC-D2D8B9C72949}"/>
              </c:ext>
            </c:extLst>
          </c:dPt>
          <c:dPt>
            <c:idx val="22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1CB-9CF6-4383-B5CC-D2D8B9C72949}"/>
              </c:ext>
            </c:extLst>
          </c:dPt>
          <c:dPt>
            <c:idx val="23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1CD-9CF6-4383-B5CC-D2D8B9C72949}"/>
              </c:ext>
            </c:extLst>
          </c:dPt>
          <c:dPt>
            <c:idx val="23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1CF-9CF6-4383-B5CC-D2D8B9C72949}"/>
              </c:ext>
            </c:extLst>
          </c:dPt>
          <c:dPt>
            <c:idx val="23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1D1-9CF6-4383-B5CC-D2D8B9C72949}"/>
              </c:ext>
            </c:extLst>
          </c:dPt>
          <c:dPt>
            <c:idx val="23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1D3-9CF6-4383-B5CC-D2D8B9C72949}"/>
              </c:ext>
            </c:extLst>
          </c:dPt>
          <c:dPt>
            <c:idx val="23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1D5-9CF6-4383-B5CC-D2D8B9C72949}"/>
              </c:ext>
            </c:extLst>
          </c:dPt>
          <c:dPt>
            <c:idx val="23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1D7-9CF6-4383-B5CC-D2D8B9C72949}"/>
              </c:ext>
            </c:extLst>
          </c:dPt>
          <c:dPt>
            <c:idx val="23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1D9-9CF6-4383-B5CC-D2D8B9C72949}"/>
              </c:ext>
            </c:extLst>
          </c:dPt>
          <c:dPt>
            <c:idx val="23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1DB-9CF6-4383-B5CC-D2D8B9C72949}"/>
              </c:ext>
            </c:extLst>
          </c:dPt>
          <c:dPt>
            <c:idx val="23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1DD-9CF6-4383-B5CC-D2D8B9C72949}"/>
              </c:ext>
            </c:extLst>
          </c:dPt>
          <c:dPt>
            <c:idx val="23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1DF-9CF6-4383-B5CC-D2D8B9C72949}"/>
              </c:ext>
            </c:extLst>
          </c:dPt>
          <c:dPt>
            <c:idx val="24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1E1-9CF6-4383-B5CC-D2D8B9C72949}"/>
              </c:ext>
            </c:extLst>
          </c:dPt>
          <c:dPt>
            <c:idx val="24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1E3-9CF6-4383-B5CC-D2D8B9C72949}"/>
              </c:ext>
            </c:extLst>
          </c:dPt>
          <c:dPt>
            <c:idx val="24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1E5-9CF6-4383-B5CC-D2D8B9C72949}"/>
              </c:ext>
            </c:extLst>
          </c:dPt>
          <c:dPt>
            <c:idx val="24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1E7-9CF6-4383-B5CC-D2D8B9C72949}"/>
              </c:ext>
            </c:extLst>
          </c:dPt>
          <c:dPt>
            <c:idx val="24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1E9-9CF6-4383-B5CC-D2D8B9C72949}"/>
              </c:ext>
            </c:extLst>
          </c:dPt>
          <c:dPt>
            <c:idx val="24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1EB-9CF6-4383-B5CC-D2D8B9C72949}"/>
              </c:ext>
            </c:extLst>
          </c:dPt>
          <c:dPt>
            <c:idx val="24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1ED-9CF6-4383-B5CC-D2D8B9C72949}"/>
              </c:ext>
            </c:extLst>
          </c:dPt>
          <c:dPt>
            <c:idx val="24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1EF-9CF6-4383-B5CC-D2D8B9C72949}"/>
              </c:ext>
            </c:extLst>
          </c:dPt>
          <c:dPt>
            <c:idx val="24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1F1-9CF6-4383-B5CC-D2D8B9C72949}"/>
              </c:ext>
            </c:extLst>
          </c:dPt>
          <c:dPt>
            <c:idx val="24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1F3-9CF6-4383-B5CC-D2D8B9C72949}"/>
              </c:ext>
            </c:extLst>
          </c:dPt>
          <c:dPt>
            <c:idx val="25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1F5-9CF6-4383-B5CC-D2D8B9C72949}"/>
              </c:ext>
            </c:extLst>
          </c:dPt>
          <c:dPt>
            <c:idx val="25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1F7-9CF6-4383-B5CC-D2D8B9C72949}"/>
              </c:ext>
            </c:extLst>
          </c:dPt>
          <c:dPt>
            <c:idx val="25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1F9-9CF6-4383-B5CC-D2D8B9C72949}"/>
              </c:ext>
            </c:extLst>
          </c:dPt>
          <c:dPt>
            <c:idx val="25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1FB-9CF6-4383-B5CC-D2D8B9C72949}"/>
              </c:ext>
            </c:extLst>
          </c:dPt>
          <c:dPt>
            <c:idx val="25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1FD-9CF6-4383-B5CC-D2D8B9C72949}"/>
              </c:ext>
            </c:extLst>
          </c:dPt>
          <c:dPt>
            <c:idx val="25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1FF-9CF6-4383-B5CC-D2D8B9C72949}"/>
              </c:ext>
            </c:extLst>
          </c:dPt>
          <c:dPt>
            <c:idx val="25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201-9CF6-4383-B5CC-D2D8B9C72949}"/>
              </c:ext>
            </c:extLst>
          </c:dPt>
          <c:dPt>
            <c:idx val="25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203-9CF6-4383-B5CC-D2D8B9C72949}"/>
              </c:ext>
            </c:extLst>
          </c:dPt>
          <c:dPt>
            <c:idx val="25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205-9CF6-4383-B5CC-D2D8B9C72949}"/>
              </c:ext>
            </c:extLst>
          </c:dPt>
          <c:dPt>
            <c:idx val="25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207-9CF6-4383-B5CC-D2D8B9C72949}"/>
              </c:ext>
            </c:extLst>
          </c:dPt>
          <c:dPt>
            <c:idx val="26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209-9CF6-4383-B5CC-D2D8B9C72949}"/>
              </c:ext>
            </c:extLst>
          </c:dPt>
          <c:dPt>
            <c:idx val="26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20B-9CF6-4383-B5CC-D2D8B9C72949}"/>
              </c:ext>
            </c:extLst>
          </c:dPt>
          <c:dPt>
            <c:idx val="26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20D-9CF6-4383-B5CC-D2D8B9C72949}"/>
              </c:ext>
            </c:extLst>
          </c:dPt>
          <c:dPt>
            <c:idx val="26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20F-9CF6-4383-B5CC-D2D8B9C72949}"/>
              </c:ext>
            </c:extLst>
          </c:dPt>
          <c:dPt>
            <c:idx val="26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211-9CF6-4383-B5CC-D2D8B9C72949}"/>
              </c:ext>
            </c:extLst>
          </c:dPt>
          <c:dPt>
            <c:idx val="26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213-9CF6-4383-B5CC-D2D8B9C72949}"/>
              </c:ext>
            </c:extLst>
          </c:dPt>
          <c:dPt>
            <c:idx val="26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215-9CF6-4383-B5CC-D2D8B9C72949}"/>
              </c:ext>
            </c:extLst>
          </c:dPt>
          <c:dPt>
            <c:idx val="26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217-9CF6-4383-B5CC-D2D8B9C72949}"/>
              </c:ext>
            </c:extLst>
          </c:dPt>
          <c:dPt>
            <c:idx val="26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219-9CF6-4383-B5CC-D2D8B9C72949}"/>
              </c:ext>
            </c:extLst>
          </c:dPt>
          <c:dPt>
            <c:idx val="26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21B-9CF6-4383-B5CC-D2D8B9C72949}"/>
              </c:ext>
            </c:extLst>
          </c:dPt>
          <c:dPt>
            <c:idx val="270"/>
            <c:bubble3D val="0"/>
            <c:spPr>
              <a:solidFill>
                <a:schemeClr val="accent1"/>
              </a:solidFill>
              <a:ln w="19050">
                <a:solidFill>
                  <a:schemeClr val="lt1"/>
                </a:solidFill>
              </a:ln>
              <a:effectLst/>
            </c:spPr>
            <c:extLst>
              <c:ext xmlns:c16="http://schemas.microsoft.com/office/drawing/2014/chart" uri="{C3380CC4-5D6E-409C-BE32-E72D297353CC}">
                <c16:uniqueId val="{0000021D-9CF6-4383-B5CC-D2D8B9C72949}"/>
              </c:ext>
            </c:extLst>
          </c:dPt>
          <c:dPt>
            <c:idx val="271"/>
            <c:bubble3D val="0"/>
            <c:spPr>
              <a:solidFill>
                <a:schemeClr val="accent2"/>
              </a:solidFill>
              <a:ln w="19050">
                <a:solidFill>
                  <a:schemeClr val="lt1"/>
                </a:solidFill>
              </a:ln>
              <a:effectLst/>
            </c:spPr>
            <c:extLst>
              <c:ext xmlns:c16="http://schemas.microsoft.com/office/drawing/2014/chart" uri="{C3380CC4-5D6E-409C-BE32-E72D297353CC}">
                <c16:uniqueId val="{0000021F-9CF6-4383-B5CC-D2D8B9C72949}"/>
              </c:ext>
            </c:extLst>
          </c:dPt>
          <c:dPt>
            <c:idx val="272"/>
            <c:bubble3D val="0"/>
            <c:spPr>
              <a:solidFill>
                <a:schemeClr val="accent3"/>
              </a:solidFill>
              <a:ln w="19050">
                <a:solidFill>
                  <a:schemeClr val="lt1"/>
                </a:solidFill>
              </a:ln>
              <a:effectLst/>
            </c:spPr>
            <c:extLst>
              <c:ext xmlns:c16="http://schemas.microsoft.com/office/drawing/2014/chart" uri="{C3380CC4-5D6E-409C-BE32-E72D297353CC}">
                <c16:uniqueId val="{00000221-9CF6-4383-B5CC-D2D8B9C72949}"/>
              </c:ext>
            </c:extLst>
          </c:dPt>
          <c:dPt>
            <c:idx val="273"/>
            <c:bubble3D val="0"/>
            <c:spPr>
              <a:solidFill>
                <a:schemeClr val="accent4"/>
              </a:solidFill>
              <a:ln w="19050">
                <a:solidFill>
                  <a:schemeClr val="lt1"/>
                </a:solidFill>
              </a:ln>
              <a:effectLst/>
            </c:spPr>
            <c:extLst>
              <c:ext xmlns:c16="http://schemas.microsoft.com/office/drawing/2014/chart" uri="{C3380CC4-5D6E-409C-BE32-E72D297353CC}">
                <c16:uniqueId val="{00000223-9CF6-4383-B5CC-D2D8B9C72949}"/>
              </c:ext>
            </c:extLst>
          </c:dPt>
          <c:dPt>
            <c:idx val="274"/>
            <c:bubble3D val="0"/>
            <c:spPr>
              <a:solidFill>
                <a:schemeClr val="accent5"/>
              </a:solidFill>
              <a:ln w="19050">
                <a:solidFill>
                  <a:schemeClr val="lt1"/>
                </a:solidFill>
              </a:ln>
              <a:effectLst/>
            </c:spPr>
            <c:extLst>
              <c:ext xmlns:c16="http://schemas.microsoft.com/office/drawing/2014/chart" uri="{C3380CC4-5D6E-409C-BE32-E72D297353CC}">
                <c16:uniqueId val="{00000225-9CF6-4383-B5CC-D2D8B9C72949}"/>
              </c:ext>
            </c:extLst>
          </c:dPt>
          <c:dPt>
            <c:idx val="275"/>
            <c:bubble3D val="0"/>
            <c:spPr>
              <a:solidFill>
                <a:schemeClr val="accent6"/>
              </a:solidFill>
              <a:ln w="19050">
                <a:solidFill>
                  <a:schemeClr val="lt1"/>
                </a:solidFill>
              </a:ln>
              <a:effectLst/>
            </c:spPr>
            <c:extLst>
              <c:ext xmlns:c16="http://schemas.microsoft.com/office/drawing/2014/chart" uri="{C3380CC4-5D6E-409C-BE32-E72D297353CC}">
                <c16:uniqueId val="{00000227-9CF6-4383-B5CC-D2D8B9C72949}"/>
              </c:ext>
            </c:extLst>
          </c:dPt>
          <c:dPt>
            <c:idx val="27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229-9CF6-4383-B5CC-D2D8B9C72949}"/>
              </c:ext>
            </c:extLst>
          </c:dPt>
          <c:dPt>
            <c:idx val="27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22B-9CF6-4383-B5CC-D2D8B9C72949}"/>
              </c:ext>
            </c:extLst>
          </c:dPt>
          <c:dPt>
            <c:idx val="27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22D-9CF6-4383-B5CC-D2D8B9C72949}"/>
              </c:ext>
            </c:extLst>
          </c:dPt>
          <c:dPt>
            <c:idx val="27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22F-9CF6-4383-B5CC-D2D8B9C72949}"/>
              </c:ext>
            </c:extLst>
          </c:dPt>
          <c:dPt>
            <c:idx val="28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231-9CF6-4383-B5CC-D2D8B9C72949}"/>
              </c:ext>
            </c:extLst>
          </c:dPt>
          <c:dPt>
            <c:idx val="28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233-9CF6-4383-B5CC-D2D8B9C72949}"/>
              </c:ext>
            </c:extLst>
          </c:dPt>
          <c:dPt>
            <c:idx val="28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235-9CF6-4383-B5CC-D2D8B9C72949}"/>
              </c:ext>
            </c:extLst>
          </c:dPt>
          <c:dPt>
            <c:idx val="28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237-9CF6-4383-B5CC-D2D8B9C72949}"/>
              </c:ext>
            </c:extLst>
          </c:dPt>
          <c:dPt>
            <c:idx val="28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239-9CF6-4383-B5CC-D2D8B9C72949}"/>
              </c:ext>
            </c:extLst>
          </c:dPt>
          <c:dPt>
            <c:idx val="28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23B-9CF6-4383-B5CC-D2D8B9C72949}"/>
              </c:ext>
            </c:extLst>
          </c:dPt>
          <c:dPt>
            <c:idx val="28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23D-9CF6-4383-B5CC-D2D8B9C72949}"/>
              </c:ext>
            </c:extLst>
          </c:dPt>
          <c:dPt>
            <c:idx val="28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23F-9CF6-4383-B5CC-D2D8B9C72949}"/>
              </c:ext>
            </c:extLst>
          </c:dPt>
          <c:dPt>
            <c:idx val="28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241-9CF6-4383-B5CC-D2D8B9C72949}"/>
              </c:ext>
            </c:extLst>
          </c:dPt>
          <c:dPt>
            <c:idx val="28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243-9CF6-4383-B5CC-D2D8B9C72949}"/>
              </c:ext>
            </c:extLst>
          </c:dPt>
          <c:dPt>
            <c:idx val="29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245-9CF6-4383-B5CC-D2D8B9C72949}"/>
              </c:ext>
            </c:extLst>
          </c:dPt>
          <c:dPt>
            <c:idx val="29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247-9CF6-4383-B5CC-D2D8B9C72949}"/>
              </c:ext>
            </c:extLst>
          </c:dPt>
          <c:dPt>
            <c:idx val="29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249-9CF6-4383-B5CC-D2D8B9C72949}"/>
              </c:ext>
            </c:extLst>
          </c:dPt>
          <c:dPt>
            <c:idx val="29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24B-9CF6-4383-B5CC-D2D8B9C72949}"/>
              </c:ext>
            </c:extLst>
          </c:dPt>
          <c:dPt>
            <c:idx val="29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24D-9CF6-4383-B5CC-D2D8B9C72949}"/>
              </c:ext>
            </c:extLst>
          </c:dPt>
          <c:dPt>
            <c:idx val="29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24F-9CF6-4383-B5CC-D2D8B9C72949}"/>
              </c:ext>
            </c:extLst>
          </c:dPt>
          <c:dPt>
            <c:idx val="29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251-9CF6-4383-B5CC-D2D8B9C72949}"/>
              </c:ext>
            </c:extLst>
          </c:dPt>
          <c:dPt>
            <c:idx val="29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253-9CF6-4383-B5CC-D2D8B9C72949}"/>
              </c:ext>
            </c:extLst>
          </c:dPt>
          <c:dPt>
            <c:idx val="29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255-9CF6-4383-B5CC-D2D8B9C72949}"/>
              </c:ext>
            </c:extLst>
          </c:dPt>
          <c:dPt>
            <c:idx val="29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257-9CF6-4383-B5CC-D2D8B9C72949}"/>
              </c:ext>
            </c:extLst>
          </c:dPt>
          <c:dPt>
            <c:idx val="30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259-9CF6-4383-B5CC-D2D8B9C72949}"/>
              </c:ext>
            </c:extLst>
          </c:dPt>
          <c:dPt>
            <c:idx val="30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25B-9CF6-4383-B5CC-D2D8B9C72949}"/>
              </c:ext>
            </c:extLst>
          </c:dPt>
          <c:dPt>
            <c:idx val="30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25D-9CF6-4383-B5CC-D2D8B9C72949}"/>
              </c:ext>
            </c:extLst>
          </c:dPt>
          <c:dPt>
            <c:idx val="30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25F-9CF6-4383-B5CC-D2D8B9C72949}"/>
              </c:ext>
            </c:extLst>
          </c:dPt>
          <c:dPt>
            <c:idx val="30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261-9CF6-4383-B5CC-D2D8B9C72949}"/>
              </c:ext>
            </c:extLst>
          </c:dPt>
          <c:dPt>
            <c:idx val="30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263-9CF6-4383-B5CC-D2D8B9C72949}"/>
              </c:ext>
            </c:extLst>
          </c:dPt>
          <c:dPt>
            <c:idx val="30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265-9CF6-4383-B5CC-D2D8B9C72949}"/>
              </c:ext>
            </c:extLst>
          </c:dPt>
          <c:dPt>
            <c:idx val="30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267-9CF6-4383-B5CC-D2D8B9C72949}"/>
              </c:ext>
            </c:extLst>
          </c:dPt>
          <c:dPt>
            <c:idx val="30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269-9CF6-4383-B5CC-D2D8B9C72949}"/>
              </c:ext>
            </c:extLst>
          </c:dPt>
          <c:dPt>
            <c:idx val="30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26B-9CF6-4383-B5CC-D2D8B9C72949}"/>
              </c:ext>
            </c:extLst>
          </c:dPt>
          <c:dPt>
            <c:idx val="31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26D-9CF6-4383-B5CC-D2D8B9C72949}"/>
              </c:ext>
            </c:extLst>
          </c:dPt>
          <c:dPt>
            <c:idx val="31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26F-9CF6-4383-B5CC-D2D8B9C72949}"/>
              </c:ext>
            </c:extLst>
          </c:dPt>
          <c:dPt>
            <c:idx val="31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271-9CF6-4383-B5CC-D2D8B9C72949}"/>
              </c:ext>
            </c:extLst>
          </c:dPt>
          <c:dPt>
            <c:idx val="31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273-9CF6-4383-B5CC-D2D8B9C72949}"/>
              </c:ext>
            </c:extLst>
          </c:dPt>
          <c:dPt>
            <c:idx val="31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275-9CF6-4383-B5CC-D2D8B9C72949}"/>
              </c:ext>
            </c:extLst>
          </c:dPt>
          <c:dPt>
            <c:idx val="31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277-9CF6-4383-B5CC-D2D8B9C72949}"/>
              </c:ext>
            </c:extLst>
          </c:dPt>
          <c:dPt>
            <c:idx val="31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279-9CF6-4383-B5CC-D2D8B9C72949}"/>
              </c:ext>
            </c:extLst>
          </c:dPt>
          <c:dPt>
            <c:idx val="31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27B-9CF6-4383-B5CC-D2D8B9C72949}"/>
              </c:ext>
            </c:extLst>
          </c:dPt>
          <c:dPt>
            <c:idx val="31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27D-9CF6-4383-B5CC-D2D8B9C72949}"/>
              </c:ext>
            </c:extLst>
          </c:dPt>
          <c:dPt>
            <c:idx val="31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27F-9CF6-4383-B5CC-D2D8B9C72949}"/>
              </c:ext>
            </c:extLst>
          </c:dPt>
          <c:dPt>
            <c:idx val="32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281-9CF6-4383-B5CC-D2D8B9C72949}"/>
              </c:ext>
            </c:extLst>
          </c:dPt>
          <c:dPt>
            <c:idx val="32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283-9CF6-4383-B5CC-D2D8B9C72949}"/>
              </c:ext>
            </c:extLst>
          </c:dPt>
          <c:dPt>
            <c:idx val="32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285-9CF6-4383-B5CC-D2D8B9C72949}"/>
              </c:ext>
            </c:extLst>
          </c:dPt>
          <c:dPt>
            <c:idx val="32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287-9CF6-4383-B5CC-D2D8B9C72949}"/>
              </c:ext>
            </c:extLst>
          </c:dPt>
          <c:dPt>
            <c:idx val="324"/>
            <c:bubble3D val="0"/>
            <c:spPr>
              <a:solidFill>
                <a:schemeClr val="accent1"/>
              </a:solidFill>
              <a:ln w="19050">
                <a:solidFill>
                  <a:schemeClr val="lt1"/>
                </a:solidFill>
              </a:ln>
              <a:effectLst/>
            </c:spPr>
            <c:extLst>
              <c:ext xmlns:c16="http://schemas.microsoft.com/office/drawing/2014/chart" uri="{C3380CC4-5D6E-409C-BE32-E72D297353CC}">
                <c16:uniqueId val="{00000289-9CF6-4383-B5CC-D2D8B9C72949}"/>
              </c:ext>
            </c:extLst>
          </c:dPt>
          <c:dPt>
            <c:idx val="325"/>
            <c:bubble3D val="0"/>
            <c:spPr>
              <a:solidFill>
                <a:schemeClr val="accent2"/>
              </a:solidFill>
              <a:ln w="19050">
                <a:solidFill>
                  <a:schemeClr val="lt1"/>
                </a:solidFill>
              </a:ln>
              <a:effectLst/>
            </c:spPr>
            <c:extLst>
              <c:ext xmlns:c16="http://schemas.microsoft.com/office/drawing/2014/chart" uri="{C3380CC4-5D6E-409C-BE32-E72D297353CC}">
                <c16:uniqueId val="{0000028B-9CF6-4383-B5CC-D2D8B9C72949}"/>
              </c:ext>
            </c:extLst>
          </c:dPt>
          <c:dPt>
            <c:idx val="326"/>
            <c:bubble3D val="0"/>
            <c:spPr>
              <a:solidFill>
                <a:schemeClr val="accent3"/>
              </a:solidFill>
              <a:ln w="19050">
                <a:solidFill>
                  <a:schemeClr val="lt1"/>
                </a:solidFill>
              </a:ln>
              <a:effectLst/>
            </c:spPr>
            <c:extLst>
              <c:ext xmlns:c16="http://schemas.microsoft.com/office/drawing/2014/chart" uri="{C3380CC4-5D6E-409C-BE32-E72D297353CC}">
                <c16:uniqueId val="{0000028D-9CF6-4383-B5CC-D2D8B9C72949}"/>
              </c:ext>
            </c:extLst>
          </c:dPt>
          <c:dPt>
            <c:idx val="327"/>
            <c:bubble3D val="0"/>
            <c:spPr>
              <a:solidFill>
                <a:schemeClr val="accent4"/>
              </a:solidFill>
              <a:ln w="19050">
                <a:solidFill>
                  <a:schemeClr val="lt1"/>
                </a:solidFill>
              </a:ln>
              <a:effectLst/>
            </c:spPr>
            <c:extLst>
              <c:ext xmlns:c16="http://schemas.microsoft.com/office/drawing/2014/chart" uri="{C3380CC4-5D6E-409C-BE32-E72D297353CC}">
                <c16:uniqueId val="{0000028F-9CF6-4383-B5CC-D2D8B9C72949}"/>
              </c:ext>
            </c:extLst>
          </c:dPt>
          <c:dPt>
            <c:idx val="328"/>
            <c:bubble3D val="0"/>
            <c:spPr>
              <a:solidFill>
                <a:schemeClr val="accent5"/>
              </a:solidFill>
              <a:ln w="19050">
                <a:solidFill>
                  <a:schemeClr val="lt1"/>
                </a:solidFill>
              </a:ln>
              <a:effectLst/>
            </c:spPr>
            <c:extLst>
              <c:ext xmlns:c16="http://schemas.microsoft.com/office/drawing/2014/chart" uri="{C3380CC4-5D6E-409C-BE32-E72D297353CC}">
                <c16:uniqueId val="{00000291-9CF6-4383-B5CC-D2D8B9C72949}"/>
              </c:ext>
            </c:extLst>
          </c:dPt>
          <c:dPt>
            <c:idx val="329"/>
            <c:bubble3D val="0"/>
            <c:spPr>
              <a:solidFill>
                <a:schemeClr val="accent6"/>
              </a:solidFill>
              <a:ln w="19050">
                <a:solidFill>
                  <a:schemeClr val="lt1"/>
                </a:solidFill>
              </a:ln>
              <a:effectLst/>
            </c:spPr>
            <c:extLst>
              <c:ext xmlns:c16="http://schemas.microsoft.com/office/drawing/2014/chart" uri="{C3380CC4-5D6E-409C-BE32-E72D297353CC}">
                <c16:uniqueId val="{00000293-9CF6-4383-B5CC-D2D8B9C72949}"/>
              </c:ext>
            </c:extLst>
          </c:dPt>
          <c:dPt>
            <c:idx val="33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295-9CF6-4383-B5CC-D2D8B9C72949}"/>
              </c:ext>
            </c:extLst>
          </c:dPt>
          <c:dPt>
            <c:idx val="33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297-9CF6-4383-B5CC-D2D8B9C72949}"/>
              </c:ext>
            </c:extLst>
          </c:dPt>
          <c:dPt>
            <c:idx val="33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299-9CF6-4383-B5CC-D2D8B9C72949}"/>
              </c:ext>
            </c:extLst>
          </c:dPt>
          <c:dPt>
            <c:idx val="33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29B-9CF6-4383-B5CC-D2D8B9C72949}"/>
              </c:ext>
            </c:extLst>
          </c:dPt>
          <c:dPt>
            <c:idx val="33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29D-9CF6-4383-B5CC-D2D8B9C72949}"/>
              </c:ext>
            </c:extLst>
          </c:dPt>
          <c:dPt>
            <c:idx val="33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29F-9CF6-4383-B5CC-D2D8B9C72949}"/>
              </c:ext>
            </c:extLst>
          </c:dPt>
          <c:dPt>
            <c:idx val="33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2A1-9CF6-4383-B5CC-D2D8B9C72949}"/>
              </c:ext>
            </c:extLst>
          </c:dPt>
          <c:dPt>
            <c:idx val="33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2A3-9CF6-4383-B5CC-D2D8B9C72949}"/>
              </c:ext>
            </c:extLst>
          </c:dPt>
          <c:dPt>
            <c:idx val="33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2A5-9CF6-4383-B5CC-D2D8B9C72949}"/>
              </c:ext>
            </c:extLst>
          </c:dPt>
          <c:dPt>
            <c:idx val="33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2A7-9CF6-4383-B5CC-D2D8B9C72949}"/>
              </c:ext>
            </c:extLst>
          </c:dPt>
          <c:dPt>
            <c:idx val="34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2A9-9CF6-4383-B5CC-D2D8B9C72949}"/>
              </c:ext>
            </c:extLst>
          </c:dPt>
          <c:dPt>
            <c:idx val="34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2AB-9CF6-4383-B5CC-D2D8B9C72949}"/>
              </c:ext>
            </c:extLst>
          </c:dPt>
          <c:dPt>
            <c:idx val="34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2AD-9CF6-4383-B5CC-D2D8B9C72949}"/>
              </c:ext>
            </c:extLst>
          </c:dPt>
          <c:dPt>
            <c:idx val="34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2AF-9CF6-4383-B5CC-D2D8B9C72949}"/>
              </c:ext>
            </c:extLst>
          </c:dPt>
          <c:dPt>
            <c:idx val="34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2B1-9CF6-4383-B5CC-D2D8B9C72949}"/>
              </c:ext>
            </c:extLst>
          </c:dPt>
          <c:dPt>
            <c:idx val="34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2B3-9CF6-4383-B5CC-D2D8B9C72949}"/>
              </c:ext>
            </c:extLst>
          </c:dPt>
          <c:dPt>
            <c:idx val="34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2B5-9CF6-4383-B5CC-D2D8B9C72949}"/>
              </c:ext>
            </c:extLst>
          </c:dPt>
          <c:dPt>
            <c:idx val="34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2B7-9CF6-4383-B5CC-D2D8B9C72949}"/>
              </c:ext>
            </c:extLst>
          </c:dPt>
          <c:dPt>
            <c:idx val="34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2B9-9CF6-4383-B5CC-D2D8B9C72949}"/>
              </c:ext>
            </c:extLst>
          </c:dPt>
          <c:dPt>
            <c:idx val="34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2BB-9CF6-4383-B5CC-D2D8B9C72949}"/>
              </c:ext>
            </c:extLst>
          </c:dPt>
          <c:dPt>
            <c:idx val="35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2BD-9CF6-4383-B5CC-D2D8B9C72949}"/>
              </c:ext>
            </c:extLst>
          </c:dPt>
          <c:dPt>
            <c:idx val="35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2BF-9CF6-4383-B5CC-D2D8B9C72949}"/>
              </c:ext>
            </c:extLst>
          </c:dPt>
          <c:dPt>
            <c:idx val="35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2C1-9CF6-4383-B5CC-D2D8B9C72949}"/>
              </c:ext>
            </c:extLst>
          </c:dPt>
          <c:dPt>
            <c:idx val="35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2C3-9CF6-4383-B5CC-D2D8B9C72949}"/>
              </c:ext>
            </c:extLst>
          </c:dPt>
          <c:dPt>
            <c:idx val="35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2C5-9CF6-4383-B5CC-D2D8B9C72949}"/>
              </c:ext>
            </c:extLst>
          </c:dPt>
          <c:dPt>
            <c:idx val="35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2C7-9CF6-4383-B5CC-D2D8B9C72949}"/>
              </c:ext>
            </c:extLst>
          </c:dPt>
          <c:dPt>
            <c:idx val="35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2C9-9CF6-4383-B5CC-D2D8B9C72949}"/>
              </c:ext>
            </c:extLst>
          </c:dPt>
          <c:dPt>
            <c:idx val="35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2CB-9CF6-4383-B5CC-D2D8B9C72949}"/>
              </c:ext>
            </c:extLst>
          </c:dPt>
          <c:dPt>
            <c:idx val="35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2CD-9CF6-4383-B5CC-D2D8B9C72949}"/>
              </c:ext>
            </c:extLst>
          </c:dPt>
          <c:dPt>
            <c:idx val="35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2CF-9CF6-4383-B5CC-D2D8B9C72949}"/>
              </c:ext>
            </c:extLst>
          </c:dPt>
          <c:dPt>
            <c:idx val="36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2D1-9CF6-4383-B5CC-D2D8B9C72949}"/>
              </c:ext>
            </c:extLst>
          </c:dPt>
          <c:dPt>
            <c:idx val="36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2D3-9CF6-4383-B5CC-D2D8B9C72949}"/>
              </c:ext>
            </c:extLst>
          </c:dPt>
          <c:dPt>
            <c:idx val="36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2D5-9CF6-4383-B5CC-D2D8B9C72949}"/>
              </c:ext>
            </c:extLst>
          </c:dPt>
          <c:dPt>
            <c:idx val="36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2D7-9CF6-4383-B5CC-D2D8B9C72949}"/>
              </c:ext>
            </c:extLst>
          </c:dPt>
          <c:dPt>
            <c:idx val="36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2D9-9CF6-4383-B5CC-D2D8B9C72949}"/>
              </c:ext>
            </c:extLst>
          </c:dPt>
          <c:dPt>
            <c:idx val="36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2DB-9CF6-4383-B5CC-D2D8B9C72949}"/>
              </c:ext>
            </c:extLst>
          </c:dPt>
          <c:dPt>
            <c:idx val="36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2DD-9CF6-4383-B5CC-D2D8B9C72949}"/>
              </c:ext>
            </c:extLst>
          </c:dPt>
          <c:dPt>
            <c:idx val="36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2DF-9CF6-4383-B5CC-D2D8B9C72949}"/>
              </c:ext>
            </c:extLst>
          </c:dPt>
          <c:dPt>
            <c:idx val="36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2E1-9CF6-4383-B5CC-D2D8B9C72949}"/>
              </c:ext>
            </c:extLst>
          </c:dPt>
          <c:dPt>
            <c:idx val="36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2E3-9CF6-4383-B5CC-D2D8B9C72949}"/>
              </c:ext>
            </c:extLst>
          </c:dPt>
          <c:dPt>
            <c:idx val="37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2E5-9CF6-4383-B5CC-D2D8B9C72949}"/>
              </c:ext>
            </c:extLst>
          </c:dPt>
          <c:dPt>
            <c:idx val="37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2E7-9CF6-4383-B5CC-D2D8B9C72949}"/>
              </c:ext>
            </c:extLst>
          </c:dPt>
          <c:dPt>
            <c:idx val="37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2E9-9CF6-4383-B5CC-D2D8B9C72949}"/>
              </c:ext>
            </c:extLst>
          </c:dPt>
          <c:dPt>
            <c:idx val="37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2EB-9CF6-4383-B5CC-D2D8B9C72949}"/>
              </c:ext>
            </c:extLst>
          </c:dPt>
          <c:dPt>
            <c:idx val="37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2ED-9CF6-4383-B5CC-D2D8B9C72949}"/>
              </c:ext>
            </c:extLst>
          </c:dPt>
          <c:dPt>
            <c:idx val="37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2EF-9CF6-4383-B5CC-D2D8B9C72949}"/>
              </c:ext>
            </c:extLst>
          </c:dPt>
          <c:dPt>
            <c:idx val="37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2F1-9CF6-4383-B5CC-D2D8B9C72949}"/>
              </c:ext>
            </c:extLst>
          </c:dPt>
          <c:dPt>
            <c:idx val="37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2F3-9CF6-4383-B5CC-D2D8B9C72949}"/>
              </c:ext>
            </c:extLst>
          </c:dPt>
          <c:dPt>
            <c:idx val="378"/>
            <c:bubble3D val="0"/>
            <c:spPr>
              <a:solidFill>
                <a:schemeClr val="accent1"/>
              </a:solidFill>
              <a:ln w="19050">
                <a:solidFill>
                  <a:schemeClr val="lt1"/>
                </a:solidFill>
              </a:ln>
              <a:effectLst/>
            </c:spPr>
            <c:extLst>
              <c:ext xmlns:c16="http://schemas.microsoft.com/office/drawing/2014/chart" uri="{C3380CC4-5D6E-409C-BE32-E72D297353CC}">
                <c16:uniqueId val="{000002F5-9CF6-4383-B5CC-D2D8B9C72949}"/>
              </c:ext>
            </c:extLst>
          </c:dPt>
          <c:dPt>
            <c:idx val="379"/>
            <c:bubble3D val="0"/>
            <c:spPr>
              <a:solidFill>
                <a:schemeClr val="accent2"/>
              </a:solidFill>
              <a:ln w="19050">
                <a:solidFill>
                  <a:schemeClr val="lt1"/>
                </a:solidFill>
              </a:ln>
              <a:effectLst/>
            </c:spPr>
            <c:extLst>
              <c:ext xmlns:c16="http://schemas.microsoft.com/office/drawing/2014/chart" uri="{C3380CC4-5D6E-409C-BE32-E72D297353CC}">
                <c16:uniqueId val="{000002F7-9CF6-4383-B5CC-D2D8B9C72949}"/>
              </c:ext>
            </c:extLst>
          </c:dPt>
          <c:dPt>
            <c:idx val="380"/>
            <c:bubble3D val="0"/>
            <c:spPr>
              <a:solidFill>
                <a:schemeClr val="accent3"/>
              </a:solidFill>
              <a:ln w="19050">
                <a:solidFill>
                  <a:schemeClr val="lt1"/>
                </a:solidFill>
              </a:ln>
              <a:effectLst/>
            </c:spPr>
            <c:extLst>
              <c:ext xmlns:c16="http://schemas.microsoft.com/office/drawing/2014/chart" uri="{C3380CC4-5D6E-409C-BE32-E72D297353CC}">
                <c16:uniqueId val="{000002F9-9CF6-4383-B5CC-D2D8B9C72949}"/>
              </c:ext>
            </c:extLst>
          </c:dPt>
          <c:dPt>
            <c:idx val="381"/>
            <c:bubble3D val="0"/>
            <c:spPr>
              <a:solidFill>
                <a:schemeClr val="accent4"/>
              </a:solidFill>
              <a:ln w="19050">
                <a:solidFill>
                  <a:schemeClr val="lt1"/>
                </a:solidFill>
              </a:ln>
              <a:effectLst/>
            </c:spPr>
            <c:extLst>
              <c:ext xmlns:c16="http://schemas.microsoft.com/office/drawing/2014/chart" uri="{C3380CC4-5D6E-409C-BE32-E72D297353CC}">
                <c16:uniqueId val="{000002FB-9CF6-4383-B5CC-D2D8B9C72949}"/>
              </c:ext>
            </c:extLst>
          </c:dPt>
          <c:dPt>
            <c:idx val="382"/>
            <c:bubble3D val="0"/>
            <c:spPr>
              <a:solidFill>
                <a:schemeClr val="accent5"/>
              </a:solidFill>
              <a:ln w="19050">
                <a:solidFill>
                  <a:schemeClr val="lt1"/>
                </a:solidFill>
              </a:ln>
              <a:effectLst/>
            </c:spPr>
            <c:extLst>
              <c:ext xmlns:c16="http://schemas.microsoft.com/office/drawing/2014/chart" uri="{C3380CC4-5D6E-409C-BE32-E72D297353CC}">
                <c16:uniqueId val="{000002FD-9CF6-4383-B5CC-D2D8B9C72949}"/>
              </c:ext>
            </c:extLst>
          </c:dPt>
          <c:dPt>
            <c:idx val="383"/>
            <c:bubble3D val="0"/>
            <c:spPr>
              <a:solidFill>
                <a:schemeClr val="accent6"/>
              </a:solidFill>
              <a:ln w="19050">
                <a:solidFill>
                  <a:schemeClr val="lt1"/>
                </a:solidFill>
              </a:ln>
              <a:effectLst/>
            </c:spPr>
            <c:extLst>
              <c:ext xmlns:c16="http://schemas.microsoft.com/office/drawing/2014/chart" uri="{C3380CC4-5D6E-409C-BE32-E72D297353CC}">
                <c16:uniqueId val="{000002FF-9CF6-4383-B5CC-D2D8B9C72949}"/>
              </c:ext>
            </c:extLst>
          </c:dPt>
          <c:dPt>
            <c:idx val="38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301-9CF6-4383-B5CC-D2D8B9C72949}"/>
              </c:ext>
            </c:extLst>
          </c:dPt>
          <c:dPt>
            <c:idx val="38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303-9CF6-4383-B5CC-D2D8B9C72949}"/>
              </c:ext>
            </c:extLst>
          </c:dPt>
          <c:dPt>
            <c:idx val="38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305-9CF6-4383-B5CC-D2D8B9C72949}"/>
              </c:ext>
            </c:extLst>
          </c:dPt>
          <c:dPt>
            <c:idx val="38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307-9CF6-4383-B5CC-D2D8B9C72949}"/>
              </c:ext>
            </c:extLst>
          </c:dPt>
          <c:dPt>
            <c:idx val="38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309-9CF6-4383-B5CC-D2D8B9C72949}"/>
              </c:ext>
            </c:extLst>
          </c:dPt>
          <c:dPt>
            <c:idx val="38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30B-9CF6-4383-B5CC-D2D8B9C72949}"/>
              </c:ext>
            </c:extLst>
          </c:dPt>
          <c:dPt>
            <c:idx val="39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30D-9CF6-4383-B5CC-D2D8B9C72949}"/>
              </c:ext>
            </c:extLst>
          </c:dPt>
          <c:dPt>
            <c:idx val="39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30F-9CF6-4383-B5CC-D2D8B9C72949}"/>
              </c:ext>
            </c:extLst>
          </c:dPt>
          <c:dPt>
            <c:idx val="39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311-9CF6-4383-B5CC-D2D8B9C72949}"/>
              </c:ext>
            </c:extLst>
          </c:dPt>
          <c:dPt>
            <c:idx val="39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313-9CF6-4383-B5CC-D2D8B9C72949}"/>
              </c:ext>
            </c:extLst>
          </c:dPt>
          <c:dPt>
            <c:idx val="39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315-9CF6-4383-B5CC-D2D8B9C72949}"/>
              </c:ext>
            </c:extLst>
          </c:dPt>
          <c:dPt>
            <c:idx val="39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317-9CF6-4383-B5CC-D2D8B9C72949}"/>
              </c:ext>
            </c:extLst>
          </c:dPt>
          <c:dPt>
            <c:idx val="39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319-9CF6-4383-B5CC-D2D8B9C72949}"/>
              </c:ext>
            </c:extLst>
          </c:dPt>
          <c:dPt>
            <c:idx val="39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31B-9CF6-4383-B5CC-D2D8B9C72949}"/>
              </c:ext>
            </c:extLst>
          </c:dPt>
          <c:dPt>
            <c:idx val="39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31D-9CF6-4383-B5CC-D2D8B9C72949}"/>
              </c:ext>
            </c:extLst>
          </c:dPt>
          <c:dPt>
            <c:idx val="39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31F-9CF6-4383-B5CC-D2D8B9C72949}"/>
              </c:ext>
            </c:extLst>
          </c:dPt>
          <c:dPt>
            <c:idx val="40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321-9CF6-4383-B5CC-D2D8B9C72949}"/>
              </c:ext>
            </c:extLst>
          </c:dPt>
          <c:dPt>
            <c:idx val="40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323-9CF6-4383-B5CC-D2D8B9C72949}"/>
              </c:ext>
            </c:extLst>
          </c:dPt>
          <c:dPt>
            <c:idx val="40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325-9CF6-4383-B5CC-D2D8B9C72949}"/>
              </c:ext>
            </c:extLst>
          </c:dPt>
          <c:dPt>
            <c:idx val="40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327-9CF6-4383-B5CC-D2D8B9C72949}"/>
              </c:ext>
            </c:extLst>
          </c:dPt>
          <c:dPt>
            <c:idx val="40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329-9CF6-4383-B5CC-D2D8B9C72949}"/>
              </c:ext>
            </c:extLst>
          </c:dPt>
          <c:dPt>
            <c:idx val="40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32B-9CF6-4383-B5CC-D2D8B9C72949}"/>
              </c:ext>
            </c:extLst>
          </c:dPt>
          <c:dPt>
            <c:idx val="40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32D-9CF6-4383-B5CC-D2D8B9C72949}"/>
              </c:ext>
            </c:extLst>
          </c:dPt>
          <c:dPt>
            <c:idx val="40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32F-9CF6-4383-B5CC-D2D8B9C72949}"/>
              </c:ext>
            </c:extLst>
          </c:dPt>
          <c:dPt>
            <c:idx val="40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331-9CF6-4383-B5CC-D2D8B9C72949}"/>
              </c:ext>
            </c:extLst>
          </c:dPt>
          <c:dPt>
            <c:idx val="40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333-9CF6-4383-B5CC-D2D8B9C72949}"/>
              </c:ext>
            </c:extLst>
          </c:dPt>
          <c:dPt>
            <c:idx val="41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335-9CF6-4383-B5CC-D2D8B9C72949}"/>
              </c:ext>
            </c:extLst>
          </c:dPt>
          <c:dPt>
            <c:idx val="41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337-9CF6-4383-B5CC-D2D8B9C72949}"/>
              </c:ext>
            </c:extLst>
          </c:dPt>
          <c:dPt>
            <c:idx val="41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339-9CF6-4383-B5CC-D2D8B9C72949}"/>
              </c:ext>
            </c:extLst>
          </c:dPt>
          <c:dPt>
            <c:idx val="41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33B-9CF6-4383-B5CC-D2D8B9C72949}"/>
              </c:ext>
            </c:extLst>
          </c:dPt>
          <c:dPt>
            <c:idx val="41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33D-9CF6-4383-B5CC-D2D8B9C72949}"/>
              </c:ext>
            </c:extLst>
          </c:dPt>
          <c:dPt>
            <c:idx val="41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33F-9CF6-4383-B5CC-D2D8B9C72949}"/>
              </c:ext>
            </c:extLst>
          </c:dPt>
          <c:dPt>
            <c:idx val="41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341-9CF6-4383-B5CC-D2D8B9C72949}"/>
              </c:ext>
            </c:extLst>
          </c:dPt>
          <c:dPt>
            <c:idx val="41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343-9CF6-4383-B5CC-D2D8B9C72949}"/>
              </c:ext>
            </c:extLst>
          </c:dPt>
          <c:dPt>
            <c:idx val="41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345-9CF6-4383-B5CC-D2D8B9C72949}"/>
              </c:ext>
            </c:extLst>
          </c:dPt>
          <c:dPt>
            <c:idx val="41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347-9CF6-4383-B5CC-D2D8B9C72949}"/>
              </c:ext>
            </c:extLst>
          </c:dPt>
          <c:dPt>
            <c:idx val="42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349-9CF6-4383-B5CC-D2D8B9C72949}"/>
              </c:ext>
            </c:extLst>
          </c:dPt>
          <c:dPt>
            <c:idx val="42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34B-9CF6-4383-B5CC-D2D8B9C72949}"/>
              </c:ext>
            </c:extLst>
          </c:dPt>
          <c:dPt>
            <c:idx val="42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34D-9CF6-4383-B5CC-D2D8B9C72949}"/>
              </c:ext>
            </c:extLst>
          </c:dPt>
          <c:dPt>
            <c:idx val="42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34F-9CF6-4383-B5CC-D2D8B9C72949}"/>
              </c:ext>
            </c:extLst>
          </c:dPt>
          <c:dPt>
            <c:idx val="42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351-9CF6-4383-B5CC-D2D8B9C72949}"/>
              </c:ext>
            </c:extLst>
          </c:dPt>
          <c:dPt>
            <c:idx val="42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353-9CF6-4383-B5CC-D2D8B9C72949}"/>
              </c:ext>
            </c:extLst>
          </c:dPt>
          <c:dPt>
            <c:idx val="42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355-9CF6-4383-B5CC-D2D8B9C72949}"/>
              </c:ext>
            </c:extLst>
          </c:dPt>
          <c:dPt>
            <c:idx val="42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357-9CF6-4383-B5CC-D2D8B9C72949}"/>
              </c:ext>
            </c:extLst>
          </c:dPt>
          <c:dPt>
            <c:idx val="42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359-9CF6-4383-B5CC-D2D8B9C72949}"/>
              </c:ext>
            </c:extLst>
          </c:dPt>
          <c:dPt>
            <c:idx val="42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35B-9CF6-4383-B5CC-D2D8B9C72949}"/>
              </c:ext>
            </c:extLst>
          </c:dPt>
          <c:dPt>
            <c:idx val="43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35D-9CF6-4383-B5CC-D2D8B9C72949}"/>
              </c:ext>
            </c:extLst>
          </c:dPt>
          <c:dPt>
            <c:idx val="43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35F-9CF6-4383-B5CC-D2D8B9C72949}"/>
              </c:ext>
            </c:extLst>
          </c:dPt>
          <c:dPt>
            <c:idx val="432"/>
            <c:bubble3D val="0"/>
            <c:spPr>
              <a:solidFill>
                <a:schemeClr val="accent1"/>
              </a:solidFill>
              <a:ln w="19050">
                <a:solidFill>
                  <a:schemeClr val="lt1"/>
                </a:solidFill>
              </a:ln>
              <a:effectLst/>
            </c:spPr>
            <c:extLst>
              <c:ext xmlns:c16="http://schemas.microsoft.com/office/drawing/2014/chart" uri="{C3380CC4-5D6E-409C-BE32-E72D297353CC}">
                <c16:uniqueId val="{00000361-9CF6-4383-B5CC-D2D8B9C72949}"/>
              </c:ext>
            </c:extLst>
          </c:dPt>
          <c:dPt>
            <c:idx val="433"/>
            <c:bubble3D val="0"/>
            <c:spPr>
              <a:solidFill>
                <a:schemeClr val="accent2"/>
              </a:solidFill>
              <a:ln w="19050">
                <a:solidFill>
                  <a:schemeClr val="lt1"/>
                </a:solidFill>
              </a:ln>
              <a:effectLst/>
            </c:spPr>
            <c:extLst>
              <c:ext xmlns:c16="http://schemas.microsoft.com/office/drawing/2014/chart" uri="{C3380CC4-5D6E-409C-BE32-E72D297353CC}">
                <c16:uniqueId val="{00000363-9CF6-4383-B5CC-D2D8B9C72949}"/>
              </c:ext>
            </c:extLst>
          </c:dPt>
          <c:dPt>
            <c:idx val="434"/>
            <c:bubble3D val="0"/>
            <c:spPr>
              <a:solidFill>
                <a:schemeClr val="accent3"/>
              </a:solidFill>
              <a:ln w="19050">
                <a:solidFill>
                  <a:schemeClr val="lt1"/>
                </a:solidFill>
              </a:ln>
              <a:effectLst/>
            </c:spPr>
            <c:extLst>
              <c:ext xmlns:c16="http://schemas.microsoft.com/office/drawing/2014/chart" uri="{C3380CC4-5D6E-409C-BE32-E72D297353CC}">
                <c16:uniqueId val="{00000365-9CF6-4383-B5CC-D2D8B9C72949}"/>
              </c:ext>
            </c:extLst>
          </c:dPt>
          <c:dPt>
            <c:idx val="435"/>
            <c:bubble3D val="0"/>
            <c:spPr>
              <a:solidFill>
                <a:schemeClr val="accent4"/>
              </a:solidFill>
              <a:ln w="19050">
                <a:solidFill>
                  <a:schemeClr val="lt1"/>
                </a:solidFill>
              </a:ln>
              <a:effectLst/>
            </c:spPr>
            <c:extLst>
              <c:ext xmlns:c16="http://schemas.microsoft.com/office/drawing/2014/chart" uri="{C3380CC4-5D6E-409C-BE32-E72D297353CC}">
                <c16:uniqueId val="{00000367-9CF6-4383-B5CC-D2D8B9C72949}"/>
              </c:ext>
            </c:extLst>
          </c:dPt>
          <c:dPt>
            <c:idx val="436"/>
            <c:bubble3D val="0"/>
            <c:spPr>
              <a:solidFill>
                <a:schemeClr val="accent5"/>
              </a:solidFill>
              <a:ln w="19050">
                <a:solidFill>
                  <a:schemeClr val="lt1"/>
                </a:solidFill>
              </a:ln>
              <a:effectLst/>
            </c:spPr>
            <c:extLst>
              <c:ext xmlns:c16="http://schemas.microsoft.com/office/drawing/2014/chart" uri="{C3380CC4-5D6E-409C-BE32-E72D297353CC}">
                <c16:uniqueId val="{00000369-9CF6-4383-B5CC-D2D8B9C72949}"/>
              </c:ext>
            </c:extLst>
          </c:dPt>
          <c:dPt>
            <c:idx val="437"/>
            <c:bubble3D val="0"/>
            <c:spPr>
              <a:solidFill>
                <a:schemeClr val="accent6"/>
              </a:solidFill>
              <a:ln w="19050">
                <a:solidFill>
                  <a:schemeClr val="lt1"/>
                </a:solidFill>
              </a:ln>
              <a:effectLst/>
            </c:spPr>
            <c:extLst>
              <c:ext xmlns:c16="http://schemas.microsoft.com/office/drawing/2014/chart" uri="{C3380CC4-5D6E-409C-BE32-E72D297353CC}">
                <c16:uniqueId val="{0000036B-9CF6-4383-B5CC-D2D8B9C72949}"/>
              </c:ext>
            </c:extLst>
          </c:dPt>
          <c:dPt>
            <c:idx val="43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36D-9CF6-4383-B5CC-D2D8B9C72949}"/>
              </c:ext>
            </c:extLst>
          </c:dPt>
          <c:dPt>
            <c:idx val="43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36F-9CF6-4383-B5CC-D2D8B9C72949}"/>
              </c:ext>
            </c:extLst>
          </c:dPt>
          <c:dPt>
            <c:idx val="44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371-9CF6-4383-B5CC-D2D8B9C72949}"/>
              </c:ext>
            </c:extLst>
          </c:dPt>
          <c:dPt>
            <c:idx val="44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373-9CF6-4383-B5CC-D2D8B9C72949}"/>
              </c:ext>
            </c:extLst>
          </c:dPt>
          <c:dPt>
            <c:idx val="44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375-9CF6-4383-B5CC-D2D8B9C72949}"/>
              </c:ext>
            </c:extLst>
          </c:dPt>
          <c:dPt>
            <c:idx val="44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377-9CF6-4383-B5CC-D2D8B9C72949}"/>
              </c:ext>
            </c:extLst>
          </c:dPt>
          <c:dPt>
            <c:idx val="44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379-9CF6-4383-B5CC-D2D8B9C72949}"/>
              </c:ext>
            </c:extLst>
          </c:dPt>
          <c:dPt>
            <c:idx val="44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37B-9CF6-4383-B5CC-D2D8B9C72949}"/>
              </c:ext>
            </c:extLst>
          </c:dPt>
          <c:dPt>
            <c:idx val="44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37D-9CF6-4383-B5CC-D2D8B9C72949}"/>
              </c:ext>
            </c:extLst>
          </c:dPt>
          <c:dPt>
            <c:idx val="44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37F-9CF6-4383-B5CC-D2D8B9C72949}"/>
              </c:ext>
            </c:extLst>
          </c:dPt>
          <c:dPt>
            <c:idx val="44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381-9CF6-4383-B5CC-D2D8B9C72949}"/>
              </c:ext>
            </c:extLst>
          </c:dPt>
          <c:dPt>
            <c:idx val="44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383-9CF6-4383-B5CC-D2D8B9C72949}"/>
              </c:ext>
            </c:extLst>
          </c:dPt>
          <c:dPt>
            <c:idx val="45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385-9CF6-4383-B5CC-D2D8B9C72949}"/>
              </c:ext>
            </c:extLst>
          </c:dPt>
          <c:dPt>
            <c:idx val="45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387-9CF6-4383-B5CC-D2D8B9C72949}"/>
              </c:ext>
            </c:extLst>
          </c:dPt>
          <c:dPt>
            <c:idx val="45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389-9CF6-4383-B5CC-D2D8B9C72949}"/>
              </c:ext>
            </c:extLst>
          </c:dPt>
          <c:dPt>
            <c:idx val="45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38B-9CF6-4383-B5CC-D2D8B9C72949}"/>
              </c:ext>
            </c:extLst>
          </c:dPt>
          <c:dPt>
            <c:idx val="45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38D-9CF6-4383-B5CC-D2D8B9C72949}"/>
              </c:ext>
            </c:extLst>
          </c:dPt>
          <c:dPt>
            <c:idx val="45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38F-9CF6-4383-B5CC-D2D8B9C72949}"/>
              </c:ext>
            </c:extLst>
          </c:dPt>
          <c:dPt>
            <c:idx val="45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391-9CF6-4383-B5CC-D2D8B9C72949}"/>
              </c:ext>
            </c:extLst>
          </c:dPt>
          <c:dPt>
            <c:idx val="45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393-9CF6-4383-B5CC-D2D8B9C72949}"/>
              </c:ext>
            </c:extLst>
          </c:dPt>
          <c:dPt>
            <c:idx val="45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395-9CF6-4383-B5CC-D2D8B9C72949}"/>
              </c:ext>
            </c:extLst>
          </c:dPt>
          <c:dPt>
            <c:idx val="45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397-9CF6-4383-B5CC-D2D8B9C72949}"/>
              </c:ext>
            </c:extLst>
          </c:dPt>
          <c:dPt>
            <c:idx val="46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399-9CF6-4383-B5CC-D2D8B9C72949}"/>
              </c:ext>
            </c:extLst>
          </c:dPt>
          <c:dPt>
            <c:idx val="46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39B-9CF6-4383-B5CC-D2D8B9C72949}"/>
              </c:ext>
            </c:extLst>
          </c:dPt>
          <c:dPt>
            <c:idx val="46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39D-9CF6-4383-B5CC-D2D8B9C72949}"/>
              </c:ext>
            </c:extLst>
          </c:dPt>
          <c:dPt>
            <c:idx val="46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39F-9CF6-4383-B5CC-D2D8B9C72949}"/>
              </c:ext>
            </c:extLst>
          </c:dPt>
          <c:dPt>
            <c:idx val="46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3A1-9CF6-4383-B5CC-D2D8B9C72949}"/>
              </c:ext>
            </c:extLst>
          </c:dPt>
          <c:dPt>
            <c:idx val="46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3A3-9CF6-4383-B5CC-D2D8B9C72949}"/>
              </c:ext>
            </c:extLst>
          </c:dPt>
          <c:dPt>
            <c:idx val="46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3A5-9CF6-4383-B5CC-D2D8B9C72949}"/>
              </c:ext>
            </c:extLst>
          </c:dPt>
          <c:dPt>
            <c:idx val="46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3A7-9CF6-4383-B5CC-D2D8B9C72949}"/>
              </c:ext>
            </c:extLst>
          </c:dPt>
          <c:dPt>
            <c:idx val="46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3A9-9CF6-4383-B5CC-D2D8B9C72949}"/>
              </c:ext>
            </c:extLst>
          </c:dPt>
          <c:dPt>
            <c:idx val="46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3AB-9CF6-4383-B5CC-D2D8B9C72949}"/>
              </c:ext>
            </c:extLst>
          </c:dPt>
          <c:dPt>
            <c:idx val="47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3AD-9CF6-4383-B5CC-D2D8B9C72949}"/>
              </c:ext>
            </c:extLst>
          </c:dPt>
          <c:dPt>
            <c:idx val="47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3AF-9CF6-4383-B5CC-D2D8B9C72949}"/>
              </c:ext>
            </c:extLst>
          </c:dPt>
          <c:dPt>
            <c:idx val="47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3B1-9CF6-4383-B5CC-D2D8B9C72949}"/>
              </c:ext>
            </c:extLst>
          </c:dPt>
          <c:dPt>
            <c:idx val="47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3B3-9CF6-4383-B5CC-D2D8B9C72949}"/>
              </c:ext>
            </c:extLst>
          </c:dPt>
          <c:dPt>
            <c:idx val="47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3B5-9CF6-4383-B5CC-D2D8B9C72949}"/>
              </c:ext>
            </c:extLst>
          </c:dPt>
          <c:dPt>
            <c:idx val="47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3B7-9CF6-4383-B5CC-D2D8B9C72949}"/>
              </c:ext>
            </c:extLst>
          </c:dPt>
          <c:dPt>
            <c:idx val="47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3B9-9CF6-4383-B5CC-D2D8B9C72949}"/>
              </c:ext>
            </c:extLst>
          </c:dPt>
          <c:dPt>
            <c:idx val="47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3BB-9CF6-4383-B5CC-D2D8B9C72949}"/>
              </c:ext>
            </c:extLst>
          </c:dPt>
          <c:dPt>
            <c:idx val="47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3BD-9CF6-4383-B5CC-D2D8B9C72949}"/>
              </c:ext>
            </c:extLst>
          </c:dPt>
          <c:dPt>
            <c:idx val="47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3BF-9CF6-4383-B5CC-D2D8B9C72949}"/>
              </c:ext>
            </c:extLst>
          </c:dPt>
          <c:dPt>
            <c:idx val="48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3C1-9CF6-4383-B5CC-D2D8B9C72949}"/>
              </c:ext>
            </c:extLst>
          </c:dPt>
          <c:dPt>
            <c:idx val="48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3C3-9CF6-4383-B5CC-D2D8B9C72949}"/>
              </c:ext>
            </c:extLst>
          </c:dPt>
          <c:dPt>
            <c:idx val="48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3C5-9CF6-4383-B5CC-D2D8B9C72949}"/>
              </c:ext>
            </c:extLst>
          </c:dPt>
          <c:dPt>
            <c:idx val="48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3C7-9CF6-4383-B5CC-D2D8B9C72949}"/>
              </c:ext>
            </c:extLst>
          </c:dPt>
          <c:dPt>
            <c:idx val="48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3C9-9CF6-4383-B5CC-D2D8B9C72949}"/>
              </c:ext>
            </c:extLst>
          </c:dPt>
          <c:dPt>
            <c:idx val="48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3CB-9CF6-4383-B5CC-D2D8B9C72949}"/>
              </c:ext>
            </c:extLst>
          </c:dPt>
          <c:dPt>
            <c:idx val="486"/>
            <c:bubble3D val="0"/>
            <c:spPr>
              <a:solidFill>
                <a:schemeClr val="accent1"/>
              </a:solidFill>
              <a:ln w="19050">
                <a:solidFill>
                  <a:schemeClr val="lt1"/>
                </a:solidFill>
              </a:ln>
              <a:effectLst/>
            </c:spPr>
            <c:extLst>
              <c:ext xmlns:c16="http://schemas.microsoft.com/office/drawing/2014/chart" uri="{C3380CC4-5D6E-409C-BE32-E72D297353CC}">
                <c16:uniqueId val="{000003CD-9CF6-4383-B5CC-D2D8B9C72949}"/>
              </c:ext>
            </c:extLst>
          </c:dPt>
          <c:dPt>
            <c:idx val="487"/>
            <c:bubble3D val="0"/>
            <c:spPr>
              <a:solidFill>
                <a:schemeClr val="accent2"/>
              </a:solidFill>
              <a:ln w="19050">
                <a:solidFill>
                  <a:schemeClr val="lt1"/>
                </a:solidFill>
              </a:ln>
              <a:effectLst/>
            </c:spPr>
            <c:extLst>
              <c:ext xmlns:c16="http://schemas.microsoft.com/office/drawing/2014/chart" uri="{C3380CC4-5D6E-409C-BE32-E72D297353CC}">
                <c16:uniqueId val="{000003CF-9CF6-4383-B5CC-D2D8B9C72949}"/>
              </c:ext>
            </c:extLst>
          </c:dPt>
          <c:dPt>
            <c:idx val="488"/>
            <c:bubble3D val="0"/>
            <c:spPr>
              <a:solidFill>
                <a:schemeClr val="accent3"/>
              </a:solidFill>
              <a:ln w="19050">
                <a:solidFill>
                  <a:schemeClr val="lt1"/>
                </a:solidFill>
              </a:ln>
              <a:effectLst/>
            </c:spPr>
            <c:extLst>
              <c:ext xmlns:c16="http://schemas.microsoft.com/office/drawing/2014/chart" uri="{C3380CC4-5D6E-409C-BE32-E72D297353CC}">
                <c16:uniqueId val="{000003D1-9CF6-4383-B5CC-D2D8B9C72949}"/>
              </c:ext>
            </c:extLst>
          </c:dPt>
          <c:dPt>
            <c:idx val="489"/>
            <c:bubble3D val="0"/>
            <c:spPr>
              <a:solidFill>
                <a:schemeClr val="accent4"/>
              </a:solidFill>
              <a:ln w="19050">
                <a:solidFill>
                  <a:schemeClr val="lt1"/>
                </a:solidFill>
              </a:ln>
              <a:effectLst/>
            </c:spPr>
            <c:extLst>
              <c:ext xmlns:c16="http://schemas.microsoft.com/office/drawing/2014/chart" uri="{C3380CC4-5D6E-409C-BE32-E72D297353CC}">
                <c16:uniqueId val="{000003D3-9CF6-4383-B5CC-D2D8B9C72949}"/>
              </c:ext>
            </c:extLst>
          </c:dPt>
          <c:dPt>
            <c:idx val="490"/>
            <c:bubble3D val="0"/>
            <c:spPr>
              <a:solidFill>
                <a:schemeClr val="accent5"/>
              </a:solidFill>
              <a:ln w="19050">
                <a:solidFill>
                  <a:schemeClr val="lt1"/>
                </a:solidFill>
              </a:ln>
              <a:effectLst/>
            </c:spPr>
            <c:extLst>
              <c:ext xmlns:c16="http://schemas.microsoft.com/office/drawing/2014/chart" uri="{C3380CC4-5D6E-409C-BE32-E72D297353CC}">
                <c16:uniqueId val="{000003D5-9CF6-4383-B5CC-D2D8B9C72949}"/>
              </c:ext>
            </c:extLst>
          </c:dPt>
          <c:dPt>
            <c:idx val="491"/>
            <c:bubble3D val="0"/>
            <c:spPr>
              <a:solidFill>
                <a:schemeClr val="accent6"/>
              </a:solidFill>
              <a:ln w="19050">
                <a:solidFill>
                  <a:schemeClr val="lt1"/>
                </a:solidFill>
              </a:ln>
              <a:effectLst/>
            </c:spPr>
            <c:extLst>
              <c:ext xmlns:c16="http://schemas.microsoft.com/office/drawing/2014/chart" uri="{C3380CC4-5D6E-409C-BE32-E72D297353CC}">
                <c16:uniqueId val="{000003D7-9CF6-4383-B5CC-D2D8B9C72949}"/>
              </c:ext>
            </c:extLst>
          </c:dPt>
          <c:dPt>
            <c:idx val="49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3D9-9CF6-4383-B5CC-D2D8B9C72949}"/>
              </c:ext>
            </c:extLst>
          </c:dPt>
          <c:dPt>
            <c:idx val="49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3DB-9CF6-4383-B5CC-D2D8B9C72949}"/>
              </c:ext>
            </c:extLst>
          </c:dPt>
          <c:dPt>
            <c:idx val="49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3DD-9CF6-4383-B5CC-D2D8B9C72949}"/>
              </c:ext>
            </c:extLst>
          </c:dPt>
          <c:dPt>
            <c:idx val="49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3DF-9CF6-4383-B5CC-D2D8B9C72949}"/>
              </c:ext>
            </c:extLst>
          </c:dPt>
          <c:dPt>
            <c:idx val="49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3E1-9CF6-4383-B5CC-D2D8B9C72949}"/>
              </c:ext>
            </c:extLst>
          </c:dPt>
          <c:dPt>
            <c:idx val="49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3E3-9CF6-4383-B5CC-D2D8B9C72949}"/>
              </c:ext>
            </c:extLst>
          </c:dPt>
          <c:dPt>
            <c:idx val="49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3E5-9CF6-4383-B5CC-D2D8B9C72949}"/>
              </c:ext>
            </c:extLst>
          </c:dPt>
          <c:dPt>
            <c:idx val="49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3E7-9CF6-4383-B5CC-D2D8B9C72949}"/>
              </c:ext>
            </c:extLst>
          </c:dPt>
          <c:dPt>
            <c:idx val="50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3E9-9CF6-4383-B5CC-D2D8B9C72949}"/>
              </c:ext>
            </c:extLst>
          </c:dPt>
          <c:dPt>
            <c:idx val="50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3EB-9CF6-4383-B5CC-D2D8B9C72949}"/>
              </c:ext>
            </c:extLst>
          </c:dPt>
          <c:dPt>
            <c:idx val="50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3ED-9CF6-4383-B5CC-D2D8B9C72949}"/>
              </c:ext>
            </c:extLst>
          </c:dPt>
          <c:dPt>
            <c:idx val="50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3EF-9CF6-4383-B5CC-D2D8B9C72949}"/>
              </c:ext>
            </c:extLst>
          </c:dPt>
          <c:dPt>
            <c:idx val="50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3F1-9CF6-4383-B5CC-D2D8B9C72949}"/>
              </c:ext>
            </c:extLst>
          </c:dPt>
          <c:dPt>
            <c:idx val="50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3F3-9CF6-4383-B5CC-D2D8B9C72949}"/>
              </c:ext>
            </c:extLst>
          </c:dPt>
          <c:dPt>
            <c:idx val="50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3F5-9CF6-4383-B5CC-D2D8B9C72949}"/>
              </c:ext>
            </c:extLst>
          </c:dPt>
          <c:dPt>
            <c:idx val="50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3F7-9CF6-4383-B5CC-D2D8B9C72949}"/>
              </c:ext>
            </c:extLst>
          </c:dPt>
          <c:dPt>
            <c:idx val="50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3F9-9CF6-4383-B5CC-D2D8B9C72949}"/>
              </c:ext>
            </c:extLst>
          </c:dPt>
          <c:dPt>
            <c:idx val="50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3FB-9CF6-4383-B5CC-D2D8B9C72949}"/>
              </c:ext>
            </c:extLst>
          </c:dPt>
          <c:dPt>
            <c:idx val="51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3FD-9CF6-4383-B5CC-D2D8B9C72949}"/>
              </c:ext>
            </c:extLst>
          </c:dPt>
          <c:dPt>
            <c:idx val="51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3FF-9CF6-4383-B5CC-D2D8B9C72949}"/>
              </c:ext>
            </c:extLst>
          </c:dPt>
          <c:dPt>
            <c:idx val="51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401-9CF6-4383-B5CC-D2D8B9C72949}"/>
              </c:ext>
            </c:extLst>
          </c:dPt>
          <c:dPt>
            <c:idx val="51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403-9CF6-4383-B5CC-D2D8B9C72949}"/>
              </c:ext>
            </c:extLst>
          </c:dPt>
          <c:dPt>
            <c:idx val="51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405-9CF6-4383-B5CC-D2D8B9C72949}"/>
              </c:ext>
            </c:extLst>
          </c:dPt>
          <c:dPt>
            <c:idx val="51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407-9CF6-4383-B5CC-D2D8B9C72949}"/>
              </c:ext>
            </c:extLst>
          </c:dPt>
          <c:dPt>
            <c:idx val="51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409-9CF6-4383-B5CC-D2D8B9C72949}"/>
              </c:ext>
            </c:extLst>
          </c:dPt>
          <c:dPt>
            <c:idx val="51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40B-9CF6-4383-B5CC-D2D8B9C72949}"/>
              </c:ext>
            </c:extLst>
          </c:dPt>
          <c:dPt>
            <c:idx val="51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40D-9CF6-4383-B5CC-D2D8B9C72949}"/>
              </c:ext>
            </c:extLst>
          </c:dPt>
          <c:dPt>
            <c:idx val="51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40F-9CF6-4383-B5CC-D2D8B9C72949}"/>
              </c:ext>
            </c:extLst>
          </c:dPt>
          <c:dPt>
            <c:idx val="52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411-9CF6-4383-B5CC-D2D8B9C72949}"/>
              </c:ext>
            </c:extLst>
          </c:dPt>
          <c:dPt>
            <c:idx val="52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413-9CF6-4383-B5CC-D2D8B9C72949}"/>
              </c:ext>
            </c:extLst>
          </c:dPt>
          <c:dPt>
            <c:idx val="52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415-9CF6-4383-B5CC-D2D8B9C72949}"/>
              </c:ext>
            </c:extLst>
          </c:dPt>
          <c:dPt>
            <c:idx val="52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417-9CF6-4383-B5CC-D2D8B9C72949}"/>
              </c:ext>
            </c:extLst>
          </c:dPt>
          <c:dPt>
            <c:idx val="52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419-9CF6-4383-B5CC-D2D8B9C72949}"/>
              </c:ext>
            </c:extLst>
          </c:dPt>
          <c:dPt>
            <c:idx val="52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41B-9CF6-4383-B5CC-D2D8B9C72949}"/>
              </c:ext>
            </c:extLst>
          </c:dPt>
          <c:dPt>
            <c:idx val="52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41D-9CF6-4383-B5CC-D2D8B9C72949}"/>
              </c:ext>
            </c:extLst>
          </c:dPt>
          <c:dPt>
            <c:idx val="52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41F-9CF6-4383-B5CC-D2D8B9C72949}"/>
              </c:ext>
            </c:extLst>
          </c:dPt>
          <c:dPt>
            <c:idx val="52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421-9CF6-4383-B5CC-D2D8B9C72949}"/>
              </c:ext>
            </c:extLst>
          </c:dPt>
          <c:dPt>
            <c:idx val="52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423-9CF6-4383-B5CC-D2D8B9C72949}"/>
              </c:ext>
            </c:extLst>
          </c:dPt>
          <c:dPt>
            <c:idx val="53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425-9CF6-4383-B5CC-D2D8B9C72949}"/>
              </c:ext>
            </c:extLst>
          </c:dPt>
          <c:dPt>
            <c:idx val="53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427-9CF6-4383-B5CC-D2D8B9C72949}"/>
              </c:ext>
            </c:extLst>
          </c:dPt>
          <c:dPt>
            <c:idx val="53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429-9CF6-4383-B5CC-D2D8B9C72949}"/>
              </c:ext>
            </c:extLst>
          </c:dPt>
          <c:dPt>
            <c:idx val="53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42B-9CF6-4383-B5CC-D2D8B9C72949}"/>
              </c:ext>
            </c:extLst>
          </c:dPt>
          <c:dPt>
            <c:idx val="53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42D-9CF6-4383-B5CC-D2D8B9C72949}"/>
              </c:ext>
            </c:extLst>
          </c:dPt>
          <c:dPt>
            <c:idx val="53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42F-9CF6-4383-B5CC-D2D8B9C72949}"/>
              </c:ext>
            </c:extLst>
          </c:dPt>
          <c:dPt>
            <c:idx val="53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431-9CF6-4383-B5CC-D2D8B9C72949}"/>
              </c:ext>
            </c:extLst>
          </c:dPt>
          <c:dPt>
            <c:idx val="53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433-9CF6-4383-B5CC-D2D8B9C72949}"/>
              </c:ext>
            </c:extLst>
          </c:dPt>
          <c:dPt>
            <c:idx val="53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435-9CF6-4383-B5CC-D2D8B9C72949}"/>
              </c:ext>
            </c:extLst>
          </c:dPt>
          <c:dPt>
            <c:idx val="53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437-9CF6-4383-B5CC-D2D8B9C72949}"/>
              </c:ext>
            </c:extLst>
          </c:dPt>
          <c:dPt>
            <c:idx val="540"/>
            <c:bubble3D val="0"/>
            <c:spPr>
              <a:solidFill>
                <a:schemeClr val="accent1"/>
              </a:solidFill>
              <a:ln w="19050">
                <a:solidFill>
                  <a:schemeClr val="lt1"/>
                </a:solidFill>
              </a:ln>
              <a:effectLst/>
            </c:spPr>
            <c:extLst>
              <c:ext xmlns:c16="http://schemas.microsoft.com/office/drawing/2014/chart" uri="{C3380CC4-5D6E-409C-BE32-E72D297353CC}">
                <c16:uniqueId val="{00000439-9CF6-4383-B5CC-D2D8B9C72949}"/>
              </c:ext>
            </c:extLst>
          </c:dPt>
          <c:dPt>
            <c:idx val="541"/>
            <c:bubble3D val="0"/>
            <c:spPr>
              <a:solidFill>
                <a:schemeClr val="accent2"/>
              </a:solidFill>
              <a:ln w="19050">
                <a:solidFill>
                  <a:schemeClr val="lt1"/>
                </a:solidFill>
              </a:ln>
              <a:effectLst/>
            </c:spPr>
            <c:extLst>
              <c:ext xmlns:c16="http://schemas.microsoft.com/office/drawing/2014/chart" uri="{C3380CC4-5D6E-409C-BE32-E72D297353CC}">
                <c16:uniqueId val="{0000043B-9CF6-4383-B5CC-D2D8B9C72949}"/>
              </c:ext>
            </c:extLst>
          </c:dPt>
          <c:dPt>
            <c:idx val="542"/>
            <c:bubble3D val="0"/>
            <c:spPr>
              <a:solidFill>
                <a:schemeClr val="accent3"/>
              </a:solidFill>
              <a:ln w="19050">
                <a:solidFill>
                  <a:schemeClr val="lt1"/>
                </a:solidFill>
              </a:ln>
              <a:effectLst/>
            </c:spPr>
            <c:extLst>
              <c:ext xmlns:c16="http://schemas.microsoft.com/office/drawing/2014/chart" uri="{C3380CC4-5D6E-409C-BE32-E72D297353CC}">
                <c16:uniqueId val="{0000043D-9CF6-4383-B5CC-D2D8B9C72949}"/>
              </c:ext>
            </c:extLst>
          </c:dPt>
          <c:dPt>
            <c:idx val="543"/>
            <c:bubble3D val="0"/>
            <c:spPr>
              <a:solidFill>
                <a:schemeClr val="accent4"/>
              </a:solidFill>
              <a:ln w="19050">
                <a:solidFill>
                  <a:schemeClr val="lt1"/>
                </a:solidFill>
              </a:ln>
              <a:effectLst/>
            </c:spPr>
            <c:extLst>
              <c:ext xmlns:c16="http://schemas.microsoft.com/office/drawing/2014/chart" uri="{C3380CC4-5D6E-409C-BE32-E72D297353CC}">
                <c16:uniqueId val="{0000043F-9CF6-4383-B5CC-D2D8B9C72949}"/>
              </c:ext>
            </c:extLst>
          </c:dPt>
          <c:dPt>
            <c:idx val="544"/>
            <c:bubble3D val="0"/>
            <c:spPr>
              <a:solidFill>
                <a:schemeClr val="accent5"/>
              </a:solidFill>
              <a:ln w="19050">
                <a:solidFill>
                  <a:schemeClr val="lt1"/>
                </a:solidFill>
              </a:ln>
              <a:effectLst/>
            </c:spPr>
            <c:extLst>
              <c:ext xmlns:c16="http://schemas.microsoft.com/office/drawing/2014/chart" uri="{C3380CC4-5D6E-409C-BE32-E72D297353CC}">
                <c16:uniqueId val="{00000441-9CF6-4383-B5CC-D2D8B9C72949}"/>
              </c:ext>
            </c:extLst>
          </c:dPt>
          <c:dPt>
            <c:idx val="545"/>
            <c:bubble3D val="0"/>
            <c:spPr>
              <a:solidFill>
                <a:schemeClr val="accent6"/>
              </a:solidFill>
              <a:ln w="19050">
                <a:solidFill>
                  <a:schemeClr val="lt1"/>
                </a:solidFill>
              </a:ln>
              <a:effectLst/>
            </c:spPr>
            <c:extLst>
              <c:ext xmlns:c16="http://schemas.microsoft.com/office/drawing/2014/chart" uri="{C3380CC4-5D6E-409C-BE32-E72D297353CC}">
                <c16:uniqueId val="{00000443-9CF6-4383-B5CC-D2D8B9C72949}"/>
              </c:ext>
            </c:extLst>
          </c:dPt>
          <c:dPt>
            <c:idx val="54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445-9CF6-4383-B5CC-D2D8B9C72949}"/>
              </c:ext>
            </c:extLst>
          </c:dPt>
          <c:dPt>
            <c:idx val="54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447-9CF6-4383-B5CC-D2D8B9C72949}"/>
              </c:ext>
            </c:extLst>
          </c:dPt>
          <c:dPt>
            <c:idx val="54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449-9CF6-4383-B5CC-D2D8B9C72949}"/>
              </c:ext>
            </c:extLst>
          </c:dPt>
          <c:dPt>
            <c:idx val="54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44B-9CF6-4383-B5CC-D2D8B9C72949}"/>
              </c:ext>
            </c:extLst>
          </c:dPt>
          <c:dPt>
            <c:idx val="55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44D-9CF6-4383-B5CC-D2D8B9C72949}"/>
              </c:ext>
            </c:extLst>
          </c:dPt>
          <c:dPt>
            <c:idx val="55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44F-9CF6-4383-B5CC-D2D8B9C72949}"/>
              </c:ext>
            </c:extLst>
          </c:dPt>
          <c:dPt>
            <c:idx val="55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451-9CF6-4383-B5CC-D2D8B9C72949}"/>
              </c:ext>
            </c:extLst>
          </c:dPt>
          <c:dPt>
            <c:idx val="55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453-9CF6-4383-B5CC-D2D8B9C72949}"/>
              </c:ext>
            </c:extLst>
          </c:dPt>
          <c:dPt>
            <c:idx val="55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455-9CF6-4383-B5CC-D2D8B9C72949}"/>
              </c:ext>
            </c:extLst>
          </c:dPt>
          <c:dPt>
            <c:idx val="55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457-9CF6-4383-B5CC-D2D8B9C72949}"/>
              </c:ext>
            </c:extLst>
          </c:dPt>
          <c:dPt>
            <c:idx val="55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459-9CF6-4383-B5CC-D2D8B9C72949}"/>
              </c:ext>
            </c:extLst>
          </c:dPt>
          <c:dPt>
            <c:idx val="55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45B-9CF6-4383-B5CC-D2D8B9C72949}"/>
              </c:ext>
            </c:extLst>
          </c:dPt>
          <c:dPt>
            <c:idx val="55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45D-9CF6-4383-B5CC-D2D8B9C72949}"/>
              </c:ext>
            </c:extLst>
          </c:dPt>
          <c:dPt>
            <c:idx val="55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45F-9CF6-4383-B5CC-D2D8B9C72949}"/>
              </c:ext>
            </c:extLst>
          </c:dPt>
          <c:dPt>
            <c:idx val="56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461-9CF6-4383-B5CC-D2D8B9C72949}"/>
              </c:ext>
            </c:extLst>
          </c:dPt>
          <c:dPt>
            <c:idx val="56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463-9CF6-4383-B5CC-D2D8B9C72949}"/>
              </c:ext>
            </c:extLst>
          </c:dPt>
          <c:dPt>
            <c:idx val="56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465-9CF6-4383-B5CC-D2D8B9C72949}"/>
              </c:ext>
            </c:extLst>
          </c:dPt>
          <c:dPt>
            <c:idx val="56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467-9CF6-4383-B5CC-D2D8B9C72949}"/>
              </c:ext>
            </c:extLst>
          </c:dPt>
          <c:dPt>
            <c:idx val="56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469-9CF6-4383-B5CC-D2D8B9C72949}"/>
              </c:ext>
            </c:extLst>
          </c:dPt>
          <c:dPt>
            <c:idx val="56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46B-9CF6-4383-B5CC-D2D8B9C72949}"/>
              </c:ext>
            </c:extLst>
          </c:dPt>
          <c:dPt>
            <c:idx val="56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46D-9CF6-4383-B5CC-D2D8B9C72949}"/>
              </c:ext>
            </c:extLst>
          </c:dPt>
          <c:dPt>
            <c:idx val="56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46F-9CF6-4383-B5CC-D2D8B9C72949}"/>
              </c:ext>
            </c:extLst>
          </c:dPt>
          <c:dPt>
            <c:idx val="56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471-9CF6-4383-B5CC-D2D8B9C72949}"/>
              </c:ext>
            </c:extLst>
          </c:dPt>
          <c:dPt>
            <c:idx val="56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473-9CF6-4383-B5CC-D2D8B9C72949}"/>
              </c:ext>
            </c:extLst>
          </c:dPt>
          <c:dPt>
            <c:idx val="57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475-9CF6-4383-B5CC-D2D8B9C72949}"/>
              </c:ext>
            </c:extLst>
          </c:dPt>
          <c:dPt>
            <c:idx val="57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477-9CF6-4383-B5CC-D2D8B9C72949}"/>
              </c:ext>
            </c:extLst>
          </c:dPt>
          <c:dPt>
            <c:idx val="57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479-9CF6-4383-B5CC-D2D8B9C72949}"/>
              </c:ext>
            </c:extLst>
          </c:dPt>
          <c:dPt>
            <c:idx val="57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47B-9CF6-4383-B5CC-D2D8B9C72949}"/>
              </c:ext>
            </c:extLst>
          </c:dPt>
          <c:dPt>
            <c:idx val="57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47D-9CF6-4383-B5CC-D2D8B9C72949}"/>
              </c:ext>
            </c:extLst>
          </c:dPt>
          <c:dPt>
            <c:idx val="57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47F-9CF6-4383-B5CC-D2D8B9C72949}"/>
              </c:ext>
            </c:extLst>
          </c:dPt>
          <c:dPt>
            <c:idx val="57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481-9CF6-4383-B5CC-D2D8B9C72949}"/>
              </c:ext>
            </c:extLst>
          </c:dPt>
          <c:dPt>
            <c:idx val="57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483-9CF6-4383-B5CC-D2D8B9C72949}"/>
              </c:ext>
            </c:extLst>
          </c:dPt>
          <c:dPt>
            <c:idx val="57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485-9CF6-4383-B5CC-D2D8B9C72949}"/>
              </c:ext>
            </c:extLst>
          </c:dPt>
          <c:dPt>
            <c:idx val="57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487-9CF6-4383-B5CC-D2D8B9C72949}"/>
              </c:ext>
            </c:extLst>
          </c:dPt>
          <c:dPt>
            <c:idx val="58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489-9CF6-4383-B5CC-D2D8B9C72949}"/>
              </c:ext>
            </c:extLst>
          </c:dPt>
          <c:dPt>
            <c:idx val="58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48B-9CF6-4383-B5CC-D2D8B9C72949}"/>
              </c:ext>
            </c:extLst>
          </c:dPt>
          <c:dPt>
            <c:idx val="58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48D-9CF6-4383-B5CC-D2D8B9C72949}"/>
              </c:ext>
            </c:extLst>
          </c:dPt>
          <c:dPt>
            <c:idx val="58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48F-9CF6-4383-B5CC-D2D8B9C72949}"/>
              </c:ext>
            </c:extLst>
          </c:dPt>
          <c:dPt>
            <c:idx val="58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491-9CF6-4383-B5CC-D2D8B9C72949}"/>
              </c:ext>
            </c:extLst>
          </c:dPt>
          <c:dPt>
            <c:idx val="58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493-9CF6-4383-B5CC-D2D8B9C72949}"/>
              </c:ext>
            </c:extLst>
          </c:dPt>
          <c:dPt>
            <c:idx val="58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495-9CF6-4383-B5CC-D2D8B9C72949}"/>
              </c:ext>
            </c:extLst>
          </c:dPt>
          <c:dPt>
            <c:idx val="58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497-9CF6-4383-B5CC-D2D8B9C72949}"/>
              </c:ext>
            </c:extLst>
          </c:dPt>
          <c:dPt>
            <c:idx val="58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499-9CF6-4383-B5CC-D2D8B9C72949}"/>
              </c:ext>
            </c:extLst>
          </c:dPt>
          <c:dPt>
            <c:idx val="58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49B-9CF6-4383-B5CC-D2D8B9C72949}"/>
              </c:ext>
            </c:extLst>
          </c:dPt>
          <c:dPt>
            <c:idx val="59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49D-9CF6-4383-B5CC-D2D8B9C72949}"/>
              </c:ext>
            </c:extLst>
          </c:dPt>
          <c:dPt>
            <c:idx val="59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49F-9CF6-4383-B5CC-D2D8B9C72949}"/>
              </c:ext>
            </c:extLst>
          </c:dPt>
          <c:dPt>
            <c:idx val="59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4A1-9CF6-4383-B5CC-D2D8B9C72949}"/>
              </c:ext>
            </c:extLst>
          </c:dPt>
          <c:dPt>
            <c:idx val="59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4A3-9CF6-4383-B5CC-D2D8B9C72949}"/>
              </c:ext>
            </c:extLst>
          </c:dPt>
          <c:dPt>
            <c:idx val="594"/>
            <c:bubble3D val="0"/>
            <c:spPr>
              <a:solidFill>
                <a:schemeClr val="accent1"/>
              </a:solidFill>
              <a:ln w="19050">
                <a:solidFill>
                  <a:schemeClr val="lt1"/>
                </a:solidFill>
              </a:ln>
              <a:effectLst/>
            </c:spPr>
            <c:extLst>
              <c:ext xmlns:c16="http://schemas.microsoft.com/office/drawing/2014/chart" uri="{C3380CC4-5D6E-409C-BE32-E72D297353CC}">
                <c16:uniqueId val="{000004A5-9CF6-4383-B5CC-D2D8B9C72949}"/>
              </c:ext>
            </c:extLst>
          </c:dPt>
          <c:dPt>
            <c:idx val="595"/>
            <c:bubble3D val="0"/>
            <c:spPr>
              <a:solidFill>
                <a:schemeClr val="accent2"/>
              </a:solidFill>
              <a:ln w="19050">
                <a:solidFill>
                  <a:schemeClr val="lt1"/>
                </a:solidFill>
              </a:ln>
              <a:effectLst/>
            </c:spPr>
            <c:extLst>
              <c:ext xmlns:c16="http://schemas.microsoft.com/office/drawing/2014/chart" uri="{C3380CC4-5D6E-409C-BE32-E72D297353CC}">
                <c16:uniqueId val="{000004A7-9CF6-4383-B5CC-D2D8B9C72949}"/>
              </c:ext>
            </c:extLst>
          </c:dPt>
          <c:dPt>
            <c:idx val="596"/>
            <c:bubble3D val="0"/>
            <c:spPr>
              <a:solidFill>
                <a:schemeClr val="accent3"/>
              </a:solidFill>
              <a:ln w="19050">
                <a:solidFill>
                  <a:schemeClr val="lt1"/>
                </a:solidFill>
              </a:ln>
              <a:effectLst/>
            </c:spPr>
            <c:extLst>
              <c:ext xmlns:c16="http://schemas.microsoft.com/office/drawing/2014/chart" uri="{C3380CC4-5D6E-409C-BE32-E72D297353CC}">
                <c16:uniqueId val="{000004A9-9CF6-4383-B5CC-D2D8B9C72949}"/>
              </c:ext>
            </c:extLst>
          </c:dPt>
          <c:dPt>
            <c:idx val="597"/>
            <c:bubble3D val="0"/>
            <c:spPr>
              <a:solidFill>
                <a:schemeClr val="accent4"/>
              </a:solidFill>
              <a:ln w="19050">
                <a:solidFill>
                  <a:schemeClr val="lt1"/>
                </a:solidFill>
              </a:ln>
              <a:effectLst/>
            </c:spPr>
            <c:extLst>
              <c:ext xmlns:c16="http://schemas.microsoft.com/office/drawing/2014/chart" uri="{C3380CC4-5D6E-409C-BE32-E72D297353CC}">
                <c16:uniqueId val="{000004AB-9CF6-4383-B5CC-D2D8B9C72949}"/>
              </c:ext>
            </c:extLst>
          </c:dPt>
          <c:dPt>
            <c:idx val="598"/>
            <c:bubble3D val="0"/>
            <c:spPr>
              <a:solidFill>
                <a:schemeClr val="accent5"/>
              </a:solidFill>
              <a:ln w="19050">
                <a:solidFill>
                  <a:schemeClr val="lt1"/>
                </a:solidFill>
              </a:ln>
              <a:effectLst/>
            </c:spPr>
            <c:extLst>
              <c:ext xmlns:c16="http://schemas.microsoft.com/office/drawing/2014/chart" uri="{C3380CC4-5D6E-409C-BE32-E72D297353CC}">
                <c16:uniqueId val="{000004AD-9CF6-4383-B5CC-D2D8B9C72949}"/>
              </c:ext>
            </c:extLst>
          </c:dPt>
          <c:dPt>
            <c:idx val="599"/>
            <c:bubble3D val="0"/>
            <c:spPr>
              <a:solidFill>
                <a:schemeClr val="accent6"/>
              </a:solidFill>
              <a:ln w="19050">
                <a:solidFill>
                  <a:schemeClr val="lt1"/>
                </a:solidFill>
              </a:ln>
              <a:effectLst/>
            </c:spPr>
            <c:extLst>
              <c:ext xmlns:c16="http://schemas.microsoft.com/office/drawing/2014/chart" uri="{C3380CC4-5D6E-409C-BE32-E72D297353CC}">
                <c16:uniqueId val="{000004AF-9CF6-4383-B5CC-D2D8B9C72949}"/>
              </c:ext>
            </c:extLst>
          </c:dPt>
          <c:dPt>
            <c:idx val="60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4B1-9CF6-4383-B5CC-D2D8B9C72949}"/>
              </c:ext>
            </c:extLst>
          </c:dPt>
          <c:dPt>
            <c:idx val="60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4B3-9CF6-4383-B5CC-D2D8B9C72949}"/>
              </c:ext>
            </c:extLst>
          </c:dPt>
          <c:dPt>
            <c:idx val="60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4B5-9CF6-4383-B5CC-D2D8B9C72949}"/>
              </c:ext>
            </c:extLst>
          </c:dPt>
          <c:dPt>
            <c:idx val="60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4B7-9CF6-4383-B5CC-D2D8B9C72949}"/>
              </c:ext>
            </c:extLst>
          </c:dPt>
          <c:dPt>
            <c:idx val="60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4B9-9CF6-4383-B5CC-D2D8B9C72949}"/>
              </c:ext>
            </c:extLst>
          </c:dPt>
          <c:dPt>
            <c:idx val="60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4BB-9CF6-4383-B5CC-D2D8B9C72949}"/>
              </c:ext>
            </c:extLst>
          </c:dPt>
          <c:dPt>
            <c:idx val="60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4BD-9CF6-4383-B5CC-D2D8B9C72949}"/>
              </c:ext>
            </c:extLst>
          </c:dPt>
          <c:dPt>
            <c:idx val="60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4BF-9CF6-4383-B5CC-D2D8B9C72949}"/>
              </c:ext>
            </c:extLst>
          </c:dPt>
          <c:dPt>
            <c:idx val="60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4C1-9CF6-4383-B5CC-D2D8B9C72949}"/>
              </c:ext>
            </c:extLst>
          </c:dPt>
          <c:dPt>
            <c:idx val="60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4C3-9CF6-4383-B5CC-D2D8B9C72949}"/>
              </c:ext>
            </c:extLst>
          </c:dPt>
          <c:dPt>
            <c:idx val="61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4C5-9CF6-4383-B5CC-D2D8B9C72949}"/>
              </c:ext>
            </c:extLst>
          </c:dPt>
          <c:dPt>
            <c:idx val="61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4C7-9CF6-4383-B5CC-D2D8B9C72949}"/>
              </c:ext>
            </c:extLst>
          </c:dPt>
          <c:dPt>
            <c:idx val="61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4C9-9CF6-4383-B5CC-D2D8B9C72949}"/>
              </c:ext>
            </c:extLst>
          </c:dPt>
          <c:dPt>
            <c:idx val="61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4CB-9CF6-4383-B5CC-D2D8B9C72949}"/>
              </c:ext>
            </c:extLst>
          </c:dPt>
          <c:dPt>
            <c:idx val="61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4CD-9CF6-4383-B5CC-D2D8B9C72949}"/>
              </c:ext>
            </c:extLst>
          </c:dPt>
          <c:dPt>
            <c:idx val="61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4CF-9CF6-4383-B5CC-D2D8B9C72949}"/>
              </c:ext>
            </c:extLst>
          </c:dPt>
          <c:dPt>
            <c:idx val="61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4D1-9CF6-4383-B5CC-D2D8B9C72949}"/>
              </c:ext>
            </c:extLst>
          </c:dPt>
          <c:dPt>
            <c:idx val="61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4D3-9CF6-4383-B5CC-D2D8B9C72949}"/>
              </c:ext>
            </c:extLst>
          </c:dPt>
          <c:dPt>
            <c:idx val="61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4D5-9CF6-4383-B5CC-D2D8B9C72949}"/>
              </c:ext>
            </c:extLst>
          </c:dPt>
          <c:dPt>
            <c:idx val="61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4D7-9CF6-4383-B5CC-D2D8B9C72949}"/>
              </c:ext>
            </c:extLst>
          </c:dPt>
          <c:dPt>
            <c:idx val="62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4D9-9CF6-4383-B5CC-D2D8B9C72949}"/>
              </c:ext>
            </c:extLst>
          </c:dPt>
          <c:dPt>
            <c:idx val="62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4DB-9CF6-4383-B5CC-D2D8B9C72949}"/>
              </c:ext>
            </c:extLst>
          </c:dPt>
          <c:dPt>
            <c:idx val="62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4DD-9CF6-4383-B5CC-D2D8B9C72949}"/>
              </c:ext>
            </c:extLst>
          </c:dPt>
          <c:dPt>
            <c:idx val="62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4DF-9CF6-4383-B5CC-D2D8B9C72949}"/>
              </c:ext>
            </c:extLst>
          </c:dPt>
          <c:dPt>
            <c:idx val="62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4E1-9CF6-4383-B5CC-D2D8B9C72949}"/>
              </c:ext>
            </c:extLst>
          </c:dPt>
          <c:dPt>
            <c:idx val="62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4E3-9CF6-4383-B5CC-D2D8B9C72949}"/>
              </c:ext>
            </c:extLst>
          </c:dPt>
          <c:dPt>
            <c:idx val="62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4E5-9CF6-4383-B5CC-D2D8B9C72949}"/>
              </c:ext>
            </c:extLst>
          </c:dPt>
          <c:dPt>
            <c:idx val="62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4E7-9CF6-4383-B5CC-D2D8B9C72949}"/>
              </c:ext>
            </c:extLst>
          </c:dPt>
          <c:dPt>
            <c:idx val="62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4E9-9CF6-4383-B5CC-D2D8B9C72949}"/>
              </c:ext>
            </c:extLst>
          </c:dPt>
          <c:dPt>
            <c:idx val="62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4EB-9CF6-4383-B5CC-D2D8B9C72949}"/>
              </c:ext>
            </c:extLst>
          </c:dPt>
          <c:dPt>
            <c:idx val="63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4ED-9CF6-4383-B5CC-D2D8B9C72949}"/>
              </c:ext>
            </c:extLst>
          </c:dPt>
          <c:dPt>
            <c:idx val="63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4EF-9CF6-4383-B5CC-D2D8B9C72949}"/>
              </c:ext>
            </c:extLst>
          </c:dPt>
          <c:dPt>
            <c:idx val="63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4F1-9CF6-4383-B5CC-D2D8B9C72949}"/>
              </c:ext>
            </c:extLst>
          </c:dPt>
          <c:dPt>
            <c:idx val="63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4F3-9CF6-4383-B5CC-D2D8B9C72949}"/>
              </c:ext>
            </c:extLst>
          </c:dPt>
          <c:dPt>
            <c:idx val="63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4F5-9CF6-4383-B5CC-D2D8B9C72949}"/>
              </c:ext>
            </c:extLst>
          </c:dPt>
          <c:dPt>
            <c:idx val="63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4F7-9CF6-4383-B5CC-D2D8B9C72949}"/>
              </c:ext>
            </c:extLst>
          </c:dPt>
          <c:dPt>
            <c:idx val="63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4F9-9CF6-4383-B5CC-D2D8B9C72949}"/>
              </c:ext>
            </c:extLst>
          </c:dPt>
          <c:dPt>
            <c:idx val="63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4FB-9CF6-4383-B5CC-D2D8B9C72949}"/>
              </c:ext>
            </c:extLst>
          </c:dPt>
          <c:dPt>
            <c:idx val="63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4FD-9CF6-4383-B5CC-D2D8B9C72949}"/>
              </c:ext>
            </c:extLst>
          </c:dPt>
          <c:dPt>
            <c:idx val="63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4FF-9CF6-4383-B5CC-D2D8B9C72949}"/>
              </c:ext>
            </c:extLst>
          </c:dPt>
          <c:dPt>
            <c:idx val="64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501-9CF6-4383-B5CC-D2D8B9C72949}"/>
              </c:ext>
            </c:extLst>
          </c:dPt>
          <c:dPt>
            <c:idx val="64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503-9CF6-4383-B5CC-D2D8B9C72949}"/>
              </c:ext>
            </c:extLst>
          </c:dPt>
          <c:dPt>
            <c:idx val="64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505-9CF6-4383-B5CC-D2D8B9C72949}"/>
              </c:ext>
            </c:extLst>
          </c:dPt>
          <c:dPt>
            <c:idx val="64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507-9CF6-4383-B5CC-D2D8B9C72949}"/>
              </c:ext>
            </c:extLst>
          </c:dPt>
          <c:dPt>
            <c:idx val="64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509-9CF6-4383-B5CC-D2D8B9C72949}"/>
              </c:ext>
            </c:extLst>
          </c:dPt>
          <c:dPt>
            <c:idx val="64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50B-9CF6-4383-B5CC-D2D8B9C72949}"/>
              </c:ext>
            </c:extLst>
          </c:dPt>
          <c:dPt>
            <c:idx val="64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50D-9CF6-4383-B5CC-D2D8B9C72949}"/>
              </c:ext>
            </c:extLst>
          </c:dPt>
          <c:dPt>
            <c:idx val="64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50F-9CF6-4383-B5CC-D2D8B9C72949}"/>
              </c:ext>
            </c:extLst>
          </c:dPt>
          <c:dPt>
            <c:idx val="648"/>
            <c:bubble3D val="0"/>
            <c:spPr>
              <a:solidFill>
                <a:schemeClr val="accent1"/>
              </a:solidFill>
              <a:ln w="19050">
                <a:solidFill>
                  <a:schemeClr val="lt1"/>
                </a:solidFill>
              </a:ln>
              <a:effectLst/>
            </c:spPr>
            <c:extLst>
              <c:ext xmlns:c16="http://schemas.microsoft.com/office/drawing/2014/chart" uri="{C3380CC4-5D6E-409C-BE32-E72D297353CC}">
                <c16:uniqueId val="{00000511-9CF6-4383-B5CC-D2D8B9C72949}"/>
              </c:ext>
            </c:extLst>
          </c:dPt>
          <c:dPt>
            <c:idx val="649"/>
            <c:bubble3D val="0"/>
            <c:spPr>
              <a:solidFill>
                <a:schemeClr val="accent2"/>
              </a:solidFill>
              <a:ln w="19050">
                <a:solidFill>
                  <a:schemeClr val="lt1"/>
                </a:solidFill>
              </a:ln>
              <a:effectLst/>
            </c:spPr>
            <c:extLst>
              <c:ext xmlns:c16="http://schemas.microsoft.com/office/drawing/2014/chart" uri="{C3380CC4-5D6E-409C-BE32-E72D297353CC}">
                <c16:uniqueId val="{00000513-9CF6-4383-B5CC-D2D8B9C72949}"/>
              </c:ext>
            </c:extLst>
          </c:dPt>
          <c:dPt>
            <c:idx val="650"/>
            <c:bubble3D val="0"/>
            <c:spPr>
              <a:solidFill>
                <a:schemeClr val="accent3"/>
              </a:solidFill>
              <a:ln w="19050">
                <a:solidFill>
                  <a:schemeClr val="lt1"/>
                </a:solidFill>
              </a:ln>
              <a:effectLst/>
            </c:spPr>
            <c:extLst>
              <c:ext xmlns:c16="http://schemas.microsoft.com/office/drawing/2014/chart" uri="{C3380CC4-5D6E-409C-BE32-E72D297353CC}">
                <c16:uniqueId val="{00000515-9CF6-4383-B5CC-D2D8B9C72949}"/>
              </c:ext>
            </c:extLst>
          </c:dPt>
          <c:dPt>
            <c:idx val="651"/>
            <c:bubble3D val="0"/>
            <c:spPr>
              <a:solidFill>
                <a:schemeClr val="accent4"/>
              </a:solidFill>
              <a:ln w="19050">
                <a:solidFill>
                  <a:schemeClr val="lt1"/>
                </a:solidFill>
              </a:ln>
              <a:effectLst/>
            </c:spPr>
            <c:extLst>
              <c:ext xmlns:c16="http://schemas.microsoft.com/office/drawing/2014/chart" uri="{C3380CC4-5D6E-409C-BE32-E72D297353CC}">
                <c16:uniqueId val="{00000517-9CF6-4383-B5CC-D2D8B9C72949}"/>
              </c:ext>
            </c:extLst>
          </c:dPt>
          <c:dPt>
            <c:idx val="652"/>
            <c:bubble3D val="0"/>
            <c:spPr>
              <a:solidFill>
                <a:schemeClr val="accent5"/>
              </a:solidFill>
              <a:ln w="19050">
                <a:solidFill>
                  <a:schemeClr val="lt1"/>
                </a:solidFill>
              </a:ln>
              <a:effectLst/>
            </c:spPr>
            <c:extLst>
              <c:ext xmlns:c16="http://schemas.microsoft.com/office/drawing/2014/chart" uri="{C3380CC4-5D6E-409C-BE32-E72D297353CC}">
                <c16:uniqueId val="{00000519-9CF6-4383-B5CC-D2D8B9C72949}"/>
              </c:ext>
            </c:extLst>
          </c:dPt>
          <c:dPt>
            <c:idx val="653"/>
            <c:bubble3D val="0"/>
            <c:spPr>
              <a:solidFill>
                <a:schemeClr val="accent6"/>
              </a:solidFill>
              <a:ln w="19050">
                <a:solidFill>
                  <a:schemeClr val="lt1"/>
                </a:solidFill>
              </a:ln>
              <a:effectLst/>
            </c:spPr>
            <c:extLst>
              <c:ext xmlns:c16="http://schemas.microsoft.com/office/drawing/2014/chart" uri="{C3380CC4-5D6E-409C-BE32-E72D297353CC}">
                <c16:uniqueId val="{0000051B-9CF6-4383-B5CC-D2D8B9C72949}"/>
              </c:ext>
            </c:extLst>
          </c:dPt>
          <c:dPt>
            <c:idx val="65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51D-9CF6-4383-B5CC-D2D8B9C72949}"/>
              </c:ext>
            </c:extLst>
          </c:dPt>
          <c:dPt>
            <c:idx val="65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51F-9CF6-4383-B5CC-D2D8B9C72949}"/>
              </c:ext>
            </c:extLst>
          </c:dPt>
          <c:dPt>
            <c:idx val="65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521-9CF6-4383-B5CC-D2D8B9C72949}"/>
              </c:ext>
            </c:extLst>
          </c:dPt>
          <c:dPt>
            <c:idx val="65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523-9CF6-4383-B5CC-D2D8B9C72949}"/>
              </c:ext>
            </c:extLst>
          </c:dPt>
          <c:dPt>
            <c:idx val="65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525-9CF6-4383-B5CC-D2D8B9C72949}"/>
              </c:ext>
            </c:extLst>
          </c:dPt>
          <c:dPt>
            <c:idx val="65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527-9CF6-4383-B5CC-D2D8B9C72949}"/>
              </c:ext>
            </c:extLst>
          </c:dPt>
          <c:dPt>
            <c:idx val="66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529-9CF6-4383-B5CC-D2D8B9C72949}"/>
              </c:ext>
            </c:extLst>
          </c:dPt>
          <c:dPt>
            <c:idx val="66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52B-9CF6-4383-B5CC-D2D8B9C72949}"/>
              </c:ext>
            </c:extLst>
          </c:dPt>
          <c:dPt>
            <c:idx val="66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52D-9CF6-4383-B5CC-D2D8B9C72949}"/>
              </c:ext>
            </c:extLst>
          </c:dPt>
          <c:dPt>
            <c:idx val="66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52F-9CF6-4383-B5CC-D2D8B9C72949}"/>
              </c:ext>
            </c:extLst>
          </c:dPt>
          <c:dPt>
            <c:idx val="66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531-9CF6-4383-B5CC-D2D8B9C72949}"/>
              </c:ext>
            </c:extLst>
          </c:dPt>
          <c:dPt>
            <c:idx val="66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533-9CF6-4383-B5CC-D2D8B9C72949}"/>
              </c:ext>
            </c:extLst>
          </c:dPt>
          <c:dPt>
            <c:idx val="66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535-9CF6-4383-B5CC-D2D8B9C72949}"/>
              </c:ext>
            </c:extLst>
          </c:dPt>
          <c:dPt>
            <c:idx val="66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537-9CF6-4383-B5CC-D2D8B9C72949}"/>
              </c:ext>
            </c:extLst>
          </c:dPt>
          <c:dPt>
            <c:idx val="66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539-9CF6-4383-B5CC-D2D8B9C72949}"/>
              </c:ext>
            </c:extLst>
          </c:dPt>
          <c:dPt>
            <c:idx val="66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53B-9CF6-4383-B5CC-D2D8B9C72949}"/>
              </c:ext>
            </c:extLst>
          </c:dPt>
          <c:dPt>
            <c:idx val="67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53D-9CF6-4383-B5CC-D2D8B9C72949}"/>
              </c:ext>
            </c:extLst>
          </c:dPt>
          <c:dPt>
            <c:idx val="67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53F-9CF6-4383-B5CC-D2D8B9C72949}"/>
              </c:ext>
            </c:extLst>
          </c:dPt>
          <c:dPt>
            <c:idx val="67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541-9CF6-4383-B5CC-D2D8B9C72949}"/>
              </c:ext>
            </c:extLst>
          </c:dPt>
          <c:dPt>
            <c:idx val="67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543-9CF6-4383-B5CC-D2D8B9C72949}"/>
              </c:ext>
            </c:extLst>
          </c:dPt>
          <c:dPt>
            <c:idx val="67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545-9CF6-4383-B5CC-D2D8B9C72949}"/>
              </c:ext>
            </c:extLst>
          </c:dPt>
          <c:dPt>
            <c:idx val="67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547-9CF6-4383-B5CC-D2D8B9C72949}"/>
              </c:ext>
            </c:extLst>
          </c:dPt>
          <c:dPt>
            <c:idx val="67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549-9CF6-4383-B5CC-D2D8B9C72949}"/>
              </c:ext>
            </c:extLst>
          </c:dPt>
          <c:dPt>
            <c:idx val="67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54B-9CF6-4383-B5CC-D2D8B9C72949}"/>
              </c:ext>
            </c:extLst>
          </c:dPt>
          <c:dPt>
            <c:idx val="67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54D-9CF6-4383-B5CC-D2D8B9C72949}"/>
              </c:ext>
            </c:extLst>
          </c:dPt>
          <c:dPt>
            <c:idx val="67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54F-9CF6-4383-B5CC-D2D8B9C72949}"/>
              </c:ext>
            </c:extLst>
          </c:dPt>
          <c:dPt>
            <c:idx val="68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551-9CF6-4383-B5CC-D2D8B9C72949}"/>
              </c:ext>
            </c:extLst>
          </c:dPt>
          <c:dPt>
            <c:idx val="68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553-9CF6-4383-B5CC-D2D8B9C72949}"/>
              </c:ext>
            </c:extLst>
          </c:dPt>
          <c:dPt>
            <c:idx val="68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555-9CF6-4383-B5CC-D2D8B9C72949}"/>
              </c:ext>
            </c:extLst>
          </c:dPt>
          <c:dPt>
            <c:idx val="68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557-9CF6-4383-B5CC-D2D8B9C72949}"/>
              </c:ext>
            </c:extLst>
          </c:dPt>
          <c:dPt>
            <c:idx val="68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559-9CF6-4383-B5CC-D2D8B9C72949}"/>
              </c:ext>
            </c:extLst>
          </c:dPt>
          <c:dPt>
            <c:idx val="68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55B-9CF6-4383-B5CC-D2D8B9C72949}"/>
              </c:ext>
            </c:extLst>
          </c:dPt>
          <c:dPt>
            <c:idx val="68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55D-9CF6-4383-B5CC-D2D8B9C72949}"/>
              </c:ext>
            </c:extLst>
          </c:dPt>
          <c:dPt>
            <c:idx val="68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55F-9CF6-4383-B5CC-D2D8B9C72949}"/>
              </c:ext>
            </c:extLst>
          </c:dPt>
          <c:dPt>
            <c:idx val="68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561-9CF6-4383-B5CC-D2D8B9C72949}"/>
              </c:ext>
            </c:extLst>
          </c:dPt>
          <c:dPt>
            <c:idx val="68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563-9CF6-4383-B5CC-D2D8B9C72949}"/>
              </c:ext>
            </c:extLst>
          </c:dPt>
          <c:dPt>
            <c:idx val="69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565-9CF6-4383-B5CC-D2D8B9C72949}"/>
              </c:ext>
            </c:extLst>
          </c:dPt>
          <c:dPt>
            <c:idx val="69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567-9CF6-4383-B5CC-D2D8B9C72949}"/>
              </c:ext>
            </c:extLst>
          </c:dPt>
          <c:dPt>
            <c:idx val="69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569-9CF6-4383-B5CC-D2D8B9C72949}"/>
              </c:ext>
            </c:extLst>
          </c:dPt>
          <c:dPt>
            <c:idx val="69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56B-9CF6-4383-B5CC-D2D8B9C72949}"/>
              </c:ext>
            </c:extLst>
          </c:dPt>
          <c:dPt>
            <c:idx val="69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56D-9CF6-4383-B5CC-D2D8B9C72949}"/>
              </c:ext>
            </c:extLst>
          </c:dPt>
          <c:dPt>
            <c:idx val="69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56F-9CF6-4383-B5CC-D2D8B9C72949}"/>
              </c:ext>
            </c:extLst>
          </c:dPt>
          <c:dPt>
            <c:idx val="69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571-9CF6-4383-B5CC-D2D8B9C72949}"/>
              </c:ext>
            </c:extLst>
          </c:dPt>
          <c:dPt>
            <c:idx val="69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573-9CF6-4383-B5CC-D2D8B9C72949}"/>
              </c:ext>
            </c:extLst>
          </c:dPt>
          <c:dPt>
            <c:idx val="69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575-9CF6-4383-B5CC-D2D8B9C72949}"/>
              </c:ext>
            </c:extLst>
          </c:dPt>
          <c:dPt>
            <c:idx val="69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577-9CF6-4383-B5CC-D2D8B9C72949}"/>
              </c:ext>
            </c:extLst>
          </c:dPt>
          <c:dPt>
            <c:idx val="70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579-9CF6-4383-B5CC-D2D8B9C72949}"/>
              </c:ext>
            </c:extLst>
          </c:dPt>
          <c:dPt>
            <c:idx val="70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57B-9CF6-4383-B5CC-D2D8B9C72949}"/>
              </c:ext>
            </c:extLst>
          </c:dPt>
          <c:dPt>
            <c:idx val="702"/>
            <c:bubble3D val="0"/>
            <c:spPr>
              <a:solidFill>
                <a:schemeClr val="accent1"/>
              </a:solidFill>
              <a:ln w="19050">
                <a:solidFill>
                  <a:schemeClr val="lt1"/>
                </a:solidFill>
              </a:ln>
              <a:effectLst/>
            </c:spPr>
            <c:extLst>
              <c:ext xmlns:c16="http://schemas.microsoft.com/office/drawing/2014/chart" uri="{C3380CC4-5D6E-409C-BE32-E72D297353CC}">
                <c16:uniqueId val="{0000057D-9CF6-4383-B5CC-D2D8B9C72949}"/>
              </c:ext>
            </c:extLst>
          </c:dPt>
          <c:dPt>
            <c:idx val="703"/>
            <c:bubble3D val="0"/>
            <c:spPr>
              <a:solidFill>
                <a:schemeClr val="accent2"/>
              </a:solidFill>
              <a:ln w="19050">
                <a:solidFill>
                  <a:schemeClr val="lt1"/>
                </a:solidFill>
              </a:ln>
              <a:effectLst/>
            </c:spPr>
            <c:extLst>
              <c:ext xmlns:c16="http://schemas.microsoft.com/office/drawing/2014/chart" uri="{C3380CC4-5D6E-409C-BE32-E72D297353CC}">
                <c16:uniqueId val="{0000057F-9CF6-4383-B5CC-D2D8B9C72949}"/>
              </c:ext>
            </c:extLst>
          </c:dPt>
          <c:dPt>
            <c:idx val="704"/>
            <c:bubble3D val="0"/>
            <c:spPr>
              <a:solidFill>
                <a:schemeClr val="accent3"/>
              </a:solidFill>
              <a:ln w="19050">
                <a:solidFill>
                  <a:schemeClr val="lt1"/>
                </a:solidFill>
              </a:ln>
              <a:effectLst/>
            </c:spPr>
            <c:extLst>
              <c:ext xmlns:c16="http://schemas.microsoft.com/office/drawing/2014/chart" uri="{C3380CC4-5D6E-409C-BE32-E72D297353CC}">
                <c16:uniqueId val="{00000581-9CF6-4383-B5CC-D2D8B9C72949}"/>
              </c:ext>
            </c:extLst>
          </c:dPt>
          <c:dPt>
            <c:idx val="705"/>
            <c:bubble3D val="0"/>
            <c:spPr>
              <a:solidFill>
                <a:schemeClr val="accent4"/>
              </a:solidFill>
              <a:ln w="19050">
                <a:solidFill>
                  <a:schemeClr val="lt1"/>
                </a:solidFill>
              </a:ln>
              <a:effectLst/>
            </c:spPr>
            <c:extLst>
              <c:ext xmlns:c16="http://schemas.microsoft.com/office/drawing/2014/chart" uri="{C3380CC4-5D6E-409C-BE32-E72D297353CC}">
                <c16:uniqueId val="{00000583-9CF6-4383-B5CC-D2D8B9C72949}"/>
              </c:ext>
            </c:extLst>
          </c:dPt>
          <c:dPt>
            <c:idx val="706"/>
            <c:bubble3D val="0"/>
            <c:spPr>
              <a:solidFill>
                <a:schemeClr val="accent5"/>
              </a:solidFill>
              <a:ln w="19050">
                <a:solidFill>
                  <a:schemeClr val="lt1"/>
                </a:solidFill>
              </a:ln>
              <a:effectLst/>
            </c:spPr>
            <c:extLst>
              <c:ext xmlns:c16="http://schemas.microsoft.com/office/drawing/2014/chart" uri="{C3380CC4-5D6E-409C-BE32-E72D297353CC}">
                <c16:uniqueId val="{00000585-9CF6-4383-B5CC-D2D8B9C72949}"/>
              </c:ext>
            </c:extLst>
          </c:dPt>
          <c:dPt>
            <c:idx val="707"/>
            <c:bubble3D val="0"/>
            <c:spPr>
              <a:solidFill>
                <a:schemeClr val="accent6"/>
              </a:solidFill>
              <a:ln w="19050">
                <a:solidFill>
                  <a:schemeClr val="lt1"/>
                </a:solidFill>
              </a:ln>
              <a:effectLst/>
            </c:spPr>
            <c:extLst>
              <c:ext xmlns:c16="http://schemas.microsoft.com/office/drawing/2014/chart" uri="{C3380CC4-5D6E-409C-BE32-E72D297353CC}">
                <c16:uniqueId val="{00000587-9CF6-4383-B5CC-D2D8B9C72949}"/>
              </c:ext>
            </c:extLst>
          </c:dPt>
          <c:dPt>
            <c:idx val="70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589-9CF6-4383-B5CC-D2D8B9C72949}"/>
              </c:ext>
            </c:extLst>
          </c:dPt>
          <c:dPt>
            <c:idx val="70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58B-9CF6-4383-B5CC-D2D8B9C72949}"/>
              </c:ext>
            </c:extLst>
          </c:dPt>
          <c:dPt>
            <c:idx val="71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58D-9CF6-4383-B5CC-D2D8B9C72949}"/>
              </c:ext>
            </c:extLst>
          </c:dPt>
          <c:dPt>
            <c:idx val="71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58F-9CF6-4383-B5CC-D2D8B9C72949}"/>
              </c:ext>
            </c:extLst>
          </c:dPt>
          <c:dPt>
            <c:idx val="71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591-9CF6-4383-B5CC-D2D8B9C72949}"/>
              </c:ext>
            </c:extLst>
          </c:dPt>
          <c:dPt>
            <c:idx val="71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593-9CF6-4383-B5CC-D2D8B9C72949}"/>
              </c:ext>
            </c:extLst>
          </c:dPt>
          <c:dPt>
            <c:idx val="71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595-9CF6-4383-B5CC-D2D8B9C72949}"/>
              </c:ext>
            </c:extLst>
          </c:dPt>
          <c:dPt>
            <c:idx val="71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597-9CF6-4383-B5CC-D2D8B9C72949}"/>
              </c:ext>
            </c:extLst>
          </c:dPt>
          <c:dPt>
            <c:idx val="71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599-9CF6-4383-B5CC-D2D8B9C72949}"/>
              </c:ext>
            </c:extLst>
          </c:dPt>
          <c:dPt>
            <c:idx val="71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59B-9CF6-4383-B5CC-D2D8B9C72949}"/>
              </c:ext>
            </c:extLst>
          </c:dPt>
          <c:dPt>
            <c:idx val="71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59D-9CF6-4383-B5CC-D2D8B9C72949}"/>
              </c:ext>
            </c:extLst>
          </c:dPt>
          <c:dPt>
            <c:idx val="71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59F-9CF6-4383-B5CC-D2D8B9C72949}"/>
              </c:ext>
            </c:extLst>
          </c:dPt>
          <c:dPt>
            <c:idx val="72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5A1-9CF6-4383-B5CC-D2D8B9C72949}"/>
              </c:ext>
            </c:extLst>
          </c:dPt>
          <c:dPt>
            <c:idx val="72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5A3-9CF6-4383-B5CC-D2D8B9C72949}"/>
              </c:ext>
            </c:extLst>
          </c:dPt>
          <c:dPt>
            <c:idx val="72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5A5-9CF6-4383-B5CC-D2D8B9C72949}"/>
              </c:ext>
            </c:extLst>
          </c:dPt>
          <c:dPt>
            <c:idx val="72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5A7-9CF6-4383-B5CC-D2D8B9C72949}"/>
              </c:ext>
            </c:extLst>
          </c:dPt>
          <c:dPt>
            <c:idx val="72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5A9-9CF6-4383-B5CC-D2D8B9C72949}"/>
              </c:ext>
            </c:extLst>
          </c:dPt>
          <c:dPt>
            <c:idx val="72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5AB-9CF6-4383-B5CC-D2D8B9C72949}"/>
              </c:ext>
            </c:extLst>
          </c:dPt>
          <c:dPt>
            <c:idx val="72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5AD-9CF6-4383-B5CC-D2D8B9C72949}"/>
              </c:ext>
            </c:extLst>
          </c:dPt>
          <c:dPt>
            <c:idx val="72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5AF-9CF6-4383-B5CC-D2D8B9C72949}"/>
              </c:ext>
            </c:extLst>
          </c:dPt>
          <c:dPt>
            <c:idx val="72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5B1-9CF6-4383-B5CC-D2D8B9C72949}"/>
              </c:ext>
            </c:extLst>
          </c:dPt>
          <c:dPt>
            <c:idx val="72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5B3-9CF6-4383-B5CC-D2D8B9C72949}"/>
              </c:ext>
            </c:extLst>
          </c:dPt>
          <c:dPt>
            <c:idx val="73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5B5-9CF6-4383-B5CC-D2D8B9C72949}"/>
              </c:ext>
            </c:extLst>
          </c:dPt>
          <c:dPt>
            <c:idx val="73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5B7-9CF6-4383-B5CC-D2D8B9C72949}"/>
              </c:ext>
            </c:extLst>
          </c:dPt>
          <c:dPt>
            <c:idx val="73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5B9-9CF6-4383-B5CC-D2D8B9C72949}"/>
              </c:ext>
            </c:extLst>
          </c:dPt>
          <c:dPt>
            <c:idx val="73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5BB-9CF6-4383-B5CC-D2D8B9C72949}"/>
              </c:ext>
            </c:extLst>
          </c:dPt>
          <c:dPt>
            <c:idx val="73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5BD-9CF6-4383-B5CC-D2D8B9C72949}"/>
              </c:ext>
            </c:extLst>
          </c:dPt>
          <c:dPt>
            <c:idx val="73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5BF-9CF6-4383-B5CC-D2D8B9C72949}"/>
              </c:ext>
            </c:extLst>
          </c:dPt>
          <c:dPt>
            <c:idx val="73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5C1-9CF6-4383-B5CC-D2D8B9C72949}"/>
              </c:ext>
            </c:extLst>
          </c:dPt>
          <c:dPt>
            <c:idx val="73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5C3-9CF6-4383-B5CC-D2D8B9C72949}"/>
              </c:ext>
            </c:extLst>
          </c:dPt>
          <c:dPt>
            <c:idx val="73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5C5-9CF6-4383-B5CC-D2D8B9C72949}"/>
              </c:ext>
            </c:extLst>
          </c:dPt>
          <c:dPt>
            <c:idx val="73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5C7-9CF6-4383-B5CC-D2D8B9C72949}"/>
              </c:ext>
            </c:extLst>
          </c:dPt>
          <c:dPt>
            <c:idx val="74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5C9-9CF6-4383-B5CC-D2D8B9C72949}"/>
              </c:ext>
            </c:extLst>
          </c:dPt>
          <c:dPt>
            <c:idx val="74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5CB-9CF6-4383-B5CC-D2D8B9C72949}"/>
              </c:ext>
            </c:extLst>
          </c:dPt>
          <c:dPt>
            <c:idx val="74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5CD-9CF6-4383-B5CC-D2D8B9C72949}"/>
              </c:ext>
            </c:extLst>
          </c:dPt>
          <c:dPt>
            <c:idx val="74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5CF-9CF6-4383-B5CC-D2D8B9C72949}"/>
              </c:ext>
            </c:extLst>
          </c:dPt>
          <c:dPt>
            <c:idx val="74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5D1-9CF6-4383-B5CC-D2D8B9C72949}"/>
              </c:ext>
            </c:extLst>
          </c:dPt>
          <c:dPt>
            <c:idx val="74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5D3-9CF6-4383-B5CC-D2D8B9C72949}"/>
              </c:ext>
            </c:extLst>
          </c:dPt>
          <c:dPt>
            <c:idx val="74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5D5-9CF6-4383-B5CC-D2D8B9C72949}"/>
              </c:ext>
            </c:extLst>
          </c:dPt>
          <c:dPt>
            <c:idx val="74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5D7-9CF6-4383-B5CC-D2D8B9C72949}"/>
              </c:ext>
            </c:extLst>
          </c:dPt>
          <c:dPt>
            <c:idx val="74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5D9-9CF6-4383-B5CC-D2D8B9C72949}"/>
              </c:ext>
            </c:extLst>
          </c:dPt>
          <c:dPt>
            <c:idx val="74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5DB-9CF6-4383-B5CC-D2D8B9C72949}"/>
              </c:ext>
            </c:extLst>
          </c:dPt>
          <c:dPt>
            <c:idx val="75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5DD-9CF6-4383-B5CC-D2D8B9C72949}"/>
              </c:ext>
            </c:extLst>
          </c:dPt>
          <c:dPt>
            <c:idx val="75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5DF-9CF6-4383-B5CC-D2D8B9C72949}"/>
              </c:ext>
            </c:extLst>
          </c:dPt>
          <c:dPt>
            <c:idx val="75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5E1-9CF6-4383-B5CC-D2D8B9C72949}"/>
              </c:ext>
            </c:extLst>
          </c:dPt>
          <c:dPt>
            <c:idx val="75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5E3-9CF6-4383-B5CC-D2D8B9C72949}"/>
              </c:ext>
            </c:extLst>
          </c:dPt>
          <c:dPt>
            <c:idx val="75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5E5-9CF6-4383-B5CC-D2D8B9C72949}"/>
              </c:ext>
            </c:extLst>
          </c:dPt>
          <c:dPt>
            <c:idx val="75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5E7-9CF6-4383-B5CC-D2D8B9C72949}"/>
              </c:ext>
            </c:extLst>
          </c:dPt>
          <c:dPt>
            <c:idx val="756"/>
            <c:bubble3D val="0"/>
            <c:spPr>
              <a:solidFill>
                <a:schemeClr val="accent1"/>
              </a:solidFill>
              <a:ln w="19050">
                <a:solidFill>
                  <a:schemeClr val="lt1"/>
                </a:solidFill>
              </a:ln>
              <a:effectLst/>
            </c:spPr>
            <c:extLst>
              <c:ext xmlns:c16="http://schemas.microsoft.com/office/drawing/2014/chart" uri="{C3380CC4-5D6E-409C-BE32-E72D297353CC}">
                <c16:uniqueId val="{000005E9-9CF6-4383-B5CC-D2D8B9C72949}"/>
              </c:ext>
            </c:extLst>
          </c:dPt>
          <c:dPt>
            <c:idx val="757"/>
            <c:bubble3D val="0"/>
            <c:spPr>
              <a:solidFill>
                <a:schemeClr val="accent2"/>
              </a:solidFill>
              <a:ln w="19050">
                <a:solidFill>
                  <a:schemeClr val="lt1"/>
                </a:solidFill>
              </a:ln>
              <a:effectLst/>
            </c:spPr>
            <c:extLst>
              <c:ext xmlns:c16="http://schemas.microsoft.com/office/drawing/2014/chart" uri="{C3380CC4-5D6E-409C-BE32-E72D297353CC}">
                <c16:uniqueId val="{000005EB-9CF6-4383-B5CC-D2D8B9C72949}"/>
              </c:ext>
            </c:extLst>
          </c:dPt>
          <c:dPt>
            <c:idx val="758"/>
            <c:bubble3D val="0"/>
            <c:spPr>
              <a:solidFill>
                <a:schemeClr val="accent3"/>
              </a:solidFill>
              <a:ln w="19050">
                <a:solidFill>
                  <a:schemeClr val="lt1"/>
                </a:solidFill>
              </a:ln>
              <a:effectLst/>
            </c:spPr>
            <c:extLst>
              <c:ext xmlns:c16="http://schemas.microsoft.com/office/drawing/2014/chart" uri="{C3380CC4-5D6E-409C-BE32-E72D297353CC}">
                <c16:uniqueId val="{000005ED-9CF6-4383-B5CC-D2D8B9C72949}"/>
              </c:ext>
            </c:extLst>
          </c:dPt>
          <c:dPt>
            <c:idx val="759"/>
            <c:bubble3D val="0"/>
            <c:spPr>
              <a:solidFill>
                <a:schemeClr val="accent4"/>
              </a:solidFill>
              <a:ln w="19050">
                <a:solidFill>
                  <a:schemeClr val="lt1"/>
                </a:solidFill>
              </a:ln>
              <a:effectLst/>
            </c:spPr>
            <c:extLst>
              <c:ext xmlns:c16="http://schemas.microsoft.com/office/drawing/2014/chart" uri="{C3380CC4-5D6E-409C-BE32-E72D297353CC}">
                <c16:uniqueId val="{000005EF-9CF6-4383-B5CC-D2D8B9C72949}"/>
              </c:ext>
            </c:extLst>
          </c:dPt>
          <c:dPt>
            <c:idx val="760"/>
            <c:bubble3D val="0"/>
            <c:spPr>
              <a:solidFill>
                <a:schemeClr val="accent5"/>
              </a:solidFill>
              <a:ln w="19050">
                <a:solidFill>
                  <a:schemeClr val="lt1"/>
                </a:solidFill>
              </a:ln>
              <a:effectLst/>
            </c:spPr>
            <c:extLst>
              <c:ext xmlns:c16="http://schemas.microsoft.com/office/drawing/2014/chart" uri="{C3380CC4-5D6E-409C-BE32-E72D297353CC}">
                <c16:uniqueId val="{000005F1-9CF6-4383-B5CC-D2D8B9C72949}"/>
              </c:ext>
            </c:extLst>
          </c:dPt>
          <c:dPt>
            <c:idx val="761"/>
            <c:bubble3D val="0"/>
            <c:spPr>
              <a:solidFill>
                <a:schemeClr val="accent6"/>
              </a:solidFill>
              <a:ln w="19050">
                <a:solidFill>
                  <a:schemeClr val="lt1"/>
                </a:solidFill>
              </a:ln>
              <a:effectLst/>
            </c:spPr>
            <c:extLst>
              <c:ext xmlns:c16="http://schemas.microsoft.com/office/drawing/2014/chart" uri="{C3380CC4-5D6E-409C-BE32-E72D297353CC}">
                <c16:uniqueId val="{000005F3-9CF6-4383-B5CC-D2D8B9C72949}"/>
              </c:ext>
            </c:extLst>
          </c:dPt>
          <c:dPt>
            <c:idx val="76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5F5-9CF6-4383-B5CC-D2D8B9C72949}"/>
              </c:ext>
            </c:extLst>
          </c:dPt>
          <c:dPt>
            <c:idx val="76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5F7-9CF6-4383-B5CC-D2D8B9C72949}"/>
              </c:ext>
            </c:extLst>
          </c:dPt>
          <c:dPt>
            <c:idx val="76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5F9-9CF6-4383-B5CC-D2D8B9C72949}"/>
              </c:ext>
            </c:extLst>
          </c:dPt>
          <c:dPt>
            <c:idx val="76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5FB-9CF6-4383-B5CC-D2D8B9C72949}"/>
              </c:ext>
            </c:extLst>
          </c:dPt>
          <c:dPt>
            <c:idx val="76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5FD-9CF6-4383-B5CC-D2D8B9C72949}"/>
              </c:ext>
            </c:extLst>
          </c:dPt>
          <c:dPt>
            <c:idx val="76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5FF-9CF6-4383-B5CC-D2D8B9C72949}"/>
              </c:ext>
            </c:extLst>
          </c:dPt>
          <c:dPt>
            <c:idx val="76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601-9CF6-4383-B5CC-D2D8B9C72949}"/>
              </c:ext>
            </c:extLst>
          </c:dPt>
          <c:dPt>
            <c:idx val="76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603-9CF6-4383-B5CC-D2D8B9C72949}"/>
              </c:ext>
            </c:extLst>
          </c:dPt>
          <c:dPt>
            <c:idx val="77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605-9CF6-4383-B5CC-D2D8B9C72949}"/>
              </c:ext>
            </c:extLst>
          </c:dPt>
          <c:dPt>
            <c:idx val="77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607-9CF6-4383-B5CC-D2D8B9C72949}"/>
              </c:ext>
            </c:extLst>
          </c:dPt>
          <c:dPt>
            <c:idx val="77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609-9CF6-4383-B5CC-D2D8B9C72949}"/>
              </c:ext>
            </c:extLst>
          </c:dPt>
          <c:dPt>
            <c:idx val="77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60B-9CF6-4383-B5CC-D2D8B9C72949}"/>
              </c:ext>
            </c:extLst>
          </c:dPt>
          <c:dPt>
            <c:idx val="77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60D-9CF6-4383-B5CC-D2D8B9C72949}"/>
              </c:ext>
            </c:extLst>
          </c:dPt>
          <c:dPt>
            <c:idx val="77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60F-9CF6-4383-B5CC-D2D8B9C72949}"/>
              </c:ext>
            </c:extLst>
          </c:dPt>
          <c:dPt>
            <c:idx val="77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611-9CF6-4383-B5CC-D2D8B9C72949}"/>
              </c:ext>
            </c:extLst>
          </c:dPt>
          <c:dPt>
            <c:idx val="77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613-9CF6-4383-B5CC-D2D8B9C72949}"/>
              </c:ext>
            </c:extLst>
          </c:dPt>
          <c:dPt>
            <c:idx val="77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615-9CF6-4383-B5CC-D2D8B9C72949}"/>
              </c:ext>
            </c:extLst>
          </c:dPt>
          <c:dPt>
            <c:idx val="77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617-9CF6-4383-B5CC-D2D8B9C72949}"/>
              </c:ext>
            </c:extLst>
          </c:dPt>
          <c:dPt>
            <c:idx val="78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619-9CF6-4383-B5CC-D2D8B9C72949}"/>
              </c:ext>
            </c:extLst>
          </c:dPt>
          <c:dPt>
            <c:idx val="78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61B-9CF6-4383-B5CC-D2D8B9C72949}"/>
              </c:ext>
            </c:extLst>
          </c:dPt>
          <c:dPt>
            <c:idx val="78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61D-9CF6-4383-B5CC-D2D8B9C72949}"/>
              </c:ext>
            </c:extLst>
          </c:dPt>
          <c:dPt>
            <c:idx val="78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61F-9CF6-4383-B5CC-D2D8B9C72949}"/>
              </c:ext>
            </c:extLst>
          </c:dPt>
          <c:dPt>
            <c:idx val="78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621-9CF6-4383-B5CC-D2D8B9C72949}"/>
              </c:ext>
            </c:extLst>
          </c:dPt>
          <c:dPt>
            <c:idx val="78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623-9CF6-4383-B5CC-D2D8B9C72949}"/>
              </c:ext>
            </c:extLst>
          </c:dPt>
          <c:dPt>
            <c:idx val="78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625-9CF6-4383-B5CC-D2D8B9C72949}"/>
              </c:ext>
            </c:extLst>
          </c:dPt>
          <c:dPt>
            <c:idx val="78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627-9CF6-4383-B5CC-D2D8B9C72949}"/>
              </c:ext>
            </c:extLst>
          </c:dPt>
          <c:dPt>
            <c:idx val="78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629-9CF6-4383-B5CC-D2D8B9C72949}"/>
              </c:ext>
            </c:extLst>
          </c:dPt>
          <c:dPt>
            <c:idx val="78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62B-9CF6-4383-B5CC-D2D8B9C72949}"/>
              </c:ext>
            </c:extLst>
          </c:dPt>
          <c:dPt>
            <c:idx val="79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62D-9CF6-4383-B5CC-D2D8B9C72949}"/>
              </c:ext>
            </c:extLst>
          </c:dPt>
          <c:dPt>
            <c:idx val="79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62F-9CF6-4383-B5CC-D2D8B9C72949}"/>
              </c:ext>
            </c:extLst>
          </c:dPt>
          <c:dPt>
            <c:idx val="79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631-9CF6-4383-B5CC-D2D8B9C72949}"/>
              </c:ext>
            </c:extLst>
          </c:dPt>
          <c:dPt>
            <c:idx val="79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633-9CF6-4383-B5CC-D2D8B9C72949}"/>
              </c:ext>
            </c:extLst>
          </c:dPt>
          <c:dPt>
            <c:idx val="79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635-9CF6-4383-B5CC-D2D8B9C72949}"/>
              </c:ext>
            </c:extLst>
          </c:dPt>
          <c:dPt>
            <c:idx val="79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637-9CF6-4383-B5CC-D2D8B9C72949}"/>
              </c:ext>
            </c:extLst>
          </c:dPt>
          <c:dPt>
            <c:idx val="79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639-9CF6-4383-B5CC-D2D8B9C72949}"/>
              </c:ext>
            </c:extLst>
          </c:dPt>
          <c:dPt>
            <c:idx val="79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63B-9CF6-4383-B5CC-D2D8B9C72949}"/>
              </c:ext>
            </c:extLst>
          </c:dPt>
          <c:dPt>
            <c:idx val="79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63D-9CF6-4383-B5CC-D2D8B9C72949}"/>
              </c:ext>
            </c:extLst>
          </c:dPt>
          <c:dPt>
            <c:idx val="79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63F-9CF6-4383-B5CC-D2D8B9C72949}"/>
              </c:ext>
            </c:extLst>
          </c:dPt>
          <c:dPt>
            <c:idx val="80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641-9CF6-4383-B5CC-D2D8B9C72949}"/>
              </c:ext>
            </c:extLst>
          </c:dPt>
          <c:dPt>
            <c:idx val="80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643-9CF6-4383-B5CC-D2D8B9C72949}"/>
              </c:ext>
            </c:extLst>
          </c:dPt>
          <c:dPt>
            <c:idx val="80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645-9CF6-4383-B5CC-D2D8B9C72949}"/>
              </c:ext>
            </c:extLst>
          </c:dPt>
          <c:dPt>
            <c:idx val="80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647-9CF6-4383-B5CC-D2D8B9C72949}"/>
              </c:ext>
            </c:extLst>
          </c:dPt>
          <c:dPt>
            <c:idx val="80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649-9CF6-4383-B5CC-D2D8B9C72949}"/>
              </c:ext>
            </c:extLst>
          </c:dPt>
          <c:dPt>
            <c:idx val="80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64B-9CF6-4383-B5CC-D2D8B9C72949}"/>
              </c:ext>
            </c:extLst>
          </c:dPt>
          <c:dPt>
            <c:idx val="80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64D-9CF6-4383-B5CC-D2D8B9C72949}"/>
              </c:ext>
            </c:extLst>
          </c:dPt>
          <c:dPt>
            <c:idx val="80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64F-9CF6-4383-B5CC-D2D8B9C72949}"/>
              </c:ext>
            </c:extLst>
          </c:dPt>
          <c:dPt>
            <c:idx val="80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651-9CF6-4383-B5CC-D2D8B9C72949}"/>
              </c:ext>
            </c:extLst>
          </c:dPt>
          <c:dPt>
            <c:idx val="80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653-9CF6-4383-B5CC-D2D8B9C72949}"/>
              </c:ext>
            </c:extLst>
          </c:dPt>
          <c:dPt>
            <c:idx val="810"/>
            <c:bubble3D val="0"/>
            <c:spPr>
              <a:solidFill>
                <a:schemeClr val="accent1"/>
              </a:solidFill>
              <a:ln w="19050">
                <a:solidFill>
                  <a:schemeClr val="lt1"/>
                </a:solidFill>
              </a:ln>
              <a:effectLst/>
            </c:spPr>
            <c:extLst>
              <c:ext xmlns:c16="http://schemas.microsoft.com/office/drawing/2014/chart" uri="{C3380CC4-5D6E-409C-BE32-E72D297353CC}">
                <c16:uniqueId val="{00000655-9CF6-4383-B5CC-D2D8B9C72949}"/>
              </c:ext>
            </c:extLst>
          </c:dPt>
          <c:dPt>
            <c:idx val="811"/>
            <c:bubble3D val="0"/>
            <c:spPr>
              <a:solidFill>
                <a:schemeClr val="accent2"/>
              </a:solidFill>
              <a:ln w="19050">
                <a:solidFill>
                  <a:schemeClr val="lt1"/>
                </a:solidFill>
              </a:ln>
              <a:effectLst/>
            </c:spPr>
            <c:extLst>
              <c:ext xmlns:c16="http://schemas.microsoft.com/office/drawing/2014/chart" uri="{C3380CC4-5D6E-409C-BE32-E72D297353CC}">
                <c16:uniqueId val="{00000657-9CF6-4383-B5CC-D2D8B9C72949}"/>
              </c:ext>
            </c:extLst>
          </c:dPt>
          <c:dPt>
            <c:idx val="812"/>
            <c:bubble3D val="0"/>
            <c:spPr>
              <a:solidFill>
                <a:schemeClr val="accent3"/>
              </a:solidFill>
              <a:ln w="19050">
                <a:solidFill>
                  <a:schemeClr val="lt1"/>
                </a:solidFill>
              </a:ln>
              <a:effectLst/>
            </c:spPr>
            <c:extLst>
              <c:ext xmlns:c16="http://schemas.microsoft.com/office/drawing/2014/chart" uri="{C3380CC4-5D6E-409C-BE32-E72D297353CC}">
                <c16:uniqueId val="{00000659-9CF6-4383-B5CC-D2D8B9C72949}"/>
              </c:ext>
            </c:extLst>
          </c:dPt>
          <c:dPt>
            <c:idx val="813"/>
            <c:bubble3D val="0"/>
            <c:spPr>
              <a:solidFill>
                <a:schemeClr val="accent4"/>
              </a:solidFill>
              <a:ln w="19050">
                <a:solidFill>
                  <a:schemeClr val="lt1"/>
                </a:solidFill>
              </a:ln>
              <a:effectLst/>
            </c:spPr>
            <c:extLst>
              <c:ext xmlns:c16="http://schemas.microsoft.com/office/drawing/2014/chart" uri="{C3380CC4-5D6E-409C-BE32-E72D297353CC}">
                <c16:uniqueId val="{0000065B-9CF6-4383-B5CC-D2D8B9C72949}"/>
              </c:ext>
            </c:extLst>
          </c:dPt>
          <c:dPt>
            <c:idx val="814"/>
            <c:bubble3D val="0"/>
            <c:spPr>
              <a:solidFill>
                <a:schemeClr val="accent5"/>
              </a:solidFill>
              <a:ln w="19050">
                <a:solidFill>
                  <a:schemeClr val="lt1"/>
                </a:solidFill>
              </a:ln>
              <a:effectLst/>
            </c:spPr>
            <c:extLst>
              <c:ext xmlns:c16="http://schemas.microsoft.com/office/drawing/2014/chart" uri="{C3380CC4-5D6E-409C-BE32-E72D297353CC}">
                <c16:uniqueId val="{0000065D-9CF6-4383-B5CC-D2D8B9C72949}"/>
              </c:ext>
            </c:extLst>
          </c:dPt>
          <c:dPt>
            <c:idx val="815"/>
            <c:bubble3D val="0"/>
            <c:spPr>
              <a:solidFill>
                <a:schemeClr val="accent6"/>
              </a:solidFill>
              <a:ln w="19050">
                <a:solidFill>
                  <a:schemeClr val="lt1"/>
                </a:solidFill>
              </a:ln>
              <a:effectLst/>
            </c:spPr>
            <c:extLst>
              <c:ext xmlns:c16="http://schemas.microsoft.com/office/drawing/2014/chart" uri="{C3380CC4-5D6E-409C-BE32-E72D297353CC}">
                <c16:uniqueId val="{0000065F-9CF6-4383-B5CC-D2D8B9C72949}"/>
              </c:ext>
            </c:extLst>
          </c:dPt>
          <c:dPt>
            <c:idx val="81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661-9CF6-4383-B5CC-D2D8B9C72949}"/>
              </c:ext>
            </c:extLst>
          </c:dPt>
          <c:dPt>
            <c:idx val="81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663-9CF6-4383-B5CC-D2D8B9C72949}"/>
              </c:ext>
            </c:extLst>
          </c:dPt>
          <c:dPt>
            <c:idx val="81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665-9CF6-4383-B5CC-D2D8B9C72949}"/>
              </c:ext>
            </c:extLst>
          </c:dPt>
          <c:dPt>
            <c:idx val="81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667-9CF6-4383-B5CC-D2D8B9C72949}"/>
              </c:ext>
            </c:extLst>
          </c:dPt>
          <c:dPt>
            <c:idx val="82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669-9CF6-4383-B5CC-D2D8B9C72949}"/>
              </c:ext>
            </c:extLst>
          </c:dPt>
          <c:dPt>
            <c:idx val="82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66B-9CF6-4383-B5CC-D2D8B9C72949}"/>
              </c:ext>
            </c:extLst>
          </c:dPt>
          <c:dPt>
            <c:idx val="82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66D-9CF6-4383-B5CC-D2D8B9C72949}"/>
              </c:ext>
            </c:extLst>
          </c:dPt>
          <c:dPt>
            <c:idx val="82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66F-9CF6-4383-B5CC-D2D8B9C72949}"/>
              </c:ext>
            </c:extLst>
          </c:dPt>
          <c:dPt>
            <c:idx val="82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671-9CF6-4383-B5CC-D2D8B9C72949}"/>
              </c:ext>
            </c:extLst>
          </c:dPt>
          <c:dPt>
            <c:idx val="82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673-9CF6-4383-B5CC-D2D8B9C72949}"/>
              </c:ext>
            </c:extLst>
          </c:dPt>
          <c:dPt>
            <c:idx val="82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675-9CF6-4383-B5CC-D2D8B9C72949}"/>
              </c:ext>
            </c:extLst>
          </c:dPt>
          <c:dPt>
            <c:idx val="82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677-9CF6-4383-B5CC-D2D8B9C72949}"/>
              </c:ext>
            </c:extLst>
          </c:dPt>
          <c:dPt>
            <c:idx val="82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679-9CF6-4383-B5CC-D2D8B9C72949}"/>
              </c:ext>
            </c:extLst>
          </c:dPt>
          <c:dPt>
            <c:idx val="82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67B-9CF6-4383-B5CC-D2D8B9C72949}"/>
              </c:ext>
            </c:extLst>
          </c:dPt>
          <c:dPt>
            <c:idx val="83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67D-9CF6-4383-B5CC-D2D8B9C72949}"/>
              </c:ext>
            </c:extLst>
          </c:dPt>
          <c:dPt>
            <c:idx val="83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67F-9CF6-4383-B5CC-D2D8B9C72949}"/>
              </c:ext>
            </c:extLst>
          </c:dPt>
          <c:dPt>
            <c:idx val="83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681-9CF6-4383-B5CC-D2D8B9C72949}"/>
              </c:ext>
            </c:extLst>
          </c:dPt>
          <c:dPt>
            <c:idx val="83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683-9CF6-4383-B5CC-D2D8B9C72949}"/>
              </c:ext>
            </c:extLst>
          </c:dPt>
          <c:dPt>
            <c:idx val="83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685-9CF6-4383-B5CC-D2D8B9C72949}"/>
              </c:ext>
            </c:extLst>
          </c:dPt>
          <c:dPt>
            <c:idx val="83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687-9CF6-4383-B5CC-D2D8B9C72949}"/>
              </c:ext>
            </c:extLst>
          </c:dPt>
          <c:dPt>
            <c:idx val="83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689-9CF6-4383-B5CC-D2D8B9C72949}"/>
              </c:ext>
            </c:extLst>
          </c:dPt>
          <c:dPt>
            <c:idx val="83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68B-9CF6-4383-B5CC-D2D8B9C72949}"/>
              </c:ext>
            </c:extLst>
          </c:dPt>
          <c:dPt>
            <c:idx val="83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68D-9CF6-4383-B5CC-D2D8B9C72949}"/>
              </c:ext>
            </c:extLst>
          </c:dPt>
          <c:dPt>
            <c:idx val="83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68F-9CF6-4383-B5CC-D2D8B9C72949}"/>
              </c:ext>
            </c:extLst>
          </c:dPt>
          <c:dPt>
            <c:idx val="84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691-9CF6-4383-B5CC-D2D8B9C72949}"/>
              </c:ext>
            </c:extLst>
          </c:dPt>
          <c:dPt>
            <c:idx val="84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693-9CF6-4383-B5CC-D2D8B9C72949}"/>
              </c:ext>
            </c:extLst>
          </c:dPt>
          <c:dPt>
            <c:idx val="84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695-9CF6-4383-B5CC-D2D8B9C72949}"/>
              </c:ext>
            </c:extLst>
          </c:dPt>
          <c:dPt>
            <c:idx val="84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697-9CF6-4383-B5CC-D2D8B9C72949}"/>
              </c:ext>
            </c:extLst>
          </c:dPt>
          <c:dPt>
            <c:idx val="84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699-9CF6-4383-B5CC-D2D8B9C72949}"/>
              </c:ext>
            </c:extLst>
          </c:dPt>
          <c:dPt>
            <c:idx val="84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69B-9CF6-4383-B5CC-D2D8B9C72949}"/>
              </c:ext>
            </c:extLst>
          </c:dPt>
          <c:dPt>
            <c:idx val="84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69D-9CF6-4383-B5CC-D2D8B9C72949}"/>
              </c:ext>
            </c:extLst>
          </c:dPt>
          <c:dPt>
            <c:idx val="84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69F-9CF6-4383-B5CC-D2D8B9C72949}"/>
              </c:ext>
            </c:extLst>
          </c:dPt>
          <c:dPt>
            <c:idx val="84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6A1-9CF6-4383-B5CC-D2D8B9C72949}"/>
              </c:ext>
            </c:extLst>
          </c:dPt>
          <c:dPt>
            <c:idx val="84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6A3-9CF6-4383-B5CC-D2D8B9C72949}"/>
              </c:ext>
            </c:extLst>
          </c:dPt>
          <c:dPt>
            <c:idx val="85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6A5-9CF6-4383-B5CC-D2D8B9C72949}"/>
              </c:ext>
            </c:extLst>
          </c:dPt>
          <c:dPt>
            <c:idx val="85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6A7-9CF6-4383-B5CC-D2D8B9C72949}"/>
              </c:ext>
            </c:extLst>
          </c:dPt>
          <c:dPt>
            <c:idx val="85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6A9-9CF6-4383-B5CC-D2D8B9C72949}"/>
              </c:ext>
            </c:extLst>
          </c:dPt>
          <c:dPt>
            <c:idx val="85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6AB-9CF6-4383-B5CC-D2D8B9C72949}"/>
              </c:ext>
            </c:extLst>
          </c:dPt>
          <c:dPt>
            <c:idx val="85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6AD-9CF6-4383-B5CC-D2D8B9C72949}"/>
              </c:ext>
            </c:extLst>
          </c:dPt>
          <c:dPt>
            <c:idx val="85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6AF-9CF6-4383-B5CC-D2D8B9C72949}"/>
              </c:ext>
            </c:extLst>
          </c:dPt>
          <c:dPt>
            <c:idx val="85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6B1-9CF6-4383-B5CC-D2D8B9C72949}"/>
              </c:ext>
            </c:extLst>
          </c:dPt>
          <c:dPt>
            <c:idx val="85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6B3-9CF6-4383-B5CC-D2D8B9C72949}"/>
              </c:ext>
            </c:extLst>
          </c:dPt>
          <c:dPt>
            <c:idx val="85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6B5-9CF6-4383-B5CC-D2D8B9C72949}"/>
              </c:ext>
            </c:extLst>
          </c:dPt>
          <c:dPt>
            <c:idx val="85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6B7-9CF6-4383-B5CC-D2D8B9C72949}"/>
              </c:ext>
            </c:extLst>
          </c:dPt>
          <c:dPt>
            <c:idx val="86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6B9-9CF6-4383-B5CC-D2D8B9C72949}"/>
              </c:ext>
            </c:extLst>
          </c:dPt>
          <c:dPt>
            <c:idx val="86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6BB-9CF6-4383-B5CC-D2D8B9C72949}"/>
              </c:ext>
            </c:extLst>
          </c:dPt>
          <c:dPt>
            <c:idx val="86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6BD-9CF6-4383-B5CC-D2D8B9C72949}"/>
              </c:ext>
            </c:extLst>
          </c:dPt>
          <c:dPt>
            <c:idx val="86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6BF-9CF6-4383-B5CC-D2D8B9C72949}"/>
              </c:ext>
            </c:extLst>
          </c:dPt>
          <c:dPt>
            <c:idx val="864"/>
            <c:bubble3D val="0"/>
            <c:spPr>
              <a:solidFill>
                <a:schemeClr val="accent1"/>
              </a:solidFill>
              <a:ln w="19050">
                <a:solidFill>
                  <a:schemeClr val="lt1"/>
                </a:solidFill>
              </a:ln>
              <a:effectLst/>
            </c:spPr>
            <c:extLst>
              <c:ext xmlns:c16="http://schemas.microsoft.com/office/drawing/2014/chart" uri="{C3380CC4-5D6E-409C-BE32-E72D297353CC}">
                <c16:uniqueId val="{000006C1-9CF6-4383-B5CC-D2D8B9C72949}"/>
              </c:ext>
            </c:extLst>
          </c:dPt>
          <c:dPt>
            <c:idx val="865"/>
            <c:bubble3D val="0"/>
            <c:spPr>
              <a:solidFill>
                <a:schemeClr val="accent2"/>
              </a:solidFill>
              <a:ln w="19050">
                <a:solidFill>
                  <a:schemeClr val="lt1"/>
                </a:solidFill>
              </a:ln>
              <a:effectLst/>
            </c:spPr>
            <c:extLst>
              <c:ext xmlns:c16="http://schemas.microsoft.com/office/drawing/2014/chart" uri="{C3380CC4-5D6E-409C-BE32-E72D297353CC}">
                <c16:uniqueId val="{000006C3-9CF6-4383-B5CC-D2D8B9C72949}"/>
              </c:ext>
            </c:extLst>
          </c:dPt>
          <c:dPt>
            <c:idx val="866"/>
            <c:bubble3D val="0"/>
            <c:spPr>
              <a:solidFill>
                <a:schemeClr val="accent3"/>
              </a:solidFill>
              <a:ln w="19050">
                <a:solidFill>
                  <a:schemeClr val="lt1"/>
                </a:solidFill>
              </a:ln>
              <a:effectLst/>
            </c:spPr>
            <c:extLst>
              <c:ext xmlns:c16="http://schemas.microsoft.com/office/drawing/2014/chart" uri="{C3380CC4-5D6E-409C-BE32-E72D297353CC}">
                <c16:uniqueId val="{000006C5-9CF6-4383-B5CC-D2D8B9C72949}"/>
              </c:ext>
            </c:extLst>
          </c:dPt>
          <c:dPt>
            <c:idx val="867"/>
            <c:bubble3D val="0"/>
            <c:spPr>
              <a:solidFill>
                <a:schemeClr val="accent4"/>
              </a:solidFill>
              <a:ln w="19050">
                <a:solidFill>
                  <a:schemeClr val="lt1"/>
                </a:solidFill>
              </a:ln>
              <a:effectLst/>
            </c:spPr>
            <c:extLst>
              <c:ext xmlns:c16="http://schemas.microsoft.com/office/drawing/2014/chart" uri="{C3380CC4-5D6E-409C-BE32-E72D297353CC}">
                <c16:uniqueId val="{000006C7-9CF6-4383-B5CC-D2D8B9C72949}"/>
              </c:ext>
            </c:extLst>
          </c:dPt>
          <c:dPt>
            <c:idx val="868"/>
            <c:bubble3D val="0"/>
            <c:spPr>
              <a:solidFill>
                <a:schemeClr val="accent5"/>
              </a:solidFill>
              <a:ln w="19050">
                <a:solidFill>
                  <a:schemeClr val="lt1"/>
                </a:solidFill>
              </a:ln>
              <a:effectLst/>
            </c:spPr>
            <c:extLst>
              <c:ext xmlns:c16="http://schemas.microsoft.com/office/drawing/2014/chart" uri="{C3380CC4-5D6E-409C-BE32-E72D297353CC}">
                <c16:uniqueId val="{000006C9-9CF6-4383-B5CC-D2D8B9C72949}"/>
              </c:ext>
            </c:extLst>
          </c:dPt>
          <c:dPt>
            <c:idx val="869"/>
            <c:bubble3D val="0"/>
            <c:spPr>
              <a:solidFill>
                <a:schemeClr val="accent6"/>
              </a:solidFill>
              <a:ln w="19050">
                <a:solidFill>
                  <a:schemeClr val="lt1"/>
                </a:solidFill>
              </a:ln>
              <a:effectLst/>
            </c:spPr>
            <c:extLst>
              <c:ext xmlns:c16="http://schemas.microsoft.com/office/drawing/2014/chart" uri="{C3380CC4-5D6E-409C-BE32-E72D297353CC}">
                <c16:uniqueId val="{000006CB-9CF6-4383-B5CC-D2D8B9C72949}"/>
              </c:ext>
            </c:extLst>
          </c:dPt>
          <c:dPt>
            <c:idx val="87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6CD-9CF6-4383-B5CC-D2D8B9C72949}"/>
              </c:ext>
            </c:extLst>
          </c:dPt>
          <c:dPt>
            <c:idx val="87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6CF-9CF6-4383-B5CC-D2D8B9C72949}"/>
              </c:ext>
            </c:extLst>
          </c:dPt>
          <c:dPt>
            <c:idx val="87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6D1-9CF6-4383-B5CC-D2D8B9C72949}"/>
              </c:ext>
            </c:extLst>
          </c:dPt>
          <c:dPt>
            <c:idx val="87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6D3-9CF6-4383-B5CC-D2D8B9C72949}"/>
              </c:ext>
            </c:extLst>
          </c:dPt>
          <c:dPt>
            <c:idx val="87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6D5-9CF6-4383-B5CC-D2D8B9C72949}"/>
              </c:ext>
            </c:extLst>
          </c:dPt>
          <c:dPt>
            <c:idx val="87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6D7-9CF6-4383-B5CC-D2D8B9C72949}"/>
              </c:ext>
            </c:extLst>
          </c:dPt>
          <c:dPt>
            <c:idx val="87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6D9-9CF6-4383-B5CC-D2D8B9C72949}"/>
              </c:ext>
            </c:extLst>
          </c:dPt>
          <c:dPt>
            <c:idx val="87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6DB-9CF6-4383-B5CC-D2D8B9C72949}"/>
              </c:ext>
            </c:extLst>
          </c:dPt>
          <c:dPt>
            <c:idx val="87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6DD-9CF6-4383-B5CC-D2D8B9C72949}"/>
              </c:ext>
            </c:extLst>
          </c:dPt>
          <c:dPt>
            <c:idx val="87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6DF-9CF6-4383-B5CC-D2D8B9C72949}"/>
              </c:ext>
            </c:extLst>
          </c:dPt>
          <c:dPt>
            <c:idx val="88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6E1-9CF6-4383-B5CC-D2D8B9C72949}"/>
              </c:ext>
            </c:extLst>
          </c:dPt>
          <c:dPt>
            <c:idx val="88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6E3-9CF6-4383-B5CC-D2D8B9C72949}"/>
              </c:ext>
            </c:extLst>
          </c:dPt>
          <c:dPt>
            <c:idx val="88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6E5-9CF6-4383-B5CC-D2D8B9C72949}"/>
              </c:ext>
            </c:extLst>
          </c:dPt>
          <c:dPt>
            <c:idx val="88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6E7-9CF6-4383-B5CC-D2D8B9C72949}"/>
              </c:ext>
            </c:extLst>
          </c:dPt>
          <c:dPt>
            <c:idx val="88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6E9-9CF6-4383-B5CC-D2D8B9C72949}"/>
              </c:ext>
            </c:extLst>
          </c:dPt>
          <c:dPt>
            <c:idx val="88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6EB-9CF6-4383-B5CC-D2D8B9C72949}"/>
              </c:ext>
            </c:extLst>
          </c:dPt>
          <c:dPt>
            <c:idx val="88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6ED-9CF6-4383-B5CC-D2D8B9C72949}"/>
              </c:ext>
            </c:extLst>
          </c:dPt>
          <c:dPt>
            <c:idx val="88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6EF-9CF6-4383-B5CC-D2D8B9C72949}"/>
              </c:ext>
            </c:extLst>
          </c:dPt>
          <c:dPt>
            <c:idx val="88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6F1-9CF6-4383-B5CC-D2D8B9C72949}"/>
              </c:ext>
            </c:extLst>
          </c:dPt>
          <c:dPt>
            <c:idx val="88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6F3-9CF6-4383-B5CC-D2D8B9C72949}"/>
              </c:ext>
            </c:extLst>
          </c:dPt>
          <c:dPt>
            <c:idx val="89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6F5-9CF6-4383-B5CC-D2D8B9C72949}"/>
              </c:ext>
            </c:extLst>
          </c:dPt>
          <c:dPt>
            <c:idx val="89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6F7-9CF6-4383-B5CC-D2D8B9C72949}"/>
              </c:ext>
            </c:extLst>
          </c:dPt>
          <c:dPt>
            <c:idx val="89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6F9-9CF6-4383-B5CC-D2D8B9C72949}"/>
              </c:ext>
            </c:extLst>
          </c:dPt>
          <c:dPt>
            <c:idx val="89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6FB-9CF6-4383-B5CC-D2D8B9C72949}"/>
              </c:ext>
            </c:extLst>
          </c:dPt>
          <c:dPt>
            <c:idx val="89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6FD-9CF6-4383-B5CC-D2D8B9C72949}"/>
              </c:ext>
            </c:extLst>
          </c:dPt>
          <c:dPt>
            <c:idx val="89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6FF-9CF6-4383-B5CC-D2D8B9C72949}"/>
              </c:ext>
            </c:extLst>
          </c:dPt>
          <c:dPt>
            <c:idx val="89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701-9CF6-4383-B5CC-D2D8B9C72949}"/>
              </c:ext>
            </c:extLst>
          </c:dPt>
          <c:dPt>
            <c:idx val="89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703-9CF6-4383-B5CC-D2D8B9C72949}"/>
              </c:ext>
            </c:extLst>
          </c:dPt>
          <c:dPt>
            <c:idx val="89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705-9CF6-4383-B5CC-D2D8B9C72949}"/>
              </c:ext>
            </c:extLst>
          </c:dPt>
          <c:dPt>
            <c:idx val="89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707-9CF6-4383-B5CC-D2D8B9C72949}"/>
              </c:ext>
            </c:extLst>
          </c:dPt>
          <c:dPt>
            <c:idx val="90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709-9CF6-4383-B5CC-D2D8B9C72949}"/>
              </c:ext>
            </c:extLst>
          </c:dPt>
          <c:dPt>
            <c:idx val="90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70B-9CF6-4383-B5CC-D2D8B9C72949}"/>
              </c:ext>
            </c:extLst>
          </c:dPt>
          <c:dPt>
            <c:idx val="90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70D-9CF6-4383-B5CC-D2D8B9C72949}"/>
              </c:ext>
            </c:extLst>
          </c:dPt>
          <c:dPt>
            <c:idx val="90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70F-9CF6-4383-B5CC-D2D8B9C72949}"/>
              </c:ext>
            </c:extLst>
          </c:dPt>
          <c:dPt>
            <c:idx val="90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711-9CF6-4383-B5CC-D2D8B9C72949}"/>
              </c:ext>
            </c:extLst>
          </c:dPt>
          <c:dPt>
            <c:idx val="90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713-9CF6-4383-B5CC-D2D8B9C72949}"/>
              </c:ext>
            </c:extLst>
          </c:dPt>
          <c:dPt>
            <c:idx val="90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715-9CF6-4383-B5CC-D2D8B9C72949}"/>
              </c:ext>
            </c:extLst>
          </c:dPt>
          <c:dPt>
            <c:idx val="90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717-9CF6-4383-B5CC-D2D8B9C72949}"/>
              </c:ext>
            </c:extLst>
          </c:dPt>
          <c:dPt>
            <c:idx val="90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719-9CF6-4383-B5CC-D2D8B9C72949}"/>
              </c:ext>
            </c:extLst>
          </c:dPt>
          <c:dPt>
            <c:idx val="90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71B-9CF6-4383-B5CC-D2D8B9C72949}"/>
              </c:ext>
            </c:extLst>
          </c:dPt>
          <c:dPt>
            <c:idx val="91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71D-9CF6-4383-B5CC-D2D8B9C72949}"/>
              </c:ext>
            </c:extLst>
          </c:dPt>
          <c:dPt>
            <c:idx val="91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71F-9CF6-4383-B5CC-D2D8B9C72949}"/>
              </c:ext>
            </c:extLst>
          </c:dPt>
          <c:dPt>
            <c:idx val="91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721-9CF6-4383-B5CC-D2D8B9C72949}"/>
              </c:ext>
            </c:extLst>
          </c:dPt>
          <c:dPt>
            <c:idx val="91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723-9CF6-4383-B5CC-D2D8B9C72949}"/>
              </c:ext>
            </c:extLst>
          </c:dPt>
          <c:dPt>
            <c:idx val="91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725-9CF6-4383-B5CC-D2D8B9C72949}"/>
              </c:ext>
            </c:extLst>
          </c:dPt>
          <c:dPt>
            <c:idx val="91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727-9CF6-4383-B5CC-D2D8B9C72949}"/>
              </c:ext>
            </c:extLst>
          </c:dPt>
          <c:dPt>
            <c:idx val="91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729-9CF6-4383-B5CC-D2D8B9C72949}"/>
              </c:ext>
            </c:extLst>
          </c:dPt>
          <c:dPt>
            <c:idx val="91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72B-9CF6-4383-B5CC-D2D8B9C72949}"/>
              </c:ext>
            </c:extLst>
          </c:dPt>
          <c:dPt>
            <c:idx val="918"/>
            <c:bubble3D val="0"/>
            <c:spPr>
              <a:solidFill>
                <a:schemeClr val="accent1"/>
              </a:solidFill>
              <a:ln w="19050">
                <a:solidFill>
                  <a:schemeClr val="lt1"/>
                </a:solidFill>
              </a:ln>
              <a:effectLst/>
            </c:spPr>
            <c:extLst>
              <c:ext xmlns:c16="http://schemas.microsoft.com/office/drawing/2014/chart" uri="{C3380CC4-5D6E-409C-BE32-E72D297353CC}">
                <c16:uniqueId val="{0000072D-9CF6-4383-B5CC-D2D8B9C72949}"/>
              </c:ext>
            </c:extLst>
          </c:dPt>
          <c:dPt>
            <c:idx val="919"/>
            <c:bubble3D val="0"/>
            <c:spPr>
              <a:solidFill>
                <a:schemeClr val="accent2"/>
              </a:solidFill>
              <a:ln w="19050">
                <a:solidFill>
                  <a:schemeClr val="lt1"/>
                </a:solidFill>
              </a:ln>
              <a:effectLst/>
            </c:spPr>
            <c:extLst>
              <c:ext xmlns:c16="http://schemas.microsoft.com/office/drawing/2014/chart" uri="{C3380CC4-5D6E-409C-BE32-E72D297353CC}">
                <c16:uniqueId val="{0000072F-9CF6-4383-B5CC-D2D8B9C72949}"/>
              </c:ext>
            </c:extLst>
          </c:dPt>
          <c:dPt>
            <c:idx val="920"/>
            <c:bubble3D val="0"/>
            <c:spPr>
              <a:solidFill>
                <a:schemeClr val="accent3"/>
              </a:solidFill>
              <a:ln w="19050">
                <a:solidFill>
                  <a:schemeClr val="lt1"/>
                </a:solidFill>
              </a:ln>
              <a:effectLst/>
            </c:spPr>
            <c:extLst>
              <c:ext xmlns:c16="http://schemas.microsoft.com/office/drawing/2014/chart" uri="{C3380CC4-5D6E-409C-BE32-E72D297353CC}">
                <c16:uniqueId val="{00000731-9CF6-4383-B5CC-D2D8B9C72949}"/>
              </c:ext>
            </c:extLst>
          </c:dPt>
          <c:dPt>
            <c:idx val="921"/>
            <c:bubble3D val="0"/>
            <c:spPr>
              <a:solidFill>
                <a:schemeClr val="accent4"/>
              </a:solidFill>
              <a:ln w="19050">
                <a:solidFill>
                  <a:schemeClr val="lt1"/>
                </a:solidFill>
              </a:ln>
              <a:effectLst/>
            </c:spPr>
            <c:extLst>
              <c:ext xmlns:c16="http://schemas.microsoft.com/office/drawing/2014/chart" uri="{C3380CC4-5D6E-409C-BE32-E72D297353CC}">
                <c16:uniqueId val="{00000733-9CF6-4383-B5CC-D2D8B9C72949}"/>
              </c:ext>
            </c:extLst>
          </c:dPt>
          <c:dPt>
            <c:idx val="922"/>
            <c:bubble3D val="0"/>
            <c:spPr>
              <a:solidFill>
                <a:schemeClr val="accent5"/>
              </a:solidFill>
              <a:ln w="19050">
                <a:solidFill>
                  <a:schemeClr val="lt1"/>
                </a:solidFill>
              </a:ln>
              <a:effectLst/>
            </c:spPr>
            <c:extLst>
              <c:ext xmlns:c16="http://schemas.microsoft.com/office/drawing/2014/chart" uri="{C3380CC4-5D6E-409C-BE32-E72D297353CC}">
                <c16:uniqueId val="{00000735-9CF6-4383-B5CC-D2D8B9C72949}"/>
              </c:ext>
            </c:extLst>
          </c:dPt>
          <c:dPt>
            <c:idx val="923"/>
            <c:bubble3D val="0"/>
            <c:spPr>
              <a:solidFill>
                <a:schemeClr val="accent6"/>
              </a:solidFill>
              <a:ln w="19050">
                <a:solidFill>
                  <a:schemeClr val="lt1"/>
                </a:solidFill>
              </a:ln>
              <a:effectLst/>
            </c:spPr>
            <c:extLst>
              <c:ext xmlns:c16="http://schemas.microsoft.com/office/drawing/2014/chart" uri="{C3380CC4-5D6E-409C-BE32-E72D297353CC}">
                <c16:uniqueId val="{00000737-9CF6-4383-B5CC-D2D8B9C72949}"/>
              </c:ext>
            </c:extLst>
          </c:dPt>
          <c:dPt>
            <c:idx val="92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739-9CF6-4383-B5CC-D2D8B9C72949}"/>
              </c:ext>
            </c:extLst>
          </c:dPt>
          <c:dPt>
            <c:idx val="92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73B-9CF6-4383-B5CC-D2D8B9C72949}"/>
              </c:ext>
            </c:extLst>
          </c:dPt>
          <c:dPt>
            <c:idx val="92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73D-9CF6-4383-B5CC-D2D8B9C72949}"/>
              </c:ext>
            </c:extLst>
          </c:dPt>
          <c:dPt>
            <c:idx val="92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73F-9CF6-4383-B5CC-D2D8B9C72949}"/>
              </c:ext>
            </c:extLst>
          </c:dPt>
          <c:dPt>
            <c:idx val="92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741-9CF6-4383-B5CC-D2D8B9C72949}"/>
              </c:ext>
            </c:extLst>
          </c:dPt>
          <c:dPt>
            <c:idx val="92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743-9CF6-4383-B5CC-D2D8B9C72949}"/>
              </c:ext>
            </c:extLst>
          </c:dPt>
          <c:dPt>
            <c:idx val="93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745-9CF6-4383-B5CC-D2D8B9C72949}"/>
              </c:ext>
            </c:extLst>
          </c:dPt>
          <c:dPt>
            <c:idx val="93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747-9CF6-4383-B5CC-D2D8B9C72949}"/>
              </c:ext>
            </c:extLst>
          </c:dPt>
          <c:dPt>
            <c:idx val="93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749-9CF6-4383-B5CC-D2D8B9C72949}"/>
              </c:ext>
            </c:extLst>
          </c:dPt>
          <c:dPt>
            <c:idx val="93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74B-9CF6-4383-B5CC-D2D8B9C72949}"/>
              </c:ext>
            </c:extLst>
          </c:dPt>
          <c:dPt>
            <c:idx val="93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74D-9CF6-4383-B5CC-D2D8B9C72949}"/>
              </c:ext>
            </c:extLst>
          </c:dPt>
          <c:dPt>
            <c:idx val="93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74F-9CF6-4383-B5CC-D2D8B9C72949}"/>
              </c:ext>
            </c:extLst>
          </c:dPt>
          <c:dPt>
            <c:idx val="93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751-9CF6-4383-B5CC-D2D8B9C72949}"/>
              </c:ext>
            </c:extLst>
          </c:dPt>
          <c:dPt>
            <c:idx val="93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753-9CF6-4383-B5CC-D2D8B9C72949}"/>
              </c:ext>
            </c:extLst>
          </c:dPt>
          <c:dPt>
            <c:idx val="93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755-9CF6-4383-B5CC-D2D8B9C72949}"/>
              </c:ext>
            </c:extLst>
          </c:dPt>
          <c:dPt>
            <c:idx val="93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757-9CF6-4383-B5CC-D2D8B9C72949}"/>
              </c:ext>
            </c:extLst>
          </c:dPt>
          <c:dPt>
            <c:idx val="94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759-9CF6-4383-B5CC-D2D8B9C72949}"/>
              </c:ext>
            </c:extLst>
          </c:dPt>
          <c:dPt>
            <c:idx val="94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75B-9CF6-4383-B5CC-D2D8B9C72949}"/>
              </c:ext>
            </c:extLst>
          </c:dPt>
          <c:dPt>
            <c:idx val="94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75D-9CF6-4383-B5CC-D2D8B9C72949}"/>
              </c:ext>
            </c:extLst>
          </c:dPt>
          <c:dPt>
            <c:idx val="94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75F-9CF6-4383-B5CC-D2D8B9C72949}"/>
              </c:ext>
            </c:extLst>
          </c:dPt>
          <c:dPt>
            <c:idx val="94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761-9CF6-4383-B5CC-D2D8B9C72949}"/>
              </c:ext>
            </c:extLst>
          </c:dPt>
          <c:dPt>
            <c:idx val="94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763-9CF6-4383-B5CC-D2D8B9C72949}"/>
              </c:ext>
            </c:extLst>
          </c:dPt>
          <c:dPt>
            <c:idx val="94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765-9CF6-4383-B5CC-D2D8B9C72949}"/>
              </c:ext>
            </c:extLst>
          </c:dPt>
          <c:dPt>
            <c:idx val="94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767-9CF6-4383-B5CC-D2D8B9C72949}"/>
              </c:ext>
            </c:extLst>
          </c:dPt>
          <c:dPt>
            <c:idx val="94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769-9CF6-4383-B5CC-D2D8B9C72949}"/>
              </c:ext>
            </c:extLst>
          </c:dPt>
          <c:dPt>
            <c:idx val="94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76B-9CF6-4383-B5CC-D2D8B9C72949}"/>
              </c:ext>
            </c:extLst>
          </c:dPt>
          <c:dPt>
            <c:idx val="95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76D-9CF6-4383-B5CC-D2D8B9C72949}"/>
              </c:ext>
            </c:extLst>
          </c:dPt>
          <c:dPt>
            <c:idx val="95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76F-9CF6-4383-B5CC-D2D8B9C72949}"/>
              </c:ext>
            </c:extLst>
          </c:dPt>
          <c:dPt>
            <c:idx val="95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771-9CF6-4383-B5CC-D2D8B9C72949}"/>
              </c:ext>
            </c:extLst>
          </c:dPt>
          <c:dPt>
            <c:idx val="95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773-9CF6-4383-B5CC-D2D8B9C72949}"/>
              </c:ext>
            </c:extLst>
          </c:dPt>
          <c:dPt>
            <c:idx val="95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775-9CF6-4383-B5CC-D2D8B9C72949}"/>
              </c:ext>
            </c:extLst>
          </c:dPt>
          <c:dPt>
            <c:idx val="95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777-9CF6-4383-B5CC-D2D8B9C72949}"/>
              </c:ext>
            </c:extLst>
          </c:dPt>
          <c:dPt>
            <c:idx val="95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779-9CF6-4383-B5CC-D2D8B9C72949}"/>
              </c:ext>
            </c:extLst>
          </c:dPt>
          <c:dPt>
            <c:idx val="95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77B-9CF6-4383-B5CC-D2D8B9C72949}"/>
              </c:ext>
            </c:extLst>
          </c:dPt>
          <c:dPt>
            <c:idx val="95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77D-9CF6-4383-B5CC-D2D8B9C72949}"/>
              </c:ext>
            </c:extLst>
          </c:dPt>
          <c:dPt>
            <c:idx val="95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77F-9CF6-4383-B5CC-D2D8B9C72949}"/>
              </c:ext>
            </c:extLst>
          </c:dPt>
          <c:dPt>
            <c:idx val="96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781-9CF6-4383-B5CC-D2D8B9C72949}"/>
              </c:ext>
            </c:extLst>
          </c:dPt>
          <c:dPt>
            <c:idx val="96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783-9CF6-4383-B5CC-D2D8B9C72949}"/>
              </c:ext>
            </c:extLst>
          </c:dPt>
          <c:dPt>
            <c:idx val="96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785-9CF6-4383-B5CC-D2D8B9C72949}"/>
              </c:ext>
            </c:extLst>
          </c:dPt>
          <c:dPt>
            <c:idx val="96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787-9CF6-4383-B5CC-D2D8B9C72949}"/>
              </c:ext>
            </c:extLst>
          </c:dPt>
          <c:dPt>
            <c:idx val="96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789-9CF6-4383-B5CC-D2D8B9C72949}"/>
              </c:ext>
            </c:extLst>
          </c:dPt>
          <c:dPt>
            <c:idx val="96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78B-9CF6-4383-B5CC-D2D8B9C72949}"/>
              </c:ext>
            </c:extLst>
          </c:dPt>
          <c:dPt>
            <c:idx val="96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78D-9CF6-4383-B5CC-D2D8B9C72949}"/>
              </c:ext>
            </c:extLst>
          </c:dPt>
          <c:dPt>
            <c:idx val="96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78F-9CF6-4383-B5CC-D2D8B9C72949}"/>
              </c:ext>
            </c:extLst>
          </c:dPt>
          <c:dPt>
            <c:idx val="96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791-9CF6-4383-B5CC-D2D8B9C72949}"/>
              </c:ext>
            </c:extLst>
          </c:dPt>
          <c:dPt>
            <c:idx val="96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793-9CF6-4383-B5CC-D2D8B9C72949}"/>
              </c:ext>
            </c:extLst>
          </c:dPt>
          <c:dPt>
            <c:idx val="97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795-9CF6-4383-B5CC-D2D8B9C72949}"/>
              </c:ext>
            </c:extLst>
          </c:dPt>
          <c:dPt>
            <c:idx val="97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797-9CF6-4383-B5CC-D2D8B9C72949}"/>
              </c:ext>
            </c:extLst>
          </c:dPt>
          <c:dPt>
            <c:idx val="972"/>
            <c:bubble3D val="0"/>
            <c:spPr>
              <a:solidFill>
                <a:schemeClr val="accent1"/>
              </a:solidFill>
              <a:ln w="19050">
                <a:solidFill>
                  <a:schemeClr val="lt1"/>
                </a:solidFill>
              </a:ln>
              <a:effectLst/>
            </c:spPr>
            <c:extLst>
              <c:ext xmlns:c16="http://schemas.microsoft.com/office/drawing/2014/chart" uri="{C3380CC4-5D6E-409C-BE32-E72D297353CC}">
                <c16:uniqueId val="{00000799-9CF6-4383-B5CC-D2D8B9C72949}"/>
              </c:ext>
            </c:extLst>
          </c:dPt>
          <c:dPt>
            <c:idx val="973"/>
            <c:bubble3D val="0"/>
            <c:spPr>
              <a:solidFill>
                <a:schemeClr val="accent2"/>
              </a:solidFill>
              <a:ln w="19050">
                <a:solidFill>
                  <a:schemeClr val="lt1"/>
                </a:solidFill>
              </a:ln>
              <a:effectLst/>
            </c:spPr>
            <c:extLst>
              <c:ext xmlns:c16="http://schemas.microsoft.com/office/drawing/2014/chart" uri="{C3380CC4-5D6E-409C-BE32-E72D297353CC}">
                <c16:uniqueId val="{0000079B-9CF6-4383-B5CC-D2D8B9C72949}"/>
              </c:ext>
            </c:extLst>
          </c:dPt>
          <c:dPt>
            <c:idx val="974"/>
            <c:bubble3D val="0"/>
            <c:spPr>
              <a:solidFill>
                <a:schemeClr val="accent3"/>
              </a:solidFill>
              <a:ln w="19050">
                <a:solidFill>
                  <a:schemeClr val="lt1"/>
                </a:solidFill>
              </a:ln>
              <a:effectLst/>
            </c:spPr>
            <c:extLst>
              <c:ext xmlns:c16="http://schemas.microsoft.com/office/drawing/2014/chart" uri="{C3380CC4-5D6E-409C-BE32-E72D297353CC}">
                <c16:uniqueId val="{0000079D-9CF6-4383-B5CC-D2D8B9C72949}"/>
              </c:ext>
            </c:extLst>
          </c:dPt>
          <c:dPt>
            <c:idx val="975"/>
            <c:bubble3D val="0"/>
            <c:spPr>
              <a:solidFill>
                <a:schemeClr val="accent4"/>
              </a:solidFill>
              <a:ln w="19050">
                <a:solidFill>
                  <a:schemeClr val="lt1"/>
                </a:solidFill>
              </a:ln>
              <a:effectLst/>
            </c:spPr>
            <c:extLst>
              <c:ext xmlns:c16="http://schemas.microsoft.com/office/drawing/2014/chart" uri="{C3380CC4-5D6E-409C-BE32-E72D297353CC}">
                <c16:uniqueId val="{0000079F-9CF6-4383-B5CC-D2D8B9C72949}"/>
              </c:ext>
            </c:extLst>
          </c:dPt>
          <c:dPt>
            <c:idx val="976"/>
            <c:bubble3D val="0"/>
            <c:spPr>
              <a:solidFill>
                <a:schemeClr val="accent5"/>
              </a:solidFill>
              <a:ln w="19050">
                <a:solidFill>
                  <a:schemeClr val="lt1"/>
                </a:solidFill>
              </a:ln>
              <a:effectLst/>
            </c:spPr>
            <c:extLst>
              <c:ext xmlns:c16="http://schemas.microsoft.com/office/drawing/2014/chart" uri="{C3380CC4-5D6E-409C-BE32-E72D297353CC}">
                <c16:uniqueId val="{000007A1-9CF6-4383-B5CC-D2D8B9C72949}"/>
              </c:ext>
            </c:extLst>
          </c:dPt>
          <c:dPt>
            <c:idx val="977"/>
            <c:bubble3D val="0"/>
            <c:spPr>
              <a:solidFill>
                <a:schemeClr val="accent6"/>
              </a:solidFill>
              <a:ln w="19050">
                <a:solidFill>
                  <a:schemeClr val="lt1"/>
                </a:solidFill>
              </a:ln>
              <a:effectLst/>
            </c:spPr>
            <c:extLst>
              <c:ext xmlns:c16="http://schemas.microsoft.com/office/drawing/2014/chart" uri="{C3380CC4-5D6E-409C-BE32-E72D297353CC}">
                <c16:uniqueId val="{000007A3-9CF6-4383-B5CC-D2D8B9C72949}"/>
              </c:ext>
            </c:extLst>
          </c:dPt>
          <c:dPt>
            <c:idx val="97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7A5-9CF6-4383-B5CC-D2D8B9C72949}"/>
              </c:ext>
            </c:extLst>
          </c:dPt>
          <c:dPt>
            <c:idx val="97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7A7-9CF6-4383-B5CC-D2D8B9C72949}"/>
              </c:ext>
            </c:extLst>
          </c:dPt>
          <c:dPt>
            <c:idx val="98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7A9-9CF6-4383-B5CC-D2D8B9C72949}"/>
              </c:ext>
            </c:extLst>
          </c:dPt>
          <c:dPt>
            <c:idx val="98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7AB-9CF6-4383-B5CC-D2D8B9C72949}"/>
              </c:ext>
            </c:extLst>
          </c:dPt>
          <c:dPt>
            <c:idx val="98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7AD-9CF6-4383-B5CC-D2D8B9C72949}"/>
              </c:ext>
            </c:extLst>
          </c:dPt>
          <c:dPt>
            <c:idx val="98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7AF-9CF6-4383-B5CC-D2D8B9C72949}"/>
              </c:ext>
            </c:extLst>
          </c:dPt>
          <c:dPt>
            <c:idx val="98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7B1-9CF6-4383-B5CC-D2D8B9C72949}"/>
              </c:ext>
            </c:extLst>
          </c:dPt>
          <c:dPt>
            <c:idx val="98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7B3-9CF6-4383-B5CC-D2D8B9C72949}"/>
              </c:ext>
            </c:extLst>
          </c:dPt>
          <c:dPt>
            <c:idx val="98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7B5-9CF6-4383-B5CC-D2D8B9C72949}"/>
              </c:ext>
            </c:extLst>
          </c:dPt>
          <c:dPt>
            <c:idx val="98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7B7-9CF6-4383-B5CC-D2D8B9C72949}"/>
              </c:ext>
            </c:extLst>
          </c:dPt>
          <c:dPt>
            <c:idx val="98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7B9-9CF6-4383-B5CC-D2D8B9C72949}"/>
              </c:ext>
            </c:extLst>
          </c:dPt>
          <c:dPt>
            <c:idx val="98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7BB-9CF6-4383-B5CC-D2D8B9C72949}"/>
              </c:ext>
            </c:extLst>
          </c:dPt>
          <c:dPt>
            <c:idx val="99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7BD-9CF6-4383-B5CC-D2D8B9C72949}"/>
              </c:ext>
            </c:extLst>
          </c:dPt>
          <c:dPt>
            <c:idx val="99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7BF-9CF6-4383-B5CC-D2D8B9C72949}"/>
              </c:ext>
            </c:extLst>
          </c:dPt>
          <c:dPt>
            <c:idx val="99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7C1-9CF6-4383-B5CC-D2D8B9C72949}"/>
              </c:ext>
            </c:extLst>
          </c:dPt>
          <c:dPt>
            <c:idx val="99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7C3-9CF6-4383-B5CC-D2D8B9C72949}"/>
              </c:ext>
            </c:extLst>
          </c:dPt>
          <c:dPt>
            <c:idx val="99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7C5-9CF6-4383-B5CC-D2D8B9C72949}"/>
              </c:ext>
            </c:extLst>
          </c:dPt>
          <c:dPt>
            <c:idx val="99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7C7-9CF6-4383-B5CC-D2D8B9C72949}"/>
              </c:ext>
            </c:extLst>
          </c:dPt>
          <c:dPt>
            <c:idx val="99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7C9-9CF6-4383-B5CC-D2D8B9C72949}"/>
              </c:ext>
            </c:extLst>
          </c:dPt>
          <c:dPt>
            <c:idx val="99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7CB-9CF6-4383-B5CC-D2D8B9C72949}"/>
              </c:ext>
            </c:extLst>
          </c:dPt>
          <c:dPt>
            <c:idx val="99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7CD-9CF6-4383-B5CC-D2D8B9C72949}"/>
              </c:ext>
            </c:extLst>
          </c:dPt>
          <c:dPt>
            <c:idx val="99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7CF-9CF6-4383-B5CC-D2D8B9C72949}"/>
              </c:ext>
            </c:extLst>
          </c:dPt>
          <c:dPt>
            <c:idx val="100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7D1-9CF6-4383-B5CC-D2D8B9C72949}"/>
              </c:ext>
            </c:extLst>
          </c:dPt>
          <c:dPt>
            <c:idx val="100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7D3-9CF6-4383-B5CC-D2D8B9C72949}"/>
              </c:ext>
            </c:extLst>
          </c:dPt>
          <c:dPt>
            <c:idx val="100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7D5-9CF6-4383-B5CC-D2D8B9C72949}"/>
              </c:ext>
            </c:extLst>
          </c:dPt>
          <c:dPt>
            <c:idx val="100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7D7-9CF6-4383-B5CC-D2D8B9C72949}"/>
              </c:ext>
            </c:extLst>
          </c:dPt>
          <c:dPt>
            <c:idx val="100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7D9-9CF6-4383-B5CC-D2D8B9C72949}"/>
              </c:ext>
            </c:extLst>
          </c:dPt>
          <c:dPt>
            <c:idx val="100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7DB-9CF6-4383-B5CC-D2D8B9C72949}"/>
              </c:ext>
            </c:extLst>
          </c:dPt>
          <c:dPt>
            <c:idx val="100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7DD-9CF6-4383-B5CC-D2D8B9C72949}"/>
              </c:ext>
            </c:extLst>
          </c:dPt>
          <c:dPt>
            <c:idx val="100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7DF-9CF6-4383-B5CC-D2D8B9C72949}"/>
              </c:ext>
            </c:extLst>
          </c:dPt>
          <c:dPt>
            <c:idx val="100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7E1-9CF6-4383-B5CC-D2D8B9C72949}"/>
              </c:ext>
            </c:extLst>
          </c:dPt>
          <c:dPt>
            <c:idx val="100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7E3-9CF6-4383-B5CC-D2D8B9C72949}"/>
              </c:ext>
            </c:extLst>
          </c:dPt>
          <c:dPt>
            <c:idx val="101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7E5-9CF6-4383-B5CC-D2D8B9C72949}"/>
              </c:ext>
            </c:extLst>
          </c:dPt>
          <c:dPt>
            <c:idx val="101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7E7-9CF6-4383-B5CC-D2D8B9C72949}"/>
              </c:ext>
            </c:extLst>
          </c:dPt>
          <c:dPt>
            <c:idx val="101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7E9-9CF6-4383-B5CC-D2D8B9C72949}"/>
              </c:ext>
            </c:extLst>
          </c:dPt>
          <c:dPt>
            <c:idx val="101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7EB-9CF6-4383-B5CC-D2D8B9C72949}"/>
              </c:ext>
            </c:extLst>
          </c:dPt>
          <c:dPt>
            <c:idx val="101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7ED-9CF6-4383-B5CC-D2D8B9C72949}"/>
              </c:ext>
            </c:extLst>
          </c:dPt>
          <c:dPt>
            <c:idx val="101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7EF-9CF6-4383-B5CC-D2D8B9C72949}"/>
              </c:ext>
            </c:extLst>
          </c:dPt>
          <c:dPt>
            <c:idx val="101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7F1-9CF6-4383-B5CC-D2D8B9C72949}"/>
              </c:ext>
            </c:extLst>
          </c:dPt>
          <c:dPt>
            <c:idx val="101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7F3-9CF6-4383-B5CC-D2D8B9C72949}"/>
              </c:ext>
            </c:extLst>
          </c:dPt>
          <c:dPt>
            <c:idx val="101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7F5-9CF6-4383-B5CC-D2D8B9C72949}"/>
              </c:ext>
            </c:extLst>
          </c:dPt>
          <c:dPt>
            <c:idx val="101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7F7-9CF6-4383-B5CC-D2D8B9C72949}"/>
              </c:ext>
            </c:extLst>
          </c:dPt>
          <c:dPt>
            <c:idx val="102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7F9-9CF6-4383-B5CC-D2D8B9C72949}"/>
              </c:ext>
            </c:extLst>
          </c:dPt>
          <c:dPt>
            <c:idx val="102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7FB-9CF6-4383-B5CC-D2D8B9C72949}"/>
              </c:ext>
            </c:extLst>
          </c:dPt>
          <c:dPt>
            <c:idx val="102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7FD-9CF6-4383-B5CC-D2D8B9C72949}"/>
              </c:ext>
            </c:extLst>
          </c:dPt>
          <c:dPt>
            <c:idx val="102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7FF-9CF6-4383-B5CC-D2D8B9C72949}"/>
              </c:ext>
            </c:extLst>
          </c:dPt>
          <c:dPt>
            <c:idx val="102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801-9CF6-4383-B5CC-D2D8B9C72949}"/>
              </c:ext>
            </c:extLst>
          </c:dPt>
          <c:dPt>
            <c:idx val="102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803-9CF6-4383-B5CC-D2D8B9C72949}"/>
              </c:ext>
            </c:extLst>
          </c:dPt>
          <c:dPt>
            <c:idx val="1026"/>
            <c:bubble3D val="0"/>
            <c:spPr>
              <a:solidFill>
                <a:schemeClr val="accent1"/>
              </a:solidFill>
              <a:ln w="19050">
                <a:solidFill>
                  <a:schemeClr val="lt1"/>
                </a:solidFill>
              </a:ln>
              <a:effectLst/>
            </c:spPr>
            <c:extLst>
              <c:ext xmlns:c16="http://schemas.microsoft.com/office/drawing/2014/chart" uri="{C3380CC4-5D6E-409C-BE32-E72D297353CC}">
                <c16:uniqueId val="{00000805-9CF6-4383-B5CC-D2D8B9C72949}"/>
              </c:ext>
            </c:extLst>
          </c:dPt>
          <c:dPt>
            <c:idx val="1027"/>
            <c:bubble3D val="0"/>
            <c:spPr>
              <a:solidFill>
                <a:schemeClr val="accent2"/>
              </a:solidFill>
              <a:ln w="19050">
                <a:solidFill>
                  <a:schemeClr val="lt1"/>
                </a:solidFill>
              </a:ln>
              <a:effectLst/>
            </c:spPr>
            <c:extLst>
              <c:ext xmlns:c16="http://schemas.microsoft.com/office/drawing/2014/chart" uri="{C3380CC4-5D6E-409C-BE32-E72D297353CC}">
                <c16:uniqueId val="{00000807-9CF6-4383-B5CC-D2D8B9C72949}"/>
              </c:ext>
            </c:extLst>
          </c:dPt>
          <c:dPt>
            <c:idx val="1028"/>
            <c:bubble3D val="0"/>
            <c:spPr>
              <a:solidFill>
                <a:schemeClr val="accent3"/>
              </a:solidFill>
              <a:ln w="19050">
                <a:solidFill>
                  <a:schemeClr val="lt1"/>
                </a:solidFill>
              </a:ln>
              <a:effectLst/>
            </c:spPr>
            <c:extLst>
              <c:ext xmlns:c16="http://schemas.microsoft.com/office/drawing/2014/chart" uri="{C3380CC4-5D6E-409C-BE32-E72D297353CC}">
                <c16:uniqueId val="{00000809-9CF6-4383-B5CC-D2D8B9C72949}"/>
              </c:ext>
            </c:extLst>
          </c:dPt>
          <c:dPt>
            <c:idx val="1029"/>
            <c:bubble3D val="0"/>
            <c:spPr>
              <a:solidFill>
                <a:schemeClr val="accent4"/>
              </a:solidFill>
              <a:ln w="19050">
                <a:solidFill>
                  <a:schemeClr val="lt1"/>
                </a:solidFill>
              </a:ln>
              <a:effectLst/>
            </c:spPr>
            <c:extLst>
              <c:ext xmlns:c16="http://schemas.microsoft.com/office/drawing/2014/chart" uri="{C3380CC4-5D6E-409C-BE32-E72D297353CC}">
                <c16:uniqueId val="{0000080B-9CF6-4383-B5CC-D2D8B9C72949}"/>
              </c:ext>
            </c:extLst>
          </c:dPt>
          <c:dPt>
            <c:idx val="1030"/>
            <c:bubble3D val="0"/>
            <c:spPr>
              <a:solidFill>
                <a:schemeClr val="accent5"/>
              </a:solidFill>
              <a:ln w="19050">
                <a:solidFill>
                  <a:schemeClr val="lt1"/>
                </a:solidFill>
              </a:ln>
              <a:effectLst/>
            </c:spPr>
            <c:extLst>
              <c:ext xmlns:c16="http://schemas.microsoft.com/office/drawing/2014/chart" uri="{C3380CC4-5D6E-409C-BE32-E72D297353CC}">
                <c16:uniqueId val="{0000080D-9CF6-4383-B5CC-D2D8B9C72949}"/>
              </c:ext>
            </c:extLst>
          </c:dPt>
          <c:dPt>
            <c:idx val="1031"/>
            <c:bubble3D val="0"/>
            <c:spPr>
              <a:solidFill>
                <a:schemeClr val="accent6"/>
              </a:solidFill>
              <a:ln w="19050">
                <a:solidFill>
                  <a:schemeClr val="lt1"/>
                </a:solidFill>
              </a:ln>
              <a:effectLst/>
            </c:spPr>
            <c:extLst>
              <c:ext xmlns:c16="http://schemas.microsoft.com/office/drawing/2014/chart" uri="{C3380CC4-5D6E-409C-BE32-E72D297353CC}">
                <c16:uniqueId val="{0000080F-9CF6-4383-B5CC-D2D8B9C72949}"/>
              </c:ext>
            </c:extLst>
          </c:dPt>
          <c:dPt>
            <c:idx val="103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811-9CF6-4383-B5CC-D2D8B9C72949}"/>
              </c:ext>
            </c:extLst>
          </c:dPt>
          <c:dPt>
            <c:idx val="103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813-9CF6-4383-B5CC-D2D8B9C72949}"/>
              </c:ext>
            </c:extLst>
          </c:dPt>
          <c:dPt>
            <c:idx val="103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815-9CF6-4383-B5CC-D2D8B9C72949}"/>
              </c:ext>
            </c:extLst>
          </c:dPt>
          <c:dPt>
            <c:idx val="103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817-9CF6-4383-B5CC-D2D8B9C72949}"/>
              </c:ext>
            </c:extLst>
          </c:dPt>
          <c:dPt>
            <c:idx val="103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819-9CF6-4383-B5CC-D2D8B9C72949}"/>
              </c:ext>
            </c:extLst>
          </c:dPt>
          <c:dPt>
            <c:idx val="103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81B-9CF6-4383-B5CC-D2D8B9C72949}"/>
              </c:ext>
            </c:extLst>
          </c:dPt>
          <c:dPt>
            <c:idx val="103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81D-9CF6-4383-B5CC-D2D8B9C72949}"/>
              </c:ext>
            </c:extLst>
          </c:dPt>
          <c:dPt>
            <c:idx val="103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81F-9CF6-4383-B5CC-D2D8B9C72949}"/>
              </c:ext>
            </c:extLst>
          </c:dPt>
          <c:dPt>
            <c:idx val="104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821-9CF6-4383-B5CC-D2D8B9C72949}"/>
              </c:ext>
            </c:extLst>
          </c:dPt>
          <c:dPt>
            <c:idx val="104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823-9CF6-4383-B5CC-D2D8B9C72949}"/>
              </c:ext>
            </c:extLst>
          </c:dPt>
          <c:dPt>
            <c:idx val="104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825-9CF6-4383-B5CC-D2D8B9C72949}"/>
              </c:ext>
            </c:extLst>
          </c:dPt>
          <c:dPt>
            <c:idx val="104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827-9CF6-4383-B5CC-D2D8B9C72949}"/>
              </c:ext>
            </c:extLst>
          </c:dPt>
          <c:dPt>
            <c:idx val="104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829-9CF6-4383-B5CC-D2D8B9C72949}"/>
              </c:ext>
            </c:extLst>
          </c:dPt>
          <c:dPt>
            <c:idx val="104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82B-9CF6-4383-B5CC-D2D8B9C72949}"/>
              </c:ext>
            </c:extLst>
          </c:dPt>
          <c:dPt>
            <c:idx val="104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82D-9CF6-4383-B5CC-D2D8B9C72949}"/>
              </c:ext>
            </c:extLst>
          </c:dPt>
          <c:dPt>
            <c:idx val="104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82F-9CF6-4383-B5CC-D2D8B9C72949}"/>
              </c:ext>
            </c:extLst>
          </c:dPt>
          <c:dPt>
            <c:idx val="104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831-9CF6-4383-B5CC-D2D8B9C72949}"/>
              </c:ext>
            </c:extLst>
          </c:dPt>
          <c:dPt>
            <c:idx val="104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833-9CF6-4383-B5CC-D2D8B9C72949}"/>
              </c:ext>
            </c:extLst>
          </c:dPt>
          <c:dPt>
            <c:idx val="105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835-9CF6-4383-B5CC-D2D8B9C72949}"/>
              </c:ext>
            </c:extLst>
          </c:dPt>
          <c:dPt>
            <c:idx val="105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837-9CF6-4383-B5CC-D2D8B9C72949}"/>
              </c:ext>
            </c:extLst>
          </c:dPt>
          <c:dPt>
            <c:idx val="105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839-9CF6-4383-B5CC-D2D8B9C72949}"/>
              </c:ext>
            </c:extLst>
          </c:dPt>
          <c:dPt>
            <c:idx val="105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83B-9CF6-4383-B5CC-D2D8B9C72949}"/>
              </c:ext>
            </c:extLst>
          </c:dPt>
          <c:dPt>
            <c:idx val="105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83D-9CF6-4383-B5CC-D2D8B9C72949}"/>
              </c:ext>
            </c:extLst>
          </c:dPt>
          <c:dPt>
            <c:idx val="105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83F-9CF6-4383-B5CC-D2D8B9C72949}"/>
              </c:ext>
            </c:extLst>
          </c:dPt>
          <c:dPt>
            <c:idx val="105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841-9CF6-4383-B5CC-D2D8B9C72949}"/>
              </c:ext>
            </c:extLst>
          </c:dPt>
          <c:dPt>
            <c:idx val="105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843-9CF6-4383-B5CC-D2D8B9C72949}"/>
              </c:ext>
            </c:extLst>
          </c:dPt>
          <c:dPt>
            <c:idx val="105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845-9CF6-4383-B5CC-D2D8B9C72949}"/>
              </c:ext>
            </c:extLst>
          </c:dPt>
          <c:dPt>
            <c:idx val="105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847-9CF6-4383-B5CC-D2D8B9C72949}"/>
              </c:ext>
            </c:extLst>
          </c:dPt>
          <c:dPt>
            <c:idx val="106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849-9CF6-4383-B5CC-D2D8B9C72949}"/>
              </c:ext>
            </c:extLst>
          </c:dPt>
          <c:dPt>
            <c:idx val="106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84B-9CF6-4383-B5CC-D2D8B9C72949}"/>
              </c:ext>
            </c:extLst>
          </c:dPt>
          <c:dPt>
            <c:idx val="106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84D-9CF6-4383-B5CC-D2D8B9C72949}"/>
              </c:ext>
            </c:extLst>
          </c:dPt>
          <c:dPt>
            <c:idx val="106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84F-9CF6-4383-B5CC-D2D8B9C72949}"/>
              </c:ext>
            </c:extLst>
          </c:dPt>
          <c:dPt>
            <c:idx val="106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851-9CF6-4383-B5CC-D2D8B9C72949}"/>
              </c:ext>
            </c:extLst>
          </c:dPt>
          <c:dPt>
            <c:idx val="106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853-9CF6-4383-B5CC-D2D8B9C72949}"/>
              </c:ext>
            </c:extLst>
          </c:dPt>
          <c:dPt>
            <c:idx val="106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855-9CF6-4383-B5CC-D2D8B9C72949}"/>
              </c:ext>
            </c:extLst>
          </c:dPt>
          <c:dPt>
            <c:idx val="106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857-9CF6-4383-B5CC-D2D8B9C72949}"/>
              </c:ext>
            </c:extLst>
          </c:dPt>
          <c:dPt>
            <c:idx val="106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859-9CF6-4383-B5CC-D2D8B9C72949}"/>
              </c:ext>
            </c:extLst>
          </c:dPt>
          <c:dPt>
            <c:idx val="106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85B-9CF6-4383-B5CC-D2D8B9C72949}"/>
              </c:ext>
            </c:extLst>
          </c:dPt>
          <c:dPt>
            <c:idx val="107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85D-9CF6-4383-B5CC-D2D8B9C72949}"/>
              </c:ext>
            </c:extLst>
          </c:dPt>
          <c:dPt>
            <c:idx val="107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85F-9CF6-4383-B5CC-D2D8B9C72949}"/>
              </c:ext>
            </c:extLst>
          </c:dPt>
          <c:dPt>
            <c:idx val="107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861-9CF6-4383-B5CC-D2D8B9C72949}"/>
              </c:ext>
            </c:extLst>
          </c:dPt>
          <c:dPt>
            <c:idx val="107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863-9CF6-4383-B5CC-D2D8B9C72949}"/>
              </c:ext>
            </c:extLst>
          </c:dPt>
          <c:dPt>
            <c:idx val="107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865-9CF6-4383-B5CC-D2D8B9C72949}"/>
              </c:ext>
            </c:extLst>
          </c:dPt>
          <c:dPt>
            <c:idx val="107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867-9CF6-4383-B5CC-D2D8B9C72949}"/>
              </c:ext>
            </c:extLst>
          </c:dPt>
          <c:dPt>
            <c:idx val="107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869-9CF6-4383-B5CC-D2D8B9C72949}"/>
              </c:ext>
            </c:extLst>
          </c:dPt>
          <c:dPt>
            <c:idx val="107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86B-9CF6-4383-B5CC-D2D8B9C72949}"/>
              </c:ext>
            </c:extLst>
          </c:dPt>
          <c:dPt>
            <c:idx val="107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86D-9CF6-4383-B5CC-D2D8B9C72949}"/>
              </c:ext>
            </c:extLst>
          </c:dPt>
          <c:dPt>
            <c:idx val="107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86F-9CF6-4383-B5CC-D2D8B9C72949}"/>
              </c:ext>
            </c:extLst>
          </c:dPt>
          <c:dPt>
            <c:idx val="1080"/>
            <c:bubble3D val="0"/>
            <c:spPr>
              <a:solidFill>
                <a:schemeClr val="accent1"/>
              </a:solidFill>
              <a:ln w="19050">
                <a:solidFill>
                  <a:schemeClr val="lt1"/>
                </a:solidFill>
              </a:ln>
              <a:effectLst/>
            </c:spPr>
            <c:extLst>
              <c:ext xmlns:c16="http://schemas.microsoft.com/office/drawing/2014/chart" uri="{C3380CC4-5D6E-409C-BE32-E72D297353CC}">
                <c16:uniqueId val="{00000871-9CF6-4383-B5CC-D2D8B9C72949}"/>
              </c:ext>
            </c:extLst>
          </c:dPt>
          <c:dPt>
            <c:idx val="1081"/>
            <c:bubble3D val="0"/>
            <c:spPr>
              <a:solidFill>
                <a:schemeClr val="accent2"/>
              </a:solidFill>
              <a:ln w="19050">
                <a:solidFill>
                  <a:schemeClr val="lt1"/>
                </a:solidFill>
              </a:ln>
              <a:effectLst/>
            </c:spPr>
            <c:extLst>
              <c:ext xmlns:c16="http://schemas.microsoft.com/office/drawing/2014/chart" uri="{C3380CC4-5D6E-409C-BE32-E72D297353CC}">
                <c16:uniqueId val="{00000873-9CF6-4383-B5CC-D2D8B9C72949}"/>
              </c:ext>
            </c:extLst>
          </c:dPt>
          <c:dPt>
            <c:idx val="1082"/>
            <c:bubble3D val="0"/>
            <c:spPr>
              <a:solidFill>
                <a:schemeClr val="accent3"/>
              </a:solidFill>
              <a:ln w="19050">
                <a:solidFill>
                  <a:schemeClr val="lt1"/>
                </a:solidFill>
              </a:ln>
              <a:effectLst/>
            </c:spPr>
            <c:extLst>
              <c:ext xmlns:c16="http://schemas.microsoft.com/office/drawing/2014/chart" uri="{C3380CC4-5D6E-409C-BE32-E72D297353CC}">
                <c16:uniqueId val="{00000875-9CF6-4383-B5CC-D2D8B9C72949}"/>
              </c:ext>
            </c:extLst>
          </c:dPt>
          <c:dPt>
            <c:idx val="1083"/>
            <c:bubble3D val="0"/>
            <c:spPr>
              <a:solidFill>
                <a:schemeClr val="accent4"/>
              </a:solidFill>
              <a:ln w="19050">
                <a:solidFill>
                  <a:schemeClr val="lt1"/>
                </a:solidFill>
              </a:ln>
              <a:effectLst/>
            </c:spPr>
            <c:extLst>
              <c:ext xmlns:c16="http://schemas.microsoft.com/office/drawing/2014/chart" uri="{C3380CC4-5D6E-409C-BE32-E72D297353CC}">
                <c16:uniqueId val="{00000877-9CF6-4383-B5CC-D2D8B9C72949}"/>
              </c:ext>
            </c:extLst>
          </c:dPt>
          <c:dPt>
            <c:idx val="1084"/>
            <c:bubble3D val="0"/>
            <c:spPr>
              <a:solidFill>
                <a:schemeClr val="accent5"/>
              </a:solidFill>
              <a:ln w="19050">
                <a:solidFill>
                  <a:schemeClr val="lt1"/>
                </a:solidFill>
              </a:ln>
              <a:effectLst/>
            </c:spPr>
            <c:extLst>
              <c:ext xmlns:c16="http://schemas.microsoft.com/office/drawing/2014/chart" uri="{C3380CC4-5D6E-409C-BE32-E72D297353CC}">
                <c16:uniqueId val="{00000879-9CF6-4383-B5CC-D2D8B9C72949}"/>
              </c:ext>
            </c:extLst>
          </c:dPt>
          <c:dPt>
            <c:idx val="1085"/>
            <c:bubble3D val="0"/>
            <c:spPr>
              <a:solidFill>
                <a:schemeClr val="accent6"/>
              </a:solidFill>
              <a:ln w="19050">
                <a:solidFill>
                  <a:schemeClr val="lt1"/>
                </a:solidFill>
              </a:ln>
              <a:effectLst/>
            </c:spPr>
            <c:extLst>
              <c:ext xmlns:c16="http://schemas.microsoft.com/office/drawing/2014/chart" uri="{C3380CC4-5D6E-409C-BE32-E72D297353CC}">
                <c16:uniqueId val="{0000087B-9CF6-4383-B5CC-D2D8B9C72949}"/>
              </c:ext>
            </c:extLst>
          </c:dPt>
          <c:dPt>
            <c:idx val="108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87D-9CF6-4383-B5CC-D2D8B9C72949}"/>
              </c:ext>
            </c:extLst>
          </c:dPt>
          <c:dPt>
            <c:idx val="108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87F-9CF6-4383-B5CC-D2D8B9C72949}"/>
              </c:ext>
            </c:extLst>
          </c:dPt>
          <c:dPt>
            <c:idx val="108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881-9CF6-4383-B5CC-D2D8B9C72949}"/>
              </c:ext>
            </c:extLst>
          </c:dPt>
          <c:dPt>
            <c:idx val="108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883-9CF6-4383-B5CC-D2D8B9C72949}"/>
              </c:ext>
            </c:extLst>
          </c:dPt>
          <c:dPt>
            <c:idx val="109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885-9CF6-4383-B5CC-D2D8B9C72949}"/>
              </c:ext>
            </c:extLst>
          </c:dPt>
          <c:dPt>
            <c:idx val="109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887-9CF6-4383-B5CC-D2D8B9C72949}"/>
              </c:ext>
            </c:extLst>
          </c:dPt>
          <c:dPt>
            <c:idx val="109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889-9CF6-4383-B5CC-D2D8B9C72949}"/>
              </c:ext>
            </c:extLst>
          </c:dPt>
          <c:dPt>
            <c:idx val="109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88B-9CF6-4383-B5CC-D2D8B9C72949}"/>
              </c:ext>
            </c:extLst>
          </c:dPt>
          <c:dPt>
            <c:idx val="109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88D-9CF6-4383-B5CC-D2D8B9C72949}"/>
              </c:ext>
            </c:extLst>
          </c:dPt>
          <c:dPt>
            <c:idx val="109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88F-9CF6-4383-B5CC-D2D8B9C72949}"/>
              </c:ext>
            </c:extLst>
          </c:dPt>
          <c:dPt>
            <c:idx val="109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891-9CF6-4383-B5CC-D2D8B9C72949}"/>
              </c:ext>
            </c:extLst>
          </c:dPt>
          <c:dPt>
            <c:idx val="109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893-9CF6-4383-B5CC-D2D8B9C72949}"/>
              </c:ext>
            </c:extLst>
          </c:dPt>
          <c:dPt>
            <c:idx val="109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895-9CF6-4383-B5CC-D2D8B9C72949}"/>
              </c:ext>
            </c:extLst>
          </c:dPt>
          <c:dPt>
            <c:idx val="109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897-9CF6-4383-B5CC-D2D8B9C72949}"/>
              </c:ext>
            </c:extLst>
          </c:dPt>
          <c:dPt>
            <c:idx val="110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899-9CF6-4383-B5CC-D2D8B9C72949}"/>
              </c:ext>
            </c:extLst>
          </c:dPt>
          <c:dPt>
            <c:idx val="110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89B-9CF6-4383-B5CC-D2D8B9C72949}"/>
              </c:ext>
            </c:extLst>
          </c:dPt>
          <c:dPt>
            <c:idx val="110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89D-9CF6-4383-B5CC-D2D8B9C72949}"/>
              </c:ext>
            </c:extLst>
          </c:dPt>
          <c:dPt>
            <c:idx val="110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89F-9CF6-4383-B5CC-D2D8B9C72949}"/>
              </c:ext>
            </c:extLst>
          </c:dPt>
          <c:dPt>
            <c:idx val="110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8A1-9CF6-4383-B5CC-D2D8B9C72949}"/>
              </c:ext>
            </c:extLst>
          </c:dPt>
          <c:dPt>
            <c:idx val="110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8A3-9CF6-4383-B5CC-D2D8B9C72949}"/>
              </c:ext>
            </c:extLst>
          </c:dPt>
          <c:dPt>
            <c:idx val="110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8A5-9CF6-4383-B5CC-D2D8B9C72949}"/>
              </c:ext>
            </c:extLst>
          </c:dPt>
          <c:dPt>
            <c:idx val="110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8A7-9CF6-4383-B5CC-D2D8B9C72949}"/>
              </c:ext>
            </c:extLst>
          </c:dPt>
          <c:dPt>
            <c:idx val="110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8A9-9CF6-4383-B5CC-D2D8B9C72949}"/>
              </c:ext>
            </c:extLst>
          </c:dPt>
          <c:dPt>
            <c:idx val="110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8AB-9CF6-4383-B5CC-D2D8B9C72949}"/>
              </c:ext>
            </c:extLst>
          </c:dPt>
          <c:dPt>
            <c:idx val="111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8AD-9CF6-4383-B5CC-D2D8B9C72949}"/>
              </c:ext>
            </c:extLst>
          </c:dPt>
          <c:dPt>
            <c:idx val="111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8AF-9CF6-4383-B5CC-D2D8B9C72949}"/>
              </c:ext>
            </c:extLst>
          </c:dPt>
          <c:dPt>
            <c:idx val="111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8B1-9CF6-4383-B5CC-D2D8B9C72949}"/>
              </c:ext>
            </c:extLst>
          </c:dPt>
          <c:dPt>
            <c:idx val="111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8B3-9CF6-4383-B5CC-D2D8B9C72949}"/>
              </c:ext>
            </c:extLst>
          </c:dPt>
          <c:dPt>
            <c:idx val="111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8B5-9CF6-4383-B5CC-D2D8B9C72949}"/>
              </c:ext>
            </c:extLst>
          </c:dPt>
          <c:dPt>
            <c:idx val="111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8B7-9CF6-4383-B5CC-D2D8B9C72949}"/>
              </c:ext>
            </c:extLst>
          </c:dPt>
          <c:dPt>
            <c:idx val="111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8B9-9CF6-4383-B5CC-D2D8B9C72949}"/>
              </c:ext>
            </c:extLst>
          </c:dPt>
          <c:dPt>
            <c:idx val="111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8BB-9CF6-4383-B5CC-D2D8B9C72949}"/>
              </c:ext>
            </c:extLst>
          </c:dPt>
          <c:dPt>
            <c:idx val="111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8BD-9CF6-4383-B5CC-D2D8B9C72949}"/>
              </c:ext>
            </c:extLst>
          </c:dPt>
          <c:dPt>
            <c:idx val="111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8BF-9CF6-4383-B5CC-D2D8B9C72949}"/>
              </c:ext>
            </c:extLst>
          </c:dPt>
          <c:dPt>
            <c:idx val="112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8C1-9CF6-4383-B5CC-D2D8B9C72949}"/>
              </c:ext>
            </c:extLst>
          </c:dPt>
          <c:dPt>
            <c:idx val="112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8C3-9CF6-4383-B5CC-D2D8B9C72949}"/>
              </c:ext>
            </c:extLst>
          </c:dPt>
          <c:dPt>
            <c:idx val="112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8C5-9CF6-4383-B5CC-D2D8B9C72949}"/>
              </c:ext>
            </c:extLst>
          </c:dPt>
          <c:dPt>
            <c:idx val="112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8C7-9CF6-4383-B5CC-D2D8B9C72949}"/>
              </c:ext>
            </c:extLst>
          </c:dPt>
          <c:dPt>
            <c:idx val="112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8C9-9CF6-4383-B5CC-D2D8B9C72949}"/>
              </c:ext>
            </c:extLst>
          </c:dPt>
          <c:dPt>
            <c:idx val="112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8CB-9CF6-4383-B5CC-D2D8B9C72949}"/>
              </c:ext>
            </c:extLst>
          </c:dPt>
          <c:dPt>
            <c:idx val="112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8CD-9CF6-4383-B5CC-D2D8B9C72949}"/>
              </c:ext>
            </c:extLst>
          </c:dPt>
          <c:dPt>
            <c:idx val="112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8CF-9CF6-4383-B5CC-D2D8B9C72949}"/>
              </c:ext>
            </c:extLst>
          </c:dPt>
          <c:dPt>
            <c:idx val="112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8D1-9CF6-4383-B5CC-D2D8B9C72949}"/>
              </c:ext>
            </c:extLst>
          </c:dPt>
          <c:dPt>
            <c:idx val="112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8D3-9CF6-4383-B5CC-D2D8B9C72949}"/>
              </c:ext>
            </c:extLst>
          </c:dPt>
          <c:dPt>
            <c:idx val="113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8D5-9CF6-4383-B5CC-D2D8B9C72949}"/>
              </c:ext>
            </c:extLst>
          </c:dPt>
          <c:dPt>
            <c:idx val="113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8D7-9CF6-4383-B5CC-D2D8B9C72949}"/>
              </c:ext>
            </c:extLst>
          </c:dPt>
          <c:dPt>
            <c:idx val="113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8D9-9CF6-4383-B5CC-D2D8B9C72949}"/>
              </c:ext>
            </c:extLst>
          </c:dPt>
          <c:dPt>
            <c:idx val="113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8DB-9CF6-4383-B5CC-D2D8B9C72949}"/>
              </c:ext>
            </c:extLst>
          </c:dPt>
          <c:dPt>
            <c:idx val="1134"/>
            <c:bubble3D val="0"/>
            <c:spPr>
              <a:solidFill>
                <a:schemeClr val="accent1"/>
              </a:solidFill>
              <a:ln w="19050">
                <a:solidFill>
                  <a:schemeClr val="lt1"/>
                </a:solidFill>
              </a:ln>
              <a:effectLst/>
            </c:spPr>
            <c:extLst>
              <c:ext xmlns:c16="http://schemas.microsoft.com/office/drawing/2014/chart" uri="{C3380CC4-5D6E-409C-BE32-E72D297353CC}">
                <c16:uniqueId val="{000008DD-9CF6-4383-B5CC-D2D8B9C72949}"/>
              </c:ext>
            </c:extLst>
          </c:dPt>
          <c:dPt>
            <c:idx val="1135"/>
            <c:bubble3D val="0"/>
            <c:spPr>
              <a:solidFill>
                <a:schemeClr val="accent2"/>
              </a:solidFill>
              <a:ln w="19050">
                <a:solidFill>
                  <a:schemeClr val="lt1"/>
                </a:solidFill>
              </a:ln>
              <a:effectLst/>
            </c:spPr>
            <c:extLst>
              <c:ext xmlns:c16="http://schemas.microsoft.com/office/drawing/2014/chart" uri="{C3380CC4-5D6E-409C-BE32-E72D297353CC}">
                <c16:uniqueId val="{000008DF-9CF6-4383-B5CC-D2D8B9C72949}"/>
              </c:ext>
            </c:extLst>
          </c:dPt>
          <c:dPt>
            <c:idx val="1136"/>
            <c:bubble3D val="0"/>
            <c:spPr>
              <a:solidFill>
                <a:schemeClr val="accent3"/>
              </a:solidFill>
              <a:ln w="19050">
                <a:solidFill>
                  <a:schemeClr val="lt1"/>
                </a:solidFill>
              </a:ln>
              <a:effectLst/>
            </c:spPr>
            <c:extLst>
              <c:ext xmlns:c16="http://schemas.microsoft.com/office/drawing/2014/chart" uri="{C3380CC4-5D6E-409C-BE32-E72D297353CC}">
                <c16:uniqueId val="{000008E1-9CF6-4383-B5CC-D2D8B9C72949}"/>
              </c:ext>
            </c:extLst>
          </c:dPt>
          <c:dPt>
            <c:idx val="1137"/>
            <c:bubble3D val="0"/>
            <c:spPr>
              <a:solidFill>
                <a:schemeClr val="accent4"/>
              </a:solidFill>
              <a:ln w="19050">
                <a:solidFill>
                  <a:schemeClr val="lt1"/>
                </a:solidFill>
              </a:ln>
              <a:effectLst/>
            </c:spPr>
            <c:extLst>
              <c:ext xmlns:c16="http://schemas.microsoft.com/office/drawing/2014/chart" uri="{C3380CC4-5D6E-409C-BE32-E72D297353CC}">
                <c16:uniqueId val="{000008E3-9CF6-4383-B5CC-D2D8B9C72949}"/>
              </c:ext>
            </c:extLst>
          </c:dPt>
          <c:dPt>
            <c:idx val="1138"/>
            <c:bubble3D val="0"/>
            <c:spPr>
              <a:solidFill>
                <a:schemeClr val="accent5"/>
              </a:solidFill>
              <a:ln w="19050">
                <a:solidFill>
                  <a:schemeClr val="lt1"/>
                </a:solidFill>
              </a:ln>
              <a:effectLst/>
            </c:spPr>
            <c:extLst>
              <c:ext xmlns:c16="http://schemas.microsoft.com/office/drawing/2014/chart" uri="{C3380CC4-5D6E-409C-BE32-E72D297353CC}">
                <c16:uniqueId val="{000008E5-9CF6-4383-B5CC-D2D8B9C72949}"/>
              </c:ext>
            </c:extLst>
          </c:dPt>
          <c:dPt>
            <c:idx val="1139"/>
            <c:bubble3D val="0"/>
            <c:spPr>
              <a:solidFill>
                <a:schemeClr val="accent6"/>
              </a:solidFill>
              <a:ln w="19050">
                <a:solidFill>
                  <a:schemeClr val="lt1"/>
                </a:solidFill>
              </a:ln>
              <a:effectLst/>
            </c:spPr>
            <c:extLst>
              <c:ext xmlns:c16="http://schemas.microsoft.com/office/drawing/2014/chart" uri="{C3380CC4-5D6E-409C-BE32-E72D297353CC}">
                <c16:uniqueId val="{000008E7-9CF6-4383-B5CC-D2D8B9C72949}"/>
              </c:ext>
            </c:extLst>
          </c:dPt>
          <c:dPt>
            <c:idx val="114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8E9-9CF6-4383-B5CC-D2D8B9C72949}"/>
              </c:ext>
            </c:extLst>
          </c:dPt>
          <c:dPt>
            <c:idx val="114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8EB-9CF6-4383-B5CC-D2D8B9C72949}"/>
              </c:ext>
            </c:extLst>
          </c:dPt>
          <c:dPt>
            <c:idx val="114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8ED-9CF6-4383-B5CC-D2D8B9C72949}"/>
              </c:ext>
            </c:extLst>
          </c:dPt>
          <c:dPt>
            <c:idx val="114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8EF-9CF6-4383-B5CC-D2D8B9C72949}"/>
              </c:ext>
            </c:extLst>
          </c:dPt>
          <c:dPt>
            <c:idx val="114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8F1-9CF6-4383-B5CC-D2D8B9C72949}"/>
              </c:ext>
            </c:extLst>
          </c:dPt>
          <c:dPt>
            <c:idx val="114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8F3-9CF6-4383-B5CC-D2D8B9C72949}"/>
              </c:ext>
            </c:extLst>
          </c:dPt>
          <c:dPt>
            <c:idx val="114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8F5-9CF6-4383-B5CC-D2D8B9C72949}"/>
              </c:ext>
            </c:extLst>
          </c:dPt>
          <c:dPt>
            <c:idx val="114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8F7-9CF6-4383-B5CC-D2D8B9C72949}"/>
              </c:ext>
            </c:extLst>
          </c:dPt>
          <c:dPt>
            <c:idx val="114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8F9-9CF6-4383-B5CC-D2D8B9C72949}"/>
              </c:ext>
            </c:extLst>
          </c:dPt>
          <c:dPt>
            <c:idx val="114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8FB-9CF6-4383-B5CC-D2D8B9C72949}"/>
              </c:ext>
            </c:extLst>
          </c:dPt>
          <c:dPt>
            <c:idx val="115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8FD-9CF6-4383-B5CC-D2D8B9C72949}"/>
              </c:ext>
            </c:extLst>
          </c:dPt>
          <c:dPt>
            <c:idx val="115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8FF-9CF6-4383-B5CC-D2D8B9C72949}"/>
              </c:ext>
            </c:extLst>
          </c:dPt>
          <c:dPt>
            <c:idx val="115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901-9CF6-4383-B5CC-D2D8B9C72949}"/>
              </c:ext>
            </c:extLst>
          </c:dPt>
          <c:dPt>
            <c:idx val="115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903-9CF6-4383-B5CC-D2D8B9C72949}"/>
              </c:ext>
            </c:extLst>
          </c:dPt>
          <c:dPt>
            <c:idx val="115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905-9CF6-4383-B5CC-D2D8B9C72949}"/>
              </c:ext>
            </c:extLst>
          </c:dPt>
          <c:dPt>
            <c:idx val="115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907-9CF6-4383-B5CC-D2D8B9C72949}"/>
              </c:ext>
            </c:extLst>
          </c:dPt>
          <c:dPt>
            <c:idx val="115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909-9CF6-4383-B5CC-D2D8B9C72949}"/>
              </c:ext>
            </c:extLst>
          </c:dPt>
          <c:dPt>
            <c:idx val="115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90B-9CF6-4383-B5CC-D2D8B9C72949}"/>
              </c:ext>
            </c:extLst>
          </c:dPt>
          <c:dPt>
            <c:idx val="115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90D-9CF6-4383-B5CC-D2D8B9C72949}"/>
              </c:ext>
            </c:extLst>
          </c:dPt>
          <c:dPt>
            <c:idx val="115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90F-9CF6-4383-B5CC-D2D8B9C72949}"/>
              </c:ext>
            </c:extLst>
          </c:dPt>
          <c:dPt>
            <c:idx val="116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911-9CF6-4383-B5CC-D2D8B9C72949}"/>
              </c:ext>
            </c:extLst>
          </c:dPt>
          <c:dPt>
            <c:idx val="116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913-9CF6-4383-B5CC-D2D8B9C72949}"/>
              </c:ext>
            </c:extLst>
          </c:dPt>
          <c:dPt>
            <c:idx val="116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915-9CF6-4383-B5CC-D2D8B9C72949}"/>
              </c:ext>
            </c:extLst>
          </c:dPt>
          <c:dPt>
            <c:idx val="116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917-9CF6-4383-B5CC-D2D8B9C72949}"/>
              </c:ext>
            </c:extLst>
          </c:dPt>
          <c:dPt>
            <c:idx val="116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919-9CF6-4383-B5CC-D2D8B9C72949}"/>
              </c:ext>
            </c:extLst>
          </c:dPt>
          <c:dPt>
            <c:idx val="116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91B-9CF6-4383-B5CC-D2D8B9C72949}"/>
              </c:ext>
            </c:extLst>
          </c:dPt>
          <c:dPt>
            <c:idx val="116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91D-9CF6-4383-B5CC-D2D8B9C72949}"/>
              </c:ext>
            </c:extLst>
          </c:dPt>
          <c:dPt>
            <c:idx val="116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91F-9CF6-4383-B5CC-D2D8B9C72949}"/>
              </c:ext>
            </c:extLst>
          </c:dPt>
          <c:dPt>
            <c:idx val="116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921-9CF6-4383-B5CC-D2D8B9C72949}"/>
              </c:ext>
            </c:extLst>
          </c:dPt>
          <c:dPt>
            <c:idx val="116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923-9CF6-4383-B5CC-D2D8B9C72949}"/>
              </c:ext>
            </c:extLst>
          </c:dPt>
          <c:dPt>
            <c:idx val="117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925-9CF6-4383-B5CC-D2D8B9C72949}"/>
              </c:ext>
            </c:extLst>
          </c:dPt>
          <c:dPt>
            <c:idx val="117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927-9CF6-4383-B5CC-D2D8B9C72949}"/>
              </c:ext>
            </c:extLst>
          </c:dPt>
          <c:dPt>
            <c:idx val="117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929-9CF6-4383-B5CC-D2D8B9C72949}"/>
              </c:ext>
            </c:extLst>
          </c:dPt>
          <c:dPt>
            <c:idx val="117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92B-9CF6-4383-B5CC-D2D8B9C72949}"/>
              </c:ext>
            </c:extLst>
          </c:dPt>
          <c:dPt>
            <c:idx val="117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92D-9CF6-4383-B5CC-D2D8B9C72949}"/>
              </c:ext>
            </c:extLst>
          </c:dPt>
          <c:dPt>
            <c:idx val="117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92F-9CF6-4383-B5CC-D2D8B9C72949}"/>
              </c:ext>
            </c:extLst>
          </c:dPt>
          <c:dPt>
            <c:idx val="117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931-9CF6-4383-B5CC-D2D8B9C72949}"/>
              </c:ext>
            </c:extLst>
          </c:dPt>
          <c:dPt>
            <c:idx val="117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933-9CF6-4383-B5CC-D2D8B9C72949}"/>
              </c:ext>
            </c:extLst>
          </c:dPt>
          <c:dPt>
            <c:idx val="117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935-9CF6-4383-B5CC-D2D8B9C72949}"/>
              </c:ext>
            </c:extLst>
          </c:dPt>
          <c:dPt>
            <c:idx val="117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937-9CF6-4383-B5CC-D2D8B9C72949}"/>
              </c:ext>
            </c:extLst>
          </c:dPt>
          <c:dPt>
            <c:idx val="118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939-9CF6-4383-B5CC-D2D8B9C72949}"/>
              </c:ext>
            </c:extLst>
          </c:dPt>
          <c:dPt>
            <c:idx val="118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93B-9CF6-4383-B5CC-D2D8B9C72949}"/>
              </c:ext>
            </c:extLst>
          </c:dPt>
          <c:dPt>
            <c:idx val="118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93D-9CF6-4383-B5CC-D2D8B9C72949}"/>
              </c:ext>
            </c:extLst>
          </c:dPt>
          <c:dPt>
            <c:idx val="118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93F-9CF6-4383-B5CC-D2D8B9C72949}"/>
              </c:ext>
            </c:extLst>
          </c:dPt>
          <c:dPt>
            <c:idx val="118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941-9CF6-4383-B5CC-D2D8B9C72949}"/>
              </c:ext>
            </c:extLst>
          </c:dPt>
          <c:dPt>
            <c:idx val="118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943-9CF6-4383-B5CC-D2D8B9C72949}"/>
              </c:ext>
            </c:extLst>
          </c:dPt>
          <c:dPt>
            <c:idx val="118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945-9CF6-4383-B5CC-D2D8B9C72949}"/>
              </c:ext>
            </c:extLst>
          </c:dPt>
          <c:dPt>
            <c:idx val="118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947-9CF6-4383-B5CC-D2D8B9C72949}"/>
              </c:ext>
            </c:extLst>
          </c:dPt>
          <c:dPt>
            <c:idx val="1188"/>
            <c:bubble3D val="0"/>
            <c:spPr>
              <a:solidFill>
                <a:schemeClr val="accent1"/>
              </a:solidFill>
              <a:ln w="19050">
                <a:solidFill>
                  <a:schemeClr val="lt1"/>
                </a:solidFill>
              </a:ln>
              <a:effectLst/>
            </c:spPr>
            <c:extLst>
              <c:ext xmlns:c16="http://schemas.microsoft.com/office/drawing/2014/chart" uri="{C3380CC4-5D6E-409C-BE32-E72D297353CC}">
                <c16:uniqueId val="{00000949-9CF6-4383-B5CC-D2D8B9C72949}"/>
              </c:ext>
            </c:extLst>
          </c:dPt>
          <c:dPt>
            <c:idx val="1189"/>
            <c:bubble3D val="0"/>
            <c:spPr>
              <a:solidFill>
                <a:schemeClr val="accent2"/>
              </a:solidFill>
              <a:ln w="19050">
                <a:solidFill>
                  <a:schemeClr val="lt1"/>
                </a:solidFill>
              </a:ln>
              <a:effectLst/>
            </c:spPr>
            <c:extLst>
              <c:ext xmlns:c16="http://schemas.microsoft.com/office/drawing/2014/chart" uri="{C3380CC4-5D6E-409C-BE32-E72D297353CC}">
                <c16:uniqueId val="{0000094B-9CF6-4383-B5CC-D2D8B9C72949}"/>
              </c:ext>
            </c:extLst>
          </c:dPt>
          <c:dPt>
            <c:idx val="1190"/>
            <c:bubble3D val="0"/>
            <c:spPr>
              <a:solidFill>
                <a:schemeClr val="accent3"/>
              </a:solidFill>
              <a:ln w="19050">
                <a:solidFill>
                  <a:schemeClr val="lt1"/>
                </a:solidFill>
              </a:ln>
              <a:effectLst/>
            </c:spPr>
            <c:extLst>
              <c:ext xmlns:c16="http://schemas.microsoft.com/office/drawing/2014/chart" uri="{C3380CC4-5D6E-409C-BE32-E72D297353CC}">
                <c16:uniqueId val="{0000094D-9CF6-4383-B5CC-D2D8B9C72949}"/>
              </c:ext>
            </c:extLst>
          </c:dPt>
          <c:dPt>
            <c:idx val="1191"/>
            <c:bubble3D val="0"/>
            <c:spPr>
              <a:solidFill>
                <a:schemeClr val="accent4"/>
              </a:solidFill>
              <a:ln w="19050">
                <a:solidFill>
                  <a:schemeClr val="lt1"/>
                </a:solidFill>
              </a:ln>
              <a:effectLst/>
            </c:spPr>
            <c:extLst>
              <c:ext xmlns:c16="http://schemas.microsoft.com/office/drawing/2014/chart" uri="{C3380CC4-5D6E-409C-BE32-E72D297353CC}">
                <c16:uniqueId val="{0000094F-9CF6-4383-B5CC-D2D8B9C72949}"/>
              </c:ext>
            </c:extLst>
          </c:dPt>
          <c:dPt>
            <c:idx val="1192"/>
            <c:bubble3D val="0"/>
            <c:spPr>
              <a:solidFill>
                <a:schemeClr val="accent5"/>
              </a:solidFill>
              <a:ln w="19050">
                <a:solidFill>
                  <a:schemeClr val="lt1"/>
                </a:solidFill>
              </a:ln>
              <a:effectLst/>
            </c:spPr>
            <c:extLst>
              <c:ext xmlns:c16="http://schemas.microsoft.com/office/drawing/2014/chart" uri="{C3380CC4-5D6E-409C-BE32-E72D297353CC}">
                <c16:uniqueId val="{00000951-9CF6-4383-B5CC-D2D8B9C72949}"/>
              </c:ext>
            </c:extLst>
          </c:dPt>
          <c:dPt>
            <c:idx val="1193"/>
            <c:bubble3D val="0"/>
            <c:spPr>
              <a:solidFill>
                <a:schemeClr val="accent6"/>
              </a:solidFill>
              <a:ln w="19050">
                <a:solidFill>
                  <a:schemeClr val="lt1"/>
                </a:solidFill>
              </a:ln>
              <a:effectLst/>
            </c:spPr>
            <c:extLst>
              <c:ext xmlns:c16="http://schemas.microsoft.com/office/drawing/2014/chart" uri="{C3380CC4-5D6E-409C-BE32-E72D297353CC}">
                <c16:uniqueId val="{00000953-9CF6-4383-B5CC-D2D8B9C72949}"/>
              </c:ext>
            </c:extLst>
          </c:dPt>
          <c:dPt>
            <c:idx val="119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955-9CF6-4383-B5CC-D2D8B9C72949}"/>
              </c:ext>
            </c:extLst>
          </c:dPt>
          <c:dPt>
            <c:idx val="119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957-9CF6-4383-B5CC-D2D8B9C72949}"/>
              </c:ext>
            </c:extLst>
          </c:dPt>
          <c:dPt>
            <c:idx val="119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959-9CF6-4383-B5CC-D2D8B9C72949}"/>
              </c:ext>
            </c:extLst>
          </c:dPt>
          <c:dPt>
            <c:idx val="119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95B-9CF6-4383-B5CC-D2D8B9C72949}"/>
              </c:ext>
            </c:extLst>
          </c:dPt>
          <c:dPt>
            <c:idx val="119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95D-9CF6-4383-B5CC-D2D8B9C72949}"/>
              </c:ext>
            </c:extLst>
          </c:dPt>
          <c:dPt>
            <c:idx val="119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95F-9CF6-4383-B5CC-D2D8B9C72949}"/>
              </c:ext>
            </c:extLst>
          </c:dPt>
          <c:dPt>
            <c:idx val="120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961-9CF6-4383-B5CC-D2D8B9C72949}"/>
              </c:ext>
            </c:extLst>
          </c:dPt>
          <c:dPt>
            <c:idx val="120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963-9CF6-4383-B5CC-D2D8B9C72949}"/>
              </c:ext>
            </c:extLst>
          </c:dPt>
          <c:dPt>
            <c:idx val="120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965-9CF6-4383-B5CC-D2D8B9C72949}"/>
              </c:ext>
            </c:extLst>
          </c:dPt>
          <c:dPt>
            <c:idx val="120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967-9CF6-4383-B5CC-D2D8B9C72949}"/>
              </c:ext>
            </c:extLst>
          </c:dPt>
          <c:dPt>
            <c:idx val="120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969-9CF6-4383-B5CC-D2D8B9C72949}"/>
              </c:ext>
            </c:extLst>
          </c:dPt>
          <c:dPt>
            <c:idx val="120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96B-9CF6-4383-B5CC-D2D8B9C72949}"/>
              </c:ext>
            </c:extLst>
          </c:dPt>
          <c:dPt>
            <c:idx val="120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96D-9CF6-4383-B5CC-D2D8B9C72949}"/>
              </c:ext>
            </c:extLst>
          </c:dPt>
          <c:dPt>
            <c:idx val="120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96F-9CF6-4383-B5CC-D2D8B9C72949}"/>
              </c:ext>
            </c:extLst>
          </c:dPt>
          <c:dPt>
            <c:idx val="120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971-9CF6-4383-B5CC-D2D8B9C72949}"/>
              </c:ext>
            </c:extLst>
          </c:dPt>
          <c:dPt>
            <c:idx val="120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973-9CF6-4383-B5CC-D2D8B9C72949}"/>
              </c:ext>
            </c:extLst>
          </c:dPt>
          <c:dPt>
            <c:idx val="121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975-9CF6-4383-B5CC-D2D8B9C72949}"/>
              </c:ext>
            </c:extLst>
          </c:dPt>
          <c:dPt>
            <c:idx val="121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977-9CF6-4383-B5CC-D2D8B9C72949}"/>
              </c:ext>
            </c:extLst>
          </c:dPt>
          <c:dPt>
            <c:idx val="121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979-9CF6-4383-B5CC-D2D8B9C72949}"/>
              </c:ext>
            </c:extLst>
          </c:dPt>
          <c:dPt>
            <c:idx val="121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97B-9CF6-4383-B5CC-D2D8B9C72949}"/>
              </c:ext>
            </c:extLst>
          </c:dPt>
          <c:dPt>
            <c:idx val="121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97D-9CF6-4383-B5CC-D2D8B9C72949}"/>
              </c:ext>
            </c:extLst>
          </c:dPt>
          <c:dPt>
            <c:idx val="121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97F-9CF6-4383-B5CC-D2D8B9C72949}"/>
              </c:ext>
            </c:extLst>
          </c:dPt>
          <c:dPt>
            <c:idx val="121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981-9CF6-4383-B5CC-D2D8B9C72949}"/>
              </c:ext>
            </c:extLst>
          </c:dPt>
          <c:dPt>
            <c:idx val="121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983-9CF6-4383-B5CC-D2D8B9C72949}"/>
              </c:ext>
            </c:extLst>
          </c:dPt>
          <c:dPt>
            <c:idx val="121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985-9CF6-4383-B5CC-D2D8B9C72949}"/>
              </c:ext>
            </c:extLst>
          </c:dPt>
          <c:dPt>
            <c:idx val="121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987-9CF6-4383-B5CC-D2D8B9C72949}"/>
              </c:ext>
            </c:extLst>
          </c:dPt>
          <c:dPt>
            <c:idx val="122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989-9CF6-4383-B5CC-D2D8B9C72949}"/>
              </c:ext>
            </c:extLst>
          </c:dPt>
          <c:dPt>
            <c:idx val="122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98B-9CF6-4383-B5CC-D2D8B9C72949}"/>
              </c:ext>
            </c:extLst>
          </c:dPt>
          <c:dPt>
            <c:idx val="122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98D-9CF6-4383-B5CC-D2D8B9C72949}"/>
              </c:ext>
            </c:extLst>
          </c:dPt>
          <c:dPt>
            <c:idx val="122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98F-9CF6-4383-B5CC-D2D8B9C72949}"/>
              </c:ext>
            </c:extLst>
          </c:dPt>
          <c:dPt>
            <c:idx val="122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991-9CF6-4383-B5CC-D2D8B9C72949}"/>
              </c:ext>
            </c:extLst>
          </c:dPt>
          <c:dPt>
            <c:idx val="122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993-9CF6-4383-B5CC-D2D8B9C72949}"/>
              </c:ext>
            </c:extLst>
          </c:dPt>
          <c:dPt>
            <c:idx val="122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995-9CF6-4383-B5CC-D2D8B9C72949}"/>
              </c:ext>
            </c:extLst>
          </c:dPt>
          <c:dPt>
            <c:idx val="122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997-9CF6-4383-B5CC-D2D8B9C72949}"/>
              </c:ext>
            </c:extLst>
          </c:dPt>
          <c:dPt>
            <c:idx val="122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999-9CF6-4383-B5CC-D2D8B9C72949}"/>
              </c:ext>
            </c:extLst>
          </c:dPt>
          <c:dPt>
            <c:idx val="122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99B-9CF6-4383-B5CC-D2D8B9C72949}"/>
              </c:ext>
            </c:extLst>
          </c:dPt>
          <c:dPt>
            <c:idx val="123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99D-9CF6-4383-B5CC-D2D8B9C72949}"/>
              </c:ext>
            </c:extLst>
          </c:dPt>
          <c:dPt>
            <c:idx val="123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99F-9CF6-4383-B5CC-D2D8B9C72949}"/>
              </c:ext>
            </c:extLst>
          </c:dPt>
          <c:dPt>
            <c:idx val="123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9A1-9CF6-4383-B5CC-D2D8B9C72949}"/>
              </c:ext>
            </c:extLst>
          </c:dPt>
          <c:dPt>
            <c:idx val="123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9A3-9CF6-4383-B5CC-D2D8B9C72949}"/>
              </c:ext>
            </c:extLst>
          </c:dPt>
          <c:dPt>
            <c:idx val="123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9A5-9CF6-4383-B5CC-D2D8B9C72949}"/>
              </c:ext>
            </c:extLst>
          </c:dPt>
          <c:dPt>
            <c:idx val="123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9A7-9CF6-4383-B5CC-D2D8B9C72949}"/>
              </c:ext>
            </c:extLst>
          </c:dPt>
          <c:dPt>
            <c:idx val="123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9A9-9CF6-4383-B5CC-D2D8B9C72949}"/>
              </c:ext>
            </c:extLst>
          </c:dPt>
          <c:dPt>
            <c:idx val="123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9AB-9CF6-4383-B5CC-D2D8B9C72949}"/>
              </c:ext>
            </c:extLst>
          </c:dPt>
          <c:dPt>
            <c:idx val="123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9AD-9CF6-4383-B5CC-D2D8B9C72949}"/>
              </c:ext>
            </c:extLst>
          </c:dPt>
          <c:dPt>
            <c:idx val="123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9AF-9CF6-4383-B5CC-D2D8B9C72949}"/>
              </c:ext>
            </c:extLst>
          </c:dPt>
          <c:dPt>
            <c:idx val="124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9B1-9CF6-4383-B5CC-D2D8B9C72949}"/>
              </c:ext>
            </c:extLst>
          </c:dPt>
          <c:dPt>
            <c:idx val="124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9B3-9CF6-4383-B5CC-D2D8B9C72949}"/>
              </c:ext>
            </c:extLst>
          </c:dPt>
          <c:dPt>
            <c:idx val="1242"/>
            <c:bubble3D val="0"/>
            <c:spPr>
              <a:solidFill>
                <a:schemeClr val="accent1"/>
              </a:solidFill>
              <a:ln w="19050">
                <a:solidFill>
                  <a:schemeClr val="lt1"/>
                </a:solidFill>
              </a:ln>
              <a:effectLst/>
            </c:spPr>
            <c:extLst>
              <c:ext xmlns:c16="http://schemas.microsoft.com/office/drawing/2014/chart" uri="{C3380CC4-5D6E-409C-BE32-E72D297353CC}">
                <c16:uniqueId val="{000009B5-9CF6-4383-B5CC-D2D8B9C72949}"/>
              </c:ext>
            </c:extLst>
          </c:dPt>
          <c:dPt>
            <c:idx val="1243"/>
            <c:bubble3D val="0"/>
            <c:spPr>
              <a:solidFill>
                <a:schemeClr val="accent2"/>
              </a:solidFill>
              <a:ln w="19050">
                <a:solidFill>
                  <a:schemeClr val="lt1"/>
                </a:solidFill>
              </a:ln>
              <a:effectLst/>
            </c:spPr>
            <c:extLst>
              <c:ext xmlns:c16="http://schemas.microsoft.com/office/drawing/2014/chart" uri="{C3380CC4-5D6E-409C-BE32-E72D297353CC}">
                <c16:uniqueId val="{000009B7-9CF6-4383-B5CC-D2D8B9C72949}"/>
              </c:ext>
            </c:extLst>
          </c:dPt>
          <c:dPt>
            <c:idx val="1244"/>
            <c:bubble3D val="0"/>
            <c:spPr>
              <a:solidFill>
                <a:schemeClr val="accent3"/>
              </a:solidFill>
              <a:ln w="19050">
                <a:solidFill>
                  <a:schemeClr val="lt1"/>
                </a:solidFill>
              </a:ln>
              <a:effectLst/>
            </c:spPr>
            <c:extLst>
              <c:ext xmlns:c16="http://schemas.microsoft.com/office/drawing/2014/chart" uri="{C3380CC4-5D6E-409C-BE32-E72D297353CC}">
                <c16:uniqueId val="{000009B9-9CF6-4383-B5CC-D2D8B9C72949}"/>
              </c:ext>
            </c:extLst>
          </c:dPt>
          <c:dPt>
            <c:idx val="1245"/>
            <c:bubble3D val="0"/>
            <c:spPr>
              <a:solidFill>
                <a:schemeClr val="accent4"/>
              </a:solidFill>
              <a:ln w="19050">
                <a:solidFill>
                  <a:schemeClr val="lt1"/>
                </a:solidFill>
              </a:ln>
              <a:effectLst/>
            </c:spPr>
            <c:extLst>
              <c:ext xmlns:c16="http://schemas.microsoft.com/office/drawing/2014/chart" uri="{C3380CC4-5D6E-409C-BE32-E72D297353CC}">
                <c16:uniqueId val="{000009BB-9CF6-4383-B5CC-D2D8B9C72949}"/>
              </c:ext>
            </c:extLst>
          </c:dPt>
          <c:dPt>
            <c:idx val="1246"/>
            <c:bubble3D val="0"/>
            <c:spPr>
              <a:solidFill>
                <a:schemeClr val="accent5"/>
              </a:solidFill>
              <a:ln w="19050">
                <a:solidFill>
                  <a:schemeClr val="lt1"/>
                </a:solidFill>
              </a:ln>
              <a:effectLst/>
            </c:spPr>
            <c:extLst>
              <c:ext xmlns:c16="http://schemas.microsoft.com/office/drawing/2014/chart" uri="{C3380CC4-5D6E-409C-BE32-E72D297353CC}">
                <c16:uniqueId val="{000009BD-9CF6-4383-B5CC-D2D8B9C72949}"/>
              </c:ext>
            </c:extLst>
          </c:dPt>
          <c:dPt>
            <c:idx val="1247"/>
            <c:bubble3D val="0"/>
            <c:spPr>
              <a:solidFill>
                <a:schemeClr val="accent6"/>
              </a:solidFill>
              <a:ln w="19050">
                <a:solidFill>
                  <a:schemeClr val="lt1"/>
                </a:solidFill>
              </a:ln>
              <a:effectLst/>
            </c:spPr>
            <c:extLst>
              <c:ext xmlns:c16="http://schemas.microsoft.com/office/drawing/2014/chart" uri="{C3380CC4-5D6E-409C-BE32-E72D297353CC}">
                <c16:uniqueId val="{000009BF-9CF6-4383-B5CC-D2D8B9C72949}"/>
              </c:ext>
            </c:extLst>
          </c:dPt>
          <c:dPt>
            <c:idx val="124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9C1-9CF6-4383-B5CC-D2D8B9C72949}"/>
              </c:ext>
            </c:extLst>
          </c:dPt>
          <c:dPt>
            <c:idx val="124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9C3-9CF6-4383-B5CC-D2D8B9C72949}"/>
              </c:ext>
            </c:extLst>
          </c:dPt>
          <c:dPt>
            <c:idx val="125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9C5-9CF6-4383-B5CC-D2D8B9C72949}"/>
              </c:ext>
            </c:extLst>
          </c:dPt>
          <c:dPt>
            <c:idx val="125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9C7-9CF6-4383-B5CC-D2D8B9C72949}"/>
              </c:ext>
            </c:extLst>
          </c:dPt>
          <c:dPt>
            <c:idx val="125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9C9-9CF6-4383-B5CC-D2D8B9C72949}"/>
              </c:ext>
            </c:extLst>
          </c:dPt>
          <c:dPt>
            <c:idx val="125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9CB-9CF6-4383-B5CC-D2D8B9C72949}"/>
              </c:ext>
            </c:extLst>
          </c:dPt>
          <c:dPt>
            <c:idx val="125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9CD-9CF6-4383-B5CC-D2D8B9C72949}"/>
              </c:ext>
            </c:extLst>
          </c:dPt>
          <c:dPt>
            <c:idx val="125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9CF-9CF6-4383-B5CC-D2D8B9C72949}"/>
              </c:ext>
            </c:extLst>
          </c:dPt>
          <c:dPt>
            <c:idx val="125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9D1-9CF6-4383-B5CC-D2D8B9C72949}"/>
              </c:ext>
            </c:extLst>
          </c:dPt>
          <c:dPt>
            <c:idx val="125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9D3-9CF6-4383-B5CC-D2D8B9C72949}"/>
              </c:ext>
            </c:extLst>
          </c:dPt>
          <c:dPt>
            <c:idx val="125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9D5-9CF6-4383-B5CC-D2D8B9C72949}"/>
              </c:ext>
            </c:extLst>
          </c:dPt>
          <c:dPt>
            <c:idx val="125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9D7-9CF6-4383-B5CC-D2D8B9C72949}"/>
              </c:ext>
            </c:extLst>
          </c:dPt>
          <c:dPt>
            <c:idx val="126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9D9-9CF6-4383-B5CC-D2D8B9C72949}"/>
              </c:ext>
            </c:extLst>
          </c:dPt>
          <c:dPt>
            <c:idx val="126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9DB-9CF6-4383-B5CC-D2D8B9C72949}"/>
              </c:ext>
            </c:extLst>
          </c:dPt>
          <c:dPt>
            <c:idx val="126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9DD-9CF6-4383-B5CC-D2D8B9C72949}"/>
              </c:ext>
            </c:extLst>
          </c:dPt>
          <c:dPt>
            <c:idx val="126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9DF-9CF6-4383-B5CC-D2D8B9C72949}"/>
              </c:ext>
            </c:extLst>
          </c:dPt>
          <c:dPt>
            <c:idx val="126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9E1-9CF6-4383-B5CC-D2D8B9C72949}"/>
              </c:ext>
            </c:extLst>
          </c:dPt>
          <c:dPt>
            <c:idx val="126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9E3-9CF6-4383-B5CC-D2D8B9C72949}"/>
              </c:ext>
            </c:extLst>
          </c:dPt>
          <c:dPt>
            <c:idx val="126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9E5-9CF6-4383-B5CC-D2D8B9C72949}"/>
              </c:ext>
            </c:extLst>
          </c:dPt>
          <c:dPt>
            <c:idx val="126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9E7-9CF6-4383-B5CC-D2D8B9C72949}"/>
              </c:ext>
            </c:extLst>
          </c:dPt>
          <c:dPt>
            <c:idx val="126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9E9-9CF6-4383-B5CC-D2D8B9C72949}"/>
              </c:ext>
            </c:extLst>
          </c:dPt>
          <c:dPt>
            <c:idx val="126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9EB-9CF6-4383-B5CC-D2D8B9C72949}"/>
              </c:ext>
            </c:extLst>
          </c:dPt>
          <c:dPt>
            <c:idx val="127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9ED-9CF6-4383-B5CC-D2D8B9C72949}"/>
              </c:ext>
            </c:extLst>
          </c:dPt>
          <c:dPt>
            <c:idx val="127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9EF-9CF6-4383-B5CC-D2D8B9C72949}"/>
              </c:ext>
            </c:extLst>
          </c:dPt>
          <c:dPt>
            <c:idx val="127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9F1-9CF6-4383-B5CC-D2D8B9C72949}"/>
              </c:ext>
            </c:extLst>
          </c:dPt>
          <c:dPt>
            <c:idx val="127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9F3-9CF6-4383-B5CC-D2D8B9C72949}"/>
              </c:ext>
            </c:extLst>
          </c:dPt>
          <c:dPt>
            <c:idx val="127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9F5-9CF6-4383-B5CC-D2D8B9C72949}"/>
              </c:ext>
            </c:extLst>
          </c:dPt>
          <c:dPt>
            <c:idx val="127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9F7-9CF6-4383-B5CC-D2D8B9C72949}"/>
              </c:ext>
            </c:extLst>
          </c:dPt>
          <c:dPt>
            <c:idx val="127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9F9-9CF6-4383-B5CC-D2D8B9C72949}"/>
              </c:ext>
            </c:extLst>
          </c:dPt>
          <c:dPt>
            <c:idx val="127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9FB-9CF6-4383-B5CC-D2D8B9C72949}"/>
              </c:ext>
            </c:extLst>
          </c:dPt>
          <c:dPt>
            <c:idx val="127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9FD-9CF6-4383-B5CC-D2D8B9C72949}"/>
              </c:ext>
            </c:extLst>
          </c:dPt>
          <c:dPt>
            <c:idx val="127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9FF-9CF6-4383-B5CC-D2D8B9C72949}"/>
              </c:ext>
            </c:extLst>
          </c:dPt>
          <c:dPt>
            <c:idx val="128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A01-9CF6-4383-B5CC-D2D8B9C72949}"/>
              </c:ext>
            </c:extLst>
          </c:dPt>
          <c:dPt>
            <c:idx val="128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A03-9CF6-4383-B5CC-D2D8B9C72949}"/>
              </c:ext>
            </c:extLst>
          </c:dPt>
          <c:dPt>
            <c:idx val="128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A05-9CF6-4383-B5CC-D2D8B9C72949}"/>
              </c:ext>
            </c:extLst>
          </c:dPt>
          <c:dPt>
            <c:idx val="128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A07-9CF6-4383-B5CC-D2D8B9C72949}"/>
              </c:ext>
            </c:extLst>
          </c:dPt>
          <c:dPt>
            <c:idx val="128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A09-9CF6-4383-B5CC-D2D8B9C72949}"/>
              </c:ext>
            </c:extLst>
          </c:dPt>
          <c:dPt>
            <c:idx val="128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A0B-9CF6-4383-B5CC-D2D8B9C72949}"/>
              </c:ext>
            </c:extLst>
          </c:dPt>
          <c:dPt>
            <c:idx val="128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A0D-9CF6-4383-B5CC-D2D8B9C72949}"/>
              </c:ext>
            </c:extLst>
          </c:dPt>
          <c:dPt>
            <c:idx val="128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A0F-9CF6-4383-B5CC-D2D8B9C72949}"/>
              </c:ext>
            </c:extLst>
          </c:dPt>
          <c:dPt>
            <c:idx val="128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A11-9CF6-4383-B5CC-D2D8B9C72949}"/>
              </c:ext>
            </c:extLst>
          </c:dPt>
          <c:dPt>
            <c:idx val="128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A13-9CF6-4383-B5CC-D2D8B9C72949}"/>
              </c:ext>
            </c:extLst>
          </c:dPt>
          <c:dPt>
            <c:idx val="129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A15-9CF6-4383-B5CC-D2D8B9C72949}"/>
              </c:ext>
            </c:extLst>
          </c:dPt>
          <c:dPt>
            <c:idx val="129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A17-9CF6-4383-B5CC-D2D8B9C72949}"/>
              </c:ext>
            </c:extLst>
          </c:dPt>
          <c:dPt>
            <c:idx val="129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A19-9CF6-4383-B5CC-D2D8B9C72949}"/>
              </c:ext>
            </c:extLst>
          </c:dPt>
          <c:dPt>
            <c:idx val="129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A1B-9CF6-4383-B5CC-D2D8B9C72949}"/>
              </c:ext>
            </c:extLst>
          </c:dPt>
          <c:dPt>
            <c:idx val="129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A1D-9CF6-4383-B5CC-D2D8B9C72949}"/>
              </c:ext>
            </c:extLst>
          </c:dPt>
          <c:dPt>
            <c:idx val="129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A1F-9CF6-4383-B5CC-D2D8B9C72949}"/>
              </c:ext>
            </c:extLst>
          </c:dPt>
          <c:dPt>
            <c:idx val="1296"/>
            <c:bubble3D val="0"/>
            <c:spPr>
              <a:solidFill>
                <a:schemeClr val="accent1"/>
              </a:solidFill>
              <a:ln w="19050">
                <a:solidFill>
                  <a:schemeClr val="lt1"/>
                </a:solidFill>
              </a:ln>
              <a:effectLst/>
            </c:spPr>
            <c:extLst>
              <c:ext xmlns:c16="http://schemas.microsoft.com/office/drawing/2014/chart" uri="{C3380CC4-5D6E-409C-BE32-E72D297353CC}">
                <c16:uniqueId val="{00000A21-9CF6-4383-B5CC-D2D8B9C72949}"/>
              </c:ext>
            </c:extLst>
          </c:dPt>
          <c:dPt>
            <c:idx val="1297"/>
            <c:bubble3D val="0"/>
            <c:spPr>
              <a:solidFill>
                <a:schemeClr val="accent2"/>
              </a:solidFill>
              <a:ln w="19050">
                <a:solidFill>
                  <a:schemeClr val="lt1"/>
                </a:solidFill>
              </a:ln>
              <a:effectLst/>
            </c:spPr>
            <c:extLst>
              <c:ext xmlns:c16="http://schemas.microsoft.com/office/drawing/2014/chart" uri="{C3380CC4-5D6E-409C-BE32-E72D297353CC}">
                <c16:uniqueId val="{00000A23-9CF6-4383-B5CC-D2D8B9C72949}"/>
              </c:ext>
            </c:extLst>
          </c:dPt>
          <c:dPt>
            <c:idx val="1298"/>
            <c:bubble3D val="0"/>
            <c:spPr>
              <a:solidFill>
                <a:schemeClr val="accent3"/>
              </a:solidFill>
              <a:ln w="19050">
                <a:solidFill>
                  <a:schemeClr val="lt1"/>
                </a:solidFill>
              </a:ln>
              <a:effectLst/>
            </c:spPr>
            <c:extLst>
              <c:ext xmlns:c16="http://schemas.microsoft.com/office/drawing/2014/chart" uri="{C3380CC4-5D6E-409C-BE32-E72D297353CC}">
                <c16:uniqueId val="{00000A25-9CF6-4383-B5CC-D2D8B9C72949}"/>
              </c:ext>
            </c:extLst>
          </c:dPt>
          <c:dPt>
            <c:idx val="1299"/>
            <c:bubble3D val="0"/>
            <c:spPr>
              <a:solidFill>
                <a:schemeClr val="accent4"/>
              </a:solidFill>
              <a:ln w="19050">
                <a:solidFill>
                  <a:schemeClr val="lt1"/>
                </a:solidFill>
              </a:ln>
              <a:effectLst/>
            </c:spPr>
            <c:extLst>
              <c:ext xmlns:c16="http://schemas.microsoft.com/office/drawing/2014/chart" uri="{C3380CC4-5D6E-409C-BE32-E72D297353CC}">
                <c16:uniqueId val="{00000A27-9CF6-4383-B5CC-D2D8B9C72949}"/>
              </c:ext>
            </c:extLst>
          </c:dPt>
          <c:dPt>
            <c:idx val="1300"/>
            <c:bubble3D val="0"/>
            <c:spPr>
              <a:solidFill>
                <a:schemeClr val="accent5"/>
              </a:solidFill>
              <a:ln w="19050">
                <a:solidFill>
                  <a:schemeClr val="lt1"/>
                </a:solidFill>
              </a:ln>
              <a:effectLst/>
            </c:spPr>
            <c:extLst>
              <c:ext xmlns:c16="http://schemas.microsoft.com/office/drawing/2014/chart" uri="{C3380CC4-5D6E-409C-BE32-E72D297353CC}">
                <c16:uniqueId val="{00000A29-9CF6-4383-B5CC-D2D8B9C72949}"/>
              </c:ext>
            </c:extLst>
          </c:dPt>
          <c:dPt>
            <c:idx val="1301"/>
            <c:bubble3D val="0"/>
            <c:spPr>
              <a:solidFill>
                <a:schemeClr val="accent6"/>
              </a:solidFill>
              <a:ln w="19050">
                <a:solidFill>
                  <a:schemeClr val="lt1"/>
                </a:solidFill>
              </a:ln>
              <a:effectLst/>
            </c:spPr>
            <c:extLst>
              <c:ext xmlns:c16="http://schemas.microsoft.com/office/drawing/2014/chart" uri="{C3380CC4-5D6E-409C-BE32-E72D297353CC}">
                <c16:uniqueId val="{00000A2B-9CF6-4383-B5CC-D2D8B9C72949}"/>
              </c:ext>
            </c:extLst>
          </c:dPt>
          <c:dPt>
            <c:idx val="130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A2D-9CF6-4383-B5CC-D2D8B9C72949}"/>
              </c:ext>
            </c:extLst>
          </c:dPt>
          <c:dPt>
            <c:idx val="130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A2F-9CF6-4383-B5CC-D2D8B9C72949}"/>
              </c:ext>
            </c:extLst>
          </c:dPt>
          <c:dPt>
            <c:idx val="130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A31-9CF6-4383-B5CC-D2D8B9C72949}"/>
              </c:ext>
            </c:extLst>
          </c:dPt>
          <c:dPt>
            <c:idx val="130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A33-9CF6-4383-B5CC-D2D8B9C72949}"/>
              </c:ext>
            </c:extLst>
          </c:dPt>
          <c:dPt>
            <c:idx val="130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A35-9CF6-4383-B5CC-D2D8B9C72949}"/>
              </c:ext>
            </c:extLst>
          </c:dPt>
          <c:dPt>
            <c:idx val="130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A37-9CF6-4383-B5CC-D2D8B9C72949}"/>
              </c:ext>
            </c:extLst>
          </c:dPt>
          <c:dPt>
            <c:idx val="130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A39-9CF6-4383-B5CC-D2D8B9C72949}"/>
              </c:ext>
            </c:extLst>
          </c:dPt>
          <c:dPt>
            <c:idx val="130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A3B-9CF6-4383-B5CC-D2D8B9C72949}"/>
              </c:ext>
            </c:extLst>
          </c:dPt>
          <c:dPt>
            <c:idx val="131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A3D-9CF6-4383-B5CC-D2D8B9C72949}"/>
              </c:ext>
            </c:extLst>
          </c:dPt>
          <c:dPt>
            <c:idx val="131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A3F-9CF6-4383-B5CC-D2D8B9C72949}"/>
              </c:ext>
            </c:extLst>
          </c:dPt>
          <c:dPt>
            <c:idx val="131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A41-9CF6-4383-B5CC-D2D8B9C72949}"/>
              </c:ext>
            </c:extLst>
          </c:dPt>
          <c:dPt>
            <c:idx val="131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A43-9CF6-4383-B5CC-D2D8B9C72949}"/>
              </c:ext>
            </c:extLst>
          </c:dPt>
          <c:dPt>
            <c:idx val="131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A45-9CF6-4383-B5CC-D2D8B9C72949}"/>
              </c:ext>
            </c:extLst>
          </c:dPt>
          <c:dPt>
            <c:idx val="131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A47-9CF6-4383-B5CC-D2D8B9C72949}"/>
              </c:ext>
            </c:extLst>
          </c:dPt>
          <c:dPt>
            <c:idx val="131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A49-9CF6-4383-B5CC-D2D8B9C72949}"/>
              </c:ext>
            </c:extLst>
          </c:dPt>
          <c:dPt>
            <c:idx val="131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A4B-9CF6-4383-B5CC-D2D8B9C72949}"/>
              </c:ext>
            </c:extLst>
          </c:dPt>
          <c:dPt>
            <c:idx val="131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A4D-9CF6-4383-B5CC-D2D8B9C72949}"/>
              </c:ext>
            </c:extLst>
          </c:dPt>
          <c:dPt>
            <c:idx val="131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A4F-9CF6-4383-B5CC-D2D8B9C72949}"/>
              </c:ext>
            </c:extLst>
          </c:dPt>
          <c:dPt>
            <c:idx val="132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A51-9CF6-4383-B5CC-D2D8B9C72949}"/>
              </c:ext>
            </c:extLst>
          </c:dPt>
          <c:dPt>
            <c:idx val="132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A53-9CF6-4383-B5CC-D2D8B9C72949}"/>
              </c:ext>
            </c:extLst>
          </c:dPt>
          <c:dPt>
            <c:idx val="132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A55-9CF6-4383-B5CC-D2D8B9C72949}"/>
              </c:ext>
            </c:extLst>
          </c:dPt>
          <c:dPt>
            <c:idx val="132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A57-9CF6-4383-B5CC-D2D8B9C72949}"/>
              </c:ext>
            </c:extLst>
          </c:dPt>
          <c:dPt>
            <c:idx val="132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A59-9CF6-4383-B5CC-D2D8B9C72949}"/>
              </c:ext>
            </c:extLst>
          </c:dPt>
          <c:dPt>
            <c:idx val="132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A5B-9CF6-4383-B5CC-D2D8B9C72949}"/>
              </c:ext>
            </c:extLst>
          </c:dPt>
          <c:dPt>
            <c:idx val="132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A5D-9CF6-4383-B5CC-D2D8B9C72949}"/>
              </c:ext>
            </c:extLst>
          </c:dPt>
          <c:dPt>
            <c:idx val="132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A5F-9CF6-4383-B5CC-D2D8B9C72949}"/>
              </c:ext>
            </c:extLst>
          </c:dPt>
          <c:dPt>
            <c:idx val="132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A61-9CF6-4383-B5CC-D2D8B9C72949}"/>
              </c:ext>
            </c:extLst>
          </c:dPt>
          <c:dPt>
            <c:idx val="132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A63-9CF6-4383-B5CC-D2D8B9C72949}"/>
              </c:ext>
            </c:extLst>
          </c:dPt>
          <c:dPt>
            <c:idx val="133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A65-9CF6-4383-B5CC-D2D8B9C72949}"/>
              </c:ext>
            </c:extLst>
          </c:dPt>
          <c:dPt>
            <c:idx val="133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A67-9CF6-4383-B5CC-D2D8B9C72949}"/>
              </c:ext>
            </c:extLst>
          </c:dPt>
          <c:dPt>
            <c:idx val="133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A69-9CF6-4383-B5CC-D2D8B9C72949}"/>
              </c:ext>
            </c:extLst>
          </c:dPt>
          <c:dPt>
            <c:idx val="133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A6B-9CF6-4383-B5CC-D2D8B9C72949}"/>
              </c:ext>
            </c:extLst>
          </c:dPt>
          <c:dPt>
            <c:idx val="133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A6D-9CF6-4383-B5CC-D2D8B9C72949}"/>
              </c:ext>
            </c:extLst>
          </c:dPt>
          <c:dPt>
            <c:idx val="133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A6F-9CF6-4383-B5CC-D2D8B9C72949}"/>
              </c:ext>
            </c:extLst>
          </c:dPt>
          <c:dPt>
            <c:idx val="133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A71-9CF6-4383-B5CC-D2D8B9C72949}"/>
              </c:ext>
            </c:extLst>
          </c:dPt>
          <c:dPt>
            <c:idx val="133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A73-9CF6-4383-B5CC-D2D8B9C72949}"/>
              </c:ext>
            </c:extLst>
          </c:dPt>
          <c:dPt>
            <c:idx val="133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A75-9CF6-4383-B5CC-D2D8B9C72949}"/>
              </c:ext>
            </c:extLst>
          </c:dPt>
          <c:dPt>
            <c:idx val="133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A77-9CF6-4383-B5CC-D2D8B9C72949}"/>
              </c:ext>
            </c:extLst>
          </c:dPt>
          <c:dPt>
            <c:idx val="134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A79-9CF6-4383-B5CC-D2D8B9C72949}"/>
              </c:ext>
            </c:extLst>
          </c:dPt>
          <c:dPt>
            <c:idx val="134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A7B-9CF6-4383-B5CC-D2D8B9C72949}"/>
              </c:ext>
            </c:extLst>
          </c:dPt>
          <c:dPt>
            <c:idx val="134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A7D-9CF6-4383-B5CC-D2D8B9C72949}"/>
              </c:ext>
            </c:extLst>
          </c:dPt>
          <c:dPt>
            <c:idx val="134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A7F-9CF6-4383-B5CC-D2D8B9C72949}"/>
              </c:ext>
            </c:extLst>
          </c:dPt>
          <c:dPt>
            <c:idx val="134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A81-9CF6-4383-B5CC-D2D8B9C72949}"/>
              </c:ext>
            </c:extLst>
          </c:dPt>
          <c:dPt>
            <c:idx val="134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A83-9CF6-4383-B5CC-D2D8B9C72949}"/>
              </c:ext>
            </c:extLst>
          </c:dPt>
          <c:dPt>
            <c:idx val="134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A85-9CF6-4383-B5CC-D2D8B9C72949}"/>
              </c:ext>
            </c:extLst>
          </c:dPt>
          <c:dPt>
            <c:idx val="134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A87-9CF6-4383-B5CC-D2D8B9C72949}"/>
              </c:ext>
            </c:extLst>
          </c:dPt>
          <c:dPt>
            <c:idx val="134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A89-9CF6-4383-B5CC-D2D8B9C72949}"/>
              </c:ext>
            </c:extLst>
          </c:dPt>
          <c:dPt>
            <c:idx val="134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A8B-9CF6-4383-B5CC-D2D8B9C72949}"/>
              </c:ext>
            </c:extLst>
          </c:dPt>
          <c:dPt>
            <c:idx val="1350"/>
            <c:bubble3D val="0"/>
            <c:spPr>
              <a:solidFill>
                <a:schemeClr val="accent1"/>
              </a:solidFill>
              <a:ln w="19050">
                <a:solidFill>
                  <a:schemeClr val="lt1"/>
                </a:solidFill>
              </a:ln>
              <a:effectLst/>
            </c:spPr>
            <c:extLst>
              <c:ext xmlns:c16="http://schemas.microsoft.com/office/drawing/2014/chart" uri="{C3380CC4-5D6E-409C-BE32-E72D297353CC}">
                <c16:uniqueId val="{00000A8D-9CF6-4383-B5CC-D2D8B9C72949}"/>
              </c:ext>
            </c:extLst>
          </c:dPt>
          <c:dPt>
            <c:idx val="1351"/>
            <c:bubble3D val="0"/>
            <c:spPr>
              <a:solidFill>
                <a:schemeClr val="accent2"/>
              </a:solidFill>
              <a:ln w="19050">
                <a:solidFill>
                  <a:schemeClr val="lt1"/>
                </a:solidFill>
              </a:ln>
              <a:effectLst/>
            </c:spPr>
            <c:extLst>
              <c:ext xmlns:c16="http://schemas.microsoft.com/office/drawing/2014/chart" uri="{C3380CC4-5D6E-409C-BE32-E72D297353CC}">
                <c16:uniqueId val="{00000A8F-9CF6-4383-B5CC-D2D8B9C72949}"/>
              </c:ext>
            </c:extLst>
          </c:dPt>
          <c:dPt>
            <c:idx val="1352"/>
            <c:bubble3D val="0"/>
            <c:spPr>
              <a:solidFill>
                <a:schemeClr val="accent3"/>
              </a:solidFill>
              <a:ln w="19050">
                <a:solidFill>
                  <a:schemeClr val="lt1"/>
                </a:solidFill>
              </a:ln>
              <a:effectLst/>
            </c:spPr>
            <c:extLst>
              <c:ext xmlns:c16="http://schemas.microsoft.com/office/drawing/2014/chart" uri="{C3380CC4-5D6E-409C-BE32-E72D297353CC}">
                <c16:uniqueId val="{00000A91-9CF6-4383-B5CC-D2D8B9C72949}"/>
              </c:ext>
            </c:extLst>
          </c:dPt>
          <c:dPt>
            <c:idx val="1353"/>
            <c:bubble3D val="0"/>
            <c:spPr>
              <a:solidFill>
                <a:schemeClr val="accent4"/>
              </a:solidFill>
              <a:ln w="19050">
                <a:solidFill>
                  <a:schemeClr val="lt1"/>
                </a:solidFill>
              </a:ln>
              <a:effectLst/>
            </c:spPr>
            <c:extLst>
              <c:ext xmlns:c16="http://schemas.microsoft.com/office/drawing/2014/chart" uri="{C3380CC4-5D6E-409C-BE32-E72D297353CC}">
                <c16:uniqueId val="{00000A93-9CF6-4383-B5CC-D2D8B9C72949}"/>
              </c:ext>
            </c:extLst>
          </c:dPt>
          <c:dPt>
            <c:idx val="1354"/>
            <c:bubble3D val="0"/>
            <c:spPr>
              <a:solidFill>
                <a:schemeClr val="accent5"/>
              </a:solidFill>
              <a:ln w="19050">
                <a:solidFill>
                  <a:schemeClr val="lt1"/>
                </a:solidFill>
              </a:ln>
              <a:effectLst/>
            </c:spPr>
            <c:extLst>
              <c:ext xmlns:c16="http://schemas.microsoft.com/office/drawing/2014/chart" uri="{C3380CC4-5D6E-409C-BE32-E72D297353CC}">
                <c16:uniqueId val="{00000A95-9CF6-4383-B5CC-D2D8B9C72949}"/>
              </c:ext>
            </c:extLst>
          </c:dPt>
          <c:dPt>
            <c:idx val="1355"/>
            <c:bubble3D val="0"/>
            <c:spPr>
              <a:solidFill>
                <a:schemeClr val="accent6"/>
              </a:solidFill>
              <a:ln w="19050">
                <a:solidFill>
                  <a:schemeClr val="lt1"/>
                </a:solidFill>
              </a:ln>
              <a:effectLst/>
            </c:spPr>
            <c:extLst>
              <c:ext xmlns:c16="http://schemas.microsoft.com/office/drawing/2014/chart" uri="{C3380CC4-5D6E-409C-BE32-E72D297353CC}">
                <c16:uniqueId val="{00000A97-9CF6-4383-B5CC-D2D8B9C72949}"/>
              </c:ext>
            </c:extLst>
          </c:dPt>
          <c:dPt>
            <c:idx val="135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A99-9CF6-4383-B5CC-D2D8B9C72949}"/>
              </c:ext>
            </c:extLst>
          </c:dPt>
          <c:dPt>
            <c:idx val="135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A9B-9CF6-4383-B5CC-D2D8B9C72949}"/>
              </c:ext>
            </c:extLst>
          </c:dPt>
          <c:dPt>
            <c:idx val="135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A9D-9CF6-4383-B5CC-D2D8B9C72949}"/>
              </c:ext>
            </c:extLst>
          </c:dPt>
          <c:dPt>
            <c:idx val="135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A9F-9CF6-4383-B5CC-D2D8B9C72949}"/>
              </c:ext>
            </c:extLst>
          </c:dPt>
          <c:dPt>
            <c:idx val="136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AA1-9CF6-4383-B5CC-D2D8B9C72949}"/>
              </c:ext>
            </c:extLst>
          </c:dPt>
          <c:dPt>
            <c:idx val="136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AA3-9CF6-4383-B5CC-D2D8B9C72949}"/>
              </c:ext>
            </c:extLst>
          </c:dPt>
          <c:dPt>
            <c:idx val="136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AA5-9CF6-4383-B5CC-D2D8B9C72949}"/>
              </c:ext>
            </c:extLst>
          </c:dPt>
          <c:dPt>
            <c:idx val="136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AA7-9CF6-4383-B5CC-D2D8B9C72949}"/>
              </c:ext>
            </c:extLst>
          </c:dPt>
          <c:dPt>
            <c:idx val="136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AA9-9CF6-4383-B5CC-D2D8B9C72949}"/>
              </c:ext>
            </c:extLst>
          </c:dPt>
          <c:dPt>
            <c:idx val="136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AAB-9CF6-4383-B5CC-D2D8B9C72949}"/>
              </c:ext>
            </c:extLst>
          </c:dPt>
          <c:dPt>
            <c:idx val="136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AAD-9CF6-4383-B5CC-D2D8B9C72949}"/>
              </c:ext>
            </c:extLst>
          </c:dPt>
          <c:dPt>
            <c:idx val="136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AAF-9CF6-4383-B5CC-D2D8B9C72949}"/>
              </c:ext>
            </c:extLst>
          </c:dPt>
          <c:dPt>
            <c:idx val="136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AB1-9CF6-4383-B5CC-D2D8B9C72949}"/>
              </c:ext>
            </c:extLst>
          </c:dPt>
          <c:dPt>
            <c:idx val="136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AB3-9CF6-4383-B5CC-D2D8B9C72949}"/>
              </c:ext>
            </c:extLst>
          </c:dPt>
          <c:dPt>
            <c:idx val="137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AB5-9CF6-4383-B5CC-D2D8B9C72949}"/>
              </c:ext>
            </c:extLst>
          </c:dPt>
          <c:dPt>
            <c:idx val="137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AB7-9CF6-4383-B5CC-D2D8B9C72949}"/>
              </c:ext>
            </c:extLst>
          </c:dPt>
          <c:dPt>
            <c:idx val="137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AB9-9CF6-4383-B5CC-D2D8B9C72949}"/>
              </c:ext>
            </c:extLst>
          </c:dPt>
          <c:dPt>
            <c:idx val="137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ABB-9CF6-4383-B5CC-D2D8B9C72949}"/>
              </c:ext>
            </c:extLst>
          </c:dPt>
          <c:dPt>
            <c:idx val="137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ABD-9CF6-4383-B5CC-D2D8B9C72949}"/>
              </c:ext>
            </c:extLst>
          </c:dPt>
          <c:dPt>
            <c:idx val="137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ABF-9CF6-4383-B5CC-D2D8B9C72949}"/>
              </c:ext>
            </c:extLst>
          </c:dPt>
          <c:dPt>
            <c:idx val="137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AC1-9CF6-4383-B5CC-D2D8B9C72949}"/>
              </c:ext>
            </c:extLst>
          </c:dPt>
          <c:dPt>
            <c:idx val="137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AC3-9CF6-4383-B5CC-D2D8B9C72949}"/>
              </c:ext>
            </c:extLst>
          </c:dPt>
          <c:dPt>
            <c:idx val="137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AC5-9CF6-4383-B5CC-D2D8B9C72949}"/>
              </c:ext>
            </c:extLst>
          </c:dPt>
          <c:dPt>
            <c:idx val="137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AC7-9CF6-4383-B5CC-D2D8B9C72949}"/>
              </c:ext>
            </c:extLst>
          </c:dPt>
          <c:dPt>
            <c:idx val="138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AC9-9CF6-4383-B5CC-D2D8B9C72949}"/>
              </c:ext>
            </c:extLst>
          </c:dPt>
          <c:dPt>
            <c:idx val="138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ACB-9CF6-4383-B5CC-D2D8B9C72949}"/>
              </c:ext>
            </c:extLst>
          </c:dPt>
          <c:dPt>
            <c:idx val="138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ACD-9CF6-4383-B5CC-D2D8B9C72949}"/>
              </c:ext>
            </c:extLst>
          </c:dPt>
          <c:dPt>
            <c:idx val="138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ACF-9CF6-4383-B5CC-D2D8B9C72949}"/>
              </c:ext>
            </c:extLst>
          </c:dPt>
          <c:dPt>
            <c:idx val="138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AD1-9CF6-4383-B5CC-D2D8B9C72949}"/>
              </c:ext>
            </c:extLst>
          </c:dPt>
          <c:dPt>
            <c:idx val="138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AD3-9CF6-4383-B5CC-D2D8B9C72949}"/>
              </c:ext>
            </c:extLst>
          </c:dPt>
          <c:dPt>
            <c:idx val="138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AD5-9CF6-4383-B5CC-D2D8B9C72949}"/>
              </c:ext>
            </c:extLst>
          </c:dPt>
          <c:dPt>
            <c:idx val="138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AD7-9CF6-4383-B5CC-D2D8B9C72949}"/>
              </c:ext>
            </c:extLst>
          </c:dPt>
          <c:dPt>
            <c:idx val="138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AD9-9CF6-4383-B5CC-D2D8B9C72949}"/>
              </c:ext>
            </c:extLst>
          </c:dPt>
          <c:dPt>
            <c:idx val="138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ADB-9CF6-4383-B5CC-D2D8B9C72949}"/>
              </c:ext>
            </c:extLst>
          </c:dPt>
          <c:dPt>
            <c:idx val="139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ADD-9CF6-4383-B5CC-D2D8B9C72949}"/>
              </c:ext>
            </c:extLst>
          </c:dPt>
          <c:dPt>
            <c:idx val="139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ADF-9CF6-4383-B5CC-D2D8B9C72949}"/>
              </c:ext>
            </c:extLst>
          </c:dPt>
          <c:dPt>
            <c:idx val="139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AE1-9CF6-4383-B5CC-D2D8B9C72949}"/>
              </c:ext>
            </c:extLst>
          </c:dPt>
          <c:dPt>
            <c:idx val="139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AE3-9CF6-4383-B5CC-D2D8B9C72949}"/>
              </c:ext>
            </c:extLst>
          </c:dPt>
          <c:dPt>
            <c:idx val="139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AE5-9CF6-4383-B5CC-D2D8B9C72949}"/>
              </c:ext>
            </c:extLst>
          </c:dPt>
          <c:dPt>
            <c:idx val="139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AE7-9CF6-4383-B5CC-D2D8B9C72949}"/>
              </c:ext>
            </c:extLst>
          </c:dPt>
          <c:dPt>
            <c:idx val="139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AE9-9CF6-4383-B5CC-D2D8B9C72949}"/>
              </c:ext>
            </c:extLst>
          </c:dPt>
          <c:dPt>
            <c:idx val="139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AEB-9CF6-4383-B5CC-D2D8B9C72949}"/>
              </c:ext>
            </c:extLst>
          </c:dPt>
          <c:dPt>
            <c:idx val="139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AED-9CF6-4383-B5CC-D2D8B9C72949}"/>
              </c:ext>
            </c:extLst>
          </c:dPt>
          <c:dPt>
            <c:idx val="139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AEF-9CF6-4383-B5CC-D2D8B9C72949}"/>
              </c:ext>
            </c:extLst>
          </c:dPt>
          <c:dPt>
            <c:idx val="140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AF1-9CF6-4383-B5CC-D2D8B9C72949}"/>
              </c:ext>
            </c:extLst>
          </c:dPt>
          <c:dPt>
            <c:idx val="140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AF3-9CF6-4383-B5CC-D2D8B9C72949}"/>
              </c:ext>
            </c:extLst>
          </c:dPt>
          <c:dPt>
            <c:idx val="140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AF5-9CF6-4383-B5CC-D2D8B9C72949}"/>
              </c:ext>
            </c:extLst>
          </c:dPt>
          <c:dPt>
            <c:idx val="140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AF7-9CF6-4383-B5CC-D2D8B9C72949}"/>
              </c:ext>
            </c:extLst>
          </c:dPt>
          <c:dPt>
            <c:idx val="1404"/>
            <c:bubble3D val="0"/>
            <c:spPr>
              <a:solidFill>
                <a:schemeClr val="accent1"/>
              </a:solidFill>
              <a:ln w="19050">
                <a:solidFill>
                  <a:schemeClr val="lt1"/>
                </a:solidFill>
              </a:ln>
              <a:effectLst/>
            </c:spPr>
            <c:extLst>
              <c:ext xmlns:c16="http://schemas.microsoft.com/office/drawing/2014/chart" uri="{C3380CC4-5D6E-409C-BE32-E72D297353CC}">
                <c16:uniqueId val="{00000AF9-9CF6-4383-B5CC-D2D8B9C72949}"/>
              </c:ext>
            </c:extLst>
          </c:dPt>
          <c:dPt>
            <c:idx val="1405"/>
            <c:bubble3D val="0"/>
            <c:spPr>
              <a:solidFill>
                <a:schemeClr val="accent2"/>
              </a:solidFill>
              <a:ln w="19050">
                <a:solidFill>
                  <a:schemeClr val="lt1"/>
                </a:solidFill>
              </a:ln>
              <a:effectLst/>
            </c:spPr>
            <c:extLst>
              <c:ext xmlns:c16="http://schemas.microsoft.com/office/drawing/2014/chart" uri="{C3380CC4-5D6E-409C-BE32-E72D297353CC}">
                <c16:uniqueId val="{00000AFB-9CF6-4383-B5CC-D2D8B9C72949}"/>
              </c:ext>
            </c:extLst>
          </c:dPt>
          <c:dPt>
            <c:idx val="1406"/>
            <c:bubble3D val="0"/>
            <c:spPr>
              <a:solidFill>
                <a:schemeClr val="accent3"/>
              </a:solidFill>
              <a:ln w="19050">
                <a:solidFill>
                  <a:schemeClr val="lt1"/>
                </a:solidFill>
              </a:ln>
              <a:effectLst/>
            </c:spPr>
            <c:extLst>
              <c:ext xmlns:c16="http://schemas.microsoft.com/office/drawing/2014/chart" uri="{C3380CC4-5D6E-409C-BE32-E72D297353CC}">
                <c16:uniqueId val="{00000AFD-9CF6-4383-B5CC-D2D8B9C72949}"/>
              </c:ext>
            </c:extLst>
          </c:dPt>
          <c:dPt>
            <c:idx val="1407"/>
            <c:bubble3D val="0"/>
            <c:spPr>
              <a:solidFill>
                <a:schemeClr val="accent4"/>
              </a:solidFill>
              <a:ln w="19050">
                <a:solidFill>
                  <a:schemeClr val="lt1"/>
                </a:solidFill>
              </a:ln>
              <a:effectLst/>
            </c:spPr>
            <c:extLst>
              <c:ext xmlns:c16="http://schemas.microsoft.com/office/drawing/2014/chart" uri="{C3380CC4-5D6E-409C-BE32-E72D297353CC}">
                <c16:uniqueId val="{00000AFF-9CF6-4383-B5CC-D2D8B9C72949}"/>
              </c:ext>
            </c:extLst>
          </c:dPt>
          <c:dPt>
            <c:idx val="1408"/>
            <c:bubble3D val="0"/>
            <c:spPr>
              <a:solidFill>
                <a:schemeClr val="accent5"/>
              </a:solidFill>
              <a:ln w="19050">
                <a:solidFill>
                  <a:schemeClr val="lt1"/>
                </a:solidFill>
              </a:ln>
              <a:effectLst/>
            </c:spPr>
            <c:extLst>
              <c:ext xmlns:c16="http://schemas.microsoft.com/office/drawing/2014/chart" uri="{C3380CC4-5D6E-409C-BE32-E72D297353CC}">
                <c16:uniqueId val="{00000B01-9CF6-4383-B5CC-D2D8B9C72949}"/>
              </c:ext>
            </c:extLst>
          </c:dPt>
          <c:dPt>
            <c:idx val="1409"/>
            <c:bubble3D val="0"/>
            <c:spPr>
              <a:solidFill>
                <a:schemeClr val="accent6"/>
              </a:solidFill>
              <a:ln w="19050">
                <a:solidFill>
                  <a:schemeClr val="lt1"/>
                </a:solidFill>
              </a:ln>
              <a:effectLst/>
            </c:spPr>
            <c:extLst>
              <c:ext xmlns:c16="http://schemas.microsoft.com/office/drawing/2014/chart" uri="{C3380CC4-5D6E-409C-BE32-E72D297353CC}">
                <c16:uniqueId val="{00000B03-9CF6-4383-B5CC-D2D8B9C72949}"/>
              </c:ext>
            </c:extLst>
          </c:dPt>
          <c:dPt>
            <c:idx val="141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B05-9CF6-4383-B5CC-D2D8B9C72949}"/>
              </c:ext>
            </c:extLst>
          </c:dPt>
          <c:dPt>
            <c:idx val="141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B07-9CF6-4383-B5CC-D2D8B9C72949}"/>
              </c:ext>
            </c:extLst>
          </c:dPt>
          <c:dPt>
            <c:idx val="141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B09-9CF6-4383-B5CC-D2D8B9C72949}"/>
              </c:ext>
            </c:extLst>
          </c:dPt>
          <c:dPt>
            <c:idx val="141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B0B-9CF6-4383-B5CC-D2D8B9C72949}"/>
              </c:ext>
            </c:extLst>
          </c:dPt>
          <c:dPt>
            <c:idx val="141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B0D-9CF6-4383-B5CC-D2D8B9C72949}"/>
              </c:ext>
            </c:extLst>
          </c:dPt>
          <c:dPt>
            <c:idx val="141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B0F-9CF6-4383-B5CC-D2D8B9C72949}"/>
              </c:ext>
            </c:extLst>
          </c:dPt>
          <c:dPt>
            <c:idx val="141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B11-9CF6-4383-B5CC-D2D8B9C72949}"/>
              </c:ext>
            </c:extLst>
          </c:dPt>
          <c:dPt>
            <c:idx val="141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B13-9CF6-4383-B5CC-D2D8B9C72949}"/>
              </c:ext>
            </c:extLst>
          </c:dPt>
          <c:dPt>
            <c:idx val="141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B15-9CF6-4383-B5CC-D2D8B9C72949}"/>
              </c:ext>
            </c:extLst>
          </c:dPt>
          <c:dPt>
            <c:idx val="141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B17-9CF6-4383-B5CC-D2D8B9C72949}"/>
              </c:ext>
            </c:extLst>
          </c:dPt>
          <c:dPt>
            <c:idx val="142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B19-9CF6-4383-B5CC-D2D8B9C72949}"/>
              </c:ext>
            </c:extLst>
          </c:dPt>
          <c:dPt>
            <c:idx val="142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B1B-9CF6-4383-B5CC-D2D8B9C72949}"/>
              </c:ext>
            </c:extLst>
          </c:dPt>
          <c:dPt>
            <c:idx val="142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B1D-9CF6-4383-B5CC-D2D8B9C72949}"/>
              </c:ext>
            </c:extLst>
          </c:dPt>
          <c:dPt>
            <c:idx val="142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B1F-9CF6-4383-B5CC-D2D8B9C72949}"/>
              </c:ext>
            </c:extLst>
          </c:dPt>
          <c:dPt>
            <c:idx val="142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B21-9CF6-4383-B5CC-D2D8B9C72949}"/>
              </c:ext>
            </c:extLst>
          </c:dPt>
          <c:dPt>
            <c:idx val="142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B23-9CF6-4383-B5CC-D2D8B9C72949}"/>
              </c:ext>
            </c:extLst>
          </c:dPt>
          <c:dPt>
            <c:idx val="142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B25-9CF6-4383-B5CC-D2D8B9C72949}"/>
              </c:ext>
            </c:extLst>
          </c:dPt>
          <c:dPt>
            <c:idx val="142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B27-9CF6-4383-B5CC-D2D8B9C72949}"/>
              </c:ext>
            </c:extLst>
          </c:dPt>
          <c:dPt>
            <c:idx val="142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B29-9CF6-4383-B5CC-D2D8B9C72949}"/>
              </c:ext>
            </c:extLst>
          </c:dPt>
          <c:dPt>
            <c:idx val="142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B2B-9CF6-4383-B5CC-D2D8B9C72949}"/>
              </c:ext>
            </c:extLst>
          </c:dPt>
          <c:dPt>
            <c:idx val="143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B2D-9CF6-4383-B5CC-D2D8B9C72949}"/>
              </c:ext>
            </c:extLst>
          </c:dPt>
          <c:dPt>
            <c:idx val="143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B2F-9CF6-4383-B5CC-D2D8B9C72949}"/>
              </c:ext>
            </c:extLst>
          </c:dPt>
          <c:dPt>
            <c:idx val="143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B31-9CF6-4383-B5CC-D2D8B9C72949}"/>
              </c:ext>
            </c:extLst>
          </c:dPt>
          <c:dPt>
            <c:idx val="143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B33-9CF6-4383-B5CC-D2D8B9C72949}"/>
              </c:ext>
            </c:extLst>
          </c:dPt>
          <c:dPt>
            <c:idx val="143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B35-9CF6-4383-B5CC-D2D8B9C72949}"/>
              </c:ext>
            </c:extLst>
          </c:dPt>
          <c:dPt>
            <c:idx val="143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B37-9CF6-4383-B5CC-D2D8B9C72949}"/>
              </c:ext>
            </c:extLst>
          </c:dPt>
          <c:dPt>
            <c:idx val="143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B39-9CF6-4383-B5CC-D2D8B9C72949}"/>
              </c:ext>
            </c:extLst>
          </c:dPt>
          <c:dPt>
            <c:idx val="143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B3B-9CF6-4383-B5CC-D2D8B9C72949}"/>
              </c:ext>
            </c:extLst>
          </c:dPt>
          <c:dPt>
            <c:idx val="143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B3D-9CF6-4383-B5CC-D2D8B9C72949}"/>
              </c:ext>
            </c:extLst>
          </c:dPt>
          <c:dPt>
            <c:idx val="143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B3F-9CF6-4383-B5CC-D2D8B9C72949}"/>
              </c:ext>
            </c:extLst>
          </c:dPt>
          <c:dPt>
            <c:idx val="144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B41-9CF6-4383-B5CC-D2D8B9C72949}"/>
              </c:ext>
            </c:extLst>
          </c:dPt>
          <c:dPt>
            <c:idx val="144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B43-9CF6-4383-B5CC-D2D8B9C72949}"/>
              </c:ext>
            </c:extLst>
          </c:dPt>
          <c:dPt>
            <c:idx val="144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B45-9CF6-4383-B5CC-D2D8B9C72949}"/>
              </c:ext>
            </c:extLst>
          </c:dPt>
          <c:dPt>
            <c:idx val="144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B47-9CF6-4383-B5CC-D2D8B9C72949}"/>
              </c:ext>
            </c:extLst>
          </c:dPt>
          <c:dPt>
            <c:idx val="144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B49-9CF6-4383-B5CC-D2D8B9C72949}"/>
              </c:ext>
            </c:extLst>
          </c:dPt>
          <c:dPt>
            <c:idx val="144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B4B-9CF6-4383-B5CC-D2D8B9C72949}"/>
              </c:ext>
            </c:extLst>
          </c:dPt>
          <c:dPt>
            <c:idx val="144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B4D-9CF6-4383-B5CC-D2D8B9C72949}"/>
              </c:ext>
            </c:extLst>
          </c:dPt>
          <c:dPt>
            <c:idx val="144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B4F-9CF6-4383-B5CC-D2D8B9C72949}"/>
              </c:ext>
            </c:extLst>
          </c:dPt>
          <c:dPt>
            <c:idx val="144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B51-9CF6-4383-B5CC-D2D8B9C72949}"/>
              </c:ext>
            </c:extLst>
          </c:dPt>
          <c:dPt>
            <c:idx val="144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B53-9CF6-4383-B5CC-D2D8B9C72949}"/>
              </c:ext>
            </c:extLst>
          </c:dPt>
          <c:dPt>
            <c:idx val="145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B55-9CF6-4383-B5CC-D2D8B9C72949}"/>
              </c:ext>
            </c:extLst>
          </c:dPt>
          <c:dPt>
            <c:idx val="145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B57-9CF6-4383-B5CC-D2D8B9C72949}"/>
              </c:ext>
            </c:extLst>
          </c:dPt>
          <c:dPt>
            <c:idx val="145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B59-9CF6-4383-B5CC-D2D8B9C72949}"/>
              </c:ext>
            </c:extLst>
          </c:dPt>
          <c:dPt>
            <c:idx val="145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B5B-9CF6-4383-B5CC-D2D8B9C72949}"/>
              </c:ext>
            </c:extLst>
          </c:dPt>
          <c:dPt>
            <c:idx val="145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B5D-9CF6-4383-B5CC-D2D8B9C72949}"/>
              </c:ext>
            </c:extLst>
          </c:dPt>
          <c:dPt>
            <c:idx val="145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B5F-9CF6-4383-B5CC-D2D8B9C72949}"/>
              </c:ext>
            </c:extLst>
          </c:dPt>
          <c:dPt>
            <c:idx val="145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B61-9CF6-4383-B5CC-D2D8B9C72949}"/>
              </c:ext>
            </c:extLst>
          </c:dPt>
          <c:dPt>
            <c:idx val="145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B63-9CF6-4383-B5CC-D2D8B9C72949}"/>
              </c:ext>
            </c:extLst>
          </c:dPt>
          <c:dPt>
            <c:idx val="1458"/>
            <c:bubble3D val="0"/>
            <c:spPr>
              <a:solidFill>
                <a:schemeClr val="accent1"/>
              </a:solidFill>
              <a:ln w="19050">
                <a:solidFill>
                  <a:schemeClr val="lt1"/>
                </a:solidFill>
              </a:ln>
              <a:effectLst/>
            </c:spPr>
            <c:extLst>
              <c:ext xmlns:c16="http://schemas.microsoft.com/office/drawing/2014/chart" uri="{C3380CC4-5D6E-409C-BE32-E72D297353CC}">
                <c16:uniqueId val="{00000B65-9CF6-4383-B5CC-D2D8B9C72949}"/>
              </c:ext>
            </c:extLst>
          </c:dPt>
          <c:dPt>
            <c:idx val="1459"/>
            <c:bubble3D val="0"/>
            <c:spPr>
              <a:solidFill>
                <a:schemeClr val="accent2"/>
              </a:solidFill>
              <a:ln w="19050">
                <a:solidFill>
                  <a:schemeClr val="lt1"/>
                </a:solidFill>
              </a:ln>
              <a:effectLst/>
            </c:spPr>
            <c:extLst>
              <c:ext xmlns:c16="http://schemas.microsoft.com/office/drawing/2014/chart" uri="{C3380CC4-5D6E-409C-BE32-E72D297353CC}">
                <c16:uniqueId val="{00000B67-9CF6-4383-B5CC-D2D8B9C72949}"/>
              </c:ext>
            </c:extLst>
          </c:dPt>
          <c:dPt>
            <c:idx val="1460"/>
            <c:bubble3D val="0"/>
            <c:spPr>
              <a:solidFill>
                <a:schemeClr val="accent3"/>
              </a:solidFill>
              <a:ln w="19050">
                <a:solidFill>
                  <a:schemeClr val="lt1"/>
                </a:solidFill>
              </a:ln>
              <a:effectLst/>
            </c:spPr>
            <c:extLst>
              <c:ext xmlns:c16="http://schemas.microsoft.com/office/drawing/2014/chart" uri="{C3380CC4-5D6E-409C-BE32-E72D297353CC}">
                <c16:uniqueId val="{00000B69-9CF6-4383-B5CC-D2D8B9C72949}"/>
              </c:ext>
            </c:extLst>
          </c:dPt>
          <c:dPt>
            <c:idx val="1461"/>
            <c:bubble3D val="0"/>
            <c:spPr>
              <a:solidFill>
                <a:schemeClr val="accent4"/>
              </a:solidFill>
              <a:ln w="19050">
                <a:solidFill>
                  <a:schemeClr val="lt1"/>
                </a:solidFill>
              </a:ln>
              <a:effectLst/>
            </c:spPr>
            <c:extLst>
              <c:ext xmlns:c16="http://schemas.microsoft.com/office/drawing/2014/chart" uri="{C3380CC4-5D6E-409C-BE32-E72D297353CC}">
                <c16:uniqueId val="{00000B6B-9CF6-4383-B5CC-D2D8B9C72949}"/>
              </c:ext>
            </c:extLst>
          </c:dPt>
          <c:dPt>
            <c:idx val="1462"/>
            <c:bubble3D val="0"/>
            <c:spPr>
              <a:solidFill>
                <a:schemeClr val="accent5"/>
              </a:solidFill>
              <a:ln w="19050">
                <a:solidFill>
                  <a:schemeClr val="lt1"/>
                </a:solidFill>
              </a:ln>
              <a:effectLst/>
            </c:spPr>
            <c:extLst>
              <c:ext xmlns:c16="http://schemas.microsoft.com/office/drawing/2014/chart" uri="{C3380CC4-5D6E-409C-BE32-E72D297353CC}">
                <c16:uniqueId val="{00000B6D-9CF6-4383-B5CC-D2D8B9C72949}"/>
              </c:ext>
            </c:extLst>
          </c:dPt>
          <c:dPt>
            <c:idx val="1463"/>
            <c:bubble3D val="0"/>
            <c:spPr>
              <a:solidFill>
                <a:schemeClr val="accent6"/>
              </a:solidFill>
              <a:ln w="19050">
                <a:solidFill>
                  <a:schemeClr val="lt1"/>
                </a:solidFill>
              </a:ln>
              <a:effectLst/>
            </c:spPr>
            <c:extLst>
              <c:ext xmlns:c16="http://schemas.microsoft.com/office/drawing/2014/chart" uri="{C3380CC4-5D6E-409C-BE32-E72D297353CC}">
                <c16:uniqueId val="{00000B6F-9CF6-4383-B5CC-D2D8B9C72949}"/>
              </c:ext>
            </c:extLst>
          </c:dPt>
          <c:dPt>
            <c:idx val="146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B71-9CF6-4383-B5CC-D2D8B9C72949}"/>
              </c:ext>
            </c:extLst>
          </c:dPt>
          <c:dPt>
            <c:idx val="146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B73-9CF6-4383-B5CC-D2D8B9C72949}"/>
              </c:ext>
            </c:extLst>
          </c:dPt>
          <c:dPt>
            <c:idx val="146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B75-9CF6-4383-B5CC-D2D8B9C72949}"/>
              </c:ext>
            </c:extLst>
          </c:dPt>
          <c:dPt>
            <c:idx val="146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B77-9CF6-4383-B5CC-D2D8B9C72949}"/>
              </c:ext>
            </c:extLst>
          </c:dPt>
          <c:dPt>
            <c:idx val="146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B79-9CF6-4383-B5CC-D2D8B9C72949}"/>
              </c:ext>
            </c:extLst>
          </c:dPt>
          <c:dPt>
            <c:idx val="146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B7B-9CF6-4383-B5CC-D2D8B9C72949}"/>
              </c:ext>
            </c:extLst>
          </c:dPt>
          <c:dPt>
            <c:idx val="147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B7D-9CF6-4383-B5CC-D2D8B9C72949}"/>
              </c:ext>
            </c:extLst>
          </c:dPt>
          <c:dPt>
            <c:idx val="147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B7F-9CF6-4383-B5CC-D2D8B9C72949}"/>
              </c:ext>
            </c:extLst>
          </c:dPt>
          <c:dPt>
            <c:idx val="147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B81-9CF6-4383-B5CC-D2D8B9C72949}"/>
              </c:ext>
            </c:extLst>
          </c:dPt>
          <c:dPt>
            <c:idx val="147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B83-9CF6-4383-B5CC-D2D8B9C72949}"/>
              </c:ext>
            </c:extLst>
          </c:dPt>
          <c:dPt>
            <c:idx val="147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B85-9CF6-4383-B5CC-D2D8B9C72949}"/>
              </c:ext>
            </c:extLst>
          </c:dPt>
          <c:dPt>
            <c:idx val="147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B87-9CF6-4383-B5CC-D2D8B9C72949}"/>
              </c:ext>
            </c:extLst>
          </c:dPt>
          <c:dPt>
            <c:idx val="147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B89-9CF6-4383-B5CC-D2D8B9C72949}"/>
              </c:ext>
            </c:extLst>
          </c:dPt>
          <c:dPt>
            <c:idx val="147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B8B-9CF6-4383-B5CC-D2D8B9C72949}"/>
              </c:ext>
            </c:extLst>
          </c:dPt>
          <c:dPt>
            <c:idx val="147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B8D-9CF6-4383-B5CC-D2D8B9C72949}"/>
              </c:ext>
            </c:extLst>
          </c:dPt>
          <c:dPt>
            <c:idx val="147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B8F-9CF6-4383-B5CC-D2D8B9C72949}"/>
              </c:ext>
            </c:extLst>
          </c:dPt>
          <c:dPt>
            <c:idx val="148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B91-9CF6-4383-B5CC-D2D8B9C72949}"/>
              </c:ext>
            </c:extLst>
          </c:dPt>
          <c:dPt>
            <c:idx val="148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B93-9CF6-4383-B5CC-D2D8B9C72949}"/>
              </c:ext>
            </c:extLst>
          </c:dPt>
          <c:dPt>
            <c:idx val="148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B95-9CF6-4383-B5CC-D2D8B9C72949}"/>
              </c:ext>
            </c:extLst>
          </c:dPt>
          <c:dPt>
            <c:idx val="148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B97-9CF6-4383-B5CC-D2D8B9C72949}"/>
              </c:ext>
            </c:extLst>
          </c:dPt>
          <c:dPt>
            <c:idx val="148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B99-9CF6-4383-B5CC-D2D8B9C72949}"/>
              </c:ext>
            </c:extLst>
          </c:dPt>
          <c:dPt>
            <c:idx val="148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B9B-9CF6-4383-B5CC-D2D8B9C72949}"/>
              </c:ext>
            </c:extLst>
          </c:dPt>
          <c:dPt>
            <c:idx val="148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B9D-9CF6-4383-B5CC-D2D8B9C72949}"/>
              </c:ext>
            </c:extLst>
          </c:dPt>
          <c:dPt>
            <c:idx val="148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B9F-9CF6-4383-B5CC-D2D8B9C72949}"/>
              </c:ext>
            </c:extLst>
          </c:dPt>
          <c:dPt>
            <c:idx val="148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BA1-9CF6-4383-B5CC-D2D8B9C72949}"/>
              </c:ext>
            </c:extLst>
          </c:dPt>
          <c:dPt>
            <c:idx val="148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BA3-9CF6-4383-B5CC-D2D8B9C72949}"/>
              </c:ext>
            </c:extLst>
          </c:dPt>
          <c:dPt>
            <c:idx val="149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BA5-9CF6-4383-B5CC-D2D8B9C72949}"/>
              </c:ext>
            </c:extLst>
          </c:dPt>
          <c:dPt>
            <c:idx val="149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BA7-9CF6-4383-B5CC-D2D8B9C72949}"/>
              </c:ext>
            </c:extLst>
          </c:dPt>
          <c:dPt>
            <c:idx val="149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BA9-9CF6-4383-B5CC-D2D8B9C72949}"/>
              </c:ext>
            </c:extLst>
          </c:dPt>
          <c:dPt>
            <c:idx val="149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BAB-9CF6-4383-B5CC-D2D8B9C72949}"/>
              </c:ext>
            </c:extLst>
          </c:dPt>
          <c:dPt>
            <c:idx val="149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BAD-9CF6-4383-B5CC-D2D8B9C72949}"/>
              </c:ext>
            </c:extLst>
          </c:dPt>
          <c:dPt>
            <c:idx val="149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BAF-9CF6-4383-B5CC-D2D8B9C72949}"/>
              </c:ext>
            </c:extLst>
          </c:dPt>
          <c:dPt>
            <c:idx val="149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BB1-9CF6-4383-B5CC-D2D8B9C72949}"/>
              </c:ext>
            </c:extLst>
          </c:dPt>
          <c:dPt>
            <c:idx val="149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BB3-9CF6-4383-B5CC-D2D8B9C72949}"/>
              </c:ext>
            </c:extLst>
          </c:dPt>
          <c:dPt>
            <c:idx val="149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BB5-9CF6-4383-B5CC-D2D8B9C72949}"/>
              </c:ext>
            </c:extLst>
          </c:dPt>
          <c:dPt>
            <c:idx val="149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BB7-9CF6-4383-B5CC-D2D8B9C72949}"/>
              </c:ext>
            </c:extLst>
          </c:dPt>
          <c:dPt>
            <c:idx val="150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BB9-9CF6-4383-B5CC-D2D8B9C72949}"/>
              </c:ext>
            </c:extLst>
          </c:dPt>
          <c:dPt>
            <c:idx val="150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BBB-9CF6-4383-B5CC-D2D8B9C72949}"/>
              </c:ext>
            </c:extLst>
          </c:dPt>
          <c:dPt>
            <c:idx val="150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BBD-9CF6-4383-B5CC-D2D8B9C72949}"/>
              </c:ext>
            </c:extLst>
          </c:dPt>
          <c:dPt>
            <c:idx val="150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BBF-9CF6-4383-B5CC-D2D8B9C72949}"/>
              </c:ext>
            </c:extLst>
          </c:dPt>
          <c:dPt>
            <c:idx val="150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BC1-9CF6-4383-B5CC-D2D8B9C72949}"/>
              </c:ext>
            </c:extLst>
          </c:dPt>
          <c:dPt>
            <c:idx val="150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BC3-9CF6-4383-B5CC-D2D8B9C72949}"/>
              </c:ext>
            </c:extLst>
          </c:dPt>
          <c:dPt>
            <c:idx val="150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BC5-9CF6-4383-B5CC-D2D8B9C72949}"/>
              </c:ext>
            </c:extLst>
          </c:dPt>
          <c:dPt>
            <c:idx val="150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BC7-9CF6-4383-B5CC-D2D8B9C72949}"/>
              </c:ext>
            </c:extLst>
          </c:dPt>
          <c:dPt>
            <c:idx val="150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BC9-9CF6-4383-B5CC-D2D8B9C72949}"/>
              </c:ext>
            </c:extLst>
          </c:dPt>
          <c:dPt>
            <c:idx val="150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BCB-9CF6-4383-B5CC-D2D8B9C72949}"/>
              </c:ext>
            </c:extLst>
          </c:dPt>
          <c:dPt>
            <c:idx val="151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BCD-9CF6-4383-B5CC-D2D8B9C72949}"/>
              </c:ext>
            </c:extLst>
          </c:dPt>
          <c:dPt>
            <c:idx val="151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BCF-9CF6-4383-B5CC-D2D8B9C72949}"/>
              </c:ext>
            </c:extLst>
          </c:dPt>
          <c:dPt>
            <c:idx val="1512"/>
            <c:bubble3D val="0"/>
            <c:spPr>
              <a:solidFill>
                <a:schemeClr val="accent1"/>
              </a:solidFill>
              <a:ln w="19050">
                <a:solidFill>
                  <a:schemeClr val="lt1"/>
                </a:solidFill>
              </a:ln>
              <a:effectLst/>
            </c:spPr>
            <c:extLst>
              <c:ext xmlns:c16="http://schemas.microsoft.com/office/drawing/2014/chart" uri="{C3380CC4-5D6E-409C-BE32-E72D297353CC}">
                <c16:uniqueId val="{00000BD1-9CF6-4383-B5CC-D2D8B9C72949}"/>
              </c:ext>
            </c:extLst>
          </c:dPt>
          <c:dPt>
            <c:idx val="1513"/>
            <c:bubble3D val="0"/>
            <c:spPr>
              <a:solidFill>
                <a:schemeClr val="accent2"/>
              </a:solidFill>
              <a:ln w="19050">
                <a:solidFill>
                  <a:schemeClr val="lt1"/>
                </a:solidFill>
              </a:ln>
              <a:effectLst/>
            </c:spPr>
            <c:extLst>
              <c:ext xmlns:c16="http://schemas.microsoft.com/office/drawing/2014/chart" uri="{C3380CC4-5D6E-409C-BE32-E72D297353CC}">
                <c16:uniqueId val="{00000BD3-9CF6-4383-B5CC-D2D8B9C72949}"/>
              </c:ext>
            </c:extLst>
          </c:dPt>
          <c:dPt>
            <c:idx val="1514"/>
            <c:bubble3D val="0"/>
            <c:spPr>
              <a:solidFill>
                <a:schemeClr val="accent3"/>
              </a:solidFill>
              <a:ln w="19050">
                <a:solidFill>
                  <a:schemeClr val="lt1"/>
                </a:solidFill>
              </a:ln>
              <a:effectLst/>
            </c:spPr>
            <c:extLst>
              <c:ext xmlns:c16="http://schemas.microsoft.com/office/drawing/2014/chart" uri="{C3380CC4-5D6E-409C-BE32-E72D297353CC}">
                <c16:uniqueId val="{00000BD5-9CF6-4383-B5CC-D2D8B9C72949}"/>
              </c:ext>
            </c:extLst>
          </c:dPt>
          <c:dPt>
            <c:idx val="1515"/>
            <c:bubble3D val="0"/>
            <c:spPr>
              <a:solidFill>
                <a:schemeClr val="accent4"/>
              </a:solidFill>
              <a:ln w="19050">
                <a:solidFill>
                  <a:schemeClr val="lt1"/>
                </a:solidFill>
              </a:ln>
              <a:effectLst/>
            </c:spPr>
            <c:extLst>
              <c:ext xmlns:c16="http://schemas.microsoft.com/office/drawing/2014/chart" uri="{C3380CC4-5D6E-409C-BE32-E72D297353CC}">
                <c16:uniqueId val="{00000BD7-9CF6-4383-B5CC-D2D8B9C72949}"/>
              </c:ext>
            </c:extLst>
          </c:dPt>
          <c:dPt>
            <c:idx val="1516"/>
            <c:bubble3D val="0"/>
            <c:spPr>
              <a:solidFill>
                <a:schemeClr val="accent5"/>
              </a:solidFill>
              <a:ln w="19050">
                <a:solidFill>
                  <a:schemeClr val="lt1"/>
                </a:solidFill>
              </a:ln>
              <a:effectLst/>
            </c:spPr>
            <c:extLst>
              <c:ext xmlns:c16="http://schemas.microsoft.com/office/drawing/2014/chart" uri="{C3380CC4-5D6E-409C-BE32-E72D297353CC}">
                <c16:uniqueId val="{00000BD9-9CF6-4383-B5CC-D2D8B9C72949}"/>
              </c:ext>
            </c:extLst>
          </c:dPt>
          <c:dPt>
            <c:idx val="1517"/>
            <c:bubble3D val="0"/>
            <c:spPr>
              <a:solidFill>
                <a:schemeClr val="accent6"/>
              </a:solidFill>
              <a:ln w="19050">
                <a:solidFill>
                  <a:schemeClr val="lt1"/>
                </a:solidFill>
              </a:ln>
              <a:effectLst/>
            </c:spPr>
            <c:extLst>
              <c:ext xmlns:c16="http://schemas.microsoft.com/office/drawing/2014/chart" uri="{C3380CC4-5D6E-409C-BE32-E72D297353CC}">
                <c16:uniqueId val="{00000BDB-9CF6-4383-B5CC-D2D8B9C72949}"/>
              </c:ext>
            </c:extLst>
          </c:dPt>
          <c:dPt>
            <c:idx val="151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BDD-9CF6-4383-B5CC-D2D8B9C72949}"/>
              </c:ext>
            </c:extLst>
          </c:dPt>
          <c:dPt>
            <c:idx val="151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BDF-9CF6-4383-B5CC-D2D8B9C72949}"/>
              </c:ext>
            </c:extLst>
          </c:dPt>
          <c:dPt>
            <c:idx val="152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BE1-9CF6-4383-B5CC-D2D8B9C72949}"/>
              </c:ext>
            </c:extLst>
          </c:dPt>
          <c:dPt>
            <c:idx val="152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BE3-9CF6-4383-B5CC-D2D8B9C72949}"/>
              </c:ext>
            </c:extLst>
          </c:dPt>
          <c:dPt>
            <c:idx val="152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BE5-9CF6-4383-B5CC-D2D8B9C72949}"/>
              </c:ext>
            </c:extLst>
          </c:dPt>
          <c:dPt>
            <c:idx val="152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BE7-9CF6-4383-B5CC-D2D8B9C72949}"/>
              </c:ext>
            </c:extLst>
          </c:dPt>
          <c:dPt>
            <c:idx val="152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BE9-9CF6-4383-B5CC-D2D8B9C72949}"/>
              </c:ext>
            </c:extLst>
          </c:dPt>
          <c:dPt>
            <c:idx val="152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BEB-9CF6-4383-B5CC-D2D8B9C72949}"/>
              </c:ext>
            </c:extLst>
          </c:dPt>
          <c:dPt>
            <c:idx val="152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BED-9CF6-4383-B5CC-D2D8B9C72949}"/>
              </c:ext>
            </c:extLst>
          </c:dPt>
          <c:dPt>
            <c:idx val="152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BEF-9CF6-4383-B5CC-D2D8B9C72949}"/>
              </c:ext>
            </c:extLst>
          </c:dPt>
          <c:dPt>
            <c:idx val="152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BF1-9CF6-4383-B5CC-D2D8B9C72949}"/>
              </c:ext>
            </c:extLst>
          </c:dPt>
          <c:dPt>
            <c:idx val="152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BF3-9CF6-4383-B5CC-D2D8B9C72949}"/>
              </c:ext>
            </c:extLst>
          </c:dPt>
          <c:dPt>
            <c:idx val="153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BF5-9CF6-4383-B5CC-D2D8B9C72949}"/>
              </c:ext>
            </c:extLst>
          </c:dPt>
          <c:dPt>
            <c:idx val="153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BF7-9CF6-4383-B5CC-D2D8B9C72949}"/>
              </c:ext>
            </c:extLst>
          </c:dPt>
          <c:dPt>
            <c:idx val="153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BF9-9CF6-4383-B5CC-D2D8B9C72949}"/>
              </c:ext>
            </c:extLst>
          </c:dPt>
          <c:dPt>
            <c:idx val="153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BFB-9CF6-4383-B5CC-D2D8B9C72949}"/>
              </c:ext>
            </c:extLst>
          </c:dPt>
          <c:dPt>
            <c:idx val="153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BFD-9CF6-4383-B5CC-D2D8B9C72949}"/>
              </c:ext>
            </c:extLst>
          </c:dPt>
          <c:dPt>
            <c:idx val="153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BFF-9CF6-4383-B5CC-D2D8B9C72949}"/>
              </c:ext>
            </c:extLst>
          </c:dPt>
          <c:dPt>
            <c:idx val="153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C01-9CF6-4383-B5CC-D2D8B9C72949}"/>
              </c:ext>
            </c:extLst>
          </c:dPt>
          <c:dPt>
            <c:idx val="153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C03-9CF6-4383-B5CC-D2D8B9C72949}"/>
              </c:ext>
            </c:extLst>
          </c:dPt>
          <c:dPt>
            <c:idx val="153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C05-9CF6-4383-B5CC-D2D8B9C72949}"/>
              </c:ext>
            </c:extLst>
          </c:dPt>
          <c:dPt>
            <c:idx val="153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C07-9CF6-4383-B5CC-D2D8B9C72949}"/>
              </c:ext>
            </c:extLst>
          </c:dPt>
          <c:dPt>
            <c:idx val="154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C09-9CF6-4383-B5CC-D2D8B9C72949}"/>
              </c:ext>
            </c:extLst>
          </c:dPt>
          <c:dPt>
            <c:idx val="154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C0B-9CF6-4383-B5CC-D2D8B9C72949}"/>
              </c:ext>
            </c:extLst>
          </c:dPt>
          <c:dPt>
            <c:idx val="154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C0D-9CF6-4383-B5CC-D2D8B9C72949}"/>
              </c:ext>
            </c:extLst>
          </c:dPt>
          <c:dPt>
            <c:idx val="154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C0F-9CF6-4383-B5CC-D2D8B9C72949}"/>
              </c:ext>
            </c:extLst>
          </c:dPt>
          <c:dPt>
            <c:idx val="154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C11-9CF6-4383-B5CC-D2D8B9C72949}"/>
              </c:ext>
            </c:extLst>
          </c:dPt>
          <c:dPt>
            <c:idx val="154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C13-9CF6-4383-B5CC-D2D8B9C72949}"/>
              </c:ext>
            </c:extLst>
          </c:dPt>
          <c:dPt>
            <c:idx val="154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C15-9CF6-4383-B5CC-D2D8B9C72949}"/>
              </c:ext>
            </c:extLst>
          </c:dPt>
          <c:dPt>
            <c:idx val="154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C17-9CF6-4383-B5CC-D2D8B9C72949}"/>
              </c:ext>
            </c:extLst>
          </c:dPt>
          <c:dPt>
            <c:idx val="154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C19-9CF6-4383-B5CC-D2D8B9C72949}"/>
              </c:ext>
            </c:extLst>
          </c:dPt>
          <c:dPt>
            <c:idx val="154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C1B-9CF6-4383-B5CC-D2D8B9C72949}"/>
              </c:ext>
            </c:extLst>
          </c:dPt>
          <c:dPt>
            <c:idx val="155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C1D-9CF6-4383-B5CC-D2D8B9C72949}"/>
              </c:ext>
            </c:extLst>
          </c:dPt>
          <c:dPt>
            <c:idx val="155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C1F-9CF6-4383-B5CC-D2D8B9C72949}"/>
              </c:ext>
            </c:extLst>
          </c:dPt>
          <c:dPt>
            <c:idx val="155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C21-9CF6-4383-B5CC-D2D8B9C72949}"/>
              </c:ext>
            </c:extLst>
          </c:dPt>
          <c:dPt>
            <c:idx val="155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C23-9CF6-4383-B5CC-D2D8B9C72949}"/>
              </c:ext>
            </c:extLst>
          </c:dPt>
          <c:dPt>
            <c:idx val="155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C25-9CF6-4383-B5CC-D2D8B9C72949}"/>
              </c:ext>
            </c:extLst>
          </c:dPt>
          <c:dPt>
            <c:idx val="155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C27-9CF6-4383-B5CC-D2D8B9C72949}"/>
              </c:ext>
            </c:extLst>
          </c:dPt>
          <c:dPt>
            <c:idx val="155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C29-9CF6-4383-B5CC-D2D8B9C72949}"/>
              </c:ext>
            </c:extLst>
          </c:dPt>
          <c:dPt>
            <c:idx val="155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C2B-9CF6-4383-B5CC-D2D8B9C72949}"/>
              </c:ext>
            </c:extLst>
          </c:dPt>
          <c:dPt>
            <c:idx val="155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C2D-9CF6-4383-B5CC-D2D8B9C72949}"/>
              </c:ext>
            </c:extLst>
          </c:dPt>
          <c:dPt>
            <c:idx val="155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C2F-9CF6-4383-B5CC-D2D8B9C72949}"/>
              </c:ext>
            </c:extLst>
          </c:dPt>
          <c:dPt>
            <c:idx val="156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C31-9CF6-4383-B5CC-D2D8B9C72949}"/>
              </c:ext>
            </c:extLst>
          </c:dPt>
          <c:dPt>
            <c:idx val="156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C33-9CF6-4383-B5CC-D2D8B9C72949}"/>
              </c:ext>
            </c:extLst>
          </c:dPt>
          <c:dPt>
            <c:idx val="156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C35-9CF6-4383-B5CC-D2D8B9C72949}"/>
              </c:ext>
            </c:extLst>
          </c:dPt>
          <c:dPt>
            <c:idx val="156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C37-9CF6-4383-B5CC-D2D8B9C72949}"/>
              </c:ext>
            </c:extLst>
          </c:dPt>
          <c:dPt>
            <c:idx val="156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C39-9CF6-4383-B5CC-D2D8B9C72949}"/>
              </c:ext>
            </c:extLst>
          </c:dPt>
          <c:dPt>
            <c:idx val="156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C3B-9CF6-4383-B5CC-D2D8B9C72949}"/>
              </c:ext>
            </c:extLst>
          </c:dPt>
          <c:dPt>
            <c:idx val="1566"/>
            <c:bubble3D val="0"/>
            <c:spPr>
              <a:solidFill>
                <a:schemeClr val="accent1"/>
              </a:solidFill>
              <a:ln w="19050">
                <a:solidFill>
                  <a:schemeClr val="lt1"/>
                </a:solidFill>
              </a:ln>
              <a:effectLst/>
            </c:spPr>
            <c:extLst>
              <c:ext xmlns:c16="http://schemas.microsoft.com/office/drawing/2014/chart" uri="{C3380CC4-5D6E-409C-BE32-E72D297353CC}">
                <c16:uniqueId val="{00000C3D-9CF6-4383-B5CC-D2D8B9C72949}"/>
              </c:ext>
            </c:extLst>
          </c:dPt>
          <c:dPt>
            <c:idx val="1567"/>
            <c:bubble3D val="0"/>
            <c:spPr>
              <a:solidFill>
                <a:schemeClr val="accent2"/>
              </a:solidFill>
              <a:ln w="19050">
                <a:solidFill>
                  <a:schemeClr val="lt1"/>
                </a:solidFill>
              </a:ln>
              <a:effectLst/>
            </c:spPr>
            <c:extLst>
              <c:ext xmlns:c16="http://schemas.microsoft.com/office/drawing/2014/chart" uri="{C3380CC4-5D6E-409C-BE32-E72D297353CC}">
                <c16:uniqueId val="{00000C3F-9CF6-4383-B5CC-D2D8B9C72949}"/>
              </c:ext>
            </c:extLst>
          </c:dPt>
          <c:dPt>
            <c:idx val="1568"/>
            <c:bubble3D val="0"/>
            <c:spPr>
              <a:solidFill>
                <a:schemeClr val="accent3"/>
              </a:solidFill>
              <a:ln w="19050">
                <a:solidFill>
                  <a:schemeClr val="lt1"/>
                </a:solidFill>
              </a:ln>
              <a:effectLst/>
            </c:spPr>
            <c:extLst>
              <c:ext xmlns:c16="http://schemas.microsoft.com/office/drawing/2014/chart" uri="{C3380CC4-5D6E-409C-BE32-E72D297353CC}">
                <c16:uniqueId val="{00000C41-9CF6-4383-B5CC-D2D8B9C72949}"/>
              </c:ext>
            </c:extLst>
          </c:dPt>
          <c:dPt>
            <c:idx val="1569"/>
            <c:bubble3D val="0"/>
            <c:spPr>
              <a:solidFill>
                <a:schemeClr val="accent4"/>
              </a:solidFill>
              <a:ln w="19050">
                <a:solidFill>
                  <a:schemeClr val="lt1"/>
                </a:solidFill>
              </a:ln>
              <a:effectLst/>
            </c:spPr>
            <c:extLst>
              <c:ext xmlns:c16="http://schemas.microsoft.com/office/drawing/2014/chart" uri="{C3380CC4-5D6E-409C-BE32-E72D297353CC}">
                <c16:uniqueId val="{00000C43-9CF6-4383-B5CC-D2D8B9C72949}"/>
              </c:ext>
            </c:extLst>
          </c:dPt>
          <c:dPt>
            <c:idx val="1570"/>
            <c:bubble3D val="0"/>
            <c:spPr>
              <a:solidFill>
                <a:schemeClr val="accent5"/>
              </a:solidFill>
              <a:ln w="19050">
                <a:solidFill>
                  <a:schemeClr val="lt1"/>
                </a:solidFill>
              </a:ln>
              <a:effectLst/>
            </c:spPr>
            <c:extLst>
              <c:ext xmlns:c16="http://schemas.microsoft.com/office/drawing/2014/chart" uri="{C3380CC4-5D6E-409C-BE32-E72D297353CC}">
                <c16:uniqueId val="{00000C45-9CF6-4383-B5CC-D2D8B9C72949}"/>
              </c:ext>
            </c:extLst>
          </c:dPt>
          <c:dPt>
            <c:idx val="1571"/>
            <c:bubble3D val="0"/>
            <c:spPr>
              <a:solidFill>
                <a:schemeClr val="accent6"/>
              </a:solidFill>
              <a:ln w="19050">
                <a:solidFill>
                  <a:schemeClr val="lt1"/>
                </a:solidFill>
              </a:ln>
              <a:effectLst/>
            </c:spPr>
            <c:extLst>
              <c:ext xmlns:c16="http://schemas.microsoft.com/office/drawing/2014/chart" uri="{C3380CC4-5D6E-409C-BE32-E72D297353CC}">
                <c16:uniqueId val="{00000C47-9CF6-4383-B5CC-D2D8B9C72949}"/>
              </c:ext>
            </c:extLst>
          </c:dPt>
          <c:dPt>
            <c:idx val="157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C49-9CF6-4383-B5CC-D2D8B9C72949}"/>
              </c:ext>
            </c:extLst>
          </c:dPt>
          <c:dPt>
            <c:idx val="157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C4B-9CF6-4383-B5CC-D2D8B9C72949}"/>
              </c:ext>
            </c:extLst>
          </c:dPt>
          <c:dPt>
            <c:idx val="157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C4D-9CF6-4383-B5CC-D2D8B9C72949}"/>
              </c:ext>
            </c:extLst>
          </c:dPt>
          <c:dPt>
            <c:idx val="157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C4F-9CF6-4383-B5CC-D2D8B9C72949}"/>
              </c:ext>
            </c:extLst>
          </c:dPt>
          <c:dPt>
            <c:idx val="157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C51-9CF6-4383-B5CC-D2D8B9C72949}"/>
              </c:ext>
            </c:extLst>
          </c:dPt>
          <c:dPt>
            <c:idx val="157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C53-9CF6-4383-B5CC-D2D8B9C72949}"/>
              </c:ext>
            </c:extLst>
          </c:dPt>
          <c:dPt>
            <c:idx val="157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C55-9CF6-4383-B5CC-D2D8B9C72949}"/>
              </c:ext>
            </c:extLst>
          </c:dPt>
          <c:dPt>
            <c:idx val="157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C57-9CF6-4383-B5CC-D2D8B9C72949}"/>
              </c:ext>
            </c:extLst>
          </c:dPt>
          <c:dPt>
            <c:idx val="158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C59-9CF6-4383-B5CC-D2D8B9C72949}"/>
              </c:ext>
            </c:extLst>
          </c:dPt>
          <c:dPt>
            <c:idx val="158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C5B-9CF6-4383-B5CC-D2D8B9C72949}"/>
              </c:ext>
            </c:extLst>
          </c:dPt>
          <c:dPt>
            <c:idx val="158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C5D-9CF6-4383-B5CC-D2D8B9C72949}"/>
              </c:ext>
            </c:extLst>
          </c:dPt>
          <c:dPt>
            <c:idx val="158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C5F-9CF6-4383-B5CC-D2D8B9C72949}"/>
              </c:ext>
            </c:extLst>
          </c:dPt>
          <c:dPt>
            <c:idx val="158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C61-9CF6-4383-B5CC-D2D8B9C72949}"/>
              </c:ext>
            </c:extLst>
          </c:dPt>
          <c:dPt>
            <c:idx val="158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C63-9CF6-4383-B5CC-D2D8B9C72949}"/>
              </c:ext>
            </c:extLst>
          </c:dPt>
          <c:dPt>
            <c:idx val="158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C65-9CF6-4383-B5CC-D2D8B9C72949}"/>
              </c:ext>
            </c:extLst>
          </c:dPt>
          <c:dPt>
            <c:idx val="158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C67-9CF6-4383-B5CC-D2D8B9C72949}"/>
              </c:ext>
            </c:extLst>
          </c:dPt>
          <c:dPt>
            <c:idx val="158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C69-9CF6-4383-B5CC-D2D8B9C72949}"/>
              </c:ext>
            </c:extLst>
          </c:dPt>
          <c:dPt>
            <c:idx val="158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C6B-9CF6-4383-B5CC-D2D8B9C72949}"/>
              </c:ext>
            </c:extLst>
          </c:dPt>
          <c:dPt>
            <c:idx val="159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C6D-9CF6-4383-B5CC-D2D8B9C72949}"/>
              </c:ext>
            </c:extLst>
          </c:dPt>
          <c:dPt>
            <c:idx val="159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C6F-9CF6-4383-B5CC-D2D8B9C72949}"/>
              </c:ext>
            </c:extLst>
          </c:dPt>
          <c:dPt>
            <c:idx val="159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C71-9CF6-4383-B5CC-D2D8B9C72949}"/>
              </c:ext>
            </c:extLst>
          </c:dPt>
          <c:dPt>
            <c:idx val="159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C73-9CF6-4383-B5CC-D2D8B9C72949}"/>
              </c:ext>
            </c:extLst>
          </c:dPt>
          <c:dPt>
            <c:idx val="159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C75-9CF6-4383-B5CC-D2D8B9C72949}"/>
              </c:ext>
            </c:extLst>
          </c:dPt>
          <c:dPt>
            <c:idx val="159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C77-9CF6-4383-B5CC-D2D8B9C72949}"/>
              </c:ext>
            </c:extLst>
          </c:dPt>
          <c:dPt>
            <c:idx val="159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C79-9CF6-4383-B5CC-D2D8B9C72949}"/>
              </c:ext>
            </c:extLst>
          </c:dPt>
          <c:dPt>
            <c:idx val="159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C7B-9CF6-4383-B5CC-D2D8B9C72949}"/>
              </c:ext>
            </c:extLst>
          </c:dPt>
          <c:dPt>
            <c:idx val="159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C7D-9CF6-4383-B5CC-D2D8B9C72949}"/>
              </c:ext>
            </c:extLst>
          </c:dPt>
          <c:dPt>
            <c:idx val="159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C7F-9CF6-4383-B5CC-D2D8B9C72949}"/>
              </c:ext>
            </c:extLst>
          </c:dPt>
          <c:dPt>
            <c:idx val="160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C81-9CF6-4383-B5CC-D2D8B9C72949}"/>
              </c:ext>
            </c:extLst>
          </c:dPt>
          <c:dPt>
            <c:idx val="160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C83-9CF6-4383-B5CC-D2D8B9C72949}"/>
              </c:ext>
            </c:extLst>
          </c:dPt>
          <c:dPt>
            <c:idx val="160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C85-9CF6-4383-B5CC-D2D8B9C72949}"/>
              </c:ext>
            </c:extLst>
          </c:dPt>
          <c:dPt>
            <c:idx val="160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C87-9CF6-4383-B5CC-D2D8B9C72949}"/>
              </c:ext>
            </c:extLst>
          </c:dPt>
          <c:dPt>
            <c:idx val="160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C89-9CF6-4383-B5CC-D2D8B9C72949}"/>
              </c:ext>
            </c:extLst>
          </c:dPt>
          <c:dPt>
            <c:idx val="160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C8B-9CF6-4383-B5CC-D2D8B9C72949}"/>
              </c:ext>
            </c:extLst>
          </c:dPt>
          <c:dPt>
            <c:idx val="160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C8D-9CF6-4383-B5CC-D2D8B9C72949}"/>
              </c:ext>
            </c:extLst>
          </c:dPt>
          <c:dPt>
            <c:idx val="160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C8F-9CF6-4383-B5CC-D2D8B9C72949}"/>
              </c:ext>
            </c:extLst>
          </c:dPt>
          <c:dPt>
            <c:idx val="160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C91-9CF6-4383-B5CC-D2D8B9C72949}"/>
              </c:ext>
            </c:extLst>
          </c:dPt>
          <c:dPt>
            <c:idx val="160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C93-9CF6-4383-B5CC-D2D8B9C72949}"/>
              </c:ext>
            </c:extLst>
          </c:dPt>
          <c:dPt>
            <c:idx val="161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C95-9CF6-4383-B5CC-D2D8B9C72949}"/>
              </c:ext>
            </c:extLst>
          </c:dPt>
          <c:dPt>
            <c:idx val="161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C97-9CF6-4383-B5CC-D2D8B9C72949}"/>
              </c:ext>
            </c:extLst>
          </c:dPt>
          <c:dPt>
            <c:idx val="161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C99-9CF6-4383-B5CC-D2D8B9C72949}"/>
              </c:ext>
            </c:extLst>
          </c:dPt>
          <c:dPt>
            <c:idx val="161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C9B-9CF6-4383-B5CC-D2D8B9C72949}"/>
              </c:ext>
            </c:extLst>
          </c:dPt>
          <c:dPt>
            <c:idx val="161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C9D-9CF6-4383-B5CC-D2D8B9C72949}"/>
              </c:ext>
            </c:extLst>
          </c:dPt>
          <c:dPt>
            <c:idx val="161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C9F-9CF6-4383-B5CC-D2D8B9C72949}"/>
              </c:ext>
            </c:extLst>
          </c:dPt>
          <c:dPt>
            <c:idx val="161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CA1-9CF6-4383-B5CC-D2D8B9C72949}"/>
              </c:ext>
            </c:extLst>
          </c:dPt>
          <c:dPt>
            <c:idx val="161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CA3-9CF6-4383-B5CC-D2D8B9C72949}"/>
              </c:ext>
            </c:extLst>
          </c:dPt>
          <c:dPt>
            <c:idx val="161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CA5-9CF6-4383-B5CC-D2D8B9C72949}"/>
              </c:ext>
            </c:extLst>
          </c:dPt>
          <c:dPt>
            <c:idx val="161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CA7-9CF6-4383-B5CC-D2D8B9C72949}"/>
              </c:ext>
            </c:extLst>
          </c:dPt>
          <c:dPt>
            <c:idx val="1620"/>
            <c:bubble3D val="0"/>
            <c:spPr>
              <a:solidFill>
                <a:schemeClr val="accent1"/>
              </a:solidFill>
              <a:ln w="19050">
                <a:solidFill>
                  <a:schemeClr val="lt1"/>
                </a:solidFill>
              </a:ln>
              <a:effectLst/>
            </c:spPr>
            <c:extLst>
              <c:ext xmlns:c16="http://schemas.microsoft.com/office/drawing/2014/chart" uri="{C3380CC4-5D6E-409C-BE32-E72D297353CC}">
                <c16:uniqueId val="{00000CA9-9CF6-4383-B5CC-D2D8B9C72949}"/>
              </c:ext>
            </c:extLst>
          </c:dPt>
          <c:dPt>
            <c:idx val="1621"/>
            <c:bubble3D val="0"/>
            <c:spPr>
              <a:solidFill>
                <a:schemeClr val="accent2"/>
              </a:solidFill>
              <a:ln w="19050">
                <a:solidFill>
                  <a:schemeClr val="lt1"/>
                </a:solidFill>
              </a:ln>
              <a:effectLst/>
            </c:spPr>
            <c:extLst>
              <c:ext xmlns:c16="http://schemas.microsoft.com/office/drawing/2014/chart" uri="{C3380CC4-5D6E-409C-BE32-E72D297353CC}">
                <c16:uniqueId val="{00000CAB-9CF6-4383-B5CC-D2D8B9C72949}"/>
              </c:ext>
            </c:extLst>
          </c:dPt>
          <c:dPt>
            <c:idx val="1622"/>
            <c:bubble3D val="0"/>
            <c:spPr>
              <a:solidFill>
                <a:schemeClr val="accent3"/>
              </a:solidFill>
              <a:ln w="19050">
                <a:solidFill>
                  <a:schemeClr val="lt1"/>
                </a:solidFill>
              </a:ln>
              <a:effectLst/>
            </c:spPr>
            <c:extLst>
              <c:ext xmlns:c16="http://schemas.microsoft.com/office/drawing/2014/chart" uri="{C3380CC4-5D6E-409C-BE32-E72D297353CC}">
                <c16:uniqueId val="{00000CAD-9CF6-4383-B5CC-D2D8B9C72949}"/>
              </c:ext>
            </c:extLst>
          </c:dPt>
          <c:dPt>
            <c:idx val="1623"/>
            <c:bubble3D val="0"/>
            <c:spPr>
              <a:solidFill>
                <a:schemeClr val="accent4"/>
              </a:solidFill>
              <a:ln w="19050">
                <a:solidFill>
                  <a:schemeClr val="lt1"/>
                </a:solidFill>
              </a:ln>
              <a:effectLst/>
            </c:spPr>
            <c:extLst>
              <c:ext xmlns:c16="http://schemas.microsoft.com/office/drawing/2014/chart" uri="{C3380CC4-5D6E-409C-BE32-E72D297353CC}">
                <c16:uniqueId val="{00000CAF-9CF6-4383-B5CC-D2D8B9C72949}"/>
              </c:ext>
            </c:extLst>
          </c:dPt>
          <c:dPt>
            <c:idx val="1624"/>
            <c:bubble3D val="0"/>
            <c:spPr>
              <a:solidFill>
                <a:schemeClr val="accent5"/>
              </a:solidFill>
              <a:ln w="19050">
                <a:solidFill>
                  <a:schemeClr val="lt1"/>
                </a:solidFill>
              </a:ln>
              <a:effectLst/>
            </c:spPr>
            <c:extLst>
              <c:ext xmlns:c16="http://schemas.microsoft.com/office/drawing/2014/chart" uri="{C3380CC4-5D6E-409C-BE32-E72D297353CC}">
                <c16:uniqueId val="{00000CB1-9CF6-4383-B5CC-D2D8B9C72949}"/>
              </c:ext>
            </c:extLst>
          </c:dPt>
          <c:dPt>
            <c:idx val="1625"/>
            <c:bubble3D val="0"/>
            <c:spPr>
              <a:solidFill>
                <a:schemeClr val="accent6"/>
              </a:solidFill>
              <a:ln w="19050">
                <a:solidFill>
                  <a:schemeClr val="lt1"/>
                </a:solidFill>
              </a:ln>
              <a:effectLst/>
            </c:spPr>
            <c:extLst>
              <c:ext xmlns:c16="http://schemas.microsoft.com/office/drawing/2014/chart" uri="{C3380CC4-5D6E-409C-BE32-E72D297353CC}">
                <c16:uniqueId val="{00000CB3-9CF6-4383-B5CC-D2D8B9C72949}"/>
              </c:ext>
            </c:extLst>
          </c:dPt>
          <c:dPt>
            <c:idx val="162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CB5-9CF6-4383-B5CC-D2D8B9C72949}"/>
              </c:ext>
            </c:extLst>
          </c:dPt>
          <c:dPt>
            <c:idx val="162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CB7-9CF6-4383-B5CC-D2D8B9C72949}"/>
              </c:ext>
            </c:extLst>
          </c:dPt>
          <c:dPt>
            <c:idx val="162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CB9-9CF6-4383-B5CC-D2D8B9C72949}"/>
              </c:ext>
            </c:extLst>
          </c:dPt>
          <c:dPt>
            <c:idx val="162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CBB-9CF6-4383-B5CC-D2D8B9C72949}"/>
              </c:ext>
            </c:extLst>
          </c:dPt>
          <c:dPt>
            <c:idx val="163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CBD-9CF6-4383-B5CC-D2D8B9C72949}"/>
              </c:ext>
            </c:extLst>
          </c:dPt>
          <c:dPt>
            <c:idx val="163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CBF-9CF6-4383-B5CC-D2D8B9C72949}"/>
              </c:ext>
            </c:extLst>
          </c:dPt>
          <c:dPt>
            <c:idx val="163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CC1-9CF6-4383-B5CC-D2D8B9C72949}"/>
              </c:ext>
            </c:extLst>
          </c:dPt>
          <c:dPt>
            <c:idx val="163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CC3-9CF6-4383-B5CC-D2D8B9C72949}"/>
              </c:ext>
            </c:extLst>
          </c:dPt>
          <c:dPt>
            <c:idx val="163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CC5-9CF6-4383-B5CC-D2D8B9C72949}"/>
              </c:ext>
            </c:extLst>
          </c:dPt>
          <c:dPt>
            <c:idx val="163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CC7-9CF6-4383-B5CC-D2D8B9C72949}"/>
              </c:ext>
            </c:extLst>
          </c:dPt>
          <c:dPt>
            <c:idx val="163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CC9-9CF6-4383-B5CC-D2D8B9C72949}"/>
              </c:ext>
            </c:extLst>
          </c:dPt>
          <c:dPt>
            <c:idx val="163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CCB-9CF6-4383-B5CC-D2D8B9C72949}"/>
              </c:ext>
            </c:extLst>
          </c:dPt>
          <c:dPt>
            <c:idx val="163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CCD-9CF6-4383-B5CC-D2D8B9C72949}"/>
              </c:ext>
            </c:extLst>
          </c:dPt>
          <c:dPt>
            <c:idx val="163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CCF-9CF6-4383-B5CC-D2D8B9C72949}"/>
              </c:ext>
            </c:extLst>
          </c:dPt>
          <c:dPt>
            <c:idx val="164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CD1-9CF6-4383-B5CC-D2D8B9C72949}"/>
              </c:ext>
            </c:extLst>
          </c:dPt>
          <c:dPt>
            <c:idx val="164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CD3-9CF6-4383-B5CC-D2D8B9C72949}"/>
              </c:ext>
            </c:extLst>
          </c:dPt>
          <c:dPt>
            <c:idx val="164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CD5-9CF6-4383-B5CC-D2D8B9C72949}"/>
              </c:ext>
            </c:extLst>
          </c:dPt>
          <c:dPt>
            <c:idx val="164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CD7-9CF6-4383-B5CC-D2D8B9C72949}"/>
              </c:ext>
            </c:extLst>
          </c:dPt>
          <c:dPt>
            <c:idx val="164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CD9-9CF6-4383-B5CC-D2D8B9C72949}"/>
              </c:ext>
            </c:extLst>
          </c:dPt>
          <c:dPt>
            <c:idx val="164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CDB-9CF6-4383-B5CC-D2D8B9C72949}"/>
              </c:ext>
            </c:extLst>
          </c:dPt>
          <c:dPt>
            <c:idx val="164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CDD-9CF6-4383-B5CC-D2D8B9C72949}"/>
              </c:ext>
            </c:extLst>
          </c:dPt>
          <c:dPt>
            <c:idx val="164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CDF-9CF6-4383-B5CC-D2D8B9C72949}"/>
              </c:ext>
            </c:extLst>
          </c:dPt>
          <c:dPt>
            <c:idx val="164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CE1-9CF6-4383-B5CC-D2D8B9C72949}"/>
              </c:ext>
            </c:extLst>
          </c:dPt>
          <c:dPt>
            <c:idx val="164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CE3-9CF6-4383-B5CC-D2D8B9C72949}"/>
              </c:ext>
            </c:extLst>
          </c:dPt>
          <c:dPt>
            <c:idx val="165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CE5-9CF6-4383-B5CC-D2D8B9C72949}"/>
              </c:ext>
            </c:extLst>
          </c:dPt>
          <c:dPt>
            <c:idx val="165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CE7-9CF6-4383-B5CC-D2D8B9C72949}"/>
              </c:ext>
            </c:extLst>
          </c:dPt>
          <c:dPt>
            <c:idx val="165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CE9-9CF6-4383-B5CC-D2D8B9C72949}"/>
              </c:ext>
            </c:extLst>
          </c:dPt>
          <c:dPt>
            <c:idx val="165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CEB-9CF6-4383-B5CC-D2D8B9C72949}"/>
              </c:ext>
            </c:extLst>
          </c:dPt>
          <c:dPt>
            <c:idx val="165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CED-9CF6-4383-B5CC-D2D8B9C72949}"/>
              </c:ext>
            </c:extLst>
          </c:dPt>
          <c:dPt>
            <c:idx val="165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CEF-9CF6-4383-B5CC-D2D8B9C72949}"/>
              </c:ext>
            </c:extLst>
          </c:dPt>
          <c:dPt>
            <c:idx val="165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CF1-9CF6-4383-B5CC-D2D8B9C72949}"/>
              </c:ext>
            </c:extLst>
          </c:dPt>
          <c:dPt>
            <c:idx val="165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CF3-9CF6-4383-B5CC-D2D8B9C72949}"/>
              </c:ext>
            </c:extLst>
          </c:dPt>
          <c:dPt>
            <c:idx val="165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CF5-9CF6-4383-B5CC-D2D8B9C72949}"/>
              </c:ext>
            </c:extLst>
          </c:dPt>
          <c:dPt>
            <c:idx val="165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CF7-9CF6-4383-B5CC-D2D8B9C72949}"/>
              </c:ext>
            </c:extLst>
          </c:dPt>
          <c:dPt>
            <c:idx val="166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CF9-9CF6-4383-B5CC-D2D8B9C72949}"/>
              </c:ext>
            </c:extLst>
          </c:dPt>
          <c:dPt>
            <c:idx val="166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CFB-9CF6-4383-B5CC-D2D8B9C72949}"/>
              </c:ext>
            </c:extLst>
          </c:dPt>
          <c:dPt>
            <c:idx val="166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CFD-9CF6-4383-B5CC-D2D8B9C72949}"/>
              </c:ext>
            </c:extLst>
          </c:dPt>
          <c:dPt>
            <c:idx val="166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CFF-9CF6-4383-B5CC-D2D8B9C72949}"/>
              </c:ext>
            </c:extLst>
          </c:dPt>
          <c:dPt>
            <c:idx val="166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D01-9CF6-4383-B5CC-D2D8B9C72949}"/>
              </c:ext>
            </c:extLst>
          </c:dPt>
          <c:dPt>
            <c:idx val="166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D03-9CF6-4383-B5CC-D2D8B9C72949}"/>
              </c:ext>
            </c:extLst>
          </c:dPt>
          <c:dPt>
            <c:idx val="166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D05-9CF6-4383-B5CC-D2D8B9C72949}"/>
              </c:ext>
            </c:extLst>
          </c:dPt>
          <c:dPt>
            <c:idx val="166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D07-9CF6-4383-B5CC-D2D8B9C72949}"/>
              </c:ext>
            </c:extLst>
          </c:dPt>
          <c:dPt>
            <c:idx val="166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D09-9CF6-4383-B5CC-D2D8B9C72949}"/>
              </c:ext>
            </c:extLst>
          </c:dPt>
          <c:dPt>
            <c:idx val="166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D0B-9CF6-4383-B5CC-D2D8B9C72949}"/>
              </c:ext>
            </c:extLst>
          </c:dPt>
          <c:dPt>
            <c:idx val="167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D0D-9CF6-4383-B5CC-D2D8B9C72949}"/>
              </c:ext>
            </c:extLst>
          </c:dPt>
          <c:dPt>
            <c:idx val="167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D0F-9CF6-4383-B5CC-D2D8B9C72949}"/>
              </c:ext>
            </c:extLst>
          </c:dPt>
          <c:dPt>
            <c:idx val="167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D11-9CF6-4383-B5CC-D2D8B9C72949}"/>
              </c:ext>
            </c:extLst>
          </c:dPt>
          <c:dPt>
            <c:idx val="167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D13-9CF6-4383-B5CC-D2D8B9C72949}"/>
              </c:ext>
            </c:extLst>
          </c:dPt>
          <c:dPt>
            <c:idx val="1674"/>
            <c:bubble3D val="0"/>
            <c:spPr>
              <a:solidFill>
                <a:schemeClr val="accent1"/>
              </a:solidFill>
              <a:ln w="19050">
                <a:solidFill>
                  <a:schemeClr val="lt1"/>
                </a:solidFill>
              </a:ln>
              <a:effectLst/>
            </c:spPr>
            <c:extLst>
              <c:ext xmlns:c16="http://schemas.microsoft.com/office/drawing/2014/chart" uri="{C3380CC4-5D6E-409C-BE32-E72D297353CC}">
                <c16:uniqueId val="{00000D15-9CF6-4383-B5CC-D2D8B9C72949}"/>
              </c:ext>
            </c:extLst>
          </c:dPt>
          <c:dPt>
            <c:idx val="1675"/>
            <c:bubble3D val="0"/>
            <c:spPr>
              <a:solidFill>
                <a:schemeClr val="accent2"/>
              </a:solidFill>
              <a:ln w="19050">
                <a:solidFill>
                  <a:schemeClr val="lt1"/>
                </a:solidFill>
              </a:ln>
              <a:effectLst/>
            </c:spPr>
            <c:extLst>
              <c:ext xmlns:c16="http://schemas.microsoft.com/office/drawing/2014/chart" uri="{C3380CC4-5D6E-409C-BE32-E72D297353CC}">
                <c16:uniqueId val="{00000D17-9CF6-4383-B5CC-D2D8B9C72949}"/>
              </c:ext>
            </c:extLst>
          </c:dPt>
          <c:dPt>
            <c:idx val="1676"/>
            <c:bubble3D val="0"/>
            <c:spPr>
              <a:solidFill>
                <a:schemeClr val="accent3"/>
              </a:solidFill>
              <a:ln w="19050">
                <a:solidFill>
                  <a:schemeClr val="lt1"/>
                </a:solidFill>
              </a:ln>
              <a:effectLst/>
            </c:spPr>
            <c:extLst>
              <c:ext xmlns:c16="http://schemas.microsoft.com/office/drawing/2014/chart" uri="{C3380CC4-5D6E-409C-BE32-E72D297353CC}">
                <c16:uniqueId val="{00000D19-9CF6-4383-B5CC-D2D8B9C72949}"/>
              </c:ext>
            </c:extLst>
          </c:dPt>
          <c:dPt>
            <c:idx val="1677"/>
            <c:bubble3D val="0"/>
            <c:spPr>
              <a:solidFill>
                <a:schemeClr val="accent4"/>
              </a:solidFill>
              <a:ln w="19050">
                <a:solidFill>
                  <a:schemeClr val="lt1"/>
                </a:solidFill>
              </a:ln>
              <a:effectLst/>
            </c:spPr>
            <c:extLst>
              <c:ext xmlns:c16="http://schemas.microsoft.com/office/drawing/2014/chart" uri="{C3380CC4-5D6E-409C-BE32-E72D297353CC}">
                <c16:uniqueId val="{00000D1B-9CF6-4383-B5CC-D2D8B9C72949}"/>
              </c:ext>
            </c:extLst>
          </c:dPt>
          <c:dPt>
            <c:idx val="1678"/>
            <c:bubble3D val="0"/>
            <c:spPr>
              <a:solidFill>
                <a:schemeClr val="accent5"/>
              </a:solidFill>
              <a:ln w="19050">
                <a:solidFill>
                  <a:schemeClr val="lt1"/>
                </a:solidFill>
              </a:ln>
              <a:effectLst/>
            </c:spPr>
            <c:extLst>
              <c:ext xmlns:c16="http://schemas.microsoft.com/office/drawing/2014/chart" uri="{C3380CC4-5D6E-409C-BE32-E72D297353CC}">
                <c16:uniqueId val="{00000D1D-9CF6-4383-B5CC-D2D8B9C72949}"/>
              </c:ext>
            </c:extLst>
          </c:dPt>
          <c:dPt>
            <c:idx val="1679"/>
            <c:bubble3D val="0"/>
            <c:spPr>
              <a:solidFill>
                <a:schemeClr val="accent6"/>
              </a:solidFill>
              <a:ln w="19050">
                <a:solidFill>
                  <a:schemeClr val="lt1"/>
                </a:solidFill>
              </a:ln>
              <a:effectLst/>
            </c:spPr>
            <c:extLst>
              <c:ext xmlns:c16="http://schemas.microsoft.com/office/drawing/2014/chart" uri="{C3380CC4-5D6E-409C-BE32-E72D297353CC}">
                <c16:uniqueId val="{00000D1F-9CF6-4383-B5CC-D2D8B9C72949}"/>
              </c:ext>
            </c:extLst>
          </c:dPt>
          <c:dPt>
            <c:idx val="168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D21-9CF6-4383-B5CC-D2D8B9C72949}"/>
              </c:ext>
            </c:extLst>
          </c:dPt>
          <c:dPt>
            <c:idx val="168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D23-9CF6-4383-B5CC-D2D8B9C72949}"/>
              </c:ext>
            </c:extLst>
          </c:dPt>
          <c:dPt>
            <c:idx val="168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D25-9CF6-4383-B5CC-D2D8B9C72949}"/>
              </c:ext>
            </c:extLst>
          </c:dPt>
          <c:dPt>
            <c:idx val="168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D27-9CF6-4383-B5CC-D2D8B9C72949}"/>
              </c:ext>
            </c:extLst>
          </c:dPt>
          <c:dPt>
            <c:idx val="168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D29-9CF6-4383-B5CC-D2D8B9C72949}"/>
              </c:ext>
            </c:extLst>
          </c:dPt>
          <c:dPt>
            <c:idx val="168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D2B-9CF6-4383-B5CC-D2D8B9C72949}"/>
              </c:ext>
            </c:extLst>
          </c:dPt>
          <c:dPt>
            <c:idx val="168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D2D-9CF6-4383-B5CC-D2D8B9C72949}"/>
              </c:ext>
            </c:extLst>
          </c:dPt>
          <c:dPt>
            <c:idx val="168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D2F-9CF6-4383-B5CC-D2D8B9C72949}"/>
              </c:ext>
            </c:extLst>
          </c:dPt>
          <c:dPt>
            <c:idx val="168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D31-9CF6-4383-B5CC-D2D8B9C72949}"/>
              </c:ext>
            </c:extLst>
          </c:dPt>
          <c:dPt>
            <c:idx val="168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D33-9CF6-4383-B5CC-D2D8B9C72949}"/>
              </c:ext>
            </c:extLst>
          </c:dPt>
          <c:dPt>
            <c:idx val="169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D35-9CF6-4383-B5CC-D2D8B9C72949}"/>
              </c:ext>
            </c:extLst>
          </c:dPt>
          <c:dPt>
            <c:idx val="169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D37-9CF6-4383-B5CC-D2D8B9C72949}"/>
              </c:ext>
            </c:extLst>
          </c:dPt>
          <c:dPt>
            <c:idx val="169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D39-9CF6-4383-B5CC-D2D8B9C72949}"/>
              </c:ext>
            </c:extLst>
          </c:dPt>
          <c:dPt>
            <c:idx val="169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D3B-9CF6-4383-B5CC-D2D8B9C72949}"/>
              </c:ext>
            </c:extLst>
          </c:dPt>
          <c:dPt>
            <c:idx val="169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D3D-9CF6-4383-B5CC-D2D8B9C72949}"/>
              </c:ext>
            </c:extLst>
          </c:dPt>
          <c:dPt>
            <c:idx val="169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D3F-9CF6-4383-B5CC-D2D8B9C72949}"/>
              </c:ext>
            </c:extLst>
          </c:dPt>
          <c:dPt>
            <c:idx val="169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D41-9CF6-4383-B5CC-D2D8B9C72949}"/>
              </c:ext>
            </c:extLst>
          </c:dPt>
          <c:dPt>
            <c:idx val="169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D43-9CF6-4383-B5CC-D2D8B9C72949}"/>
              </c:ext>
            </c:extLst>
          </c:dPt>
          <c:dPt>
            <c:idx val="169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D45-9CF6-4383-B5CC-D2D8B9C72949}"/>
              </c:ext>
            </c:extLst>
          </c:dPt>
          <c:dPt>
            <c:idx val="169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D47-9CF6-4383-B5CC-D2D8B9C72949}"/>
              </c:ext>
            </c:extLst>
          </c:dPt>
          <c:dPt>
            <c:idx val="170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D49-9CF6-4383-B5CC-D2D8B9C72949}"/>
              </c:ext>
            </c:extLst>
          </c:dPt>
          <c:dPt>
            <c:idx val="170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D4B-9CF6-4383-B5CC-D2D8B9C72949}"/>
              </c:ext>
            </c:extLst>
          </c:dPt>
          <c:dPt>
            <c:idx val="170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D4D-9CF6-4383-B5CC-D2D8B9C72949}"/>
              </c:ext>
            </c:extLst>
          </c:dPt>
          <c:dPt>
            <c:idx val="170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D4F-9CF6-4383-B5CC-D2D8B9C72949}"/>
              </c:ext>
            </c:extLst>
          </c:dPt>
          <c:dPt>
            <c:idx val="170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D51-9CF6-4383-B5CC-D2D8B9C72949}"/>
              </c:ext>
            </c:extLst>
          </c:dPt>
          <c:dPt>
            <c:idx val="170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D53-9CF6-4383-B5CC-D2D8B9C72949}"/>
              </c:ext>
            </c:extLst>
          </c:dPt>
          <c:dPt>
            <c:idx val="170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D55-9CF6-4383-B5CC-D2D8B9C72949}"/>
              </c:ext>
            </c:extLst>
          </c:dPt>
          <c:dPt>
            <c:idx val="170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D57-9CF6-4383-B5CC-D2D8B9C72949}"/>
              </c:ext>
            </c:extLst>
          </c:dPt>
          <c:dPt>
            <c:idx val="170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D59-9CF6-4383-B5CC-D2D8B9C72949}"/>
              </c:ext>
            </c:extLst>
          </c:dPt>
          <c:dPt>
            <c:idx val="170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D5B-9CF6-4383-B5CC-D2D8B9C72949}"/>
              </c:ext>
            </c:extLst>
          </c:dPt>
          <c:dPt>
            <c:idx val="171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D5D-9CF6-4383-B5CC-D2D8B9C72949}"/>
              </c:ext>
            </c:extLst>
          </c:dPt>
          <c:dPt>
            <c:idx val="171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D5F-9CF6-4383-B5CC-D2D8B9C72949}"/>
              </c:ext>
            </c:extLst>
          </c:dPt>
          <c:dPt>
            <c:idx val="171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D61-9CF6-4383-B5CC-D2D8B9C72949}"/>
              </c:ext>
            </c:extLst>
          </c:dPt>
          <c:dPt>
            <c:idx val="171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D63-9CF6-4383-B5CC-D2D8B9C72949}"/>
              </c:ext>
            </c:extLst>
          </c:dPt>
          <c:dPt>
            <c:idx val="171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D65-9CF6-4383-B5CC-D2D8B9C72949}"/>
              </c:ext>
            </c:extLst>
          </c:dPt>
          <c:dPt>
            <c:idx val="171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D67-9CF6-4383-B5CC-D2D8B9C72949}"/>
              </c:ext>
            </c:extLst>
          </c:dPt>
          <c:dPt>
            <c:idx val="171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D69-9CF6-4383-B5CC-D2D8B9C72949}"/>
              </c:ext>
            </c:extLst>
          </c:dPt>
          <c:dPt>
            <c:idx val="171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D6B-9CF6-4383-B5CC-D2D8B9C72949}"/>
              </c:ext>
            </c:extLst>
          </c:dPt>
          <c:dPt>
            <c:idx val="171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D6D-9CF6-4383-B5CC-D2D8B9C72949}"/>
              </c:ext>
            </c:extLst>
          </c:dPt>
          <c:dPt>
            <c:idx val="171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D6F-9CF6-4383-B5CC-D2D8B9C72949}"/>
              </c:ext>
            </c:extLst>
          </c:dPt>
          <c:dPt>
            <c:idx val="172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D71-9CF6-4383-B5CC-D2D8B9C72949}"/>
              </c:ext>
            </c:extLst>
          </c:dPt>
          <c:dPt>
            <c:idx val="172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D73-9CF6-4383-B5CC-D2D8B9C72949}"/>
              </c:ext>
            </c:extLst>
          </c:dPt>
          <c:dPt>
            <c:idx val="172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D75-9CF6-4383-B5CC-D2D8B9C72949}"/>
              </c:ext>
            </c:extLst>
          </c:dPt>
          <c:dPt>
            <c:idx val="172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D77-9CF6-4383-B5CC-D2D8B9C72949}"/>
              </c:ext>
            </c:extLst>
          </c:dPt>
          <c:dPt>
            <c:idx val="172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D79-9CF6-4383-B5CC-D2D8B9C72949}"/>
              </c:ext>
            </c:extLst>
          </c:dPt>
          <c:dPt>
            <c:idx val="172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D7B-9CF6-4383-B5CC-D2D8B9C72949}"/>
              </c:ext>
            </c:extLst>
          </c:dPt>
          <c:dPt>
            <c:idx val="172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D7D-9CF6-4383-B5CC-D2D8B9C72949}"/>
              </c:ext>
            </c:extLst>
          </c:dPt>
          <c:dPt>
            <c:idx val="172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D7F-9CF6-4383-B5CC-D2D8B9C72949}"/>
              </c:ext>
            </c:extLst>
          </c:dPt>
          <c:dPt>
            <c:idx val="1728"/>
            <c:bubble3D val="0"/>
            <c:spPr>
              <a:solidFill>
                <a:schemeClr val="accent1"/>
              </a:solidFill>
              <a:ln w="19050">
                <a:solidFill>
                  <a:schemeClr val="lt1"/>
                </a:solidFill>
              </a:ln>
              <a:effectLst/>
            </c:spPr>
            <c:extLst>
              <c:ext xmlns:c16="http://schemas.microsoft.com/office/drawing/2014/chart" uri="{C3380CC4-5D6E-409C-BE32-E72D297353CC}">
                <c16:uniqueId val="{00000D81-9CF6-4383-B5CC-D2D8B9C72949}"/>
              </c:ext>
            </c:extLst>
          </c:dPt>
          <c:dPt>
            <c:idx val="1729"/>
            <c:bubble3D val="0"/>
            <c:spPr>
              <a:solidFill>
                <a:schemeClr val="accent2"/>
              </a:solidFill>
              <a:ln w="19050">
                <a:solidFill>
                  <a:schemeClr val="lt1"/>
                </a:solidFill>
              </a:ln>
              <a:effectLst/>
            </c:spPr>
            <c:extLst>
              <c:ext xmlns:c16="http://schemas.microsoft.com/office/drawing/2014/chart" uri="{C3380CC4-5D6E-409C-BE32-E72D297353CC}">
                <c16:uniqueId val="{00000D83-9CF6-4383-B5CC-D2D8B9C72949}"/>
              </c:ext>
            </c:extLst>
          </c:dPt>
          <c:dPt>
            <c:idx val="1730"/>
            <c:bubble3D val="0"/>
            <c:spPr>
              <a:solidFill>
                <a:schemeClr val="accent3"/>
              </a:solidFill>
              <a:ln w="19050">
                <a:solidFill>
                  <a:schemeClr val="lt1"/>
                </a:solidFill>
              </a:ln>
              <a:effectLst/>
            </c:spPr>
            <c:extLst>
              <c:ext xmlns:c16="http://schemas.microsoft.com/office/drawing/2014/chart" uri="{C3380CC4-5D6E-409C-BE32-E72D297353CC}">
                <c16:uniqueId val="{00000D85-9CF6-4383-B5CC-D2D8B9C72949}"/>
              </c:ext>
            </c:extLst>
          </c:dPt>
          <c:dPt>
            <c:idx val="1731"/>
            <c:bubble3D val="0"/>
            <c:spPr>
              <a:solidFill>
                <a:schemeClr val="accent4"/>
              </a:solidFill>
              <a:ln w="19050">
                <a:solidFill>
                  <a:schemeClr val="lt1"/>
                </a:solidFill>
              </a:ln>
              <a:effectLst/>
            </c:spPr>
            <c:extLst>
              <c:ext xmlns:c16="http://schemas.microsoft.com/office/drawing/2014/chart" uri="{C3380CC4-5D6E-409C-BE32-E72D297353CC}">
                <c16:uniqueId val="{00000D87-9CF6-4383-B5CC-D2D8B9C72949}"/>
              </c:ext>
            </c:extLst>
          </c:dPt>
          <c:dPt>
            <c:idx val="1732"/>
            <c:bubble3D val="0"/>
            <c:spPr>
              <a:solidFill>
                <a:schemeClr val="accent5"/>
              </a:solidFill>
              <a:ln w="19050">
                <a:solidFill>
                  <a:schemeClr val="lt1"/>
                </a:solidFill>
              </a:ln>
              <a:effectLst/>
            </c:spPr>
            <c:extLst>
              <c:ext xmlns:c16="http://schemas.microsoft.com/office/drawing/2014/chart" uri="{C3380CC4-5D6E-409C-BE32-E72D297353CC}">
                <c16:uniqueId val="{00000D89-9CF6-4383-B5CC-D2D8B9C72949}"/>
              </c:ext>
            </c:extLst>
          </c:dPt>
          <c:dPt>
            <c:idx val="1733"/>
            <c:bubble3D val="0"/>
            <c:spPr>
              <a:solidFill>
                <a:schemeClr val="accent6"/>
              </a:solidFill>
              <a:ln w="19050">
                <a:solidFill>
                  <a:schemeClr val="lt1"/>
                </a:solidFill>
              </a:ln>
              <a:effectLst/>
            </c:spPr>
            <c:extLst>
              <c:ext xmlns:c16="http://schemas.microsoft.com/office/drawing/2014/chart" uri="{C3380CC4-5D6E-409C-BE32-E72D297353CC}">
                <c16:uniqueId val="{00000D8B-9CF6-4383-B5CC-D2D8B9C72949}"/>
              </c:ext>
            </c:extLst>
          </c:dPt>
          <c:dPt>
            <c:idx val="173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D8D-9CF6-4383-B5CC-D2D8B9C72949}"/>
              </c:ext>
            </c:extLst>
          </c:dPt>
          <c:dPt>
            <c:idx val="173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D8F-9CF6-4383-B5CC-D2D8B9C72949}"/>
              </c:ext>
            </c:extLst>
          </c:dPt>
          <c:dPt>
            <c:idx val="173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D91-9CF6-4383-B5CC-D2D8B9C72949}"/>
              </c:ext>
            </c:extLst>
          </c:dPt>
          <c:dPt>
            <c:idx val="173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D93-9CF6-4383-B5CC-D2D8B9C72949}"/>
              </c:ext>
            </c:extLst>
          </c:dPt>
          <c:dPt>
            <c:idx val="173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D95-9CF6-4383-B5CC-D2D8B9C72949}"/>
              </c:ext>
            </c:extLst>
          </c:dPt>
          <c:dPt>
            <c:idx val="173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D97-9CF6-4383-B5CC-D2D8B9C72949}"/>
              </c:ext>
            </c:extLst>
          </c:dPt>
          <c:dPt>
            <c:idx val="174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D99-9CF6-4383-B5CC-D2D8B9C72949}"/>
              </c:ext>
            </c:extLst>
          </c:dPt>
          <c:dPt>
            <c:idx val="174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D9B-9CF6-4383-B5CC-D2D8B9C72949}"/>
              </c:ext>
            </c:extLst>
          </c:dPt>
          <c:dPt>
            <c:idx val="174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D9D-9CF6-4383-B5CC-D2D8B9C72949}"/>
              </c:ext>
            </c:extLst>
          </c:dPt>
          <c:dPt>
            <c:idx val="174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D9F-9CF6-4383-B5CC-D2D8B9C72949}"/>
              </c:ext>
            </c:extLst>
          </c:dPt>
          <c:dPt>
            <c:idx val="174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DA1-9CF6-4383-B5CC-D2D8B9C72949}"/>
              </c:ext>
            </c:extLst>
          </c:dPt>
          <c:dPt>
            <c:idx val="174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DA3-9CF6-4383-B5CC-D2D8B9C72949}"/>
              </c:ext>
            </c:extLst>
          </c:dPt>
          <c:dPt>
            <c:idx val="174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DA5-9CF6-4383-B5CC-D2D8B9C72949}"/>
              </c:ext>
            </c:extLst>
          </c:dPt>
          <c:dPt>
            <c:idx val="174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DA7-9CF6-4383-B5CC-D2D8B9C72949}"/>
              </c:ext>
            </c:extLst>
          </c:dPt>
          <c:dPt>
            <c:idx val="174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DA9-9CF6-4383-B5CC-D2D8B9C72949}"/>
              </c:ext>
            </c:extLst>
          </c:dPt>
          <c:dPt>
            <c:idx val="174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DAB-9CF6-4383-B5CC-D2D8B9C72949}"/>
              </c:ext>
            </c:extLst>
          </c:dPt>
          <c:dPt>
            <c:idx val="175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DAD-9CF6-4383-B5CC-D2D8B9C72949}"/>
              </c:ext>
            </c:extLst>
          </c:dPt>
          <c:dPt>
            <c:idx val="175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DAF-9CF6-4383-B5CC-D2D8B9C72949}"/>
              </c:ext>
            </c:extLst>
          </c:dPt>
          <c:dPt>
            <c:idx val="175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DB1-9CF6-4383-B5CC-D2D8B9C72949}"/>
              </c:ext>
            </c:extLst>
          </c:dPt>
          <c:dPt>
            <c:idx val="175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DB3-9CF6-4383-B5CC-D2D8B9C72949}"/>
              </c:ext>
            </c:extLst>
          </c:dPt>
          <c:dPt>
            <c:idx val="175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DB5-9CF6-4383-B5CC-D2D8B9C72949}"/>
              </c:ext>
            </c:extLst>
          </c:dPt>
          <c:dPt>
            <c:idx val="175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DB7-9CF6-4383-B5CC-D2D8B9C72949}"/>
              </c:ext>
            </c:extLst>
          </c:dPt>
          <c:dPt>
            <c:idx val="175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DB9-9CF6-4383-B5CC-D2D8B9C72949}"/>
              </c:ext>
            </c:extLst>
          </c:dPt>
          <c:dPt>
            <c:idx val="175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DBB-9CF6-4383-B5CC-D2D8B9C72949}"/>
              </c:ext>
            </c:extLst>
          </c:dPt>
          <c:dPt>
            <c:idx val="175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DBD-9CF6-4383-B5CC-D2D8B9C72949}"/>
              </c:ext>
            </c:extLst>
          </c:dPt>
          <c:dPt>
            <c:idx val="175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DBF-9CF6-4383-B5CC-D2D8B9C72949}"/>
              </c:ext>
            </c:extLst>
          </c:dPt>
          <c:dPt>
            <c:idx val="176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DC1-9CF6-4383-B5CC-D2D8B9C72949}"/>
              </c:ext>
            </c:extLst>
          </c:dPt>
          <c:dPt>
            <c:idx val="176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DC3-9CF6-4383-B5CC-D2D8B9C72949}"/>
              </c:ext>
            </c:extLst>
          </c:dPt>
          <c:dPt>
            <c:idx val="176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DC5-9CF6-4383-B5CC-D2D8B9C72949}"/>
              </c:ext>
            </c:extLst>
          </c:dPt>
          <c:dPt>
            <c:idx val="176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DC7-9CF6-4383-B5CC-D2D8B9C72949}"/>
              </c:ext>
            </c:extLst>
          </c:dPt>
          <c:dPt>
            <c:idx val="176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DC9-9CF6-4383-B5CC-D2D8B9C72949}"/>
              </c:ext>
            </c:extLst>
          </c:dPt>
          <c:dPt>
            <c:idx val="176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DCB-9CF6-4383-B5CC-D2D8B9C72949}"/>
              </c:ext>
            </c:extLst>
          </c:dPt>
          <c:dPt>
            <c:idx val="176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DCD-9CF6-4383-B5CC-D2D8B9C72949}"/>
              </c:ext>
            </c:extLst>
          </c:dPt>
          <c:dPt>
            <c:idx val="176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DCF-9CF6-4383-B5CC-D2D8B9C72949}"/>
              </c:ext>
            </c:extLst>
          </c:dPt>
          <c:dPt>
            <c:idx val="176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DD1-9CF6-4383-B5CC-D2D8B9C72949}"/>
              </c:ext>
            </c:extLst>
          </c:dPt>
          <c:dPt>
            <c:idx val="176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DD3-9CF6-4383-B5CC-D2D8B9C72949}"/>
              </c:ext>
            </c:extLst>
          </c:dPt>
          <c:dPt>
            <c:idx val="177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DD5-9CF6-4383-B5CC-D2D8B9C72949}"/>
              </c:ext>
            </c:extLst>
          </c:dPt>
          <c:dPt>
            <c:idx val="177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DD7-9CF6-4383-B5CC-D2D8B9C72949}"/>
              </c:ext>
            </c:extLst>
          </c:dPt>
          <c:dPt>
            <c:idx val="177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DD9-9CF6-4383-B5CC-D2D8B9C72949}"/>
              </c:ext>
            </c:extLst>
          </c:dPt>
          <c:dPt>
            <c:idx val="177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DDB-9CF6-4383-B5CC-D2D8B9C72949}"/>
              </c:ext>
            </c:extLst>
          </c:dPt>
          <c:dPt>
            <c:idx val="177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DDD-9CF6-4383-B5CC-D2D8B9C72949}"/>
              </c:ext>
            </c:extLst>
          </c:dPt>
          <c:dPt>
            <c:idx val="177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DDF-9CF6-4383-B5CC-D2D8B9C72949}"/>
              </c:ext>
            </c:extLst>
          </c:dPt>
          <c:dPt>
            <c:idx val="177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DE1-9CF6-4383-B5CC-D2D8B9C72949}"/>
              </c:ext>
            </c:extLst>
          </c:dPt>
          <c:dPt>
            <c:idx val="177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DE3-9CF6-4383-B5CC-D2D8B9C72949}"/>
              </c:ext>
            </c:extLst>
          </c:dPt>
          <c:dPt>
            <c:idx val="177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DE5-9CF6-4383-B5CC-D2D8B9C72949}"/>
              </c:ext>
            </c:extLst>
          </c:dPt>
          <c:dPt>
            <c:idx val="177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DE7-9CF6-4383-B5CC-D2D8B9C72949}"/>
              </c:ext>
            </c:extLst>
          </c:dPt>
          <c:dPt>
            <c:idx val="178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DE9-9CF6-4383-B5CC-D2D8B9C72949}"/>
              </c:ext>
            </c:extLst>
          </c:dPt>
          <c:dPt>
            <c:idx val="178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DEB-9CF6-4383-B5CC-D2D8B9C72949}"/>
              </c:ext>
            </c:extLst>
          </c:dPt>
          <c:dPt>
            <c:idx val="1782"/>
            <c:bubble3D val="0"/>
            <c:spPr>
              <a:solidFill>
                <a:schemeClr val="accent1"/>
              </a:solidFill>
              <a:ln w="19050">
                <a:solidFill>
                  <a:schemeClr val="lt1"/>
                </a:solidFill>
              </a:ln>
              <a:effectLst/>
            </c:spPr>
            <c:extLst>
              <c:ext xmlns:c16="http://schemas.microsoft.com/office/drawing/2014/chart" uri="{C3380CC4-5D6E-409C-BE32-E72D297353CC}">
                <c16:uniqueId val="{00000DED-9CF6-4383-B5CC-D2D8B9C72949}"/>
              </c:ext>
            </c:extLst>
          </c:dPt>
          <c:dPt>
            <c:idx val="1783"/>
            <c:bubble3D val="0"/>
            <c:spPr>
              <a:solidFill>
                <a:schemeClr val="accent2"/>
              </a:solidFill>
              <a:ln w="19050">
                <a:solidFill>
                  <a:schemeClr val="lt1"/>
                </a:solidFill>
              </a:ln>
              <a:effectLst/>
            </c:spPr>
            <c:extLst>
              <c:ext xmlns:c16="http://schemas.microsoft.com/office/drawing/2014/chart" uri="{C3380CC4-5D6E-409C-BE32-E72D297353CC}">
                <c16:uniqueId val="{00000DEF-9CF6-4383-B5CC-D2D8B9C72949}"/>
              </c:ext>
            </c:extLst>
          </c:dPt>
          <c:dPt>
            <c:idx val="1784"/>
            <c:bubble3D val="0"/>
            <c:spPr>
              <a:solidFill>
                <a:schemeClr val="accent3"/>
              </a:solidFill>
              <a:ln w="19050">
                <a:solidFill>
                  <a:schemeClr val="lt1"/>
                </a:solidFill>
              </a:ln>
              <a:effectLst/>
            </c:spPr>
            <c:extLst>
              <c:ext xmlns:c16="http://schemas.microsoft.com/office/drawing/2014/chart" uri="{C3380CC4-5D6E-409C-BE32-E72D297353CC}">
                <c16:uniqueId val="{00000DF1-9CF6-4383-B5CC-D2D8B9C72949}"/>
              </c:ext>
            </c:extLst>
          </c:dPt>
          <c:dPt>
            <c:idx val="1785"/>
            <c:bubble3D val="0"/>
            <c:spPr>
              <a:solidFill>
                <a:schemeClr val="accent4"/>
              </a:solidFill>
              <a:ln w="19050">
                <a:solidFill>
                  <a:schemeClr val="lt1"/>
                </a:solidFill>
              </a:ln>
              <a:effectLst/>
            </c:spPr>
            <c:extLst>
              <c:ext xmlns:c16="http://schemas.microsoft.com/office/drawing/2014/chart" uri="{C3380CC4-5D6E-409C-BE32-E72D297353CC}">
                <c16:uniqueId val="{00000DF3-9CF6-4383-B5CC-D2D8B9C72949}"/>
              </c:ext>
            </c:extLst>
          </c:dPt>
          <c:dPt>
            <c:idx val="1786"/>
            <c:bubble3D val="0"/>
            <c:spPr>
              <a:solidFill>
                <a:schemeClr val="accent5"/>
              </a:solidFill>
              <a:ln w="19050">
                <a:solidFill>
                  <a:schemeClr val="lt1"/>
                </a:solidFill>
              </a:ln>
              <a:effectLst/>
            </c:spPr>
            <c:extLst>
              <c:ext xmlns:c16="http://schemas.microsoft.com/office/drawing/2014/chart" uri="{C3380CC4-5D6E-409C-BE32-E72D297353CC}">
                <c16:uniqueId val="{00000DF5-9CF6-4383-B5CC-D2D8B9C72949}"/>
              </c:ext>
            </c:extLst>
          </c:dPt>
          <c:dPt>
            <c:idx val="1787"/>
            <c:bubble3D val="0"/>
            <c:spPr>
              <a:solidFill>
                <a:schemeClr val="accent6"/>
              </a:solidFill>
              <a:ln w="19050">
                <a:solidFill>
                  <a:schemeClr val="lt1"/>
                </a:solidFill>
              </a:ln>
              <a:effectLst/>
            </c:spPr>
            <c:extLst>
              <c:ext xmlns:c16="http://schemas.microsoft.com/office/drawing/2014/chart" uri="{C3380CC4-5D6E-409C-BE32-E72D297353CC}">
                <c16:uniqueId val="{00000DF7-9CF6-4383-B5CC-D2D8B9C72949}"/>
              </c:ext>
            </c:extLst>
          </c:dPt>
          <c:dPt>
            <c:idx val="178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DF9-9CF6-4383-B5CC-D2D8B9C72949}"/>
              </c:ext>
            </c:extLst>
          </c:dPt>
          <c:dPt>
            <c:idx val="178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DFB-9CF6-4383-B5CC-D2D8B9C72949}"/>
              </c:ext>
            </c:extLst>
          </c:dPt>
          <c:dPt>
            <c:idx val="179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DFD-9CF6-4383-B5CC-D2D8B9C72949}"/>
              </c:ext>
            </c:extLst>
          </c:dPt>
          <c:dPt>
            <c:idx val="179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DFF-9CF6-4383-B5CC-D2D8B9C72949}"/>
              </c:ext>
            </c:extLst>
          </c:dPt>
          <c:dPt>
            <c:idx val="179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E01-9CF6-4383-B5CC-D2D8B9C72949}"/>
              </c:ext>
            </c:extLst>
          </c:dPt>
          <c:dPt>
            <c:idx val="179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E03-9CF6-4383-B5CC-D2D8B9C72949}"/>
              </c:ext>
            </c:extLst>
          </c:dPt>
          <c:dPt>
            <c:idx val="179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E05-9CF6-4383-B5CC-D2D8B9C72949}"/>
              </c:ext>
            </c:extLst>
          </c:dPt>
          <c:dPt>
            <c:idx val="179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E07-9CF6-4383-B5CC-D2D8B9C72949}"/>
              </c:ext>
            </c:extLst>
          </c:dPt>
          <c:dPt>
            <c:idx val="179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E09-9CF6-4383-B5CC-D2D8B9C72949}"/>
              </c:ext>
            </c:extLst>
          </c:dPt>
          <c:dPt>
            <c:idx val="179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E0B-9CF6-4383-B5CC-D2D8B9C72949}"/>
              </c:ext>
            </c:extLst>
          </c:dPt>
          <c:dPt>
            <c:idx val="179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E0D-9CF6-4383-B5CC-D2D8B9C72949}"/>
              </c:ext>
            </c:extLst>
          </c:dPt>
          <c:dPt>
            <c:idx val="179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E0F-9CF6-4383-B5CC-D2D8B9C72949}"/>
              </c:ext>
            </c:extLst>
          </c:dPt>
          <c:dPt>
            <c:idx val="180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E11-9CF6-4383-B5CC-D2D8B9C72949}"/>
              </c:ext>
            </c:extLst>
          </c:dPt>
          <c:dPt>
            <c:idx val="180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E13-9CF6-4383-B5CC-D2D8B9C72949}"/>
              </c:ext>
            </c:extLst>
          </c:dPt>
          <c:dPt>
            <c:idx val="180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E15-9CF6-4383-B5CC-D2D8B9C72949}"/>
              </c:ext>
            </c:extLst>
          </c:dPt>
          <c:dPt>
            <c:idx val="180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E17-9CF6-4383-B5CC-D2D8B9C72949}"/>
              </c:ext>
            </c:extLst>
          </c:dPt>
          <c:dPt>
            <c:idx val="180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E19-9CF6-4383-B5CC-D2D8B9C72949}"/>
              </c:ext>
            </c:extLst>
          </c:dPt>
          <c:dPt>
            <c:idx val="180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E1B-9CF6-4383-B5CC-D2D8B9C72949}"/>
              </c:ext>
            </c:extLst>
          </c:dPt>
          <c:dPt>
            <c:idx val="180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E1D-9CF6-4383-B5CC-D2D8B9C72949}"/>
              </c:ext>
            </c:extLst>
          </c:dPt>
          <c:dPt>
            <c:idx val="180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E1F-9CF6-4383-B5CC-D2D8B9C72949}"/>
              </c:ext>
            </c:extLst>
          </c:dPt>
          <c:dPt>
            <c:idx val="180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E21-9CF6-4383-B5CC-D2D8B9C72949}"/>
              </c:ext>
            </c:extLst>
          </c:dPt>
          <c:dPt>
            <c:idx val="180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E23-9CF6-4383-B5CC-D2D8B9C72949}"/>
              </c:ext>
            </c:extLst>
          </c:dPt>
          <c:dPt>
            <c:idx val="181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E25-9CF6-4383-B5CC-D2D8B9C72949}"/>
              </c:ext>
            </c:extLst>
          </c:dPt>
          <c:dPt>
            <c:idx val="181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E27-9CF6-4383-B5CC-D2D8B9C72949}"/>
              </c:ext>
            </c:extLst>
          </c:dPt>
          <c:dPt>
            <c:idx val="181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E29-9CF6-4383-B5CC-D2D8B9C72949}"/>
              </c:ext>
            </c:extLst>
          </c:dPt>
          <c:dPt>
            <c:idx val="181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E2B-9CF6-4383-B5CC-D2D8B9C72949}"/>
              </c:ext>
            </c:extLst>
          </c:dPt>
          <c:dPt>
            <c:idx val="181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E2D-9CF6-4383-B5CC-D2D8B9C72949}"/>
              </c:ext>
            </c:extLst>
          </c:dPt>
          <c:dPt>
            <c:idx val="181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E2F-9CF6-4383-B5CC-D2D8B9C72949}"/>
              </c:ext>
            </c:extLst>
          </c:dPt>
          <c:dPt>
            <c:idx val="181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E31-9CF6-4383-B5CC-D2D8B9C72949}"/>
              </c:ext>
            </c:extLst>
          </c:dPt>
          <c:dPt>
            <c:idx val="181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E33-9CF6-4383-B5CC-D2D8B9C72949}"/>
              </c:ext>
            </c:extLst>
          </c:dPt>
          <c:dPt>
            <c:idx val="181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E35-9CF6-4383-B5CC-D2D8B9C72949}"/>
              </c:ext>
            </c:extLst>
          </c:dPt>
          <c:dPt>
            <c:idx val="181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E37-9CF6-4383-B5CC-D2D8B9C72949}"/>
              </c:ext>
            </c:extLst>
          </c:dPt>
          <c:dPt>
            <c:idx val="182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E39-9CF6-4383-B5CC-D2D8B9C72949}"/>
              </c:ext>
            </c:extLst>
          </c:dPt>
          <c:dPt>
            <c:idx val="182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E3B-9CF6-4383-B5CC-D2D8B9C72949}"/>
              </c:ext>
            </c:extLst>
          </c:dPt>
          <c:dPt>
            <c:idx val="182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E3D-9CF6-4383-B5CC-D2D8B9C72949}"/>
              </c:ext>
            </c:extLst>
          </c:dPt>
          <c:dPt>
            <c:idx val="182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E3F-9CF6-4383-B5CC-D2D8B9C72949}"/>
              </c:ext>
            </c:extLst>
          </c:dPt>
          <c:dPt>
            <c:idx val="182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E41-9CF6-4383-B5CC-D2D8B9C72949}"/>
              </c:ext>
            </c:extLst>
          </c:dPt>
          <c:dPt>
            <c:idx val="182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E43-9CF6-4383-B5CC-D2D8B9C72949}"/>
              </c:ext>
            </c:extLst>
          </c:dPt>
          <c:dPt>
            <c:idx val="182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E45-9CF6-4383-B5CC-D2D8B9C72949}"/>
              </c:ext>
            </c:extLst>
          </c:dPt>
          <c:dPt>
            <c:idx val="182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E47-9CF6-4383-B5CC-D2D8B9C72949}"/>
              </c:ext>
            </c:extLst>
          </c:dPt>
          <c:dPt>
            <c:idx val="182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E49-9CF6-4383-B5CC-D2D8B9C72949}"/>
              </c:ext>
            </c:extLst>
          </c:dPt>
          <c:dPt>
            <c:idx val="182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E4B-9CF6-4383-B5CC-D2D8B9C72949}"/>
              </c:ext>
            </c:extLst>
          </c:dPt>
          <c:dPt>
            <c:idx val="183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E4D-9CF6-4383-B5CC-D2D8B9C72949}"/>
              </c:ext>
            </c:extLst>
          </c:dPt>
          <c:dPt>
            <c:idx val="183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E4F-9CF6-4383-B5CC-D2D8B9C72949}"/>
              </c:ext>
            </c:extLst>
          </c:dPt>
          <c:dPt>
            <c:idx val="183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E51-9CF6-4383-B5CC-D2D8B9C72949}"/>
              </c:ext>
            </c:extLst>
          </c:dPt>
          <c:dPt>
            <c:idx val="183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E53-9CF6-4383-B5CC-D2D8B9C72949}"/>
              </c:ext>
            </c:extLst>
          </c:dPt>
          <c:dPt>
            <c:idx val="183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E55-9CF6-4383-B5CC-D2D8B9C72949}"/>
              </c:ext>
            </c:extLst>
          </c:dPt>
          <c:dPt>
            <c:idx val="183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E57-9CF6-4383-B5CC-D2D8B9C72949}"/>
              </c:ext>
            </c:extLst>
          </c:dPt>
          <c:dPt>
            <c:idx val="1836"/>
            <c:bubble3D val="0"/>
            <c:spPr>
              <a:solidFill>
                <a:schemeClr val="accent1"/>
              </a:solidFill>
              <a:ln w="19050">
                <a:solidFill>
                  <a:schemeClr val="lt1"/>
                </a:solidFill>
              </a:ln>
              <a:effectLst/>
            </c:spPr>
            <c:extLst>
              <c:ext xmlns:c16="http://schemas.microsoft.com/office/drawing/2014/chart" uri="{C3380CC4-5D6E-409C-BE32-E72D297353CC}">
                <c16:uniqueId val="{00000E59-9CF6-4383-B5CC-D2D8B9C72949}"/>
              </c:ext>
            </c:extLst>
          </c:dPt>
          <c:dPt>
            <c:idx val="1837"/>
            <c:bubble3D val="0"/>
            <c:spPr>
              <a:solidFill>
                <a:schemeClr val="accent2"/>
              </a:solidFill>
              <a:ln w="19050">
                <a:solidFill>
                  <a:schemeClr val="lt1"/>
                </a:solidFill>
              </a:ln>
              <a:effectLst/>
            </c:spPr>
            <c:extLst>
              <c:ext xmlns:c16="http://schemas.microsoft.com/office/drawing/2014/chart" uri="{C3380CC4-5D6E-409C-BE32-E72D297353CC}">
                <c16:uniqueId val="{00000E5B-9CF6-4383-B5CC-D2D8B9C72949}"/>
              </c:ext>
            </c:extLst>
          </c:dPt>
          <c:dPt>
            <c:idx val="1838"/>
            <c:bubble3D val="0"/>
            <c:spPr>
              <a:solidFill>
                <a:schemeClr val="accent3"/>
              </a:solidFill>
              <a:ln w="19050">
                <a:solidFill>
                  <a:schemeClr val="lt1"/>
                </a:solidFill>
              </a:ln>
              <a:effectLst/>
            </c:spPr>
            <c:extLst>
              <c:ext xmlns:c16="http://schemas.microsoft.com/office/drawing/2014/chart" uri="{C3380CC4-5D6E-409C-BE32-E72D297353CC}">
                <c16:uniqueId val="{00000E5D-9CF6-4383-B5CC-D2D8B9C72949}"/>
              </c:ext>
            </c:extLst>
          </c:dPt>
          <c:dPt>
            <c:idx val="1839"/>
            <c:bubble3D val="0"/>
            <c:spPr>
              <a:solidFill>
                <a:schemeClr val="accent4"/>
              </a:solidFill>
              <a:ln w="19050">
                <a:solidFill>
                  <a:schemeClr val="lt1"/>
                </a:solidFill>
              </a:ln>
              <a:effectLst/>
            </c:spPr>
            <c:extLst>
              <c:ext xmlns:c16="http://schemas.microsoft.com/office/drawing/2014/chart" uri="{C3380CC4-5D6E-409C-BE32-E72D297353CC}">
                <c16:uniqueId val="{00000E5F-9CF6-4383-B5CC-D2D8B9C72949}"/>
              </c:ext>
            </c:extLst>
          </c:dPt>
          <c:dPt>
            <c:idx val="1840"/>
            <c:bubble3D val="0"/>
            <c:spPr>
              <a:solidFill>
                <a:schemeClr val="accent5"/>
              </a:solidFill>
              <a:ln w="19050">
                <a:solidFill>
                  <a:schemeClr val="lt1"/>
                </a:solidFill>
              </a:ln>
              <a:effectLst/>
            </c:spPr>
            <c:extLst>
              <c:ext xmlns:c16="http://schemas.microsoft.com/office/drawing/2014/chart" uri="{C3380CC4-5D6E-409C-BE32-E72D297353CC}">
                <c16:uniqueId val="{00000E61-9CF6-4383-B5CC-D2D8B9C72949}"/>
              </c:ext>
            </c:extLst>
          </c:dPt>
          <c:dPt>
            <c:idx val="1841"/>
            <c:bubble3D val="0"/>
            <c:spPr>
              <a:solidFill>
                <a:schemeClr val="accent6"/>
              </a:solidFill>
              <a:ln w="19050">
                <a:solidFill>
                  <a:schemeClr val="lt1"/>
                </a:solidFill>
              </a:ln>
              <a:effectLst/>
            </c:spPr>
            <c:extLst>
              <c:ext xmlns:c16="http://schemas.microsoft.com/office/drawing/2014/chart" uri="{C3380CC4-5D6E-409C-BE32-E72D297353CC}">
                <c16:uniqueId val="{00000E63-9CF6-4383-B5CC-D2D8B9C72949}"/>
              </c:ext>
            </c:extLst>
          </c:dPt>
          <c:dPt>
            <c:idx val="184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E65-9CF6-4383-B5CC-D2D8B9C72949}"/>
              </c:ext>
            </c:extLst>
          </c:dPt>
          <c:dPt>
            <c:idx val="184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E67-9CF6-4383-B5CC-D2D8B9C72949}"/>
              </c:ext>
            </c:extLst>
          </c:dPt>
          <c:dPt>
            <c:idx val="184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E69-9CF6-4383-B5CC-D2D8B9C72949}"/>
              </c:ext>
            </c:extLst>
          </c:dPt>
          <c:dPt>
            <c:idx val="184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E6B-9CF6-4383-B5CC-D2D8B9C72949}"/>
              </c:ext>
            </c:extLst>
          </c:dPt>
          <c:dPt>
            <c:idx val="184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E6D-9CF6-4383-B5CC-D2D8B9C72949}"/>
              </c:ext>
            </c:extLst>
          </c:dPt>
          <c:dPt>
            <c:idx val="184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E6F-9CF6-4383-B5CC-D2D8B9C72949}"/>
              </c:ext>
            </c:extLst>
          </c:dPt>
          <c:dPt>
            <c:idx val="184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E71-9CF6-4383-B5CC-D2D8B9C72949}"/>
              </c:ext>
            </c:extLst>
          </c:dPt>
          <c:dPt>
            <c:idx val="184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E73-9CF6-4383-B5CC-D2D8B9C72949}"/>
              </c:ext>
            </c:extLst>
          </c:dPt>
          <c:dPt>
            <c:idx val="185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E75-9CF6-4383-B5CC-D2D8B9C72949}"/>
              </c:ext>
            </c:extLst>
          </c:dPt>
          <c:dPt>
            <c:idx val="185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E77-9CF6-4383-B5CC-D2D8B9C72949}"/>
              </c:ext>
            </c:extLst>
          </c:dPt>
          <c:dPt>
            <c:idx val="185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E79-9CF6-4383-B5CC-D2D8B9C72949}"/>
              </c:ext>
            </c:extLst>
          </c:dPt>
          <c:dPt>
            <c:idx val="185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E7B-9CF6-4383-B5CC-D2D8B9C72949}"/>
              </c:ext>
            </c:extLst>
          </c:dPt>
          <c:dPt>
            <c:idx val="185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E7D-9CF6-4383-B5CC-D2D8B9C72949}"/>
              </c:ext>
            </c:extLst>
          </c:dPt>
          <c:dPt>
            <c:idx val="185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E7F-9CF6-4383-B5CC-D2D8B9C72949}"/>
              </c:ext>
            </c:extLst>
          </c:dPt>
          <c:dPt>
            <c:idx val="185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E81-9CF6-4383-B5CC-D2D8B9C72949}"/>
              </c:ext>
            </c:extLst>
          </c:dPt>
          <c:dPt>
            <c:idx val="185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E83-9CF6-4383-B5CC-D2D8B9C72949}"/>
              </c:ext>
            </c:extLst>
          </c:dPt>
          <c:dPt>
            <c:idx val="185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E85-9CF6-4383-B5CC-D2D8B9C72949}"/>
              </c:ext>
            </c:extLst>
          </c:dPt>
          <c:dPt>
            <c:idx val="185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E87-9CF6-4383-B5CC-D2D8B9C72949}"/>
              </c:ext>
            </c:extLst>
          </c:dPt>
          <c:dPt>
            <c:idx val="186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E89-9CF6-4383-B5CC-D2D8B9C72949}"/>
              </c:ext>
            </c:extLst>
          </c:dPt>
          <c:dPt>
            <c:idx val="186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E8B-9CF6-4383-B5CC-D2D8B9C72949}"/>
              </c:ext>
            </c:extLst>
          </c:dPt>
          <c:dPt>
            <c:idx val="186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E8D-9CF6-4383-B5CC-D2D8B9C72949}"/>
              </c:ext>
            </c:extLst>
          </c:dPt>
          <c:dPt>
            <c:idx val="186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E8F-9CF6-4383-B5CC-D2D8B9C72949}"/>
              </c:ext>
            </c:extLst>
          </c:dPt>
          <c:dPt>
            <c:idx val="186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E91-9CF6-4383-B5CC-D2D8B9C72949}"/>
              </c:ext>
            </c:extLst>
          </c:dPt>
          <c:dPt>
            <c:idx val="186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E93-9CF6-4383-B5CC-D2D8B9C72949}"/>
              </c:ext>
            </c:extLst>
          </c:dPt>
          <c:dPt>
            <c:idx val="186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E95-9CF6-4383-B5CC-D2D8B9C72949}"/>
              </c:ext>
            </c:extLst>
          </c:dPt>
          <c:dPt>
            <c:idx val="186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E97-9CF6-4383-B5CC-D2D8B9C72949}"/>
              </c:ext>
            </c:extLst>
          </c:dPt>
          <c:dPt>
            <c:idx val="186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E99-9CF6-4383-B5CC-D2D8B9C72949}"/>
              </c:ext>
            </c:extLst>
          </c:dPt>
          <c:dPt>
            <c:idx val="186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E9B-9CF6-4383-B5CC-D2D8B9C72949}"/>
              </c:ext>
            </c:extLst>
          </c:dPt>
          <c:dPt>
            <c:idx val="187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E9D-9CF6-4383-B5CC-D2D8B9C72949}"/>
              </c:ext>
            </c:extLst>
          </c:dPt>
          <c:dPt>
            <c:idx val="187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E9F-9CF6-4383-B5CC-D2D8B9C72949}"/>
              </c:ext>
            </c:extLst>
          </c:dPt>
          <c:dPt>
            <c:idx val="187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EA1-9CF6-4383-B5CC-D2D8B9C72949}"/>
              </c:ext>
            </c:extLst>
          </c:dPt>
          <c:dPt>
            <c:idx val="187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EA3-9CF6-4383-B5CC-D2D8B9C72949}"/>
              </c:ext>
            </c:extLst>
          </c:dPt>
          <c:dPt>
            <c:idx val="187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EA5-9CF6-4383-B5CC-D2D8B9C72949}"/>
              </c:ext>
            </c:extLst>
          </c:dPt>
          <c:dPt>
            <c:idx val="187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EA7-9CF6-4383-B5CC-D2D8B9C72949}"/>
              </c:ext>
            </c:extLst>
          </c:dPt>
          <c:dPt>
            <c:idx val="187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EA9-9CF6-4383-B5CC-D2D8B9C72949}"/>
              </c:ext>
            </c:extLst>
          </c:dPt>
          <c:dPt>
            <c:idx val="187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EAB-9CF6-4383-B5CC-D2D8B9C72949}"/>
              </c:ext>
            </c:extLst>
          </c:dPt>
          <c:dPt>
            <c:idx val="187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EAD-9CF6-4383-B5CC-D2D8B9C72949}"/>
              </c:ext>
            </c:extLst>
          </c:dPt>
          <c:dPt>
            <c:idx val="187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EAF-9CF6-4383-B5CC-D2D8B9C72949}"/>
              </c:ext>
            </c:extLst>
          </c:dPt>
          <c:dPt>
            <c:idx val="188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EB1-9CF6-4383-B5CC-D2D8B9C72949}"/>
              </c:ext>
            </c:extLst>
          </c:dPt>
          <c:dPt>
            <c:idx val="188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EB3-9CF6-4383-B5CC-D2D8B9C72949}"/>
              </c:ext>
            </c:extLst>
          </c:dPt>
          <c:dPt>
            <c:idx val="188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EB5-9CF6-4383-B5CC-D2D8B9C72949}"/>
              </c:ext>
            </c:extLst>
          </c:dPt>
          <c:dPt>
            <c:idx val="188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EB7-9CF6-4383-B5CC-D2D8B9C72949}"/>
              </c:ext>
            </c:extLst>
          </c:dPt>
          <c:dPt>
            <c:idx val="188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EB9-9CF6-4383-B5CC-D2D8B9C72949}"/>
              </c:ext>
            </c:extLst>
          </c:dPt>
          <c:dPt>
            <c:idx val="188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EBB-9CF6-4383-B5CC-D2D8B9C72949}"/>
              </c:ext>
            </c:extLst>
          </c:dPt>
          <c:dPt>
            <c:idx val="188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EBD-9CF6-4383-B5CC-D2D8B9C72949}"/>
              </c:ext>
            </c:extLst>
          </c:dPt>
          <c:dPt>
            <c:idx val="188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EBF-9CF6-4383-B5CC-D2D8B9C72949}"/>
              </c:ext>
            </c:extLst>
          </c:dPt>
          <c:dPt>
            <c:idx val="188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EC1-9CF6-4383-B5CC-D2D8B9C72949}"/>
              </c:ext>
            </c:extLst>
          </c:dPt>
          <c:dPt>
            <c:idx val="188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EC3-9CF6-4383-B5CC-D2D8B9C72949}"/>
              </c:ext>
            </c:extLst>
          </c:dPt>
          <c:dPt>
            <c:idx val="1890"/>
            <c:bubble3D val="0"/>
            <c:spPr>
              <a:solidFill>
                <a:schemeClr val="accent1"/>
              </a:solidFill>
              <a:ln w="19050">
                <a:solidFill>
                  <a:schemeClr val="lt1"/>
                </a:solidFill>
              </a:ln>
              <a:effectLst/>
            </c:spPr>
            <c:extLst>
              <c:ext xmlns:c16="http://schemas.microsoft.com/office/drawing/2014/chart" uri="{C3380CC4-5D6E-409C-BE32-E72D297353CC}">
                <c16:uniqueId val="{00000EC5-9CF6-4383-B5CC-D2D8B9C72949}"/>
              </c:ext>
            </c:extLst>
          </c:dPt>
          <c:dPt>
            <c:idx val="1891"/>
            <c:bubble3D val="0"/>
            <c:spPr>
              <a:solidFill>
                <a:schemeClr val="accent2"/>
              </a:solidFill>
              <a:ln w="19050">
                <a:solidFill>
                  <a:schemeClr val="lt1"/>
                </a:solidFill>
              </a:ln>
              <a:effectLst/>
            </c:spPr>
            <c:extLst>
              <c:ext xmlns:c16="http://schemas.microsoft.com/office/drawing/2014/chart" uri="{C3380CC4-5D6E-409C-BE32-E72D297353CC}">
                <c16:uniqueId val="{00000EC7-9CF6-4383-B5CC-D2D8B9C72949}"/>
              </c:ext>
            </c:extLst>
          </c:dPt>
          <c:dPt>
            <c:idx val="1892"/>
            <c:bubble3D val="0"/>
            <c:spPr>
              <a:solidFill>
                <a:schemeClr val="accent3"/>
              </a:solidFill>
              <a:ln w="19050">
                <a:solidFill>
                  <a:schemeClr val="lt1"/>
                </a:solidFill>
              </a:ln>
              <a:effectLst/>
            </c:spPr>
            <c:extLst>
              <c:ext xmlns:c16="http://schemas.microsoft.com/office/drawing/2014/chart" uri="{C3380CC4-5D6E-409C-BE32-E72D297353CC}">
                <c16:uniqueId val="{00000EC9-9CF6-4383-B5CC-D2D8B9C72949}"/>
              </c:ext>
            </c:extLst>
          </c:dPt>
          <c:dPt>
            <c:idx val="1893"/>
            <c:bubble3D val="0"/>
            <c:spPr>
              <a:solidFill>
                <a:schemeClr val="accent4"/>
              </a:solidFill>
              <a:ln w="19050">
                <a:solidFill>
                  <a:schemeClr val="lt1"/>
                </a:solidFill>
              </a:ln>
              <a:effectLst/>
            </c:spPr>
            <c:extLst>
              <c:ext xmlns:c16="http://schemas.microsoft.com/office/drawing/2014/chart" uri="{C3380CC4-5D6E-409C-BE32-E72D297353CC}">
                <c16:uniqueId val="{00000ECB-9CF6-4383-B5CC-D2D8B9C72949}"/>
              </c:ext>
            </c:extLst>
          </c:dPt>
          <c:dPt>
            <c:idx val="1894"/>
            <c:bubble3D val="0"/>
            <c:spPr>
              <a:solidFill>
                <a:schemeClr val="accent5"/>
              </a:solidFill>
              <a:ln w="19050">
                <a:solidFill>
                  <a:schemeClr val="lt1"/>
                </a:solidFill>
              </a:ln>
              <a:effectLst/>
            </c:spPr>
            <c:extLst>
              <c:ext xmlns:c16="http://schemas.microsoft.com/office/drawing/2014/chart" uri="{C3380CC4-5D6E-409C-BE32-E72D297353CC}">
                <c16:uniqueId val="{00000ECD-9CF6-4383-B5CC-D2D8B9C72949}"/>
              </c:ext>
            </c:extLst>
          </c:dPt>
          <c:dPt>
            <c:idx val="1895"/>
            <c:bubble3D val="0"/>
            <c:spPr>
              <a:solidFill>
                <a:schemeClr val="accent6"/>
              </a:solidFill>
              <a:ln w="19050">
                <a:solidFill>
                  <a:schemeClr val="lt1"/>
                </a:solidFill>
              </a:ln>
              <a:effectLst/>
            </c:spPr>
            <c:extLst>
              <c:ext xmlns:c16="http://schemas.microsoft.com/office/drawing/2014/chart" uri="{C3380CC4-5D6E-409C-BE32-E72D297353CC}">
                <c16:uniqueId val="{00000ECF-9CF6-4383-B5CC-D2D8B9C72949}"/>
              </c:ext>
            </c:extLst>
          </c:dPt>
          <c:dPt>
            <c:idx val="189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ED1-9CF6-4383-B5CC-D2D8B9C72949}"/>
              </c:ext>
            </c:extLst>
          </c:dPt>
          <c:dPt>
            <c:idx val="189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ED3-9CF6-4383-B5CC-D2D8B9C72949}"/>
              </c:ext>
            </c:extLst>
          </c:dPt>
          <c:dPt>
            <c:idx val="189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ED5-9CF6-4383-B5CC-D2D8B9C72949}"/>
              </c:ext>
            </c:extLst>
          </c:dPt>
          <c:dPt>
            <c:idx val="189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ED7-9CF6-4383-B5CC-D2D8B9C72949}"/>
              </c:ext>
            </c:extLst>
          </c:dPt>
          <c:dPt>
            <c:idx val="190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ED9-9CF6-4383-B5CC-D2D8B9C72949}"/>
              </c:ext>
            </c:extLst>
          </c:dPt>
          <c:dPt>
            <c:idx val="190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EDB-9CF6-4383-B5CC-D2D8B9C72949}"/>
              </c:ext>
            </c:extLst>
          </c:dPt>
          <c:dPt>
            <c:idx val="190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EDD-9CF6-4383-B5CC-D2D8B9C72949}"/>
              </c:ext>
            </c:extLst>
          </c:dPt>
          <c:dPt>
            <c:idx val="190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EDF-9CF6-4383-B5CC-D2D8B9C72949}"/>
              </c:ext>
            </c:extLst>
          </c:dPt>
          <c:dPt>
            <c:idx val="190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EE1-9CF6-4383-B5CC-D2D8B9C72949}"/>
              </c:ext>
            </c:extLst>
          </c:dPt>
          <c:dPt>
            <c:idx val="190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EE3-9CF6-4383-B5CC-D2D8B9C72949}"/>
              </c:ext>
            </c:extLst>
          </c:dPt>
          <c:dPt>
            <c:idx val="190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EE5-9CF6-4383-B5CC-D2D8B9C72949}"/>
              </c:ext>
            </c:extLst>
          </c:dPt>
          <c:dPt>
            <c:idx val="190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EE7-9CF6-4383-B5CC-D2D8B9C72949}"/>
              </c:ext>
            </c:extLst>
          </c:dPt>
          <c:dPt>
            <c:idx val="190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EE9-9CF6-4383-B5CC-D2D8B9C72949}"/>
              </c:ext>
            </c:extLst>
          </c:dPt>
          <c:dPt>
            <c:idx val="190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EEB-9CF6-4383-B5CC-D2D8B9C72949}"/>
              </c:ext>
            </c:extLst>
          </c:dPt>
          <c:dPt>
            <c:idx val="191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EED-9CF6-4383-B5CC-D2D8B9C72949}"/>
              </c:ext>
            </c:extLst>
          </c:dPt>
          <c:dPt>
            <c:idx val="191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EEF-9CF6-4383-B5CC-D2D8B9C72949}"/>
              </c:ext>
            </c:extLst>
          </c:dPt>
          <c:dPt>
            <c:idx val="191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EF1-9CF6-4383-B5CC-D2D8B9C72949}"/>
              </c:ext>
            </c:extLst>
          </c:dPt>
          <c:dPt>
            <c:idx val="191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EF3-9CF6-4383-B5CC-D2D8B9C72949}"/>
              </c:ext>
            </c:extLst>
          </c:dPt>
          <c:dPt>
            <c:idx val="191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EF5-9CF6-4383-B5CC-D2D8B9C72949}"/>
              </c:ext>
            </c:extLst>
          </c:dPt>
          <c:dPt>
            <c:idx val="191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EF7-9CF6-4383-B5CC-D2D8B9C72949}"/>
              </c:ext>
            </c:extLst>
          </c:dPt>
          <c:dPt>
            <c:idx val="191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EF9-9CF6-4383-B5CC-D2D8B9C72949}"/>
              </c:ext>
            </c:extLst>
          </c:dPt>
          <c:dPt>
            <c:idx val="191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EFB-9CF6-4383-B5CC-D2D8B9C72949}"/>
              </c:ext>
            </c:extLst>
          </c:dPt>
          <c:dPt>
            <c:idx val="191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EFD-9CF6-4383-B5CC-D2D8B9C72949}"/>
              </c:ext>
            </c:extLst>
          </c:dPt>
          <c:dPt>
            <c:idx val="191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EFF-9CF6-4383-B5CC-D2D8B9C72949}"/>
              </c:ext>
            </c:extLst>
          </c:dPt>
          <c:dPt>
            <c:idx val="192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F01-9CF6-4383-B5CC-D2D8B9C72949}"/>
              </c:ext>
            </c:extLst>
          </c:dPt>
          <c:dPt>
            <c:idx val="192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F03-9CF6-4383-B5CC-D2D8B9C72949}"/>
              </c:ext>
            </c:extLst>
          </c:dPt>
          <c:dPt>
            <c:idx val="192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F05-9CF6-4383-B5CC-D2D8B9C72949}"/>
              </c:ext>
            </c:extLst>
          </c:dPt>
          <c:dPt>
            <c:idx val="192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F07-9CF6-4383-B5CC-D2D8B9C72949}"/>
              </c:ext>
            </c:extLst>
          </c:dPt>
          <c:dPt>
            <c:idx val="192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F09-9CF6-4383-B5CC-D2D8B9C72949}"/>
              </c:ext>
            </c:extLst>
          </c:dPt>
          <c:dPt>
            <c:idx val="192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F0B-9CF6-4383-B5CC-D2D8B9C72949}"/>
              </c:ext>
            </c:extLst>
          </c:dPt>
          <c:dPt>
            <c:idx val="192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F0D-9CF6-4383-B5CC-D2D8B9C72949}"/>
              </c:ext>
            </c:extLst>
          </c:dPt>
          <c:dPt>
            <c:idx val="192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F0F-9CF6-4383-B5CC-D2D8B9C72949}"/>
              </c:ext>
            </c:extLst>
          </c:dPt>
          <c:dPt>
            <c:idx val="192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F11-9CF6-4383-B5CC-D2D8B9C72949}"/>
              </c:ext>
            </c:extLst>
          </c:dPt>
          <c:dPt>
            <c:idx val="192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F13-9CF6-4383-B5CC-D2D8B9C72949}"/>
              </c:ext>
            </c:extLst>
          </c:dPt>
          <c:dPt>
            <c:idx val="193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F15-9CF6-4383-B5CC-D2D8B9C72949}"/>
              </c:ext>
            </c:extLst>
          </c:dPt>
          <c:dPt>
            <c:idx val="193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F17-9CF6-4383-B5CC-D2D8B9C72949}"/>
              </c:ext>
            </c:extLst>
          </c:dPt>
          <c:dPt>
            <c:idx val="193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F19-9CF6-4383-B5CC-D2D8B9C72949}"/>
              </c:ext>
            </c:extLst>
          </c:dPt>
          <c:dPt>
            <c:idx val="193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F1B-9CF6-4383-B5CC-D2D8B9C72949}"/>
              </c:ext>
            </c:extLst>
          </c:dPt>
          <c:dPt>
            <c:idx val="193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F1D-9CF6-4383-B5CC-D2D8B9C72949}"/>
              </c:ext>
            </c:extLst>
          </c:dPt>
          <c:dPt>
            <c:idx val="193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F1F-9CF6-4383-B5CC-D2D8B9C72949}"/>
              </c:ext>
            </c:extLst>
          </c:dPt>
          <c:dPt>
            <c:idx val="193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F21-9CF6-4383-B5CC-D2D8B9C72949}"/>
              </c:ext>
            </c:extLst>
          </c:dPt>
          <c:dPt>
            <c:idx val="193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F23-9CF6-4383-B5CC-D2D8B9C72949}"/>
              </c:ext>
            </c:extLst>
          </c:dPt>
          <c:dPt>
            <c:idx val="193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F25-9CF6-4383-B5CC-D2D8B9C72949}"/>
              </c:ext>
            </c:extLst>
          </c:dPt>
          <c:dPt>
            <c:idx val="193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F27-9CF6-4383-B5CC-D2D8B9C72949}"/>
              </c:ext>
            </c:extLst>
          </c:dPt>
          <c:dPt>
            <c:idx val="194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F29-9CF6-4383-B5CC-D2D8B9C72949}"/>
              </c:ext>
            </c:extLst>
          </c:dPt>
          <c:dPt>
            <c:idx val="194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F2B-9CF6-4383-B5CC-D2D8B9C72949}"/>
              </c:ext>
            </c:extLst>
          </c:dPt>
          <c:dPt>
            <c:idx val="194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F2D-9CF6-4383-B5CC-D2D8B9C72949}"/>
              </c:ext>
            </c:extLst>
          </c:dPt>
          <c:dPt>
            <c:idx val="194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F2F-9CF6-4383-B5CC-D2D8B9C72949}"/>
              </c:ext>
            </c:extLst>
          </c:dPt>
          <c:dPt>
            <c:idx val="1944"/>
            <c:bubble3D val="0"/>
            <c:spPr>
              <a:solidFill>
                <a:schemeClr val="accent1"/>
              </a:solidFill>
              <a:ln w="19050">
                <a:solidFill>
                  <a:schemeClr val="lt1"/>
                </a:solidFill>
              </a:ln>
              <a:effectLst/>
            </c:spPr>
            <c:extLst>
              <c:ext xmlns:c16="http://schemas.microsoft.com/office/drawing/2014/chart" uri="{C3380CC4-5D6E-409C-BE32-E72D297353CC}">
                <c16:uniqueId val="{00000F31-9CF6-4383-B5CC-D2D8B9C72949}"/>
              </c:ext>
            </c:extLst>
          </c:dPt>
          <c:dPt>
            <c:idx val="1945"/>
            <c:bubble3D val="0"/>
            <c:spPr>
              <a:solidFill>
                <a:schemeClr val="accent2"/>
              </a:solidFill>
              <a:ln w="19050">
                <a:solidFill>
                  <a:schemeClr val="lt1"/>
                </a:solidFill>
              </a:ln>
              <a:effectLst/>
            </c:spPr>
            <c:extLst>
              <c:ext xmlns:c16="http://schemas.microsoft.com/office/drawing/2014/chart" uri="{C3380CC4-5D6E-409C-BE32-E72D297353CC}">
                <c16:uniqueId val="{00000F33-9CF6-4383-B5CC-D2D8B9C72949}"/>
              </c:ext>
            </c:extLst>
          </c:dPt>
          <c:dPt>
            <c:idx val="1946"/>
            <c:bubble3D val="0"/>
            <c:spPr>
              <a:solidFill>
                <a:schemeClr val="accent3"/>
              </a:solidFill>
              <a:ln w="19050">
                <a:solidFill>
                  <a:schemeClr val="lt1"/>
                </a:solidFill>
              </a:ln>
              <a:effectLst/>
            </c:spPr>
            <c:extLst>
              <c:ext xmlns:c16="http://schemas.microsoft.com/office/drawing/2014/chart" uri="{C3380CC4-5D6E-409C-BE32-E72D297353CC}">
                <c16:uniqueId val="{00000F35-9CF6-4383-B5CC-D2D8B9C72949}"/>
              </c:ext>
            </c:extLst>
          </c:dPt>
          <c:dPt>
            <c:idx val="1947"/>
            <c:bubble3D val="0"/>
            <c:spPr>
              <a:solidFill>
                <a:schemeClr val="accent4"/>
              </a:solidFill>
              <a:ln w="19050">
                <a:solidFill>
                  <a:schemeClr val="lt1"/>
                </a:solidFill>
              </a:ln>
              <a:effectLst/>
            </c:spPr>
            <c:extLst>
              <c:ext xmlns:c16="http://schemas.microsoft.com/office/drawing/2014/chart" uri="{C3380CC4-5D6E-409C-BE32-E72D297353CC}">
                <c16:uniqueId val="{00000F37-9CF6-4383-B5CC-D2D8B9C72949}"/>
              </c:ext>
            </c:extLst>
          </c:dPt>
          <c:dPt>
            <c:idx val="1948"/>
            <c:bubble3D val="0"/>
            <c:spPr>
              <a:solidFill>
                <a:schemeClr val="accent5"/>
              </a:solidFill>
              <a:ln w="19050">
                <a:solidFill>
                  <a:schemeClr val="lt1"/>
                </a:solidFill>
              </a:ln>
              <a:effectLst/>
            </c:spPr>
            <c:extLst>
              <c:ext xmlns:c16="http://schemas.microsoft.com/office/drawing/2014/chart" uri="{C3380CC4-5D6E-409C-BE32-E72D297353CC}">
                <c16:uniqueId val="{00000F39-9CF6-4383-B5CC-D2D8B9C72949}"/>
              </c:ext>
            </c:extLst>
          </c:dPt>
          <c:dPt>
            <c:idx val="1949"/>
            <c:bubble3D val="0"/>
            <c:spPr>
              <a:solidFill>
                <a:schemeClr val="accent6"/>
              </a:solidFill>
              <a:ln w="19050">
                <a:solidFill>
                  <a:schemeClr val="lt1"/>
                </a:solidFill>
              </a:ln>
              <a:effectLst/>
            </c:spPr>
            <c:extLst>
              <c:ext xmlns:c16="http://schemas.microsoft.com/office/drawing/2014/chart" uri="{C3380CC4-5D6E-409C-BE32-E72D297353CC}">
                <c16:uniqueId val="{00000F3B-9CF6-4383-B5CC-D2D8B9C72949}"/>
              </c:ext>
            </c:extLst>
          </c:dPt>
          <c:dPt>
            <c:idx val="195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F3D-9CF6-4383-B5CC-D2D8B9C72949}"/>
              </c:ext>
            </c:extLst>
          </c:dPt>
          <c:dPt>
            <c:idx val="195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F3F-9CF6-4383-B5CC-D2D8B9C72949}"/>
              </c:ext>
            </c:extLst>
          </c:dPt>
          <c:dPt>
            <c:idx val="195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F41-9CF6-4383-B5CC-D2D8B9C72949}"/>
              </c:ext>
            </c:extLst>
          </c:dPt>
          <c:dPt>
            <c:idx val="195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F43-9CF6-4383-B5CC-D2D8B9C72949}"/>
              </c:ext>
            </c:extLst>
          </c:dPt>
          <c:dPt>
            <c:idx val="195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F45-9CF6-4383-B5CC-D2D8B9C72949}"/>
              </c:ext>
            </c:extLst>
          </c:dPt>
          <c:dPt>
            <c:idx val="195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F47-9CF6-4383-B5CC-D2D8B9C72949}"/>
              </c:ext>
            </c:extLst>
          </c:dPt>
          <c:dPt>
            <c:idx val="195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F49-9CF6-4383-B5CC-D2D8B9C72949}"/>
              </c:ext>
            </c:extLst>
          </c:dPt>
          <c:dPt>
            <c:idx val="195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F4B-9CF6-4383-B5CC-D2D8B9C72949}"/>
              </c:ext>
            </c:extLst>
          </c:dPt>
          <c:dPt>
            <c:idx val="195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F4D-9CF6-4383-B5CC-D2D8B9C72949}"/>
              </c:ext>
            </c:extLst>
          </c:dPt>
          <c:dPt>
            <c:idx val="195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F4F-9CF6-4383-B5CC-D2D8B9C72949}"/>
              </c:ext>
            </c:extLst>
          </c:dPt>
          <c:dPt>
            <c:idx val="196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F51-9CF6-4383-B5CC-D2D8B9C72949}"/>
              </c:ext>
            </c:extLst>
          </c:dPt>
          <c:dPt>
            <c:idx val="196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F53-9CF6-4383-B5CC-D2D8B9C72949}"/>
              </c:ext>
            </c:extLst>
          </c:dPt>
          <c:dPt>
            <c:idx val="196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F55-9CF6-4383-B5CC-D2D8B9C72949}"/>
              </c:ext>
            </c:extLst>
          </c:dPt>
          <c:dPt>
            <c:idx val="196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F57-9CF6-4383-B5CC-D2D8B9C72949}"/>
              </c:ext>
            </c:extLst>
          </c:dPt>
          <c:dPt>
            <c:idx val="196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F59-9CF6-4383-B5CC-D2D8B9C72949}"/>
              </c:ext>
            </c:extLst>
          </c:dPt>
          <c:dPt>
            <c:idx val="196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F5B-9CF6-4383-B5CC-D2D8B9C72949}"/>
              </c:ext>
            </c:extLst>
          </c:dPt>
          <c:dPt>
            <c:idx val="196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F5D-9CF6-4383-B5CC-D2D8B9C72949}"/>
              </c:ext>
            </c:extLst>
          </c:dPt>
          <c:dPt>
            <c:idx val="196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F5F-9CF6-4383-B5CC-D2D8B9C72949}"/>
              </c:ext>
            </c:extLst>
          </c:dPt>
          <c:dPt>
            <c:idx val="196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F61-9CF6-4383-B5CC-D2D8B9C72949}"/>
              </c:ext>
            </c:extLst>
          </c:dPt>
          <c:dPt>
            <c:idx val="196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F63-9CF6-4383-B5CC-D2D8B9C72949}"/>
              </c:ext>
            </c:extLst>
          </c:dPt>
          <c:dPt>
            <c:idx val="197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F65-9CF6-4383-B5CC-D2D8B9C72949}"/>
              </c:ext>
            </c:extLst>
          </c:dPt>
          <c:dPt>
            <c:idx val="197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F67-9CF6-4383-B5CC-D2D8B9C72949}"/>
              </c:ext>
            </c:extLst>
          </c:dPt>
          <c:dPt>
            <c:idx val="197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F69-9CF6-4383-B5CC-D2D8B9C72949}"/>
              </c:ext>
            </c:extLst>
          </c:dPt>
          <c:dPt>
            <c:idx val="197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F6B-9CF6-4383-B5CC-D2D8B9C72949}"/>
              </c:ext>
            </c:extLst>
          </c:dPt>
          <c:dPt>
            <c:idx val="197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F6D-9CF6-4383-B5CC-D2D8B9C72949}"/>
              </c:ext>
            </c:extLst>
          </c:dPt>
          <c:dPt>
            <c:idx val="197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F6F-9CF6-4383-B5CC-D2D8B9C72949}"/>
              </c:ext>
            </c:extLst>
          </c:dPt>
          <c:dPt>
            <c:idx val="197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F71-9CF6-4383-B5CC-D2D8B9C72949}"/>
              </c:ext>
            </c:extLst>
          </c:dPt>
          <c:dPt>
            <c:idx val="197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F73-9CF6-4383-B5CC-D2D8B9C72949}"/>
              </c:ext>
            </c:extLst>
          </c:dPt>
          <c:dPt>
            <c:idx val="197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F75-9CF6-4383-B5CC-D2D8B9C72949}"/>
              </c:ext>
            </c:extLst>
          </c:dPt>
          <c:dPt>
            <c:idx val="197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F77-9CF6-4383-B5CC-D2D8B9C72949}"/>
              </c:ext>
            </c:extLst>
          </c:dPt>
          <c:dPt>
            <c:idx val="198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F79-9CF6-4383-B5CC-D2D8B9C72949}"/>
              </c:ext>
            </c:extLst>
          </c:dPt>
          <c:dPt>
            <c:idx val="198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F7B-9CF6-4383-B5CC-D2D8B9C72949}"/>
              </c:ext>
            </c:extLst>
          </c:dPt>
          <c:dPt>
            <c:idx val="198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F7D-9CF6-4383-B5CC-D2D8B9C72949}"/>
              </c:ext>
            </c:extLst>
          </c:dPt>
          <c:dPt>
            <c:idx val="198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F7F-9CF6-4383-B5CC-D2D8B9C72949}"/>
              </c:ext>
            </c:extLst>
          </c:dPt>
          <c:dPt>
            <c:idx val="198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F81-9CF6-4383-B5CC-D2D8B9C72949}"/>
              </c:ext>
            </c:extLst>
          </c:dPt>
          <c:dPt>
            <c:idx val="198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F83-9CF6-4383-B5CC-D2D8B9C72949}"/>
              </c:ext>
            </c:extLst>
          </c:dPt>
          <c:dPt>
            <c:idx val="198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F85-9CF6-4383-B5CC-D2D8B9C72949}"/>
              </c:ext>
            </c:extLst>
          </c:dPt>
          <c:dPt>
            <c:idx val="198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F87-9CF6-4383-B5CC-D2D8B9C72949}"/>
              </c:ext>
            </c:extLst>
          </c:dPt>
          <c:dPt>
            <c:idx val="198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F89-9CF6-4383-B5CC-D2D8B9C72949}"/>
              </c:ext>
            </c:extLst>
          </c:dPt>
          <c:dPt>
            <c:idx val="198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F8B-9CF6-4383-B5CC-D2D8B9C72949}"/>
              </c:ext>
            </c:extLst>
          </c:dPt>
          <c:dPt>
            <c:idx val="199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F8D-9CF6-4383-B5CC-D2D8B9C72949}"/>
              </c:ext>
            </c:extLst>
          </c:dPt>
          <c:dPt>
            <c:idx val="199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F8F-9CF6-4383-B5CC-D2D8B9C72949}"/>
              </c:ext>
            </c:extLst>
          </c:dPt>
          <c:dPt>
            <c:idx val="199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F91-9CF6-4383-B5CC-D2D8B9C72949}"/>
              </c:ext>
            </c:extLst>
          </c:dPt>
          <c:dPt>
            <c:idx val="199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F93-9CF6-4383-B5CC-D2D8B9C72949}"/>
              </c:ext>
            </c:extLst>
          </c:dPt>
          <c:dPt>
            <c:idx val="199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0F95-9CF6-4383-B5CC-D2D8B9C72949}"/>
              </c:ext>
            </c:extLst>
          </c:dPt>
          <c:dPt>
            <c:idx val="199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0F97-9CF6-4383-B5CC-D2D8B9C72949}"/>
              </c:ext>
            </c:extLst>
          </c:dPt>
          <c:dPt>
            <c:idx val="199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0F99-9CF6-4383-B5CC-D2D8B9C72949}"/>
              </c:ext>
            </c:extLst>
          </c:dPt>
          <c:dPt>
            <c:idx val="199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0F9B-9CF6-4383-B5CC-D2D8B9C72949}"/>
              </c:ext>
            </c:extLst>
          </c:dPt>
          <c:dPt>
            <c:idx val="1998"/>
            <c:bubble3D val="0"/>
            <c:spPr>
              <a:solidFill>
                <a:schemeClr val="accent1"/>
              </a:solidFill>
              <a:ln w="19050">
                <a:solidFill>
                  <a:schemeClr val="lt1"/>
                </a:solidFill>
              </a:ln>
              <a:effectLst/>
            </c:spPr>
            <c:extLst>
              <c:ext xmlns:c16="http://schemas.microsoft.com/office/drawing/2014/chart" uri="{C3380CC4-5D6E-409C-BE32-E72D297353CC}">
                <c16:uniqueId val="{00000F9D-9CF6-4383-B5CC-D2D8B9C72949}"/>
              </c:ext>
            </c:extLst>
          </c:dPt>
          <c:dPt>
            <c:idx val="1999"/>
            <c:bubble3D val="0"/>
            <c:spPr>
              <a:solidFill>
                <a:schemeClr val="accent2"/>
              </a:solidFill>
              <a:ln w="19050">
                <a:solidFill>
                  <a:schemeClr val="lt1"/>
                </a:solidFill>
              </a:ln>
              <a:effectLst/>
            </c:spPr>
            <c:extLst>
              <c:ext xmlns:c16="http://schemas.microsoft.com/office/drawing/2014/chart" uri="{C3380CC4-5D6E-409C-BE32-E72D297353CC}">
                <c16:uniqueId val="{00000F9F-9CF6-4383-B5CC-D2D8B9C72949}"/>
              </c:ext>
            </c:extLst>
          </c:dPt>
          <c:dPt>
            <c:idx val="2000"/>
            <c:bubble3D val="0"/>
            <c:spPr>
              <a:solidFill>
                <a:schemeClr val="accent3"/>
              </a:solidFill>
              <a:ln w="19050">
                <a:solidFill>
                  <a:schemeClr val="lt1"/>
                </a:solidFill>
              </a:ln>
              <a:effectLst/>
            </c:spPr>
            <c:extLst>
              <c:ext xmlns:c16="http://schemas.microsoft.com/office/drawing/2014/chart" uri="{C3380CC4-5D6E-409C-BE32-E72D297353CC}">
                <c16:uniqueId val="{00000FA1-9CF6-4383-B5CC-D2D8B9C72949}"/>
              </c:ext>
            </c:extLst>
          </c:dPt>
          <c:dPt>
            <c:idx val="2001"/>
            <c:bubble3D val="0"/>
            <c:spPr>
              <a:solidFill>
                <a:schemeClr val="accent4"/>
              </a:solidFill>
              <a:ln w="19050">
                <a:solidFill>
                  <a:schemeClr val="lt1"/>
                </a:solidFill>
              </a:ln>
              <a:effectLst/>
            </c:spPr>
            <c:extLst>
              <c:ext xmlns:c16="http://schemas.microsoft.com/office/drawing/2014/chart" uri="{C3380CC4-5D6E-409C-BE32-E72D297353CC}">
                <c16:uniqueId val="{00000FA3-9CF6-4383-B5CC-D2D8B9C72949}"/>
              </c:ext>
            </c:extLst>
          </c:dPt>
          <c:dPt>
            <c:idx val="2002"/>
            <c:bubble3D val="0"/>
            <c:spPr>
              <a:solidFill>
                <a:schemeClr val="accent5"/>
              </a:solidFill>
              <a:ln w="19050">
                <a:solidFill>
                  <a:schemeClr val="lt1"/>
                </a:solidFill>
              </a:ln>
              <a:effectLst/>
            </c:spPr>
            <c:extLst>
              <c:ext xmlns:c16="http://schemas.microsoft.com/office/drawing/2014/chart" uri="{C3380CC4-5D6E-409C-BE32-E72D297353CC}">
                <c16:uniqueId val="{00000FA5-9CF6-4383-B5CC-D2D8B9C72949}"/>
              </c:ext>
            </c:extLst>
          </c:dPt>
          <c:dPt>
            <c:idx val="2003"/>
            <c:bubble3D val="0"/>
            <c:spPr>
              <a:solidFill>
                <a:schemeClr val="accent6"/>
              </a:solidFill>
              <a:ln w="19050">
                <a:solidFill>
                  <a:schemeClr val="lt1"/>
                </a:solidFill>
              </a:ln>
              <a:effectLst/>
            </c:spPr>
            <c:extLst>
              <c:ext xmlns:c16="http://schemas.microsoft.com/office/drawing/2014/chart" uri="{C3380CC4-5D6E-409C-BE32-E72D297353CC}">
                <c16:uniqueId val="{00000FA7-9CF6-4383-B5CC-D2D8B9C72949}"/>
              </c:ext>
            </c:extLst>
          </c:dPt>
          <c:dPt>
            <c:idx val="200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FA9-9CF6-4383-B5CC-D2D8B9C72949}"/>
              </c:ext>
            </c:extLst>
          </c:dPt>
          <c:dPt>
            <c:idx val="200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FAB-9CF6-4383-B5CC-D2D8B9C72949}"/>
              </c:ext>
            </c:extLst>
          </c:dPt>
          <c:dPt>
            <c:idx val="200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FAD-9CF6-4383-B5CC-D2D8B9C72949}"/>
              </c:ext>
            </c:extLst>
          </c:dPt>
          <c:dPt>
            <c:idx val="200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FAF-9CF6-4383-B5CC-D2D8B9C72949}"/>
              </c:ext>
            </c:extLst>
          </c:dPt>
          <c:dPt>
            <c:idx val="200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FB1-9CF6-4383-B5CC-D2D8B9C72949}"/>
              </c:ext>
            </c:extLst>
          </c:dPt>
          <c:dPt>
            <c:idx val="200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FB3-9CF6-4383-B5CC-D2D8B9C72949}"/>
              </c:ext>
            </c:extLst>
          </c:dPt>
          <c:dPt>
            <c:idx val="201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FB5-9CF6-4383-B5CC-D2D8B9C72949}"/>
              </c:ext>
            </c:extLst>
          </c:dPt>
          <c:dPt>
            <c:idx val="201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FB7-9CF6-4383-B5CC-D2D8B9C72949}"/>
              </c:ext>
            </c:extLst>
          </c:dPt>
          <c:dPt>
            <c:idx val="201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FB9-9CF6-4383-B5CC-D2D8B9C72949}"/>
              </c:ext>
            </c:extLst>
          </c:dPt>
          <c:dPt>
            <c:idx val="201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FBB-9CF6-4383-B5CC-D2D8B9C72949}"/>
              </c:ext>
            </c:extLst>
          </c:dPt>
          <c:dPt>
            <c:idx val="201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FBD-9CF6-4383-B5CC-D2D8B9C72949}"/>
              </c:ext>
            </c:extLst>
          </c:dPt>
          <c:dPt>
            <c:idx val="201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FBF-9CF6-4383-B5CC-D2D8B9C72949}"/>
              </c:ext>
            </c:extLst>
          </c:dPt>
          <c:dPt>
            <c:idx val="201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FC1-9CF6-4383-B5CC-D2D8B9C72949}"/>
              </c:ext>
            </c:extLst>
          </c:dPt>
          <c:dPt>
            <c:idx val="201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FC3-9CF6-4383-B5CC-D2D8B9C72949}"/>
              </c:ext>
            </c:extLst>
          </c:dPt>
          <c:dPt>
            <c:idx val="201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FC5-9CF6-4383-B5CC-D2D8B9C72949}"/>
              </c:ext>
            </c:extLst>
          </c:dPt>
          <c:dPt>
            <c:idx val="201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FC7-9CF6-4383-B5CC-D2D8B9C72949}"/>
              </c:ext>
            </c:extLst>
          </c:dPt>
          <c:dPt>
            <c:idx val="202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FC9-9CF6-4383-B5CC-D2D8B9C72949}"/>
              </c:ext>
            </c:extLst>
          </c:dPt>
          <c:dPt>
            <c:idx val="202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FCB-9CF6-4383-B5CC-D2D8B9C72949}"/>
              </c:ext>
            </c:extLst>
          </c:dPt>
          <c:dPt>
            <c:idx val="202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FCD-9CF6-4383-B5CC-D2D8B9C72949}"/>
              </c:ext>
            </c:extLst>
          </c:dPt>
          <c:dPt>
            <c:idx val="202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FCF-9CF6-4383-B5CC-D2D8B9C72949}"/>
              </c:ext>
            </c:extLst>
          </c:dPt>
          <c:dPt>
            <c:idx val="202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FD1-9CF6-4383-B5CC-D2D8B9C72949}"/>
              </c:ext>
            </c:extLst>
          </c:dPt>
          <c:dPt>
            <c:idx val="202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FD3-9CF6-4383-B5CC-D2D8B9C72949}"/>
              </c:ext>
            </c:extLst>
          </c:dPt>
          <c:dPt>
            <c:idx val="202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FD5-9CF6-4383-B5CC-D2D8B9C72949}"/>
              </c:ext>
            </c:extLst>
          </c:dPt>
          <c:dPt>
            <c:idx val="202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FD7-9CF6-4383-B5CC-D2D8B9C72949}"/>
              </c:ext>
            </c:extLst>
          </c:dPt>
          <c:dPt>
            <c:idx val="202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FD9-9CF6-4383-B5CC-D2D8B9C72949}"/>
              </c:ext>
            </c:extLst>
          </c:dPt>
          <c:dPt>
            <c:idx val="202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0FDB-9CF6-4383-B5CC-D2D8B9C72949}"/>
              </c:ext>
            </c:extLst>
          </c:dPt>
          <c:dPt>
            <c:idx val="203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0FDD-9CF6-4383-B5CC-D2D8B9C72949}"/>
              </c:ext>
            </c:extLst>
          </c:dPt>
          <c:dPt>
            <c:idx val="203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0FDF-9CF6-4383-B5CC-D2D8B9C72949}"/>
              </c:ext>
            </c:extLst>
          </c:dPt>
          <c:dPt>
            <c:idx val="203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0FE1-9CF6-4383-B5CC-D2D8B9C72949}"/>
              </c:ext>
            </c:extLst>
          </c:dPt>
          <c:dPt>
            <c:idx val="203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0FE3-9CF6-4383-B5CC-D2D8B9C72949}"/>
              </c:ext>
            </c:extLst>
          </c:dPt>
          <c:dPt>
            <c:idx val="203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0FE5-9CF6-4383-B5CC-D2D8B9C72949}"/>
              </c:ext>
            </c:extLst>
          </c:dPt>
          <c:dPt>
            <c:idx val="203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0FE7-9CF6-4383-B5CC-D2D8B9C72949}"/>
              </c:ext>
            </c:extLst>
          </c:dPt>
          <c:dPt>
            <c:idx val="203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0FE9-9CF6-4383-B5CC-D2D8B9C72949}"/>
              </c:ext>
            </c:extLst>
          </c:dPt>
          <c:dPt>
            <c:idx val="203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0FEB-9CF6-4383-B5CC-D2D8B9C72949}"/>
              </c:ext>
            </c:extLst>
          </c:dPt>
          <c:dPt>
            <c:idx val="203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0FED-9CF6-4383-B5CC-D2D8B9C72949}"/>
              </c:ext>
            </c:extLst>
          </c:dPt>
          <c:dPt>
            <c:idx val="203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0FEF-9CF6-4383-B5CC-D2D8B9C72949}"/>
              </c:ext>
            </c:extLst>
          </c:dPt>
          <c:dPt>
            <c:idx val="204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0FF1-9CF6-4383-B5CC-D2D8B9C72949}"/>
              </c:ext>
            </c:extLst>
          </c:dPt>
          <c:dPt>
            <c:idx val="204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0FF3-9CF6-4383-B5CC-D2D8B9C72949}"/>
              </c:ext>
            </c:extLst>
          </c:dPt>
          <c:dPt>
            <c:idx val="204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0FF5-9CF6-4383-B5CC-D2D8B9C72949}"/>
              </c:ext>
            </c:extLst>
          </c:dPt>
          <c:dPt>
            <c:idx val="204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0FF7-9CF6-4383-B5CC-D2D8B9C72949}"/>
              </c:ext>
            </c:extLst>
          </c:dPt>
          <c:dPt>
            <c:idx val="204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0FF9-9CF6-4383-B5CC-D2D8B9C72949}"/>
              </c:ext>
            </c:extLst>
          </c:dPt>
          <c:dPt>
            <c:idx val="204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0FFB-9CF6-4383-B5CC-D2D8B9C72949}"/>
              </c:ext>
            </c:extLst>
          </c:dPt>
          <c:dPt>
            <c:idx val="204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0FFD-9CF6-4383-B5CC-D2D8B9C72949}"/>
              </c:ext>
            </c:extLst>
          </c:dPt>
          <c:dPt>
            <c:idx val="204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0FFF-9CF6-4383-B5CC-D2D8B9C72949}"/>
              </c:ext>
            </c:extLst>
          </c:dPt>
          <c:dPt>
            <c:idx val="204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001-9CF6-4383-B5CC-D2D8B9C72949}"/>
              </c:ext>
            </c:extLst>
          </c:dPt>
          <c:dPt>
            <c:idx val="204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003-9CF6-4383-B5CC-D2D8B9C72949}"/>
              </c:ext>
            </c:extLst>
          </c:dPt>
          <c:dPt>
            <c:idx val="205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005-9CF6-4383-B5CC-D2D8B9C72949}"/>
              </c:ext>
            </c:extLst>
          </c:dPt>
          <c:dPt>
            <c:idx val="205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007-9CF6-4383-B5CC-D2D8B9C72949}"/>
              </c:ext>
            </c:extLst>
          </c:dPt>
          <c:dPt>
            <c:idx val="2052"/>
            <c:bubble3D val="0"/>
            <c:spPr>
              <a:solidFill>
                <a:schemeClr val="accent1"/>
              </a:solidFill>
              <a:ln w="19050">
                <a:solidFill>
                  <a:schemeClr val="lt1"/>
                </a:solidFill>
              </a:ln>
              <a:effectLst/>
            </c:spPr>
            <c:extLst>
              <c:ext xmlns:c16="http://schemas.microsoft.com/office/drawing/2014/chart" uri="{C3380CC4-5D6E-409C-BE32-E72D297353CC}">
                <c16:uniqueId val="{00001009-9CF6-4383-B5CC-D2D8B9C72949}"/>
              </c:ext>
            </c:extLst>
          </c:dPt>
          <c:dPt>
            <c:idx val="2053"/>
            <c:bubble3D val="0"/>
            <c:spPr>
              <a:solidFill>
                <a:schemeClr val="accent2"/>
              </a:solidFill>
              <a:ln w="19050">
                <a:solidFill>
                  <a:schemeClr val="lt1"/>
                </a:solidFill>
              </a:ln>
              <a:effectLst/>
            </c:spPr>
            <c:extLst>
              <c:ext xmlns:c16="http://schemas.microsoft.com/office/drawing/2014/chart" uri="{C3380CC4-5D6E-409C-BE32-E72D297353CC}">
                <c16:uniqueId val="{0000100B-9CF6-4383-B5CC-D2D8B9C72949}"/>
              </c:ext>
            </c:extLst>
          </c:dPt>
          <c:dPt>
            <c:idx val="2054"/>
            <c:bubble3D val="0"/>
            <c:spPr>
              <a:solidFill>
                <a:schemeClr val="accent3"/>
              </a:solidFill>
              <a:ln w="19050">
                <a:solidFill>
                  <a:schemeClr val="lt1"/>
                </a:solidFill>
              </a:ln>
              <a:effectLst/>
            </c:spPr>
            <c:extLst>
              <c:ext xmlns:c16="http://schemas.microsoft.com/office/drawing/2014/chart" uri="{C3380CC4-5D6E-409C-BE32-E72D297353CC}">
                <c16:uniqueId val="{0000100D-9CF6-4383-B5CC-D2D8B9C72949}"/>
              </c:ext>
            </c:extLst>
          </c:dPt>
          <c:dPt>
            <c:idx val="2055"/>
            <c:bubble3D val="0"/>
            <c:spPr>
              <a:solidFill>
                <a:schemeClr val="accent4"/>
              </a:solidFill>
              <a:ln w="19050">
                <a:solidFill>
                  <a:schemeClr val="lt1"/>
                </a:solidFill>
              </a:ln>
              <a:effectLst/>
            </c:spPr>
            <c:extLst>
              <c:ext xmlns:c16="http://schemas.microsoft.com/office/drawing/2014/chart" uri="{C3380CC4-5D6E-409C-BE32-E72D297353CC}">
                <c16:uniqueId val="{0000100F-9CF6-4383-B5CC-D2D8B9C72949}"/>
              </c:ext>
            </c:extLst>
          </c:dPt>
          <c:dPt>
            <c:idx val="2056"/>
            <c:bubble3D val="0"/>
            <c:spPr>
              <a:solidFill>
                <a:schemeClr val="accent5"/>
              </a:solidFill>
              <a:ln w="19050">
                <a:solidFill>
                  <a:schemeClr val="lt1"/>
                </a:solidFill>
              </a:ln>
              <a:effectLst/>
            </c:spPr>
            <c:extLst>
              <c:ext xmlns:c16="http://schemas.microsoft.com/office/drawing/2014/chart" uri="{C3380CC4-5D6E-409C-BE32-E72D297353CC}">
                <c16:uniqueId val="{00001011-9CF6-4383-B5CC-D2D8B9C72949}"/>
              </c:ext>
            </c:extLst>
          </c:dPt>
          <c:dPt>
            <c:idx val="2057"/>
            <c:bubble3D val="0"/>
            <c:spPr>
              <a:solidFill>
                <a:schemeClr val="accent6"/>
              </a:solidFill>
              <a:ln w="19050">
                <a:solidFill>
                  <a:schemeClr val="lt1"/>
                </a:solidFill>
              </a:ln>
              <a:effectLst/>
            </c:spPr>
            <c:extLst>
              <c:ext xmlns:c16="http://schemas.microsoft.com/office/drawing/2014/chart" uri="{C3380CC4-5D6E-409C-BE32-E72D297353CC}">
                <c16:uniqueId val="{00001013-9CF6-4383-B5CC-D2D8B9C72949}"/>
              </c:ext>
            </c:extLst>
          </c:dPt>
          <c:dPt>
            <c:idx val="205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015-9CF6-4383-B5CC-D2D8B9C72949}"/>
              </c:ext>
            </c:extLst>
          </c:dPt>
          <c:dPt>
            <c:idx val="205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017-9CF6-4383-B5CC-D2D8B9C72949}"/>
              </c:ext>
            </c:extLst>
          </c:dPt>
          <c:dPt>
            <c:idx val="206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019-9CF6-4383-B5CC-D2D8B9C72949}"/>
              </c:ext>
            </c:extLst>
          </c:dPt>
          <c:dPt>
            <c:idx val="206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01B-9CF6-4383-B5CC-D2D8B9C72949}"/>
              </c:ext>
            </c:extLst>
          </c:dPt>
          <c:dPt>
            <c:idx val="206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01D-9CF6-4383-B5CC-D2D8B9C72949}"/>
              </c:ext>
            </c:extLst>
          </c:dPt>
          <c:dPt>
            <c:idx val="206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01F-9CF6-4383-B5CC-D2D8B9C72949}"/>
              </c:ext>
            </c:extLst>
          </c:dPt>
          <c:dPt>
            <c:idx val="206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021-9CF6-4383-B5CC-D2D8B9C72949}"/>
              </c:ext>
            </c:extLst>
          </c:dPt>
          <c:dPt>
            <c:idx val="206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023-9CF6-4383-B5CC-D2D8B9C72949}"/>
              </c:ext>
            </c:extLst>
          </c:dPt>
          <c:dPt>
            <c:idx val="206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025-9CF6-4383-B5CC-D2D8B9C72949}"/>
              </c:ext>
            </c:extLst>
          </c:dPt>
          <c:dPt>
            <c:idx val="206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027-9CF6-4383-B5CC-D2D8B9C72949}"/>
              </c:ext>
            </c:extLst>
          </c:dPt>
          <c:dPt>
            <c:idx val="206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029-9CF6-4383-B5CC-D2D8B9C72949}"/>
              </c:ext>
            </c:extLst>
          </c:dPt>
          <c:dPt>
            <c:idx val="206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02B-9CF6-4383-B5CC-D2D8B9C72949}"/>
              </c:ext>
            </c:extLst>
          </c:dPt>
          <c:dPt>
            <c:idx val="207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02D-9CF6-4383-B5CC-D2D8B9C72949}"/>
              </c:ext>
            </c:extLst>
          </c:dPt>
          <c:dPt>
            <c:idx val="207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02F-9CF6-4383-B5CC-D2D8B9C72949}"/>
              </c:ext>
            </c:extLst>
          </c:dPt>
          <c:dPt>
            <c:idx val="207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031-9CF6-4383-B5CC-D2D8B9C72949}"/>
              </c:ext>
            </c:extLst>
          </c:dPt>
          <c:dPt>
            <c:idx val="207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033-9CF6-4383-B5CC-D2D8B9C72949}"/>
              </c:ext>
            </c:extLst>
          </c:dPt>
          <c:dPt>
            <c:idx val="207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035-9CF6-4383-B5CC-D2D8B9C72949}"/>
              </c:ext>
            </c:extLst>
          </c:dPt>
          <c:dPt>
            <c:idx val="207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037-9CF6-4383-B5CC-D2D8B9C72949}"/>
              </c:ext>
            </c:extLst>
          </c:dPt>
          <c:dPt>
            <c:idx val="207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039-9CF6-4383-B5CC-D2D8B9C72949}"/>
              </c:ext>
            </c:extLst>
          </c:dPt>
          <c:dPt>
            <c:idx val="207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03B-9CF6-4383-B5CC-D2D8B9C72949}"/>
              </c:ext>
            </c:extLst>
          </c:dPt>
          <c:dPt>
            <c:idx val="207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03D-9CF6-4383-B5CC-D2D8B9C72949}"/>
              </c:ext>
            </c:extLst>
          </c:dPt>
          <c:dPt>
            <c:idx val="207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03F-9CF6-4383-B5CC-D2D8B9C72949}"/>
              </c:ext>
            </c:extLst>
          </c:dPt>
          <c:dPt>
            <c:idx val="208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041-9CF6-4383-B5CC-D2D8B9C72949}"/>
              </c:ext>
            </c:extLst>
          </c:dPt>
          <c:dPt>
            <c:idx val="208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043-9CF6-4383-B5CC-D2D8B9C72949}"/>
              </c:ext>
            </c:extLst>
          </c:dPt>
          <c:dPt>
            <c:idx val="208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045-9CF6-4383-B5CC-D2D8B9C72949}"/>
              </c:ext>
            </c:extLst>
          </c:dPt>
          <c:dPt>
            <c:idx val="208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047-9CF6-4383-B5CC-D2D8B9C72949}"/>
              </c:ext>
            </c:extLst>
          </c:dPt>
          <c:dPt>
            <c:idx val="208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049-9CF6-4383-B5CC-D2D8B9C72949}"/>
              </c:ext>
            </c:extLst>
          </c:dPt>
          <c:dPt>
            <c:idx val="208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04B-9CF6-4383-B5CC-D2D8B9C72949}"/>
              </c:ext>
            </c:extLst>
          </c:dPt>
          <c:dPt>
            <c:idx val="208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04D-9CF6-4383-B5CC-D2D8B9C72949}"/>
              </c:ext>
            </c:extLst>
          </c:dPt>
          <c:dPt>
            <c:idx val="208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04F-9CF6-4383-B5CC-D2D8B9C72949}"/>
              </c:ext>
            </c:extLst>
          </c:dPt>
          <c:dPt>
            <c:idx val="208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051-9CF6-4383-B5CC-D2D8B9C72949}"/>
              </c:ext>
            </c:extLst>
          </c:dPt>
          <c:dPt>
            <c:idx val="208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053-9CF6-4383-B5CC-D2D8B9C72949}"/>
              </c:ext>
            </c:extLst>
          </c:dPt>
          <c:dPt>
            <c:idx val="209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055-9CF6-4383-B5CC-D2D8B9C72949}"/>
              </c:ext>
            </c:extLst>
          </c:dPt>
          <c:dPt>
            <c:idx val="209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057-9CF6-4383-B5CC-D2D8B9C72949}"/>
              </c:ext>
            </c:extLst>
          </c:dPt>
          <c:dPt>
            <c:idx val="209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059-9CF6-4383-B5CC-D2D8B9C72949}"/>
              </c:ext>
            </c:extLst>
          </c:dPt>
          <c:dPt>
            <c:idx val="209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05B-9CF6-4383-B5CC-D2D8B9C72949}"/>
              </c:ext>
            </c:extLst>
          </c:dPt>
          <c:dPt>
            <c:idx val="209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05D-9CF6-4383-B5CC-D2D8B9C72949}"/>
              </c:ext>
            </c:extLst>
          </c:dPt>
          <c:dPt>
            <c:idx val="209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05F-9CF6-4383-B5CC-D2D8B9C72949}"/>
              </c:ext>
            </c:extLst>
          </c:dPt>
          <c:dPt>
            <c:idx val="209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061-9CF6-4383-B5CC-D2D8B9C72949}"/>
              </c:ext>
            </c:extLst>
          </c:dPt>
          <c:dPt>
            <c:idx val="209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063-9CF6-4383-B5CC-D2D8B9C72949}"/>
              </c:ext>
            </c:extLst>
          </c:dPt>
          <c:dPt>
            <c:idx val="209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065-9CF6-4383-B5CC-D2D8B9C72949}"/>
              </c:ext>
            </c:extLst>
          </c:dPt>
          <c:dPt>
            <c:idx val="209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067-9CF6-4383-B5CC-D2D8B9C72949}"/>
              </c:ext>
            </c:extLst>
          </c:dPt>
          <c:dPt>
            <c:idx val="210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069-9CF6-4383-B5CC-D2D8B9C72949}"/>
              </c:ext>
            </c:extLst>
          </c:dPt>
          <c:dPt>
            <c:idx val="210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06B-9CF6-4383-B5CC-D2D8B9C72949}"/>
              </c:ext>
            </c:extLst>
          </c:dPt>
          <c:dPt>
            <c:idx val="210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06D-9CF6-4383-B5CC-D2D8B9C72949}"/>
              </c:ext>
            </c:extLst>
          </c:dPt>
          <c:dPt>
            <c:idx val="210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06F-9CF6-4383-B5CC-D2D8B9C72949}"/>
              </c:ext>
            </c:extLst>
          </c:dPt>
          <c:dPt>
            <c:idx val="210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071-9CF6-4383-B5CC-D2D8B9C72949}"/>
              </c:ext>
            </c:extLst>
          </c:dPt>
          <c:dPt>
            <c:idx val="210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073-9CF6-4383-B5CC-D2D8B9C72949}"/>
              </c:ext>
            </c:extLst>
          </c:dPt>
          <c:dPt>
            <c:idx val="2106"/>
            <c:bubble3D val="0"/>
            <c:spPr>
              <a:solidFill>
                <a:schemeClr val="accent1"/>
              </a:solidFill>
              <a:ln w="19050">
                <a:solidFill>
                  <a:schemeClr val="lt1"/>
                </a:solidFill>
              </a:ln>
              <a:effectLst/>
            </c:spPr>
            <c:extLst>
              <c:ext xmlns:c16="http://schemas.microsoft.com/office/drawing/2014/chart" uri="{C3380CC4-5D6E-409C-BE32-E72D297353CC}">
                <c16:uniqueId val="{00001075-9CF6-4383-B5CC-D2D8B9C72949}"/>
              </c:ext>
            </c:extLst>
          </c:dPt>
          <c:dPt>
            <c:idx val="2107"/>
            <c:bubble3D val="0"/>
            <c:spPr>
              <a:solidFill>
                <a:schemeClr val="accent2"/>
              </a:solidFill>
              <a:ln w="19050">
                <a:solidFill>
                  <a:schemeClr val="lt1"/>
                </a:solidFill>
              </a:ln>
              <a:effectLst/>
            </c:spPr>
            <c:extLst>
              <c:ext xmlns:c16="http://schemas.microsoft.com/office/drawing/2014/chart" uri="{C3380CC4-5D6E-409C-BE32-E72D297353CC}">
                <c16:uniqueId val="{00001077-9CF6-4383-B5CC-D2D8B9C72949}"/>
              </c:ext>
            </c:extLst>
          </c:dPt>
          <c:dPt>
            <c:idx val="2108"/>
            <c:bubble3D val="0"/>
            <c:spPr>
              <a:solidFill>
                <a:schemeClr val="accent3"/>
              </a:solidFill>
              <a:ln w="19050">
                <a:solidFill>
                  <a:schemeClr val="lt1"/>
                </a:solidFill>
              </a:ln>
              <a:effectLst/>
            </c:spPr>
            <c:extLst>
              <c:ext xmlns:c16="http://schemas.microsoft.com/office/drawing/2014/chart" uri="{C3380CC4-5D6E-409C-BE32-E72D297353CC}">
                <c16:uniqueId val="{00001079-9CF6-4383-B5CC-D2D8B9C72949}"/>
              </c:ext>
            </c:extLst>
          </c:dPt>
          <c:dPt>
            <c:idx val="2109"/>
            <c:bubble3D val="0"/>
            <c:spPr>
              <a:solidFill>
                <a:schemeClr val="accent4"/>
              </a:solidFill>
              <a:ln w="19050">
                <a:solidFill>
                  <a:schemeClr val="lt1"/>
                </a:solidFill>
              </a:ln>
              <a:effectLst/>
            </c:spPr>
            <c:extLst>
              <c:ext xmlns:c16="http://schemas.microsoft.com/office/drawing/2014/chart" uri="{C3380CC4-5D6E-409C-BE32-E72D297353CC}">
                <c16:uniqueId val="{0000107B-9CF6-4383-B5CC-D2D8B9C72949}"/>
              </c:ext>
            </c:extLst>
          </c:dPt>
          <c:dPt>
            <c:idx val="2110"/>
            <c:bubble3D val="0"/>
            <c:spPr>
              <a:solidFill>
                <a:schemeClr val="accent5"/>
              </a:solidFill>
              <a:ln w="19050">
                <a:solidFill>
                  <a:schemeClr val="lt1"/>
                </a:solidFill>
              </a:ln>
              <a:effectLst/>
            </c:spPr>
            <c:extLst>
              <c:ext xmlns:c16="http://schemas.microsoft.com/office/drawing/2014/chart" uri="{C3380CC4-5D6E-409C-BE32-E72D297353CC}">
                <c16:uniqueId val="{0000107D-9CF6-4383-B5CC-D2D8B9C72949}"/>
              </c:ext>
            </c:extLst>
          </c:dPt>
          <c:dPt>
            <c:idx val="2111"/>
            <c:bubble3D val="0"/>
            <c:spPr>
              <a:solidFill>
                <a:schemeClr val="accent6"/>
              </a:solidFill>
              <a:ln w="19050">
                <a:solidFill>
                  <a:schemeClr val="lt1"/>
                </a:solidFill>
              </a:ln>
              <a:effectLst/>
            </c:spPr>
            <c:extLst>
              <c:ext xmlns:c16="http://schemas.microsoft.com/office/drawing/2014/chart" uri="{C3380CC4-5D6E-409C-BE32-E72D297353CC}">
                <c16:uniqueId val="{0000107F-9CF6-4383-B5CC-D2D8B9C72949}"/>
              </c:ext>
            </c:extLst>
          </c:dPt>
          <c:dPt>
            <c:idx val="211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081-9CF6-4383-B5CC-D2D8B9C72949}"/>
              </c:ext>
            </c:extLst>
          </c:dPt>
          <c:dPt>
            <c:idx val="211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083-9CF6-4383-B5CC-D2D8B9C72949}"/>
              </c:ext>
            </c:extLst>
          </c:dPt>
          <c:dPt>
            <c:idx val="211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085-9CF6-4383-B5CC-D2D8B9C72949}"/>
              </c:ext>
            </c:extLst>
          </c:dPt>
          <c:dPt>
            <c:idx val="211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087-9CF6-4383-B5CC-D2D8B9C72949}"/>
              </c:ext>
            </c:extLst>
          </c:dPt>
          <c:dPt>
            <c:idx val="211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089-9CF6-4383-B5CC-D2D8B9C72949}"/>
              </c:ext>
            </c:extLst>
          </c:dPt>
          <c:dPt>
            <c:idx val="211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08B-9CF6-4383-B5CC-D2D8B9C72949}"/>
              </c:ext>
            </c:extLst>
          </c:dPt>
          <c:dPt>
            <c:idx val="211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08D-9CF6-4383-B5CC-D2D8B9C72949}"/>
              </c:ext>
            </c:extLst>
          </c:dPt>
          <c:dPt>
            <c:idx val="211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08F-9CF6-4383-B5CC-D2D8B9C72949}"/>
              </c:ext>
            </c:extLst>
          </c:dPt>
          <c:dPt>
            <c:idx val="212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091-9CF6-4383-B5CC-D2D8B9C72949}"/>
              </c:ext>
            </c:extLst>
          </c:dPt>
          <c:dPt>
            <c:idx val="212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093-9CF6-4383-B5CC-D2D8B9C72949}"/>
              </c:ext>
            </c:extLst>
          </c:dPt>
          <c:dPt>
            <c:idx val="212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095-9CF6-4383-B5CC-D2D8B9C72949}"/>
              </c:ext>
            </c:extLst>
          </c:dPt>
          <c:dPt>
            <c:idx val="212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097-9CF6-4383-B5CC-D2D8B9C72949}"/>
              </c:ext>
            </c:extLst>
          </c:dPt>
          <c:dPt>
            <c:idx val="212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099-9CF6-4383-B5CC-D2D8B9C72949}"/>
              </c:ext>
            </c:extLst>
          </c:dPt>
          <c:dPt>
            <c:idx val="212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09B-9CF6-4383-B5CC-D2D8B9C72949}"/>
              </c:ext>
            </c:extLst>
          </c:dPt>
          <c:dPt>
            <c:idx val="212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09D-9CF6-4383-B5CC-D2D8B9C72949}"/>
              </c:ext>
            </c:extLst>
          </c:dPt>
          <c:dPt>
            <c:idx val="212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09F-9CF6-4383-B5CC-D2D8B9C72949}"/>
              </c:ext>
            </c:extLst>
          </c:dPt>
          <c:dPt>
            <c:idx val="212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0A1-9CF6-4383-B5CC-D2D8B9C72949}"/>
              </c:ext>
            </c:extLst>
          </c:dPt>
          <c:dPt>
            <c:idx val="212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0A3-9CF6-4383-B5CC-D2D8B9C72949}"/>
              </c:ext>
            </c:extLst>
          </c:dPt>
          <c:dPt>
            <c:idx val="213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0A5-9CF6-4383-B5CC-D2D8B9C72949}"/>
              </c:ext>
            </c:extLst>
          </c:dPt>
          <c:dPt>
            <c:idx val="213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0A7-9CF6-4383-B5CC-D2D8B9C72949}"/>
              </c:ext>
            </c:extLst>
          </c:dPt>
          <c:dPt>
            <c:idx val="213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0A9-9CF6-4383-B5CC-D2D8B9C72949}"/>
              </c:ext>
            </c:extLst>
          </c:dPt>
          <c:dPt>
            <c:idx val="213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0AB-9CF6-4383-B5CC-D2D8B9C72949}"/>
              </c:ext>
            </c:extLst>
          </c:dPt>
          <c:dPt>
            <c:idx val="213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0AD-9CF6-4383-B5CC-D2D8B9C72949}"/>
              </c:ext>
            </c:extLst>
          </c:dPt>
          <c:dPt>
            <c:idx val="213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0AF-9CF6-4383-B5CC-D2D8B9C72949}"/>
              </c:ext>
            </c:extLst>
          </c:dPt>
          <c:dPt>
            <c:idx val="213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0B1-9CF6-4383-B5CC-D2D8B9C72949}"/>
              </c:ext>
            </c:extLst>
          </c:dPt>
          <c:dPt>
            <c:idx val="213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0B3-9CF6-4383-B5CC-D2D8B9C72949}"/>
              </c:ext>
            </c:extLst>
          </c:dPt>
          <c:dPt>
            <c:idx val="213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0B5-9CF6-4383-B5CC-D2D8B9C72949}"/>
              </c:ext>
            </c:extLst>
          </c:dPt>
          <c:dPt>
            <c:idx val="213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0B7-9CF6-4383-B5CC-D2D8B9C72949}"/>
              </c:ext>
            </c:extLst>
          </c:dPt>
          <c:dPt>
            <c:idx val="214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0B9-9CF6-4383-B5CC-D2D8B9C72949}"/>
              </c:ext>
            </c:extLst>
          </c:dPt>
          <c:dPt>
            <c:idx val="214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0BB-9CF6-4383-B5CC-D2D8B9C72949}"/>
              </c:ext>
            </c:extLst>
          </c:dPt>
          <c:dPt>
            <c:idx val="214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0BD-9CF6-4383-B5CC-D2D8B9C72949}"/>
              </c:ext>
            </c:extLst>
          </c:dPt>
          <c:dPt>
            <c:idx val="214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0BF-9CF6-4383-B5CC-D2D8B9C72949}"/>
              </c:ext>
            </c:extLst>
          </c:dPt>
          <c:dPt>
            <c:idx val="214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0C1-9CF6-4383-B5CC-D2D8B9C72949}"/>
              </c:ext>
            </c:extLst>
          </c:dPt>
          <c:dPt>
            <c:idx val="214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0C3-9CF6-4383-B5CC-D2D8B9C72949}"/>
              </c:ext>
            </c:extLst>
          </c:dPt>
          <c:dPt>
            <c:idx val="214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0C5-9CF6-4383-B5CC-D2D8B9C72949}"/>
              </c:ext>
            </c:extLst>
          </c:dPt>
          <c:dPt>
            <c:idx val="214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0C7-9CF6-4383-B5CC-D2D8B9C72949}"/>
              </c:ext>
            </c:extLst>
          </c:dPt>
          <c:dPt>
            <c:idx val="214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0C9-9CF6-4383-B5CC-D2D8B9C72949}"/>
              </c:ext>
            </c:extLst>
          </c:dPt>
          <c:dPt>
            <c:idx val="214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0CB-9CF6-4383-B5CC-D2D8B9C72949}"/>
              </c:ext>
            </c:extLst>
          </c:dPt>
          <c:dPt>
            <c:idx val="215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0CD-9CF6-4383-B5CC-D2D8B9C72949}"/>
              </c:ext>
            </c:extLst>
          </c:dPt>
          <c:dPt>
            <c:idx val="215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0CF-9CF6-4383-B5CC-D2D8B9C72949}"/>
              </c:ext>
            </c:extLst>
          </c:dPt>
          <c:dPt>
            <c:idx val="215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0D1-9CF6-4383-B5CC-D2D8B9C72949}"/>
              </c:ext>
            </c:extLst>
          </c:dPt>
          <c:dPt>
            <c:idx val="215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0D3-9CF6-4383-B5CC-D2D8B9C72949}"/>
              </c:ext>
            </c:extLst>
          </c:dPt>
          <c:dPt>
            <c:idx val="215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0D5-9CF6-4383-B5CC-D2D8B9C72949}"/>
              </c:ext>
            </c:extLst>
          </c:dPt>
          <c:dPt>
            <c:idx val="215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0D7-9CF6-4383-B5CC-D2D8B9C72949}"/>
              </c:ext>
            </c:extLst>
          </c:dPt>
          <c:dPt>
            <c:idx val="215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0D9-9CF6-4383-B5CC-D2D8B9C72949}"/>
              </c:ext>
            </c:extLst>
          </c:dPt>
          <c:dPt>
            <c:idx val="215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0DB-9CF6-4383-B5CC-D2D8B9C72949}"/>
              </c:ext>
            </c:extLst>
          </c:dPt>
          <c:dPt>
            <c:idx val="215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0DD-9CF6-4383-B5CC-D2D8B9C72949}"/>
              </c:ext>
            </c:extLst>
          </c:dPt>
          <c:dPt>
            <c:idx val="215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0DF-9CF6-4383-B5CC-D2D8B9C72949}"/>
              </c:ext>
            </c:extLst>
          </c:dPt>
          <c:dPt>
            <c:idx val="2160"/>
            <c:bubble3D val="0"/>
            <c:spPr>
              <a:solidFill>
                <a:schemeClr val="accent1"/>
              </a:solidFill>
              <a:ln w="19050">
                <a:solidFill>
                  <a:schemeClr val="lt1"/>
                </a:solidFill>
              </a:ln>
              <a:effectLst/>
            </c:spPr>
            <c:extLst>
              <c:ext xmlns:c16="http://schemas.microsoft.com/office/drawing/2014/chart" uri="{C3380CC4-5D6E-409C-BE32-E72D297353CC}">
                <c16:uniqueId val="{000010E1-9CF6-4383-B5CC-D2D8B9C72949}"/>
              </c:ext>
            </c:extLst>
          </c:dPt>
          <c:dPt>
            <c:idx val="2161"/>
            <c:bubble3D val="0"/>
            <c:spPr>
              <a:solidFill>
                <a:schemeClr val="accent2"/>
              </a:solidFill>
              <a:ln w="19050">
                <a:solidFill>
                  <a:schemeClr val="lt1"/>
                </a:solidFill>
              </a:ln>
              <a:effectLst/>
            </c:spPr>
            <c:extLst>
              <c:ext xmlns:c16="http://schemas.microsoft.com/office/drawing/2014/chart" uri="{C3380CC4-5D6E-409C-BE32-E72D297353CC}">
                <c16:uniqueId val="{000010E3-9CF6-4383-B5CC-D2D8B9C72949}"/>
              </c:ext>
            </c:extLst>
          </c:dPt>
          <c:dPt>
            <c:idx val="2162"/>
            <c:bubble3D val="0"/>
            <c:spPr>
              <a:solidFill>
                <a:schemeClr val="accent3"/>
              </a:solidFill>
              <a:ln w="19050">
                <a:solidFill>
                  <a:schemeClr val="lt1"/>
                </a:solidFill>
              </a:ln>
              <a:effectLst/>
            </c:spPr>
            <c:extLst>
              <c:ext xmlns:c16="http://schemas.microsoft.com/office/drawing/2014/chart" uri="{C3380CC4-5D6E-409C-BE32-E72D297353CC}">
                <c16:uniqueId val="{000010E5-9CF6-4383-B5CC-D2D8B9C72949}"/>
              </c:ext>
            </c:extLst>
          </c:dPt>
          <c:dPt>
            <c:idx val="2163"/>
            <c:bubble3D val="0"/>
            <c:spPr>
              <a:solidFill>
                <a:schemeClr val="accent4"/>
              </a:solidFill>
              <a:ln w="19050">
                <a:solidFill>
                  <a:schemeClr val="lt1"/>
                </a:solidFill>
              </a:ln>
              <a:effectLst/>
            </c:spPr>
            <c:extLst>
              <c:ext xmlns:c16="http://schemas.microsoft.com/office/drawing/2014/chart" uri="{C3380CC4-5D6E-409C-BE32-E72D297353CC}">
                <c16:uniqueId val="{000010E7-9CF6-4383-B5CC-D2D8B9C72949}"/>
              </c:ext>
            </c:extLst>
          </c:dPt>
          <c:dPt>
            <c:idx val="2164"/>
            <c:bubble3D val="0"/>
            <c:spPr>
              <a:solidFill>
                <a:schemeClr val="accent5"/>
              </a:solidFill>
              <a:ln w="19050">
                <a:solidFill>
                  <a:schemeClr val="lt1"/>
                </a:solidFill>
              </a:ln>
              <a:effectLst/>
            </c:spPr>
            <c:extLst>
              <c:ext xmlns:c16="http://schemas.microsoft.com/office/drawing/2014/chart" uri="{C3380CC4-5D6E-409C-BE32-E72D297353CC}">
                <c16:uniqueId val="{000010E9-9CF6-4383-B5CC-D2D8B9C72949}"/>
              </c:ext>
            </c:extLst>
          </c:dPt>
          <c:dPt>
            <c:idx val="2165"/>
            <c:bubble3D val="0"/>
            <c:spPr>
              <a:solidFill>
                <a:schemeClr val="accent6"/>
              </a:solidFill>
              <a:ln w="19050">
                <a:solidFill>
                  <a:schemeClr val="lt1"/>
                </a:solidFill>
              </a:ln>
              <a:effectLst/>
            </c:spPr>
            <c:extLst>
              <c:ext xmlns:c16="http://schemas.microsoft.com/office/drawing/2014/chart" uri="{C3380CC4-5D6E-409C-BE32-E72D297353CC}">
                <c16:uniqueId val="{000010EB-9CF6-4383-B5CC-D2D8B9C72949}"/>
              </c:ext>
            </c:extLst>
          </c:dPt>
          <c:dPt>
            <c:idx val="216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0ED-9CF6-4383-B5CC-D2D8B9C72949}"/>
              </c:ext>
            </c:extLst>
          </c:dPt>
          <c:dPt>
            <c:idx val="216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0EF-9CF6-4383-B5CC-D2D8B9C72949}"/>
              </c:ext>
            </c:extLst>
          </c:dPt>
          <c:dPt>
            <c:idx val="216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0F1-9CF6-4383-B5CC-D2D8B9C72949}"/>
              </c:ext>
            </c:extLst>
          </c:dPt>
          <c:dPt>
            <c:idx val="216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0F3-9CF6-4383-B5CC-D2D8B9C72949}"/>
              </c:ext>
            </c:extLst>
          </c:dPt>
          <c:dPt>
            <c:idx val="217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0F5-9CF6-4383-B5CC-D2D8B9C72949}"/>
              </c:ext>
            </c:extLst>
          </c:dPt>
          <c:dPt>
            <c:idx val="217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0F7-9CF6-4383-B5CC-D2D8B9C72949}"/>
              </c:ext>
            </c:extLst>
          </c:dPt>
          <c:dPt>
            <c:idx val="217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0F9-9CF6-4383-B5CC-D2D8B9C72949}"/>
              </c:ext>
            </c:extLst>
          </c:dPt>
          <c:dPt>
            <c:idx val="217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0FB-9CF6-4383-B5CC-D2D8B9C72949}"/>
              </c:ext>
            </c:extLst>
          </c:dPt>
          <c:dPt>
            <c:idx val="217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0FD-9CF6-4383-B5CC-D2D8B9C72949}"/>
              </c:ext>
            </c:extLst>
          </c:dPt>
          <c:dPt>
            <c:idx val="217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0FF-9CF6-4383-B5CC-D2D8B9C72949}"/>
              </c:ext>
            </c:extLst>
          </c:dPt>
          <c:dPt>
            <c:idx val="217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101-9CF6-4383-B5CC-D2D8B9C72949}"/>
              </c:ext>
            </c:extLst>
          </c:dPt>
          <c:dPt>
            <c:idx val="217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103-9CF6-4383-B5CC-D2D8B9C72949}"/>
              </c:ext>
            </c:extLst>
          </c:dPt>
          <c:dPt>
            <c:idx val="217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105-9CF6-4383-B5CC-D2D8B9C72949}"/>
              </c:ext>
            </c:extLst>
          </c:dPt>
          <c:dPt>
            <c:idx val="217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107-9CF6-4383-B5CC-D2D8B9C72949}"/>
              </c:ext>
            </c:extLst>
          </c:dPt>
          <c:dPt>
            <c:idx val="218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109-9CF6-4383-B5CC-D2D8B9C72949}"/>
              </c:ext>
            </c:extLst>
          </c:dPt>
          <c:dPt>
            <c:idx val="218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10B-9CF6-4383-B5CC-D2D8B9C72949}"/>
              </c:ext>
            </c:extLst>
          </c:dPt>
          <c:dPt>
            <c:idx val="218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10D-9CF6-4383-B5CC-D2D8B9C72949}"/>
              </c:ext>
            </c:extLst>
          </c:dPt>
          <c:dPt>
            <c:idx val="218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10F-9CF6-4383-B5CC-D2D8B9C72949}"/>
              </c:ext>
            </c:extLst>
          </c:dPt>
          <c:dPt>
            <c:idx val="218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111-9CF6-4383-B5CC-D2D8B9C72949}"/>
              </c:ext>
            </c:extLst>
          </c:dPt>
          <c:dPt>
            <c:idx val="218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113-9CF6-4383-B5CC-D2D8B9C72949}"/>
              </c:ext>
            </c:extLst>
          </c:dPt>
          <c:dPt>
            <c:idx val="218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115-9CF6-4383-B5CC-D2D8B9C72949}"/>
              </c:ext>
            </c:extLst>
          </c:dPt>
          <c:dPt>
            <c:idx val="218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117-9CF6-4383-B5CC-D2D8B9C72949}"/>
              </c:ext>
            </c:extLst>
          </c:dPt>
          <c:dPt>
            <c:idx val="218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119-9CF6-4383-B5CC-D2D8B9C72949}"/>
              </c:ext>
            </c:extLst>
          </c:dPt>
          <c:dPt>
            <c:idx val="218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11B-9CF6-4383-B5CC-D2D8B9C72949}"/>
              </c:ext>
            </c:extLst>
          </c:dPt>
          <c:dPt>
            <c:idx val="219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11D-9CF6-4383-B5CC-D2D8B9C72949}"/>
              </c:ext>
            </c:extLst>
          </c:dPt>
          <c:dPt>
            <c:idx val="219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11F-9CF6-4383-B5CC-D2D8B9C72949}"/>
              </c:ext>
            </c:extLst>
          </c:dPt>
          <c:dPt>
            <c:idx val="219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121-9CF6-4383-B5CC-D2D8B9C72949}"/>
              </c:ext>
            </c:extLst>
          </c:dPt>
          <c:dPt>
            <c:idx val="219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123-9CF6-4383-B5CC-D2D8B9C72949}"/>
              </c:ext>
            </c:extLst>
          </c:dPt>
          <c:dPt>
            <c:idx val="219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125-9CF6-4383-B5CC-D2D8B9C72949}"/>
              </c:ext>
            </c:extLst>
          </c:dPt>
          <c:dPt>
            <c:idx val="219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127-9CF6-4383-B5CC-D2D8B9C72949}"/>
              </c:ext>
            </c:extLst>
          </c:dPt>
          <c:dPt>
            <c:idx val="219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129-9CF6-4383-B5CC-D2D8B9C72949}"/>
              </c:ext>
            </c:extLst>
          </c:dPt>
          <c:dPt>
            <c:idx val="219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12B-9CF6-4383-B5CC-D2D8B9C72949}"/>
              </c:ext>
            </c:extLst>
          </c:dPt>
          <c:dPt>
            <c:idx val="219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12D-9CF6-4383-B5CC-D2D8B9C72949}"/>
              </c:ext>
            </c:extLst>
          </c:dPt>
          <c:dPt>
            <c:idx val="219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12F-9CF6-4383-B5CC-D2D8B9C72949}"/>
              </c:ext>
            </c:extLst>
          </c:dPt>
          <c:dPt>
            <c:idx val="220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131-9CF6-4383-B5CC-D2D8B9C72949}"/>
              </c:ext>
            </c:extLst>
          </c:dPt>
          <c:dPt>
            <c:idx val="220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133-9CF6-4383-B5CC-D2D8B9C72949}"/>
              </c:ext>
            </c:extLst>
          </c:dPt>
          <c:dPt>
            <c:idx val="220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135-9CF6-4383-B5CC-D2D8B9C72949}"/>
              </c:ext>
            </c:extLst>
          </c:dPt>
          <c:dPt>
            <c:idx val="220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137-9CF6-4383-B5CC-D2D8B9C72949}"/>
              </c:ext>
            </c:extLst>
          </c:dPt>
          <c:dPt>
            <c:idx val="220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139-9CF6-4383-B5CC-D2D8B9C72949}"/>
              </c:ext>
            </c:extLst>
          </c:dPt>
          <c:dPt>
            <c:idx val="220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13B-9CF6-4383-B5CC-D2D8B9C72949}"/>
              </c:ext>
            </c:extLst>
          </c:dPt>
          <c:dPt>
            <c:idx val="220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13D-9CF6-4383-B5CC-D2D8B9C72949}"/>
              </c:ext>
            </c:extLst>
          </c:dPt>
          <c:dPt>
            <c:idx val="220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13F-9CF6-4383-B5CC-D2D8B9C72949}"/>
              </c:ext>
            </c:extLst>
          </c:dPt>
          <c:dPt>
            <c:idx val="220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141-9CF6-4383-B5CC-D2D8B9C72949}"/>
              </c:ext>
            </c:extLst>
          </c:dPt>
          <c:dPt>
            <c:idx val="220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143-9CF6-4383-B5CC-D2D8B9C72949}"/>
              </c:ext>
            </c:extLst>
          </c:dPt>
          <c:dPt>
            <c:idx val="221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145-9CF6-4383-B5CC-D2D8B9C72949}"/>
              </c:ext>
            </c:extLst>
          </c:dPt>
          <c:dPt>
            <c:idx val="221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147-9CF6-4383-B5CC-D2D8B9C72949}"/>
              </c:ext>
            </c:extLst>
          </c:dPt>
          <c:dPt>
            <c:idx val="221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149-9CF6-4383-B5CC-D2D8B9C72949}"/>
              </c:ext>
            </c:extLst>
          </c:dPt>
          <c:dPt>
            <c:idx val="221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14B-9CF6-4383-B5CC-D2D8B9C72949}"/>
              </c:ext>
            </c:extLst>
          </c:dPt>
          <c:dPt>
            <c:idx val="2214"/>
            <c:bubble3D val="0"/>
            <c:spPr>
              <a:solidFill>
                <a:schemeClr val="accent1"/>
              </a:solidFill>
              <a:ln w="19050">
                <a:solidFill>
                  <a:schemeClr val="lt1"/>
                </a:solidFill>
              </a:ln>
              <a:effectLst/>
            </c:spPr>
            <c:extLst>
              <c:ext xmlns:c16="http://schemas.microsoft.com/office/drawing/2014/chart" uri="{C3380CC4-5D6E-409C-BE32-E72D297353CC}">
                <c16:uniqueId val="{0000114D-9CF6-4383-B5CC-D2D8B9C72949}"/>
              </c:ext>
            </c:extLst>
          </c:dPt>
          <c:dPt>
            <c:idx val="2215"/>
            <c:bubble3D val="0"/>
            <c:spPr>
              <a:solidFill>
                <a:schemeClr val="accent2"/>
              </a:solidFill>
              <a:ln w="19050">
                <a:solidFill>
                  <a:schemeClr val="lt1"/>
                </a:solidFill>
              </a:ln>
              <a:effectLst/>
            </c:spPr>
            <c:extLst>
              <c:ext xmlns:c16="http://schemas.microsoft.com/office/drawing/2014/chart" uri="{C3380CC4-5D6E-409C-BE32-E72D297353CC}">
                <c16:uniqueId val="{0000114F-9CF6-4383-B5CC-D2D8B9C72949}"/>
              </c:ext>
            </c:extLst>
          </c:dPt>
          <c:dPt>
            <c:idx val="2216"/>
            <c:bubble3D val="0"/>
            <c:spPr>
              <a:solidFill>
                <a:schemeClr val="accent3"/>
              </a:solidFill>
              <a:ln w="19050">
                <a:solidFill>
                  <a:schemeClr val="lt1"/>
                </a:solidFill>
              </a:ln>
              <a:effectLst/>
            </c:spPr>
            <c:extLst>
              <c:ext xmlns:c16="http://schemas.microsoft.com/office/drawing/2014/chart" uri="{C3380CC4-5D6E-409C-BE32-E72D297353CC}">
                <c16:uniqueId val="{00001151-9CF6-4383-B5CC-D2D8B9C72949}"/>
              </c:ext>
            </c:extLst>
          </c:dPt>
          <c:dPt>
            <c:idx val="2217"/>
            <c:bubble3D val="0"/>
            <c:spPr>
              <a:solidFill>
                <a:schemeClr val="accent4"/>
              </a:solidFill>
              <a:ln w="19050">
                <a:solidFill>
                  <a:schemeClr val="lt1"/>
                </a:solidFill>
              </a:ln>
              <a:effectLst/>
            </c:spPr>
            <c:extLst>
              <c:ext xmlns:c16="http://schemas.microsoft.com/office/drawing/2014/chart" uri="{C3380CC4-5D6E-409C-BE32-E72D297353CC}">
                <c16:uniqueId val="{00001153-9CF6-4383-B5CC-D2D8B9C72949}"/>
              </c:ext>
            </c:extLst>
          </c:dPt>
          <c:dPt>
            <c:idx val="2218"/>
            <c:bubble3D val="0"/>
            <c:spPr>
              <a:solidFill>
                <a:schemeClr val="accent5"/>
              </a:solidFill>
              <a:ln w="19050">
                <a:solidFill>
                  <a:schemeClr val="lt1"/>
                </a:solidFill>
              </a:ln>
              <a:effectLst/>
            </c:spPr>
            <c:extLst>
              <c:ext xmlns:c16="http://schemas.microsoft.com/office/drawing/2014/chart" uri="{C3380CC4-5D6E-409C-BE32-E72D297353CC}">
                <c16:uniqueId val="{00001155-9CF6-4383-B5CC-D2D8B9C72949}"/>
              </c:ext>
            </c:extLst>
          </c:dPt>
          <c:dPt>
            <c:idx val="2219"/>
            <c:bubble3D val="0"/>
            <c:spPr>
              <a:solidFill>
                <a:schemeClr val="accent6"/>
              </a:solidFill>
              <a:ln w="19050">
                <a:solidFill>
                  <a:schemeClr val="lt1"/>
                </a:solidFill>
              </a:ln>
              <a:effectLst/>
            </c:spPr>
            <c:extLst>
              <c:ext xmlns:c16="http://schemas.microsoft.com/office/drawing/2014/chart" uri="{C3380CC4-5D6E-409C-BE32-E72D297353CC}">
                <c16:uniqueId val="{00001157-9CF6-4383-B5CC-D2D8B9C72949}"/>
              </c:ext>
            </c:extLst>
          </c:dPt>
          <c:dPt>
            <c:idx val="222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159-9CF6-4383-B5CC-D2D8B9C72949}"/>
              </c:ext>
            </c:extLst>
          </c:dPt>
          <c:dPt>
            <c:idx val="222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15B-9CF6-4383-B5CC-D2D8B9C72949}"/>
              </c:ext>
            </c:extLst>
          </c:dPt>
          <c:dPt>
            <c:idx val="222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15D-9CF6-4383-B5CC-D2D8B9C72949}"/>
              </c:ext>
            </c:extLst>
          </c:dPt>
          <c:dPt>
            <c:idx val="222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15F-9CF6-4383-B5CC-D2D8B9C72949}"/>
              </c:ext>
            </c:extLst>
          </c:dPt>
          <c:dPt>
            <c:idx val="222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161-9CF6-4383-B5CC-D2D8B9C72949}"/>
              </c:ext>
            </c:extLst>
          </c:dPt>
          <c:dPt>
            <c:idx val="222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163-9CF6-4383-B5CC-D2D8B9C72949}"/>
              </c:ext>
            </c:extLst>
          </c:dPt>
          <c:dPt>
            <c:idx val="222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165-9CF6-4383-B5CC-D2D8B9C72949}"/>
              </c:ext>
            </c:extLst>
          </c:dPt>
          <c:dPt>
            <c:idx val="222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167-9CF6-4383-B5CC-D2D8B9C72949}"/>
              </c:ext>
            </c:extLst>
          </c:dPt>
          <c:dPt>
            <c:idx val="222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169-9CF6-4383-B5CC-D2D8B9C72949}"/>
              </c:ext>
            </c:extLst>
          </c:dPt>
          <c:dPt>
            <c:idx val="222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16B-9CF6-4383-B5CC-D2D8B9C72949}"/>
              </c:ext>
            </c:extLst>
          </c:dPt>
          <c:dPt>
            <c:idx val="223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16D-9CF6-4383-B5CC-D2D8B9C72949}"/>
              </c:ext>
            </c:extLst>
          </c:dPt>
          <c:dPt>
            <c:idx val="223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16F-9CF6-4383-B5CC-D2D8B9C72949}"/>
              </c:ext>
            </c:extLst>
          </c:dPt>
          <c:dPt>
            <c:idx val="223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171-9CF6-4383-B5CC-D2D8B9C72949}"/>
              </c:ext>
            </c:extLst>
          </c:dPt>
          <c:dPt>
            <c:idx val="223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173-9CF6-4383-B5CC-D2D8B9C72949}"/>
              </c:ext>
            </c:extLst>
          </c:dPt>
          <c:dPt>
            <c:idx val="223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175-9CF6-4383-B5CC-D2D8B9C72949}"/>
              </c:ext>
            </c:extLst>
          </c:dPt>
          <c:dPt>
            <c:idx val="223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177-9CF6-4383-B5CC-D2D8B9C72949}"/>
              </c:ext>
            </c:extLst>
          </c:dPt>
          <c:dPt>
            <c:idx val="223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179-9CF6-4383-B5CC-D2D8B9C72949}"/>
              </c:ext>
            </c:extLst>
          </c:dPt>
          <c:dPt>
            <c:idx val="223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17B-9CF6-4383-B5CC-D2D8B9C72949}"/>
              </c:ext>
            </c:extLst>
          </c:dPt>
          <c:dPt>
            <c:idx val="223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17D-9CF6-4383-B5CC-D2D8B9C72949}"/>
              </c:ext>
            </c:extLst>
          </c:dPt>
          <c:dPt>
            <c:idx val="223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17F-9CF6-4383-B5CC-D2D8B9C72949}"/>
              </c:ext>
            </c:extLst>
          </c:dPt>
          <c:dPt>
            <c:idx val="224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181-9CF6-4383-B5CC-D2D8B9C72949}"/>
              </c:ext>
            </c:extLst>
          </c:dPt>
          <c:dPt>
            <c:idx val="224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183-9CF6-4383-B5CC-D2D8B9C72949}"/>
              </c:ext>
            </c:extLst>
          </c:dPt>
          <c:dPt>
            <c:idx val="224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185-9CF6-4383-B5CC-D2D8B9C72949}"/>
              </c:ext>
            </c:extLst>
          </c:dPt>
          <c:dPt>
            <c:idx val="224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187-9CF6-4383-B5CC-D2D8B9C72949}"/>
              </c:ext>
            </c:extLst>
          </c:dPt>
          <c:dPt>
            <c:idx val="224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189-9CF6-4383-B5CC-D2D8B9C72949}"/>
              </c:ext>
            </c:extLst>
          </c:dPt>
          <c:dPt>
            <c:idx val="224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18B-9CF6-4383-B5CC-D2D8B9C72949}"/>
              </c:ext>
            </c:extLst>
          </c:dPt>
          <c:dPt>
            <c:idx val="224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18D-9CF6-4383-B5CC-D2D8B9C72949}"/>
              </c:ext>
            </c:extLst>
          </c:dPt>
          <c:dPt>
            <c:idx val="224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18F-9CF6-4383-B5CC-D2D8B9C72949}"/>
              </c:ext>
            </c:extLst>
          </c:dPt>
          <c:dPt>
            <c:idx val="224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191-9CF6-4383-B5CC-D2D8B9C72949}"/>
              </c:ext>
            </c:extLst>
          </c:dPt>
          <c:dPt>
            <c:idx val="224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193-9CF6-4383-B5CC-D2D8B9C72949}"/>
              </c:ext>
            </c:extLst>
          </c:dPt>
          <c:dPt>
            <c:idx val="225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195-9CF6-4383-B5CC-D2D8B9C72949}"/>
              </c:ext>
            </c:extLst>
          </c:dPt>
          <c:dPt>
            <c:idx val="225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197-9CF6-4383-B5CC-D2D8B9C72949}"/>
              </c:ext>
            </c:extLst>
          </c:dPt>
          <c:dPt>
            <c:idx val="225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199-9CF6-4383-B5CC-D2D8B9C72949}"/>
              </c:ext>
            </c:extLst>
          </c:dPt>
          <c:dPt>
            <c:idx val="225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19B-9CF6-4383-B5CC-D2D8B9C72949}"/>
              </c:ext>
            </c:extLst>
          </c:dPt>
          <c:dPt>
            <c:idx val="225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19D-9CF6-4383-B5CC-D2D8B9C72949}"/>
              </c:ext>
            </c:extLst>
          </c:dPt>
          <c:dPt>
            <c:idx val="225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19F-9CF6-4383-B5CC-D2D8B9C72949}"/>
              </c:ext>
            </c:extLst>
          </c:dPt>
          <c:dPt>
            <c:idx val="225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1A1-9CF6-4383-B5CC-D2D8B9C72949}"/>
              </c:ext>
            </c:extLst>
          </c:dPt>
          <c:dPt>
            <c:idx val="225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1A3-9CF6-4383-B5CC-D2D8B9C72949}"/>
              </c:ext>
            </c:extLst>
          </c:dPt>
          <c:dPt>
            <c:idx val="225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1A5-9CF6-4383-B5CC-D2D8B9C72949}"/>
              </c:ext>
            </c:extLst>
          </c:dPt>
          <c:dPt>
            <c:idx val="225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1A7-9CF6-4383-B5CC-D2D8B9C72949}"/>
              </c:ext>
            </c:extLst>
          </c:dPt>
          <c:dPt>
            <c:idx val="226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1A9-9CF6-4383-B5CC-D2D8B9C72949}"/>
              </c:ext>
            </c:extLst>
          </c:dPt>
          <c:dPt>
            <c:idx val="226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1AB-9CF6-4383-B5CC-D2D8B9C72949}"/>
              </c:ext>
            </c:extLst>
          </c:dPt>
          <c:dPt>
            <c:idx val="226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1AD-9CF6-4383-B5CC-D2D8B9C72949}"/>
              </c:ext>
            </c:extLst>
          </c:dPt>
          <c:dPt>
            <c:idx val="226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1AF-9CF6-4383-B5CC-D2D8B9C72949}"/>
              </c:ext>
            </c:extLst>
          </c:dPt>
          <c:dPt>
            <c:idx val="226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1B1-9CF6-4383-B5CC-D2D8B9C72949}"/>
              </c:ext>
            </c:extLst>
          </c:dPt>
          <c:dPt>
            <c:idx val="226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1B3-9CF6-4383-B5CC-D2D8B9C72949}"/>
              </c:ext>
            </c:extLst>
          </c:dPt>
          <c:dPt>
            <c:idx val="226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1B5-9CF6-4383-B5CC-D2D8B9C72949}"/>
              </c:ext>
            </c:extLst>
          </c:dPt>
          <c:dPt>
            <c:idx val="226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1B7-9CF6-4383-B5CC-D2D8B9C72949}"/>
              </c:ext>
            </c:extLst>
          </c:dPt>
          <c:dPt>
            <c:idx val="2268"/>
            <c:bubble3D val="0"/>
            <c:spPr>
              <a:solidFill>
                <a:schemeClr val="accent1"/>
              </a:solidFill>
              <a:ln w="19050">
                <a:solidFill>
                  <a:schemeClr val="lt1"/>
                </a:solidFill>
              </a:ln>
              <a:effectLst/>
            </c:spPr>
            <c:extLst>
              <c:ext xmlns:c16="http://schemas.microsoft.com/office/drawing/2014/chart" uri="{C3380CC4-5D6E-409C-BE32-E72D297353CC}">
                <c16:uniqueId val="{000011B9-9CF6-4383-B5CC-D2D8B9C72949}"/>
              </c:ext>
            </c:extLst>
          </c:dPt>
          <c:dPt>
            <c:idx val="2269"/>
            <c:bubble3D val="0"/>
            <c:spPr>
              <a:solidFill>
                <a:schemeClr val="accent2"/>
              </a:solidFill>
              <a:ln w="19050">
                <a:solidFill>
                  <a:schemeClr val="lt1"/>
                </a:solidFill>
              </a:ln>
              <a:effectLst/>
            </c:spPr>
            <c:extLst>
              <c:ext xmlns:c16="http://schemas.microsoft.com/office/drawing/2014/chart" uri="{C3380CC4-5D6E-409C-BE32-E72D297353CC}">
                <c16:uniqueId val="{000011BB-9CF6-4383-B5CC-D2D8B9C72949}"/>
              </c:ext>
            </c:extLst>
          </c:dPt>
          <c:dPt>
            <c:idx val="2270"/>
            <c:bubble3D val="0"/>
            <c:spPr>
              <a:solidFill>
                <a:schemeClr val="accent3"/>
              </a:solidFill>
              <a:ln w="19050">
                <a:solidFill>
                  <a:schemeClr val="lt1"/>
                </a:solidFill>
              </a:ln>
              <a:effectLst/>
            </c:spPr>
            <c:extLst>
              <c:ext xmlns:c16="http://schemas.microsoft.com/office/drawing/2014/chart" uri="{C3380CC4-5D6E-409C-BE32-E72D297353CC}">
                <c16:uniqueId val="{000011BD-9CF6-4383-B5CC-D2D8B9C72949}"/>
              </c:ext>
            </c:extLst>
          </c:dPt>
          <c:dPt>
            <c:idx val="2271"/>
            <c:bubble3D val="0"/>
            <c:spPr>
              <a:solidFill>
                <a:schemeClr val="accent4"/>
              </a:solidFill>
              <a:ln w="19050">
                <a:solidFill>
                  <a:schemeClr val="lt1"/>
                </a:solidFill>
              </a:ln>
              <a:effectLst/>
            </c:spPr>
            <c:extLst>
              <c:ext xmlns:c16="http://schemas.microsoft.com/office/drawing/2014/chart" uri="{C3380CC4-5D6E-409C-BE32-E72D297353CC}">
                <c16:uniqueId val="{000011BF-9CF6-4383-B5CC-D2D8B9C72949}"/>
              </c:ext>
            </c:extLst>
          </c:dPt>
          <c:dPt>
            <c:idx val="2272"/>
            <c:bubble3D val="0"/>
            <c:spPr>
              <a:solidFill>
                <a:schemeClr val="accent5"/>
              </a:solidFill>
              <a:ln w="19050">
                <a:solidFill>
                  <a:schemeClr val="lt1"/>
                </a:solidFill>
              </a:ln>
              <a:effectLst/>
            </c:spPr>
            <c:extLst>
              <c:ext xmlns:c16="http://schemas.microsoft.com/office/drawing/2014/chart" uri="{C3380CC4-5D6E-409C-BE32-E72D297353CC}">
                <c16:uniqueId val="{000011C1-9CF6-4383-B5CC-D2D8B9C72949}"/>
              </c:ext>
            </c:extLst>
          </c:dPt>
          <c:dPt>
            <c:idx val="2273"/>
            <c:bubble3D val="0"/>
            <c:spPr>
              <a:solidFill>
                <a:schemeClr val="accent6"/>
              </a:solidFill>
              <a:ln w="19050">
                <a:solidFill>
                  <a:schemeClr val="lt1"/>
                </a:solidFill>
              </a:ln>
              <a:effectLst/>
            </c:spPr>
            <c:extLst>
              <c:ext xmlns:c16="http://schemas.microsoft.com/office/drawing/2014/chart" uri="{C3380CC4-5D6E-409C-BE32-E72D297353CC}">
                <c16:uniqueId val="{000011C3-9CF6-4383-B5CC-D2D8B9C72949}"/>
              </c:ext>
            </c:extLst>
          </c:dPt>
          <c:dPt>
            <c:idx val="227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1C5-9CF6-4383-B5CC-D2D8B9C72949}"/>
              </c:ext>
            </c:extLst>
          </c:dPt>
          <c:dPt>
            <c:idx val="227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1C7-9CF6-4383-B5CC-D2D8B9C72949}"/>
              </c:ext>
            </c:extLst>
          </c:dPt>
          <c:dPt>
            <c:idx val="227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1C9-9CF6-4383-B5CC-D2D8B9C72949}"/>
              </c:ext>
            </c:extLst>
          </c:dPt>
          <c:dPt>
            <c:idx val="227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1CB-9CF6-4383-B5CC-D2D8B9C72949}"/>
              </c:ext>
            </c:extLst>
          </c:dPt>
          <c:dPt>
            <c:idx val="227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1CD-9CF6-4383-B5CC-D2D8B9C72949}"/>
              </c:ext>
            </c:extLst>
          </c:dPt>
          <c:dPt>
            <c:idx val="227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1CF-9CF6-4383-B5CC-D2D8B9C72949}"/>
              </c:ext>
            </c:extLst>
          </c:dPt>
          <c:dPt>
            <c:idx val="228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1D1-9CF6-4383-B5CC-D2D8B9C72949}"/>
              </c:ext>
            </c:extLst>
          </c:dPt>
          <c:dPt>
            <c:idx val="228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1D3-9CF6-4383-B5CC-D2D8B9C72949}"/>
              </c:ext>
            </c:extLst>
          </c:dPt>
          <c:dPt>
            <c:idx val="228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1D5-9CF6-4383-B5CC-D2D8B9C72949}"/>
              </c:ext>
            </c:extLst>
          </c:dPt>
          <c:dPt>
            <c:idx val="228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1D7-9CF6-4383-B5CC-D2D8B9C72949}"/>
              </c:ext>
            </c:extLst>
          </c:dPt>
          <c:dPt>
            <c:idx val="228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1D9-9CF6-4383-B5CC-D2D8B9C72949}"/>
              </c:ext>
            </c:extLst>
          </c:dPt>
          <c:dPt>
            <c:idx val="228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1DB-9CF6-4383-B5CC-D2D8B9C72949}"/>
              </c:ext>
            </c:extLst>
          </c:dPt>
          <c:dPt>
            <c:idx val="228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1DD-9CF6-4383-B5CC-D2D8B9C72949}"/>
              </c:ext>
            </c:extLst>
          </c:dPt>
          <c:dPt>
            <c:idx val="228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1DF-9CF6-4383-B5CC-D2D8B9C72949}"/>
              </c:ext>
            </c:extLst>
          </c:dPt>
          <c:dPt>
            <c:idx val="228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1E1-9CF6-4383-B5CC-D2D8B9C72949}"/>
              </c:ext>
            </c:extLst>
          </c:dPt>
          <c:dPt>
            <c:idx val="228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1E3-9CF6-4383-B5CC-D2D8B9C72949}"/>
              </c:ext>
            </c:extLst>
          </c:dPt>
          <c:dPt>
            <c:idx val="229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1E5-9CF6-4383-B5CC-D2D8B9C72949}"/>
              </c:ext>
            </c:extLst>
          </c:dPt>
          <c:dPt>
            <c:idx val="229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1E7-9CF6-4383-B5CC-D2D8B9C72949}"/>
              </c:ext>
            </c:extLst>
          </c:dPt>
          <c:dPt>
            <c:idx val="229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1E9-9CF6-4383-B5CC-D2D8B9C72949}"/>
              </c:ext>
            </c:extLst>
          </c:dPt>
          <c:dPt>
            <c:idx val="229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1EB-9CF6-4383-B5CC-D2D8B9C72949}"/>
              </c:ext>
            </c:extLst>
          </c:dPt>
          <c:dPt>
            <c:idx val="229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1ED-9CF6-4383-B5CC-D2D8B9C72949}"/>
              </c:ext>
            </c:extLst>
          </c:dPt>
          <c:dPt>
            <c:idx val="229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1EF-9CF6-4383-B5CC-D2D8B9C72949}"/>
              </c:ext>
            </c:extLst>
          </c:dPt>
          <c:dPt>
            <c:idx val="229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1F1-9CF6-4383-B5CC-D2D8B9C72949}"/>
              </c:ext>
            </c:extLst>
          </c:dPt>
          <c:dPt>
            <c:idx val="229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1F3-9CF6-4383-B5CC-D2D8B9C72949}"/>
              </c:ext>
            </c:extLst>
          </c:dPt>
          <c:dPt>
            <c:idx val="229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1F5-9CF6-4383-B5CC-D2D8B9C72949}"/>
              </c:ext>
            </c:extLst>
          </c:dPt>
          <c:dPt>
            <c:idx val="229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1F7-9CF6-4383-B5CC-D2D8B9C72949}"/>
              </c:ext>
            </c:extLst>
          </c:dPt>
          <c:dPt>
            <c:idx val="230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1F9-9CF6-4383-B5CC-D2D8B9C72949}"/>
              </c:ext>
            </c:extLst>
          </c:dPt>
          <c:dPt>
            <c:idx val="230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1FB-9CF6-4383-B5CC-D2D8B9C72949}"/>
              </c:ext>
            </c:extLst>
          </c:dPt>
          <c:dPt>
            <c:idx val="230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1FD-9CF6-4383-B5CC-D2D8B9C72949}"/>
              </c:ext>
            </c:extLst>
          </c:dPt>
          <c:dPt>
            <c:idx val="230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1FF-9CF6-4383-B5CC-D2D8B9C72949}"/>
              </c:ext>
            </c:extLst>
          </c:dPt>
          <c:dPt>
            <c:idx val="230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201-9CF6-4383-B5CC-D2D8B9C72949}"/>
              </c:ext>
            </c:extLst>
          </c:dPt>
          <c:dPt>
            <c:idx val="230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203-9CF6-4383-B5CC-D2D8B9C72949}"/>
              </c:ext>
            </c:extLst>
          </c:dPt>
          <c:dPt>
            <c:idx val="230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205-9CF6-4383-B5CC-D2D8B9C72949}"/>
              </c:ext>
            </c:extLst>
          </c:dPt>
          <c:dPt>
            <c:idx val="230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207-9CF6-4383-B5CC-D2D8B9C72949}"/>
              </c:ext>
            </c:extLst>
          </c:dPt>
          <c:dPt>
            <c:idx val="230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209-9CF6-4383-B5CC-D2D8B9C72949}"/>
              </c:ext>
            </c:extLst>
          </c:dPt>
          <c:dPt>
            <c:idx val="230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20B-9CF6-4383-B5CC-D2D8B9C72949}"/>
              </c:ext>
            </c:extLst>
          </c:dPt>
          <c:dPt>
            <c:idx val="231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20D-9CF6-4383-B5CC-D2D8B9C72949}"/>
              </c:ext>
            </c:extLst>
          </c:dPt>
          <c:dPt>
            <c:idx val="231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20F-9CF6-4383-B5CC-D2D8B9C72949}"/>
              </c:ext>
            </c:extLst>
          </c:dPt>
          <c:dPt>
            <c:idx val="231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211-9CF6-4383-B5CC-D2D8B9C72949}"/>
              </c:ext>
            </c:extLst>
          </c:dPt>
          <c:dPt>
            <c:idx val="231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213-9CF6-4383-B5CC-D2D8B9C72949}"/>
              </c:ext>
            </c:extLst>
          </c:dPt>
          <c:dPt>
            <c:idx val="231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215-9CF6-4383-B5CC-D2D8B9C72949}"/>
              </c:ext>
            </c:extLst>
          </c:dPt>
          <c:dPt>
            <c:idx val="231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217-9CF6-4383-B5CC-D2D8B9C72949}"/>
              </c:ext>
            </c:extLst>
          </c:dPt>
          <c:dPt>
            <c:idx val="231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219-9CF6-4383-B5CC-D2D8B9C72949}"/>
              </c:ext>
            </c:extLst>
          </c:dPt>
          <c:dPt>
            <c:idx val="231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21B-9CF6-4383-B5CC-D2D8B9C72949}"/>
              </c:ext>
            </c:extLst>
          </c:dPt>
          <c:dPt>
            <c:idx val="231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21D-9CF6-4383-B5CC-D2D8B9C72949}"/>
              </c:ext>
            </c:extLst>
          </c:dPt>
          <c:dPt>
            <c:idx val="231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21F-9CF6-4383-B5CC-D2D8B9C72949}"/>
              </c:ext>
            </c:extLst>
          </c:dPt>
          <c:dPt>
            <c:idx val="232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221-9CF6-4383-B5CC-D2D8B9C72949}"/>
              </c:ext>
            </c:extLst>
          </c:dPt>
          <c:dPt>
            <c:idx val="232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223-9CF6-4383-B5CC-D2D8B9C72949}"/>
              </c:ext>
            </c:extLst>
          </c:dPt>
          <c:dPt>
            <c:idx val="2322"/>
            <c:bubble3D val="0"/>
            <c:spPr>
              <a:solidFill>
                <a:schemeClr val="accent1"/>
              </a:solidFill>
              <a:ln w="19050">
                <a:solidFill>
                  <a:schemeClr val="lt1"/>
                </a:solidFill>
              </a:ln>
              <a:effectLst/>
            </c:spPr>
            <c:extLst>
              <c:ext xmlns:c16="http://schemas.microsoft.com/office/drawing/2014/chart" uri="{C3380CC4-5D6E-409C-BE32-E72D297353CC}">
                <c16:uniqueId val="{00001225-9CF6-4383-B5CC-D2D8B9C72949}"/>
              </c:ext>
            </c:extLst>
          </c:dPt>
          <c:dPt>
            <c:idx val="2323"/>
            <c:bubble3D val="0"/>
            <c:spPr>
              <a:solidFill>
                <a:schemeClr val="accent2"/>
              </a:solidFill>
              <a:ln w="19050">
                <a:solidFill>
                  <a:schemeClr val="lt1"/>
                </a:solidFill>
              </a:ln>
              <a:effectLst/>
            </c:spPr>
            <c:extLst>
              <c:ext xmlns:c16="http://schemas.microsoft.com/office/drawing/2014/chart" uri="{C3380CC4-5D6E-409C-BE32-E72D297353CC}">
                <c16:uniqueId val="{00001227-9CF6-4383-B5CC-D2D8B9C72949}"/>
              </c:ext>
            </c:extLst>
          </c:dPt>
          <c:dPt>
            <c:idx val="2324"/>
            <c:bubble3D val="0"/>
            <c:spPr>
              <a:solidFill>
                <a:schemeClr val="accent3"/>
              </a:solidFill>
              <a:ln w="19050">
                <a:solidFill>
                  <a:schemeClr val="lt1"/>
                </a:solidFill>
              </a:ln>
              <a:effectLst/>
            </c:spPr>
            <c:extLst>
              <c:ext xmlns:c16="http://schemas.microsoft.com/office/drawing/2014/chart" uri="{C3380CC4-5D6E-409C-BE32-E72D297353CC}">
                <c16:uniqueId val="{00001229-9CF6-4383-B5CC-D2D8B9C72949}"/>
              </c:ext>
            </c:extLst>
          </c:dPt>
          <c:dPt>
            <c:idx val="2325"/>
            <c:bubble3D val="0"/>
            <c:spPr>
              <a:solidFill>
                <a:schemeClr val="accent4"/>
              </a:solidFill>
              <a:ln w="19050">
                <a:solidFill>
                  <a:schemeClr val="lt1"/>
                </a:solidFill>
              </a:ln>
              <a:effectLst/>
            </c:spPr>
            <c:extLst>
              <c:ext xmlns:c16="http://schemas.microsoft.com/office/drawing/2014/chart" uri="{C3380CC4-5D6E-409C-BE32-E72D297353CC}">
                <c16:uniqueId val="{0000122B-9CF6-4383-B5CC-D2D8B9C72949}"/>
              </c:ext>
            </c:extLst>
          </c:dPt>
          <c:dPt>
            <c:idx val="2326"/>
            <c:bubble3D val="0"/>
            <c:spPr>
              <a:solidFill>
                <a:schemeClr val="accent5"/>
              </a:solidFill>
              <a:ln w="19050">
                <a:solidFill>
                  <a:schemeClr val="lt1"/>
                </a:solidFill>
              </a:ln>
              <a:effectLst/>
            </c:spPr>
            <c:extLst>
              <c:ext xmlns:c16="http://schemas.microsoft.com/office/drawing/2014/chart" uri="{C3380CC4-5D6E-409C-BE32-E72D297353CC}">
                <c16:uniqueId val="{0000122D-9CF6-4383-B5CC-D2D8B9C72949}"/>
              </c:ext>
            </c:extLst>
          </c:dPt>
          <c:dPt>
            <c:idx val="2327"/>
            <c:bubble3D val="0"/>
            <c:spPr>
              <a:solidFill>
                <a:schemeClr val="accent6"/>
              </a:solidFill>
              <a:ln w="19050">
                <a:solidFill>
                  <a:schemeClr val="lt1"/>
                </a:solidFill>
              </a:ln>
              <a:effectLst/>
            </c:spPr>
            <c:extLst>
              <c:ext xmlns:c16="http://schemas.microsoft.com/office/drawing/2014/chart" uri="{C3380CC4-5D6E-409C-BE32-E72D297353CC}">
                <c16:uniqueId val="{0000122F-9CF6-4383-B5CC-D2D8B9C72949}"/>
              </c:ext>
            </c:extLst>
          </c:dPt>
          <c:dPt>
            <c:idx val="232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231-9CF6-4383-B5CC-D2D8B9C72949}"/>
              </c:ext>
            </c:extLst>
          </c:dPt>
          <c:dPt>
            <c:idx val="232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233-9CF6-4383-B5CC-D2D8B9C72949}"/>
              </c:ext>
            </c:extLst>
          </c:dPt>
          <c:dPt>
            <c:idx val="233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235-9CF6-4383-B5CC-D2D8B9C72949}"/>
              </c:ext>
            </c:extLst>
          </c:dPt>
          <c:dPt>
            <c:idx val="233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237-9CF6-4383-B5CC-D2D8B9C72949}"/>
              </c:ext>
            </c:extLst>
          </c:dPt>
          <c:dPt>
            <c:idx val="233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239-9CF6-4383-B5CC-D2D8B9C72949}"/>
              </c:ext>
            </c:extLst>
          </c:dPt>
          <c:dPt>
            <c:idx val="233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23B-9CF6-4383-B5CC-D2D8B9C72949}"/>
              </c:ext>
            </c:extLst>
          </c:dPt>
          <c:dPt>
            <c:idx val="233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23D-9CF6-4383-B5CC-D2D8B9C72949}"/>
              </c:ext>
            </c:extLst>
          </c:dPt>
          <c:dPt>
            <c:idx val="233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23F-9CF6-4383-B5CC-D2D8B9C72949}"/>
              </c:ext>
            </c:extLst>
          </c:dPt>
          <c:dPt>
            <c:idx val="233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241-9CF6-4383-B5CC-D2D8B9C72949}"/>
              </c:ext>
            </c:extLst>
          </c:dPt>
          <c:dPt>
            <c:idx val="233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243-9CF6-4383-B5CC-D2D8B9C72949}"/>
              </c:ext>
            </c:extLst>
          </c:dPt>
          <c:dPt>
            <c:idx val="233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245-9CF6-4383-B5CC-D2D8B9C72949}"/>
              </c:ext>
            </c:extLst>
          </c:dPt>
          <c:dPt>
            <c:idx val="233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247-9CF6-4383-B5CC-D2D8B9C72949}"/>
              </c:ext>
            </c:extLst>
          </c:dPt>
          <c:dPt>
            <c:idx val="234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249-9CF6-4383-B5CC-D2D8B9C72949}"/>
              </c:ext>
            </c:extLst>
          </c:dPt>
          <c:dPt>
            <c:idx val="234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24B-9CF6-4383-B5CC-D2D8B9C72949}"/>
              </c:ext>
            </c:extLst>
          </c:dPt>
          <c:dPt>
            <c:idx val="234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24D-9CF6-4383-B5CC-D2D8B9C72949}"/>
              </c:ext>
            </c:extLst>
          </c:dPt>
          <c:dPt>
            <c:idx val="234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24F-9CF6-4383-B5CC-D2D8B9C72949}"/>
              </c:ext>
            </c:extLst>
          </c:dPt>
          <c:dPt>
            <c:idx val="234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251-9CF6-4383-B5CC-D2D8B9C72949}"/>
              </c:ext>
            </c:extLst>
          </c:dPt>
          <c:dPt>
            <c:idx val="234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253-9CF6-4383-B5CC-D2D8B9C72949}"/>
              </c:ext>
            </c:extLst>
          </c:dPt>
          <c:dPt>
            <c:idx val="234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255-9CF6-4383-B5CC-D2D8B9C72949}"/>
              </c:ext>
            </c:extLst>
          </c:dPt>
          <c:dPt>
            <c:idx val="234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257-9CF6-4383-B5CC-D2D8B9C72949}"/>
              </c:ext>
            </c:extLst>
          </c:dPt>
          <c:dPt>
            <c:idx val="234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259-9CF6-4383-B5CC-D2D8B9C72949}"/>
              </c:ext>
            </c:extLst>
          </c:dPt>
          <c:dPt>
            <c:idx val="234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25B-9CF6-4383-B5CC-D2D8B9C72949}"/>
              </c:ext>
            </c:extLst>
          </c:dPt>
          <c:dPt>
            <c:idx val="235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25D-9CF6-4383-B5CC-D2D8B9C72949}"/>
              </c:ext>
            </c:extLst>
          </c:dPt>
          <c:dPt>
            <c:idx val="235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25F-9CF6-4383-B5CC-D2D8B9C72949}"/>
              </c:ext>
            </c:extLst>
          </c:dPt>
          <c:dPt>
            <c:idx val="235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261-9CF6-4383-B5CC-D2D8B9C72949}"/>
              </c:ext>
            </c:extLst>
          </c:dPt>
          <c:dPt>
            <c:idx val="235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263-9CF6-4383-B5CC-D2D8B9C72949}"/>
              </c:ext>
            </c:extLst>
          </c:dPt>
          <c:dPt>
            <c:idx val="235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265-9CF6-4383-B5CC-D2D8B9C72949}"/>
              </c:ext>
            </c:extLst>
          </c:dPt>
          <c:dPt>
            <c:idx val="235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267-9CF6-4383-B5CC-D2D8B9C72949}"/>
              </c:ext>
            </c:extLst>
          </c:dPt>
          <c:dPt>
            <c:idx val="235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269-9CF6-4383-B5CC-D2D8B9C72949}"/>
              </c:ext>
            </c:extLst>
          </c:dPt>
          <c:dPt>
            <c:idx val="235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26B-9CF6-4383-B5CC-D2D8B9C72949}"/>
              </c:ext>
            </c:extLst>
          </c:dPt>
          <c:dPt>
            <c:idx val="235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26D-9CF6-4383-B5CC-D2D8B9C72949}"/>
              </c:ext>
            </c:extLst>
          </c:dPt>
          <c:dPt>
            <c:idx val="235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26F-9CF6-4383-B5CC-D2D8B9C72949}"/>
              </c:ext>
            </c:extLst>
          </c:dPt>
          <c:dPt>
            <c:idx val="236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271-9CF6-4383-B5CC-D2D8B9C72949}"/>
              </c:ext>
            </c:extLst>
          </c:dPt>
          <c:dPt>
            <c:idx val="236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273-9CF6-4383-B5CC-D2D8B9C72949}"/>
              </c:ext>
            </c:extLst>
          </c:dPt>
          <c:dPt>
            <c:idx val="236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275-9CF6-4383-B5CC-D2D8B9C72949}"/>
              </c:ext>
            </c:extLst>
          </c:dPt>
          <c:dPt>
            <c:idx val="236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277-9CF6-4383-B5CC-D2D8B9C72949}"/>
              </c:ext>
            </c:extLst>
          </c:dPt>
          <c:dPt>
            <c:idx val="236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279-9CF6-4383-B5CC-D2D8B9C72949}"/>
              </c:ext>
            </c:extLst>
          </c:dPt>
          <c:dPt>
            <c:idx val="236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27B-9CF6-4383-B5CC-D2D8B9C72949}"/>
              </c:ext>
            </c:extLst>
          </c:dPt>
          <c:dPt>
            <c:idx val="236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27D-9CF6-4383-B5CC-D2D8B9C72949}"/>
              </c:ext>
            </c:extLst>
          </c:dPt>
          <c:dPt>
            <c:idx val="236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27F-9CF6-4383-B5CC-D2D8B9C72949}"/>
              </c:ext>
            </c:extLst>
          </c:dPt>
          <c:dPt>
            <c:idx val="236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281-9CF6-4383-B5CC-D2D8B9C72949}"/>
              </c:ext>
            </c:extLst>
          </c:dPt>
          <c:dPt>
            <c:idx val="236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283-9CF6-4383-B5CC-D2D8B9C72949}"/>
              </c:ext>
            </c:extLst>
          </c:dPt>
          <c:dPt>
            <c:idx val="237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285-9CF6-4383-B5CC-D2D8B9C72949}"/>
              </c:ext>
            </c:extLst>
          </c:dPt>
          <c:dPt>
            <c:idx val="237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287-9CF6-4383-B5CC-D2D8B9C72949}"/>
              </c:ext>
            </c:extLst>
          </c:dPt>
          <c:dPt>
            <c:idx val="237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289-9CF6-4383-B5CC-D2D8B9C72949}"/>
              </c:ext>
            </c:extLst>
          </c:dPt>
          <c:dPt>
            <c:idx val="237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28B-9CF6-4383-B5CC-D2D8B9C72949}"/>
              </c:ext>
            </c:extLst>
          </c:dPt>
          <c:dPt>
            <c:idx val="237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28D-9CF6-4383-B5CC-D2D8B9C72949}"/>
              </c:ext>
            </c:extLst>
          </c:dPt>
          <c:dPt>
            <c:idx val="237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28F-9CF6-4383-B5CC-D2D8B9C72949}"/>
              </c:ext>
            </c:extLst>
          </c:dPt>
          <c:dPt>
            <c:idx val="2376"/>
            <c:bubble3D val="0"/>
            <c:spPr>
              <a:solidFill>
                <a:schemeClr val="accent1"/>
              </a:solidFill>
              <a:ln w="19050">
                <a:solidFill>
                  <a:schemeClr val="lt1"/>
                </a:solidFill>
              </a:ln>
              <a:effectLst/>
            </c:spPr>
            <c:extLst>
              <c:ext xmlns:c16="http://schemas.microsoft.com/office/drawing/2014/chart" uri="{C3380CC4-5D6E-409C-BE32-E72D297353CC}">
                <c16:uniqueId val="{00001291-9CF6-4383-B5CC-D2D8B9C72949}"/>
              </c:ext>
            </c:extLst>
          </c:dPt>
          <c:dPt>
            <c:idx val="2377"/>
            <c:bubble3D val="0"/>
            <c:spPr>
              <a:solidFill>
                <a:schemeClr val="accent2"/>
              </a:solidFill>
              <a:ln w="19050">
                <a:solidFill>
                  <a:schemeClr val="lt1"/>
                </a:solidFill>
              </a:ln>
              <a:effectLst/>
            </c:spPr>
            <c:extLst>
              <c:ext xmlns:c16="http://schemas.microsoft.com/office/drawing/2014/chart" uri="{C3380CC4-5D6E-409C-BE32-E72D297353CC}">
                <c16:uniqueId val="{00001293-9CF6-4383-B5CC-D2D8B9C72949}"/>
              </c:ext>
            </c:extLst>
          </c:dPt>
          <c:dPt>
            <c:idx val="2378"/>
            <c:bubble3D val="0"/>
            <c:spPr>
              <a:solidFill>
                <a:schemeClr val="accent3"/>
              </a:solidFill>
              <a:ln w="19050">
                <a:solidFill>
                  <a:schemeClr val="lt1"/>
                </a:solidFill>
              </a:ln>
              <a:effectLst/>
            </c:spPr>
            <c:extLst>
              <c:ext xmlns:c16="http://schemas.microsoft.com/office/drawing/2014/chart" uri="{C3380CC4-5D6E-409C-BE32-E72D297353CC}">
                <c16:uniqueId val="{00001295-9CF6-4383-B5CC-D2D8B9C72949}"/>
              </c:ext>
            </c:extLst>
          </c:dPt>
          <c:dPt>
            <c:idx val="2379"/>
            <c:bubble3D val="0"/>
            <c:spPr>
              <a:solidFill>
                <a:schemeClr val="accent4"/>
              </a:solidFill>
              <a:ln w="19050">
                <a:solidFill>
                  <a:schemeClr val="lt1"/>
                </a:solidFill>
              </a:ln>
              <a:effectLst/>
            </c:spPr>
            <c:extLst>
              <c:ext xmlns:c16="http://schemas.microsoft.com/office/drawing/2014/chart" uri="{C3380CC4-5D6E-409C-BE32-E72D297353CC}">
                <c16:uniqueId val="{00001297-9CF6-4383-B5CC-D2D8B9C72949}"/>
              </c:ext>
            </c:extLst>
          </c:dPt>
          <c:dPt>
            <c:idx val="2380"/>
            <c:bubble3D val="0"/>
            <c:spPr>
              <a:solidFill>
                <a:schemeClr val="accent5"/>
              </a:solidFill>
              <a:ln w="19050">
                <a:solidFill>
                  <a:schemeClr val="lt1"/>
                </a:solidFill>
              </a:ln>
              <a:effectLst/>
            </c:spPr>
            <c:extLst>
              <c:ext xmlns:c16="http://schemas.microsoft.com/office/drawing/2014/chart" uri="{C3380CC4-5D6E-409C-BE32-E72D297353CC}">
                <c16:uniqueId val="{00001299-9CF6-4383-B5CC-D2D8B9C72949}"/>
              </c:ext>
            </c:extLst>
          </c:dPt>
          <c:dPt>
            <c:idx val="2381"/>
            <c:bubble3D val="0"/>
            <c:spPr>
              <a:solidFill>
                <a:schemeClr val="accent6"/>
              </a:solidFill>
              <a:ln w="19050">
                <a:solidFill>
                  <a:schemeClr val="lt1"/>
                </a:solidFill>
              </a:ln>
              <a:effectLst/>
            </c:spPr>
            <c:extLst>
              <c:ext xmlns:c16="http://schemas.microsoft.com/office/drawing/2014/chart" uri="{C3380CC4-5D6E-409C-BE32-E72D297353CC}">
                <c16:uniqueId val="{0000129B-9CF6-4383-B5CC-D2D8B9C72949}"/>
              </c:ext>
            </c:extLst>
          </c:dPt>
          <c:dPt>
            <c:idx val="238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29D-9CF6-4383-B5CC-D2D8B9C72949}"/>
              </c:ext>
            </c:extLst>
          </c:dPt>
          <c:dPt>
            <c:idx val="238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29F-9CF6-4383-B5CC-D2D8B9C72949}"/>
              </c:ext>
            </c:extLst>
          </c:dPt>
          <c:dPt>
            <c:idx val="238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2A1-9CF6-4383-B5CC-D2D8B9C72949}"/>
              </c:ext>
            </c:extLst>
          </c:dPt>
          <c:dPt>
            <c:idx val="238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2A3-9CF6-4383-B5CC-D2D8B9C72949}"/>
              </c:ext>
            </c:extLst>
          </c:dPt>
          <c:dPt>
            <c:idx val="238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2A5-9CF6-4383-B5CC-D2D8B9C72949}"/>
              </c:ext>
            </c:extLst>
          </c:dPt>
          <c:dPt>
            <c:idx val="238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2A7-9CF6-4383-B5CC-D2D8B9C72949}"/>
              </c:ext>
            </c:extLst>
          </c:dPt>
          <c:dPt>
            <c:idx val="238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2A9-9CF6-4383-B5CC-D2D8B9C72949}"/>
              </c:ext>
            </c:extLst>
          </c:dPt>
          <c:dPt>
            <c:idx val="238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2AB-9CF6-4383-B5CC-D2D8B9C72949}"/>
              </c:ext>
            </c:extLst>
          </c:dPt>
          <c:dPt>
            <c:idx val="239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2AD-9CF6-4383-B5CC-D2D8B9C72949}"/>
              </c:ext>
            </c:extLst>
          </c:dPt>
          <c:dPt>
            <c:idx val="239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2AF-9CF6-4383-B5CC-D2D8B9C72949}"/>
              </c:ext>
            </c:extLst>
          </c:dPt>
          <c:dPt>
            <c:idx val="239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2B1-9CF6-4383-B5CC-D2D8B9C72949}"/>
              </c:ext>
            </c:extLst>
          </c:dPt>
          <c:dPt>
            <c:idx val="239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2B3-9CF6-4383-B5CC-D2D8B9C72949}"/>
              </c:ext>
            </c:extLst>
          </c:dPt>
          <c:dPt>
            <c:idx val="239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2B5-9CF6-4383-B5CC-D2D8B9C72949}"/>
              </c:ext>
            </c:extLst>
          </c:dPt>
          <c:dPt>
            <c:idx val="239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2B7-9CF6-4383-B5CC-D2D8B9C72949}"/>
              </c:ext>
            </c:extLst>
          </c:dPt>
          <c:dPt>
            <c:idx val="239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2B9-9CF6-4383-B5CC-D2D8B9C72949}"/>
              </c:ext>
            </c:extLst>
          </c:dPt>
          <c:dPt>
            <c:idx val="239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2BB-9CF6-4383-B5CC-D2D8B9C72949}"/>
              </c:ext>
            </c:extLst>
          </c:dPt>
          <c:dPt>
            <c:idx val="239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2BD-9CF6-4383-B5CC-D2D8B9C72949}"/>
              </c:ext>
            </c:extLst>
          </c:dPt>
          <c:dPt>
            <c:idx val="239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2BF-9CF6-4383-B5CC-D2D8B9C72949}"/>
              </c:ext>
            </c:extLst>
          </c:dPt>
          <c:dPt>
            <c:idx val="240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2C1-9CF6-4383-B5CC-D2D8B9C72949}"/>
              </c:ext>
            </c:extLst>
          </c:dPt>
          <c:dPt>
            <c:idx val="240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2C3-9CF6-4383-B5CC-D2D8B9C72949}"/>
              </c:ext>
            </c:extLst>
          </c:dPt>
          <c:dPt>
            <c:idx val="240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2C5-9CF6-4383-B5CC-D2D8B9C72949}"/>
              </c:ext>
            </c:extLst>
          </c:dPt>
          <c:dPt>
            <c:idx val="240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2C7-9CF6-4383-B5CC-D2D8B9C72949}"/>
              </c:ext>
            </c:extLst>
          </c:dPt>
          <c:dPt>
            <c:idx val="240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2C9-9CF6-4383-B5CC-D2D8B9C72949}"/>
              </c:ext>
            </c:extLst>
          </c:dPt>
          <c:dPt>
            <c:idx val="240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2CB-9CF6-4383-B5CC-D2D8B9C72949}"/>
              </c:ext>
            </c:extLst>
          </c:dPt>
          <c:dPt>
            <c:idx val="240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2CD-9CF6-4383-B5CC-D2D8B9C72949}"/>
              </c:ext>
            </c:extLst>
          </c:dPt>
          <c:dPt>
            <c:idx val="240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2CF-9CF6-4383-B5CC-D2D8B9C72949}"/>
              </c:ext>
            </c:extLst>
          </c:dPt>
          <c:dPt>
            <c:idx val="240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2D1-9CF6-4383-B5CC-D2D8B9C72949}"/>
              </c:ext>
            </c:extLst>
          </c:dPt>
          <c:dPt>
            <c:idx val="240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2D3-9CF6-4383-B5CC-D2D8B9C72949}"/>
              </c:ext>
            </c:extLst>
          </c:dPt>
          <c:dPt>
            <c:idx val="241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2D5-9CF6-4383-B5CC-D2D8B9C72949}"/>
              </c:ext>
            </c:extLst>
          </c:dPt>
          <c:dPt>
            <c:idx val="241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2D7-9CF6-4383-B5CC-D2D8B9C72949}"/>
              </c:ext>
            </c:extLst>
          </c:dPt>
          <c:dPt>
            <c:idx val="241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2D9-9CF6-4383-B5CC-D2D8B9C72949}"/>
              </c:ext>
            </c:extLst>
          </c:dPt>
          <c:dPt>
            <c:idx val="241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2DB-9CF6-4383-B5CC-D2D8B9C72949}"/>
              </c:ext>
            </c:extLst>
          </c:dPt>
          <c:dPt>
            <c:idx val="241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2DD-9CF6-4383-B5CC-D2D8B9C72949}"/>
              </c:ext>
            </c:extLst>
          </c:dPt>
          <c:dPt>
            <c:idx val="241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2DF-9CF6-4383-B5CC-D2D8B9C72949}"/>
              </c:ext>
            </c:extLst>
          </c:dPt>
          <c:dPt>
            <c:idx val="241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2E1-9CF6-4383-B5CC-D2D8B9C72949}"/>
              </c:ext>
            </c:extLst>
          </c:dPt>
          <c:dPt>
            <c:idx val="241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2E3-9CF6-4383-B5CC-D2D8B9C72949}"/>
              </c:ext>
            </c:extLst>
          </c:dPt>
          <c:dPt>
            <c:idx val="241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2E5-9CF6-4383-B5CC-D2D8B9C72949}"/>
              </c:ext>
            </c:extLst>
          </c:dPt>
          <c:dPt>
            <c:idx val="241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2E7-9CF6-4383-B5CC-D2D8B9C72949}"/>
              </c:ext>
            </c:extLst>
          </c:dPt>
          <c:dPt>
            <c:idx val="242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2E9-9CF6-4383-B5CC-D2D8B9C72949}"/>
              </c:ext>
            </c:extLst>
          </c:dPt>
          <c:dPt>
            <c:idx val="242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2EB-9CF6-4383-B5CC-D2D8B9C72949}"/>
              </c:ext>
            </c:extLst>
          </c:dPt>
          <c:dPt>
            <c:idx val="242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2ED-9CF6-4383-B5CC-D2D8B9C72949}"/>
              </c:ext>
            </c:extLst>
          </c:dPt>
          <c:dPt>
            <c:idx val="242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2EF-9CF6-4383-B5CC-D2D8B9C72949}"/>
              </c:ext>
            </c:extLst>
          </c:dPt>
          <c:dPt>
            <c:idx val="242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2F1-9CF6-4383-B5CC-D2D8B9C72949}"/>
              </c:ext>
            </c:extLst>
          </c:dPt>
          <c:dPt>
            <c:idx val="242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2F3-9CF6-4383-B5CC-D2D8B9C72949}"/>
              </c:ext>
            </c:extLst>
          </c:dPt>
          <c:dPt>
            <c:idx val="242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2F5-9CF6-4383-B5CC-D2D8B9C72949}"/>
              </c:ext>
            </c:extLst>
          </c:dPt>
          <c:dPt>
            <c:idx val="242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2F7-9CF6-4383-B5CC-D2D8B9C72949}"/>
              </c:ext>
            </c:extLst>
          </c:dPt>
          <c:dPt>
            <c:idx val="242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2F9-9CF6-4383-B5CC-D2D8B9C72949}"/>
              </c:ext>
            </c:extLst>
          </c:dPt>
          <c:dPt>
            <c:idx val="242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2FB-9CF6-4383-B5CC-D2D8B9C72949}"/>
              </c:ext>
            </c:extLst>
          </c:dPt>
          <c:dPt>
            <c:idx val="2430"/>
            <c:bubble3D val="0"/>
            <c:spPr>
              <a:solidFill>
                <a:schemeClr val="accent1"/>
              </a:solidFill>
              <a:ln w="19050">
                <a:solidFill>
                  <a:schemeClr val="lt1"/>
                </a:solidFill>
              </a:ln>
              <a:effectLst/>
            </c:spPr>
            <c:extLst>
              <c:ext xmlns:c16="http://schemas.microsoft.com/office/drawing/2014/chart" uri="{C3380CC4-5D6E-409C-BE32-E72D297353CC}">
                <c16:uniqueId val="{000012FD-9CF6-4383-B5CC-D2D8B9C72949}"/>
              </c:ext>
            </c:extLst>
          </c:dPt>
          <c:dPt>
            <c:idx val="2431"/>
            <c:bubble3D val="0"/>
            <c:spPr>
              <a:solidFill>
                <a:schemeClr val="accent2"/>
              </a:solidFill>
              <a:ln w="19050">
                <a:solidFill>
                  <a:schemeClr val="lt1"/>
                </a:solidFill>
              </a:ln>
              <a:effectLst/>
            </c:spPr>
            <c:extLst>
              <c:ext xmlns:c16="http://schemas.microsoft.com/office/drawing/2014/chart" uri="{C3380CC4-5D6E-409C-BE32-E72D297353CC}">
                <c16:uniqueId val="{000012FF-9CF6-4383-B5CC-D2D8B9C72949}"/>
              </c:ext>
            </c:extLst>
          </c:dPt>
          <c:dPt>
            <c:idx val="2432"/>
            <c:bubble3D val="0"/>
            <c:spPr>
              <a:solidFill>
                <a:schemeClr val="accent3"/>
              </a:solidFill>
              <a:ln w="19050">
                <a:solidFill>
                  <a:schemeClr val="lt1"/>
                </a:solidFill>
              </a:ln>
              <a:effectLst/>
            </c:spPr>
            <c:extLst>
              <c:ext xmlns:c16="http://schemas.microsoft.com/office/drawing/2014/chart" uri="{C3380CC4-5D6E-409C-BE32-E72D297353CC}">
                <c16:uniqueId val="{00001301-9CF6-4383-B5CC-D2D8B9C72949}"/>
              </c:ext>
            </c:extLst>
          </c:dPt>
          <c:dPt>
            <c:idx val="2433"/>
            <c:bubble3D val="0"/>
            <c:spPr>
              <a:solidFill>
                <a:schemeClr val="accent4"/>
              </a:solidFill>
              <a:ln w="19050">
                <a:solidFill>
                  <a:schemeClr val="lt1"/>
                </a:solidFill>
              </a:ln>
              <a:effectLst/>
            </c:spPr>
            <c:extLst>
              <c:ext xmlns:c16="http://schemas.microsoft.com/office/drawing/2014/chart" uri="{C3380CC4-5D6E-409C-BE32-E72D297353CC}">
                <c16:uniqueId val="{00001303-9CF6-4383-B5CC-D2D8B9C72949}"/>
              </c:ext>
            </c:extLst>
          </c:dPt>
          <c:dPt>
            <c:idx val="2434"/>
            <c:bubble3D val="0"/>
            <c:spPr>
              <a:solidFill>
                <a:schemeClr val="accent5"/>
              </a:solidFill>
              <a:ln w="19050">
                <a:solidFill>
                  <a:schemeClr val="lt1"/>
                </a:solidFill>
              </a:ln>
              <a:effectLst/>
            </c:spPr>
            <c:extLst>
              <c:ext xmlns:c16="http://schemas.microsoft.com/office/drawing/2014/chart" uri="{C3380CC4-5D6E-409C-BE32-E72D297353CC}">
                <c16:uniqueId val="{00001305-9CF6-4383-B5CC-D2D8B9C72949}"/>
              </c:ext>
            </c:extLst>
          </c:dPt>
          <c:dPt>
            <c:idx val="2435"/>
            <c:bubble3D val="0"/>
            <c:spPr>
              <a:solidFill>
                <a:schemeClr val="accent6"/>
              </a:solidFill>
              <a:ln w="19050">
                <a:solidFill>
                  <a:schemeClr val="lt1"/>
                </a:solidFill>
              </a:ln>
              <a:effectLst/>
            </c:spPr>
            <c:extLst>
              <c:ext xmlns:c16="http://schemas.microsoft.com/office/drawing/2014/chart" uri="{C3380CC4-5D6E-409C-BE32-E72D297353CC}">
                <c16:uniqueId val="{00001307-9CF6-4383-B5CC-D2D8B9C72949}"/>
              </c:ext>
            </c:extLst>
          </c:dPt>
          <c:dPt>
            <c:idx val="243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309-9CF6-4383-B5CC-D2D8B9C72949}"/>
              </c:ext>
            </c:extLst>
          </c:dPt>
          <c:dPt>
            <c:idx val="243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30B-9CF6-4383-B5CC-D2D8B9C72949}"/>
              </c:ext>
            </c:extLst>
          </c:dPt>
          <c:dPt>
            <c:idx val="243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30D-9CF6-4383-B5CC-D2D8B9C72949}"/>
              </c:ext>
            </c:extLst>
          </c:dPt>
          <c:dPt>
            <c:idx val="243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30F-9CF6-4383-B5CC-D2D8B9C72949}"/>
              </c:ext>
            </c:extLst>
          </c:dPt>
          <c:dPt>
            <c:idx val="244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311-9CF6-4383-B5CC-D2D8B9C72949}"/>
              </c:ext>
            </c:extLst>
          </c:dPt>
          <c:dPt>
            <c:idx val="244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313-9CF6-4383-B5CC-D2D8B9C72949}"/>
              </c:ext>
            </c:extLst>
          </c:dPt>
          <c:dPt>
            <c:idx val="244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315-9CF6-4383-B5CC-D2D8B9C72949}"/>
              </c:ext>
            </c:extLst>
          </c:dPt>
          <c:dPt>
            <c:idx val="244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317-9CF6-4383-B5CC-D2D8B9C72949}"/>
              </c:ext>
            </c:extLst>
          </c:dPt>
          <c:dPt>
            <c:idx val="244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319-9CF6-4383-B5CC-D2D8B9C72949}"/>
              </c:ext>
            </c:extLst>
          </c:dPt>
          <c:dPt>
            <c:idx val="244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31B-9CF6-4383-B5CC-D2D8B9C72949}"/>
              </c:ext>
            </c:extLst>
          </c:dPt>
          <c:dPt>
            <c:idx val="244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31D-9CF6-4383-B5CC-D2D8B9C72949}"/>
              </c:ext>
            </c:extLst>
          </c:dPt>
          <c:dPt>
            <c:idx val="244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31F-9CF6-4383-B5CC-D2D8B9C72949}"/>
              </c:ext>
            </c:extLst>
          </c:dPt>
          <c:dPt>
            <c:idx val="244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321-9CF6-4383-B5CC-D2D8B9C72949}"/>
              </c:ext>
            </c:extLst>
          </c:dPt>
          <c:dPt>
            <c:idx val="244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323-9CF6-4383-B5CC-D2D8B9C72949}"/>
              </c:ext>
            </c:extLst>
          </c:dPt>
          <c:dPt>
            <c:idx val="245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325-9CF6-4383-B5CC-D2D8B9C72949}"/>
              </c:ext>
            </c:extLst>
          </c:dPt>
          <c:dPt>
            <c:idx val="245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327-9CF6-4383-B5CC-D2D8B9C72949}"/>
              </c:ext>
            </c:extLst>
          </c:dPt>
          <c:dPt>
            <c:idx val="245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329-9CF6-4383-B5CC-D2D8B9C72949}"/>
              </c:ext>
            </c:extLst>
          </c:dPt>
          <c:dPt>
            <c:idx val="245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32B-9CF6-4383-B5CC-D2D8B9C72949}"/>
              </c:ext>
            </c:extLst>
          </c:dPt>
          <c:dPt>
            <c:idx val="245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32D-9CF6-4383-B5CC-D2D8B9C72949}"/>
              </c:ext>
            </c:extLst>
          </c:dPt>
          <c:dPt>
            <c:idx val="245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32F-9CF6-4383-B5CC-D2D8B9C72949}"/>
              </c:ext>
            </c:extLst>
          </c:dPt>
          <c:dPt>
            <c:idx val="245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331-9CF6-4383-B5CC-D2D8B9C72949}"/>
              </c:ext>
            </c:extLst>
          </c:dPt>
          <c:dPt>
            <c:idx val="245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333-9CF6-4383-B5CC-D2D8B9C72949}"/>
              </c:ext>
            </c:extLst>
          </c:dPt>
          <c:dPt>
            <c:idx val="245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335-9CF6-4383-B5CC-D2D8B9C72949}"/>
              </c:ext>
            </c:extLst>
          </c:dPt>
          <c:dPt>
            <c:idx val="245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337-9CF6-4383-B5CC-D2D8B9C72949}"/>
              </c:ext>
            </c:extLst>
          </c:dPt>
          <c:dPt>
            <c:idx val="246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339-9CF6-4383-B5CC-D2D8B9C72949}"/>
              </c:ext>
            </c:extLst>
          </c:dPt>
          <c:dPt>
            <c:idx val="246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33B-9CF6-4383-B5CC-D2D8B9C72949}"/>
              </c:ext>
            </c:extLst>
          </c:dPt>
          <c:dPt>
            <c:idx val="246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33D-9CF6-4383-B5CC-D2D8B9C72949}"/>
              </c:ext>
            </c:extLst>
          </c:dPt>
          <c:dPt>
            <c:idx val="246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33F-9CF6-4383-B5CC-D2D8B9C72949}"/>
              </c:ext>
            </c:extLst>
          </c:dPt>
          <c:dPt>
            <c:idx val="246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341-9CF6-4383-B5CC-D2D8B9C72949}"/>
              </c:ext>
            </c:extLst>
          </c:dPt>
          <c:dPt>
            <c:idx val="246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343-9CF6-4383-B5CC-D2D8B9C72949}"/>
              </c:ext>
            </c:extLst>
          </c:dPt>
          <c:dPt>
            <c:idx val="246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345-9CF6-4383-B5CC-D2D8B9C72949}"/>
              </c:ext>
            </c:extLst>
          </c:dPt>
          <c:dPt>
            <c:idx val="246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347-9CF6-4383-B5CC-D2D8B9C72949}"/>
              </c:ext>
            </c:extLst>
          </c:dPt>
          <c:dPt>
            <c:idx val="246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349-9CF6-4383-B5CC-D2D8B9C72949}"/>
              </c:ext>
            </c:extLst>
          </c:dPt>
          <c:dPt>
            <c:idx val="246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34B-9CF6-4383-B5CC-D2D8B9C72949}"/>
              </c:ext>
            </c:extLst>
          </c:dPt>
          <c:dPt>
            <c:idx val="247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34D-9CF6-4383-B5CC-D2D8B9C72949}"/>
              </c:ext>
            </c:extLst>
          </c:dPt>
          <c:dPt>
            <c:idx val="247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34F-9CF6-4383-B5CC-D2D8B9C72949}"/>
              </c:ext>
            </c:extLst>
          </c:dPt>
          <c:dPt>
            <c:idx val="247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351-9CF6-4383-B5CC-D2D8B9C72949}"/>
              </c:ext>
            </c:extLst>
          </c:dPt>
          <c:dPt>
            <c:idx val="247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353-9CF6-4383-B5CC-D2D8B9C72949}"/>
              </c:ext>
            </c:extLst>
          </c:dPt>
          <c:dPt>
            <c:idx val="247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355-9CF6-4383-B5CC-D2D8B9C72949}"/>
              </c:ext>
            </c:extLst>
          </c:dPt>
          <c:dPt>
            <c:idx val="247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357-9CF6-4383-B5CC-D2D8B9C72949}"/>
              </c:ext>
            </c:extLst>
          </c:dPt>
          <c:dPt>
            <c:idx val="247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359-9CF6-4383-B5CC-D2D8B9C72949}"/>
              </c:ext>
            </c:extLst>
          </c:dPt>
          <c:dPt>
            <c:idx val="247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35B-9CF6-4383-B5CC-D2D8B9C72949}"/>
              </c:ext>
            </c:extLst>
          </c:dPt>
          <c:dPt>
            <c:idx val="247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35D-9CF6-4383-B5CC-D2D8B9C72949}"/>
              </c:ext>
            </c:extLst>
          </c:dPt>
          <c:dPt>
            <c:idx val="247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35F-9CF6-4383-B5CC-D2D8B9C72949}"/>
              </c:ext>
            </c:extLst>
          </c:dPt>
          <c:dPt>
            <c:idx val="248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361-9CF6-4383-B5CC-D2D8B9C72949}"/>
              </c:ext>
            </c:extLst>
          </c:dPt>
          <c:dPt>
            <c:idx val="248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363-9CF6-4383-B5CC-D2D8B9C72949}"/>
              </c:ext>
            </c:extLst>
          </c:dPt>
          <c:dPt>
            <c:idx val="248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365-9CF6-4383-B5CC-D2D8B9C72949}"/>
              </c:ext>
            </c:extLst>
          </c:dPt>
          <c:dPt>
            <c:idx val="248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367-9CF6-4383-B5CC-D2D8B9C72949}"/>
              </c:ext>
            </c:extLst>
          </c:dPt>
          <c:dPt>
            <c:idx val="2484"/>
            <c:bubble3D val="0"/>
            <c:spPr>
              <a:solidFill>
                <a:schemeClr val="accent1"/>
              </a:solidFill>
              <a:ln w="19050">
                <a:solidFill>
                  <a:schemeClr val="lt1"/>
                </a:solidFill>
              </a:ln>
              <a:effectLst/>
            </c:spPr>
            <c:extLst>
              <c:ext xmlns:c16="http://schemas.microsoft.com/office/drawing/2014/chart" uri="{C3380CC4-5D6E-409C-BE32-E72D297353CC}">
                <c16:uniqueId val="{00001369-9CF6-4383-B5CC-D2D8B9C72949}"/>
              </c:ext>
            </c:extLst>
          </c:dPt>
          <c:dPt>
            <c:idx val="2485"/>
            <c:bubble3D val="0"/>
            <c:spPr>
              <a:solidFill>
                <a:schemeClr val="accent2"/>
              </a:solidFill>
              <a:ln w="19050">
                <a:solidFill>
                  <a:schemeClr val="lt1"/>
                </a:solidFill>
              </a:ln>
              <a:effectLst/>
            </c:spPr>
            <c:extLst>
              <c:ext xmlns:c16="http://schemas.microsoft.com/office/drawing/2014/chart" uri="{C3380CC4-5D6E-409C-BE32-E72D297353CC}">
                <c16:uniqueId val="{0000136B-9CF6-4383-B5CC-D2D8B9C72949}"/>
              </c:ext>
            </c:extLst>
          </c:dPt>
          <c:dPt>
            <c:idx val="2486"/>
            <c:bubble3D val="0"/>
            <c:spPr>
              <a:solidFill>
                <a:schemeClr val="accent3"/>
              </a:solidFill>
              <a:ln w="19050">
                <a:solidFill>
                  <a:schemeClr val="lt1"/>
                </a:solidFill>
              </a:ln>
              <a:effectLst/>
            </c:spPr>
            <c:extLst>
              <c:ext xmlns:c16="http://schemas.microsoft.com/office/drawing/2014/chart" uri="{C3380CC4-5D6E-409C-BE32-E72D297353CC}">
                <c16:uniqueId val="{0000136D-9CF6-4383-B5CC-D2D8B9C72949}"/>
              </c:ext>
            </c:extLst>
          </c:dPt>
          <c:dPt>
            <c:idx val="2487"/>
            <c:bubble3D val="0"/>
            <c:spPr>
              <a:solidFill>
                <a:schemeClr val="accent4"/>
              </a:solidFill>
              <a:ln w="19050">
                <a:solidFill>
                  <a:schemeClr val="lt1"/>
                </a:solidFill>
              </a:ln>
              <a:effectLst/>
            </c:spPr>
            <c:extLst>
              <c:ext xmlns:c16="http://schemas.microsoft.com/office/drawing/2014/chart" uri="{C3380CC4-5D6E-409C-BE32-E72D297353CC}">
                <c16:uniqueId val="{0000136F-9CF6-4383-B5CC-D2D8B9C72949}"/>
              </c:ext>
            </c:extLst>
          </c:dPt>
          <c:dPt>
            <c:idx val="2488"/>
            <c:bubble3D val="0"/>
            <c:spPr>
              <a:solidFill>
                <a:schemeClr val="accent5"/>
              </a:solidFill>
              <a:ln w="19050">
                <a:solidFill>
                  <a:schemeClr val="lt1"/>
                </a:solidFill>
              </a:ln>
              <a:effectLst/>
            </c:spPr>
            <c:extLst>
              <c:ext xmlns:c16="http://schemas.microsoft.com/office/drawing/2014/chart" uri="{C3380CC4-5D6E-409C-BE32-E72D297353CC}">
                <c16:uniqueId val="{00001371-9CF6-4383-B5CC-D2D8B9C72949}"/>
              </c:ext>
            </c:extLst>
          </c:dPt>
          <c:dPt>
            <c:idx val="2489"/>
            <c:bubble3D val="0"/>
            <c:spPr>
              <a:solidFill>
                <a:schemeClr val="accent6"/>
              </a:solidFill>
              <a:ln w="19050">
                <a:solidFill>
                  <a:schemeClr val="lt1"/>
                </a:solidFill>
              </a:ln>
              <a:effectLst/>
            </c:spPr>
            <c:extLst>
              <c:ext xmlns:c16="http://schemas.microsoft.com/office/drawing/2014/chart" uri="{C3380CC4-5D6E-409C-BE32-E72D297353CC}">
                <c16:uniqueId val="{00001373-9CF6-4383-B5CC-D2D8B9C72949}"/>
              </c:ext>
            </c:extLst>
          </c:dPt>
          <c:dPt>
            <c:idx val="249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375-9CF6-4383-B5CC-D2D8B9C72949}"/>
              </c:ext>
            </c:extLst>
          </c:dPt>
          <c:dPt>
            <c:idx val="249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377-9CF6-4383-B5CC-D2D8B9C72949}"/>
              </c:ext>
            </c:extLst>
          </c:dPt>
          <c:dPt>
            <c:idx val="249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379-9CF6-4383-B5CC-D2D8B9C72949}"/>
              </c:ext>
            </c:extLst>
          </c:dPt>
          <c:dPt>
            <c:idx val="249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37B-9CF6-4383-B5CC-D2D8B9C72949}"/>
              </c:ext>
            </c:extLst>
          </c:dPt>
          <c:dPt>
            <c:idx val="249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37D-9CF6-4383-B5CC-D2D8B9C72949}"/>
              </c:ext>
            </c:extLst>
          </c:dPt>
          <c:dPt>
            <c:idx val="249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37F-9CF6-4383-B5CC-D2D8B9C72949}"/>
              </c:ext>
            </c:extLst>
          </c:dPt>
          <c:dPt>
            <c:idx val="249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381-9CF6-4383-B5CC-D2D8B9C72949}"/>
              </c:ext>
            </c:extLst>
          </c:dPt>
          <c:dPt>
            <c:idx val="249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383-9CF6-4383-B5CC-D2D8B9C72949}"/>
              </c:ext>
            </c:extLst>
          </c:dPt>
          <c:dPt>
            <c:idx val="2498"/>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385-9CF6-4383-B5CC-D2D8B9C72949}"/>
              </c:ext>
            </c:extLst>
          </c:dPt>
          <c:dPt>
            <c:idx val="2499"/>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387-9CF6-4383-B5CC-D2D8B9C72949}"/>
              </c:ext>
            </c:extLst>
          </c:dPt>
          <c:dPt>
            <c:idx val="2500"/>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389-9CF6-4383-B5CC-D2D8B9C72949}"/>
              </c:ext>
            </c:extLst>
          </c:dPt>
          <c:dPt>
            <c:idx val="2501"/>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38B-9CF6-4383-B5CC-D2D8B9C72949}"/>
              </c:ext>
            </c:extLst>
          </c:dPt>
          <c:dPt>
            <c:idx val="2502"/>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38D-9CF6-4383-B5CC-D2D8B9C72949}"/>
              </c:ext>
            </c:extLst>
          </c:dPt>
          <c:dPt>
            <c:idx val="2503"/>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38F-9CF6-4383-B5CC-D2D8B9C72949}"/>
              </c:ext>
            </c:extLst>
          </c:dPt>
          <c:dPt>
            <c:idx val="2504"/>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391-9CF6-4383-B5CC-D2D8B9C72949}"/>
              </c:ext>
            </c:extLst>
          </c:dPt>
          <c:dPt>
            <c:idx val="2505"/>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393-9CF6-4383-B5CC-D2D8B9C72949}"/>
              </c:ext>
            </c:extLst>
          </c:dPt>
          <c:dPt>
            <c:idx val="2506"/>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395-9CF6-4383-B5CC-D2D8B9C72949}"/>
              </c:ext>
            </c:extLst>
          </c:dPt>
          <c:dPt>
            <c:idx val="2507"/>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397-9CF6-4383-B5CC-D2D8B9C72949}"/>
              </c:ext>
            </c:extLst>
          </c:dPt>
          <c:dPt>
            <c:idx val="2508"/>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399-9CF6-4383-B5CC-D2D8B9C72949}"/>
              </c:ext>
            </c:extLst>
          </c:dPt>
          <c:dPt>
            <c:idx val="2509"/>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39B-9CF6-4383-B5CC-D2D8B9C72949}"/>
              </c:ext>
            </c:extLst>
          </c:dPt>
          <c:dPt>
            <c:idx val="2510"/>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39D-9CF6-4383-B5CC-D2D8B9C72949}"/>
              </c:ext>
            </c:extLst>
          </c:dPt>
          <c:dPt>
            <c:idx val="2511"/>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39F-9CF6-4383-B5CC-D2D8B9C72949}"/>
              </c:ext>
            </c:extLst>
          </c:dPt>
          <c:dPt>
            <c:idx val="251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3A1-9CF6-4383-B5CC-D2D8B9C72949}"/>
              </c:ext>
            </c:extLst>
          </c:dPt>
          <c:dPt>
            <c:idx val="2513"/>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3A3-9CF6-4383-B5CC-D2D8B9C72949}"/>
              </c:ext>
            </c:extLst>
          </c:dPt>
          <c:dPt>
            <c:idx val="2514"/>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3A5-9CF6-4383-B5CC-D2D8B9C72949}"/>
              </c:ext>
            </c:extLst>
          </c:dPt>
          <c:dPt>
            <c:idx val="2515"/>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3A7-9CF6-4383-B5CC-D2D8B9C72949}"/>
              </c:ext>
            </c:extLst>
          </c:dPt>
          <c:dPt>
            <c:idx val="2516"/>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3A9-9CF6-4383-B5CC-D2D8B9C72949}"/>
              </c:ext>
            </c:extLst>
          </c:dPt>
          <c:dPt>
            <c:idx val="2517"/>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3AB-9CF6-4383-B5CC-D2D8B9C72949}"/>
              </c:ext>
            </c:extLst>
          </c:dPt>
          <c:dPt>
            <c:idx val="2518"/>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3AD-9CF6-4383-B5CC-D2D8B9C72949}"/>
              </c:ext>
            </c:extLst>
          </c:dPt>
          <c:dPt>
            <c:idx val="2519"/>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3AF-9CF6-4383-B5CC-D2D8B9C72949}"/>
              </c:ext>
            </c:extLst>
          </c:dPt>
          <c:dPt>
            <c:idx val="2520"/>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3B1-9CF6-4383-B5CC-D2D8B9C72949}"/>
              </c:ext>
            </c:extLst>
          </c:dPt>
          <c:dPt>
            <c:idx val="2521"/>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3B3-9CF6-4383-B5CC-D2D8B9C72949}"/>
              </c:ext>
            </c:extLst>
          </c:dPt>
          <c:dPt>
            <c:idx val="2522"/>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3B5-9CF6-4383-B5CC-D2D8B9C72949}"/>
              </c:ext>
            </c:extLst>
          </c:dPt>
          <c:dPt>
            <c:idx val="2523"/>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3B7-9CF6-4383-B5CC-D2D8B9C72949}"/>
              </c:ext>
            </c:extLst>
          </c:dPt>
          <c:dPt>
            <c:idx val="2524"/>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3B9-9CF6-4383-B5CC-D2D8B9C72949}"/>
              </c:ext>
            </c:extLst>
          </c:dPt>
          <c:dPt>
            <c:idx val="2525"/>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3BB-9CF6-4383-B5CC-D2D8B9C72949}"/>
              </c:ext>
            </c:extLst>
          </c:dPt>
          <c:dPt>
            <c:idx val="2526"/>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3BD-9CF6-4383-B5CC-D2D8B9C72949}"/>
              </c:ext>
            </c:extLst>
          </c:dPt>
          <c:dPt>
            <c:idx val="2527"/>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3BF-9CF6-4383-B5CC-D2D8B9C72949}"/>
              </c:ext>
            </c:extLst>
          </c:dPt>
          <c:dPt>
            <c:idx val="2528"/>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3C1-9CF6-4383-B5CC-D2D8B9C72949}"/>
              </c:ext>
            </c:extLst>
          </c:dPt>
          <c:dPt>
            <c:idx val="2529"/>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3C3-9CF6-4383-B5CC-D2D8B9C72949}"/>
              </c:ext>
            </c:extLst>
          </c:dPt>
          <c:dPt>
            <c:idx val="2530"/>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3C5-9CF6-4383-B5CC-D2D8B9C72949}"/>
              </c:ext>
            </c:extLst>
          </c:dPt>
          <c:dPt>
            <c:idx val="2531"/>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3C7-9CF6-4383-B5CC-D2D8B9C72949}"/>
              </c:ext>
            </c:extLst>
          </c:dPt>
          <c:dPt>
            <c:idx val="2532"/>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3C9-9CF6-4383-B5CC-D2D8B9C72949}"/>
              </c:ext>
            </c:extLst>
          </c:dPt>
          <c:dPt>
            <c:idx val="2533"/>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3CB-9CF6-4383-B5CC-D2D8B9C72949}"/>
              </c:ext>
            </c:extLst>
          </c:dPt>
          <c:dPt>
            <c:idx val="2534"/>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3CD-9CF6-4383-B5CC-D2D8B9C72949}"/>
              </c:ext>
            </c:extLst>
          </c:dPt>
          <c:dPt>
            <c:idx val="2535"/>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3CF-9CF6-4383-B5CC-D2D8B9C72949}"/>
              </c:ext>
            </c:extLst>
          </c:dPt>
          <c:dPt>
            <c:idx val="2536"/>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3D1-9CF6-4383-B5CC-D2D8B9C72949}"/>
              </c:ext>
            </c:extLst>
          </c:dPt>
          <c:dPt>
            <c:idx val="2537"/>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3D3-9CF6-4383-B5CC-D2D8B9C72949}"/>
              </c:ext>
            </c:extLst>
          </c:dPt>
          <c:dPt>
            <c:idx val="2538"/>
            <c:bubble3D val="0"/>
            <c:spPr>
              <a:solidFill>
                <a:schemeClr val="accent1"/>
              </a:solidFill>
              <a:ln w="19050">
                <a:solidFill>
                  <a:schemeClr val="lt1"/>
                </a:solidFill>
              </a:ln>
              <a:effectLst/>
            </c:spPr>
            <c:extLst>
              <c:ext xmlns:c16="http://schemas.microsoft.com/office/drawing/2014/chart" uri="{C3380CC4-5D6E-409C-BE32-E72D297353CC}">
                <c16:uniqueId val="{000013D5-9CF6-4383-B5CC-D2D8B9C72949}"/>
              </c:ext>
            </c:extLst>
          </c:dPt>
          <c:dPt>
            <c:idx val="2539"/>
            <c:bubble3D val="0"/>
            <c:spPr>
              <a:solidFill>
                <a:schemeClr val="accent2"/>
              </a:solidFill>
              <a:ln w="19050">
                <a:solidFill>
                  <a:schemeClr val="lt1"/>
                </a:solidFill>
              </a:ln>
              <a:effectLst/>
            </c:spPr>
            <c:extLst>
              <c:ext xmlns:c16="http://schemas.microsoft.com/office/drawing/2014/chart" uri="{C3380CC4-5D6E-409C-BE32-E72D297353CC}">
                <c16:uniqueId val="{000013D7-9CF6-4383-B5CC-D2D8B9C72949}"/>
              </c:ext>
            </c:extLst>
          </c:dPt>
          <c:dPt>
            <c:idx val="2540"/>
            <c:bubble3D val="0"/>
            <c:spPr>
              <a:solidFill>
                <a:schemeClr val="accent3"/>
              </a:solidFill>
              <a:ln w="19050">
                <a:solidFill>
                  <a:schemeClr val="lt1"/>
                </a:solidFill>
              </a:ln>
              <a:effectLst/>
            </c:spPr>
            <c:extLst>
              <c:ext xmlns:c16="http://schemas.microsoft.com/office/drawing/2014/chart" uri="{C3380CC4-5D6E-409C-BE32-E72D297353CC}">
                <c16:uniqueId val="{000013D9-9CF6-4383-B5CC-D2D8B9C72949}"/>
              </c:ext>
            </c:extLst>
          </c:dPt>
          <c:dPt>
            <c:idx val="2541"/>
            <c:bubble3D val="0"/>
            <c:spPr>
              <a:solidFill>
                <a:schemeClr val="accent4"/>
              </a:solidFill>
              <a:ln w="19050">
                <a:solidFill>
                  <a:schemeClr val="lt1"/>
                </a:solidFill>
              </a:ln>
              <a:effectLst/>
            </c:spPr>
            <c:extLst>
              <c:ext xmlns:c16="http://schemas.microsoft.com/office/drawing/2014/chart" uri="{C3380CC4-5D6E-409C-BE32-E72D297353CC}">
                <c16:uniqueId val="{000013DB-9CF6-4383-B5CC-D2D8B9C72949}"/>
              </c:ext>
            </c:extLst>
          </c:dPt>
          <c:dPt>
            <c:idx val="2542"/>
            <c:bubble3D val="0"/>
            <c:spPr>
              <a:solidFill>
                <a:schemeClr val="accent5"/>
              </a:solidFill>
              <a:ln w="19050">
                <a:solidFill>
                  <a:schemeClr val="lt1"/>
                </a:solidFill>
              </a:ln>
              <a:effectLst/>
            </c:spPr>
            <c:extLst>
              <c:ext xmlns:c16="http://schemas.microsoft.com/office/drawing/2014/chart" uri="{C3380CC4-5D6E-409C-BE32-E72D297353CC}">
                <c16:uniqueId val="{000013DD-9CF6-4383-B5CC-D2D8B9C72949}"/>
              </c:ext>
            </c:extLst>
          </c:dPt>
          <c:dPt>
            <c:idx val="2543"/>
            <c:bubble3D val="0"/>
            <c:spPr>
              <a:solidFill>
                <a:schemeClr val="accent6"/>
              </a:solidFill>
              <a:ln w="19050">
                <a:solidFill>
                  <a:schemeClr val="lt1"/>
                </a:solidFill>
              </a:ln>
              <a:effectLst/>
            </c:spPr>
            <c:extLst>
              <c:ext xmlns:c16="http://schemas.microsoft.com/office/drawing/2014/chart" uri="{C3380CC4-5D6E-409C-BE32-E72D297353CC}">
                <c16:uniqueId val="{000013DF-9CF6-4383-B5CC-D2D8B9C72949}"/>
              </c:ext>
            </c:extLst>
          </c:dPt>
          <c:dPt>
            <c:idx val="2544"/>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3E1-9CF6-4383-B5CC-D2D8B9C72949}"/>
              </c:ext>
            </c:extLst>
          </c:dPt>
          <c:dPt>
            <c:idx val="2545"/>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3E3-9CF6-4383-B5CC-D2D8B9C72949}"/>
              </c:ext>
            </c:extLst>
          </c:dPt>
          <c:dPt>
            <c:idx val="2546"/>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3E5-9CF6-4383-B5CC-D2D8B9C72949}"/>
              </c:ext>
            </c:extLst>
          </c:dPt>
          <c:dPt>
            <c:idx val="2547"/>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3E7-9CF6-4383-B5CC-D2D8B9C72949}"/>
              </c:ext>
            </c:extLst>
          </c:dPt>
          <c:dPt>
            <c:idx val="2548"/>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3E9-9CF6-4383-B5CC-D2D8B9C72949}"/>
              </c:ext>
            </c:extLst>
          </c:dPt>
          <c:dPt>
            <c:idx val="2549"/>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3EB-9CF6-4383-B5CC-D2D8B9C72949}"/>
              </c:ext>
            </c:extLst>
          </c:dPt>
          <c:dPt>
            <c:idx val="2550"/>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3ED-9CF6-4383-B5CC-D2D8B9C72949}"/>
              </c:ext>
            </c:extLst>
          </c:dPt>
          <c:dPt>
            <c:idx val="2551"/>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3EF-9CF6-4383-B5CC-D2D8B9C72949}"/>
              </c:ext>
            </c:extLst>
          </c:dPt>
          <c:dPt>
            <c:idx val="2552"/>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3F1-9CF6-4383-B5CC-D2D8B9C72949}"/>
              </c:ext>
            </c:extLst>
          </c:dPt>
          <c:dPt>
            <c:idx val="2553"/>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3F3-9CF6-4383-B5CC-D2D8B9C72949}"/>
              </c:ext>
            </c:extLst>
          </c:dPt>
          <c:dPt>
            <c:idx val="2554"/>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3F5-9CF6-4383-B5CC-D2D8B9C72949}"/>
              </c:ext>
            </c:extLst>
          </c:dPt>
          <c:dPt>
            <c:idx val="2555"/>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3F7-9CF6-4383-B5CC-D2D8B9C72949}"/>
              </c:ext>
            </c:extLst>
          </c:dPt>
          <c:dPt>
            <c:idx val="2556"/>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3F9-9CF6-4383-B5CC-D2D8B9C72949}"/>
              </c:ext>
            </c:extLst>
          </c:dPt>
          <c:dPt>
            <c:idx val="2557"/>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3FB-9CF6-4383-B5CC-D2D8B9C72949}"/>
              </c:ext>
            </c:extLst>
          </c:dPt>
          <c:dPt>
            <c:idx val="2558"/>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3FD-9CF6-4383-B5CC-D2D8B9C72949}"/>
              </c:ext>
            </c:extLst>
          </c:dPt>
          <c:dPt>
            <c:idx val="2559"/>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3FF-9CF6-4383-B5CC-D2D8B9C72949}"/>
              </c:ext>
            </c:extLst>
          </c:dPt>
          <c:dPt>
            <c:idx val="2560"/>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401-9CF6-4383-B5CC-D2D8B9C72949}"/>
              </c:ext>
            </c:extLst>
          </c:dPt>
          <c:dPt>
            <c:idx val="256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403-9CF6-4383-B5CC-D2D8B9C72949}"/>
              </c:ext>
            </c:extLst>
          </c:dPt>
          <c:dPt>
            <c:idx val="256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405-9CF6-4383-B5CC-D2D8B9C72949}"/>
              </c:ext>
            </c:extLst>
          </c:dPt>
          <c:dPt>
            <c:idx val="256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407-9CF6-4383-B5CC-D2D8B9C72949}"/>
              </c:ext>
            </c:extLst>
          </c:dPt>
          <c:dPt>
            <c:idx val="2564"/>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409-9CF6-4383-B5CC-D2D8B9C72949}"/>
              </c:ext>
            </c:extLst>
          </c:dPt>
          <c:dPt>
            <c:idx val="2565"/>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40B-9CF6-4383-B5CC-D2D8B9C72949}"/>
              </c:ext>
            </c:extLst>
          </c:dPt>
          <c:dPt>
            <c:idx val="2566"/>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40D-9CF6-4383-B5CC-D2D8B9C72949}"/>
              </c:ext>
            </c:extLst>
          </c:dPt>
          <c:dPt>
            <c:idx val="2567"/>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40F-9CF6-4383-B5CC-D2D8B9C72949}"/>
              </c:ext>
            </c:extLst>
          </c:dPt>
          <c:dPt>
            <c:idx val="2568"/>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411-9CF6-4383-B5CC-D2D8B9C72949}"/>
              </c:ext>
            </c:extLst>
          </c:dPt>
          <c:dPt>
            <c:idx val="2569"/>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413-9CF6-4383-B5CC-D2D8B9C72949}"/>
              </c:ext>
            </c:extLst>
          </c:dPt>
          <c:dPt>
            <c:idx val="2570"/>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415-9CF6-4383-B5CC-D2D8B9C72949}"/>
              </c:ext>
            </c:extLst>
          </c:dPt>
          <c:dPt>
            <c:idx val="2571"/>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417-9CF6-4383-B5CC-D2D8B9C72949}"/>
              </c:ext>
            </c:extLst>
          </c:dPt>
          <c:dPt>
            <c:idx val="2572"/>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419-9CF6-4383-B5CC-D2D8B9C72949}"/>
              </c:ext>
            </c:extLst>
          </c:dPt>
          <c:dPt>
            <c:idx val="2573"/>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41B-9CF6-4383-B5CC-D2D8B9C72949}"/>
              </c:ext>
            </c:extLst>
          </c:dPt>
          <c:dPt>
            <c:idx val="2574"/>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41D-9CF6-4383-B5CC-D2D8B9C72949}"/>
              </c:ext>
            </c:extLst>
          </c:dPt>
          <c:dPt>
            <c:idx val="2575"/>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41F-9CF6-4383-B5CC-D2D8B9C72949}"/>
              </c:ext>
            </c:extLst>
          </c:dPt>
          <c:dPt>
            <c:idx val="2576"/>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421-9CF6-4383-B5CC-D2D8B9C72949}"/>
              </c:ext>
            </c:extLst>
          </c:dPt>
          <c:dPt>
            <c:idx val="2577"/>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423-9CF6-4383-B5CC-D2D8B9C72949}"/>
              </c:ext>
            </c:extLst>
          </c:dPt>
          <c:dPt>
            <c:idx val="2578"/>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425-9CF6-4383-B5CC-D2D8B9C72949}"/>
              </c:ext>
            </c:extLst>
          </c:dPt>
          <c:dPt>
            <c:idx val="2579"/>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427-9CF6-4383-B5CC-D2D8B9C72949}"/>
              </c:ext>
            </c:extLst>
          </c:dPt>
          <c:dPt>
            <c:idx val="2580"/>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429-9CF6-4383-B5CC-D2D8B9C72949}"/>
              </c:ext>
            </c:extLst>
          </c:dPt>
          <c:dPt>
            <c:idx val="2581"/>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42B-9CF6-4383-B5CC-D2D8B9C72949}"/>
              </c:ext>
            </c:extLst>
          </c:dPt>
          <c:dPt>
            <c:idx val="2582"/>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42D-9CF6-4383-B5CC-D2D8B9C72949}"/>
              </c:ext>
            </c:extLst>
          </c:dPt>
          <c:dPt>
            <c:idx val="2583"/>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42F-9CF6-4383-B5CC-D2D8B9C72949}"/>
              </c:ext>
            </c:extLst>
          </c:dPt>
          <c:dPt>
            <c:idx val="2584"/>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431-9CF6-4383-B5CC-D2D8B9C72949}"/>
              </c:ext>
            </c:extLst>
          </c:dPt>
          <c:dPt>
            <c:idx val="2585"/>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433-9CF6-4383-B5CC-D2D8B9C72949}"/>
              </c:ext>
            </c:extLst>
          </c:dPt>
          <c:dPt>
            <c:idx val="2586"/>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435-9CF6-4383-B5CC-D2D8B9C72949}"/>
              </c:ext>
            </c:extLst>
          </c:dPt>
          <c:dPt>
            <c:idx val="2587"/>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437-9CF6-4383-B5CC-D2D8B9C72949}"/>
              </c:ext>
            </c:extLst>
          </c:dPt>
          <c:dPt>
            <c:idx val="2588"/>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439-9CF6-4383-B5CC-D2D8B9C72949}"/>
              </c:ext>
            </c:extLst>
          </c:dPt>
          <c:dPt>
            <c:idx val="2589"/>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43B-9CF6-4383-B5CC-D2D8B9C72949}"/>
              </c:ext>
            </c:extLst>
          </c:dPt>
          <c:dPt>
            <c:idx val="2590"/>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43D-9CF6-4383-B5CC-D2D8B9C72949}"/>
              </c:ext>
            </c:extLst>
          </c:dPt>
          <c:dPt>
            <c:idx val="2591"/>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43F-9CF6-4383-B5CC-D2D8B9C72949}"/>
              </c:ext>
            </c:extLst>
          </c:dPt>
          <c:dPt>
            <c:idx val="2592"/>
            <c:bubble3D val="0"/>
            <c:spPr>
              <a:solidFill>
                <a:schemeClr val="accent1"/>
              </a:solidFill>
              <a:ln w="19050">
                <a:solidFill>
                  <a:schemeClr val="lt1"/>
                </a:solidFill>
              </a:ln>
              <a:effectLst/>
            </c:spPr>
            <c:extLst>
              <c:ext xmlns:c16="http://schemas.microsoft.com/office/drawing/2014/chart" uri="{C3380CC4-5D6E-409C-BE32-E72D297353CC}">
                <c16:uniqueId val="{00001441-9CF6-4383-B5CC-D2D8B9C72949}"/>
              </c:ext>
            </c:extLst>
          </c:dPt>
          <c:dPt>
            <c:idx val="2593"/>
            <c:bubble3D val="0"/>
            <c:spPr>
              <a:solidFill>
                <a:schemeClr val="accent2"/>
              </a:solidFill>
              <a:ln w="19050">
                <a:solidFill>
                  <a:schemeClr val="lt1"/>
                </a:solidFill>
              </a:ln>
              <a:effectLst/>
            </c:spPr>
            <c:extLst>
              <c:ext xmlns:c16="http://schemas.microsoft.com/office/drawing/2014/chart" uri="{C3380CC4-5D6E-409C-BE32-E72D297353CC}">
                <c16:uniqueId val="{00001443-9CF6-4383-B5CC-D2D8B9C72949}"/>
              </c:ext>
            </c:extLst>
          </c:dPt>
          <c:dPt>
            <c:idx val="2594"/>
            <c:bubble3D val="0"/>
            <c:spPr>
              <a:solidFill>
                <a:schemeClr val="accent3"/>
              </a:solidFill>
              <a:ln w="19050">
                <a:solidFill>
                  <a:schemeClr val="lt1"/>
                </a:solidFill>
              </a:ln>
              <a:effectLst/>
            </c:spPr>
            <c:extLst>
              <c:ext xmlns:c16="http://schemas.microsoft.com/office/drawing/2014/chart" uri="{C3380CC4-5D6E-409C-BE32-E72D297353CC}">
                <c16:uniqueId val="{00001445-9CF6-4383-B5CC-D2D8B9C72949}"/>
              </c:ext>
            </c:extLst>
          </c:dPt>
          <c:dPt>
            <c:idx val="2595"/>
            <c:bubble3D val="0"/>
            <c:spPr>
              <a:solidFill>
                <a:schemeClr val="accent4"/>
              </a:solidFill>
              <a:ln w="19050">
                <a:solidFill>
                  <a:schemeClr val="lt1"/>
                </a:solidFill>
              </a:ln>
              <a:effectLst/>
            </c:spPr>
            <c:extLst>
              <c:ext xmlns:c16="http://schemas.microsoft.com/office/drawing/2014/chart" uri="{C3380CC4-5D6E-409C-BE32-E72D297353CC}">
                <c16:uniqueId val="{00001447-9CF6-4383-B5CC-D2D8B9C72949}"/>
              </c:ext>
            </c:extLst>
          </c:dPt>
          <c:dPt>
            <c:idx val="2596"/>
            <c:bubble3D val="0"/>
            <c:spPr>
              <a:solidFill>
                <a:schemeClr val="accent5"/>
              </a:solidFill>
              <a:ln w="19050">
                <a:solidFill>
                  <a:schemeClr val="lt1"/>
                </a:solidFill>
              </a:ln>
              <a:effectLst/>
            </c:spPr>
            <c:extLst>
              <c:ext xmlns:c16="http://schemas.microsoft.com/office/drawing/2014/chart" uri="{C3380CC4-5D6E-409C-BE32-E72D297353CC}">
                <c16:uniqueId val="{00001449-9CF6-4383-B5CC-D2D8B9C72949}"/>
              </c:ext>
            </c:extLst>
          </c:dPt>
          <c:dPt>
            <c:idx val="2597"/>
            <c:bubble3D val="0"/>
            <c:spPr>
              <a:solidFill>
                <a:schemeClr val="accent6"/>
              </a:solidFill>
              <a:ln w="19050">
                <a:solidFill>
                  <a:schemeClr val="lt1"/>
                </a:solidFill>
              </a:ln>
              <a:effectLst/>
            </c:spPr>
            <c:extLst>
              <c:ext xmlns:c16="http://schemas.microsoft.com/office/drawing/2014/chart" uri="{C3380CC4-5D6E-409C-BE32-E72D297353CC}">
                <c16:uniqueId val="{0000144B-9CF6-4383-B5CC-D2D8B9C72949}"/>
              </c:ext>
            </c:extLst>
          </c:dPt>
          <c:dPt>
            <c:idx val="2598"/>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44D-9CF6-4383-B5CC-D2D8B9C72949}"/>
              </c:ext>
            </c:extLst>
          </c:dPt>
          <c:dPt>
            <c:idx val="2599"/>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44F-9CF6-4383-B5CC-D2D8B9C72949}"/>
              </c:ext>
            </c:extLst>
          </c:dPt>
          <c:dPt>
            <c:idx val="2600"/>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451-9CF6-4383-B5CC-D2D8B9C72949}"/>
              </c:ext>
            </c:extLst>
          </c:dPt>
          <c:dPt>
            <c:idx val="2601"/>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453-9CF6-4383-B5CC-D2D8B9C72949}"/>
              </c:ext>
            </c:extLst>
          </c:dPt>
          <c:dPt>
            <c:idx val="2602"/>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455-9CF6-4383-B5CC-D2D8B9C72949}"/>
              </c:ext>
            </c:extLst>
          </c:dPt>
          <c:dPt>
            <c:idx val="260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457-9CF6-4383-B5CC-D2D8B9C72949}"/>
              </c:ext>
            </c:extLst>
          </c:dPt>
          <c:dPt>
            <c:idx val="2604"/>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459-9CF6-4383-B5CC-D2D8B9C72949}"/>
              </c:ext>
            </c:extLst>
          </c:dPt>
          <c:dPt>
            <c:idx val="2605"/>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45B-9CF6-4383-B5CC-D2D8B9C72949}"/>
              </c:ext>
            </c:extLst>
          </c:dPt>
          <c:dPt>
            <c:idx val="2606"/>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45D-9CF6-4383-B5CC-D2D8B9C72949}"/>
              </c:ext>
            </c:extLst>
          </c:dPt>
          <c:dPt>
            <c:idx val="260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45F-9CF6-4383-B5CC-D2D8B9C72949}"/>
              </c:ext>
            </c:extLst>
          </c:dPt>
          <c:dPt>
            <c:idx val="2608"/>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461-9CF6-4383-B5CC-D2D8B9C72949}"/>
              </c:ext>
            </c:extLst>
          </c:dPt>
          <c:dPt>
            <c:idx val="2609"/>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463-9CF6-4383-B5CC-D2D8B9C72949}"/>
              </c:ext>
            </c:extLst>
          </c:dPt>
          <c:dPt>
            <c:idx val="2610"/>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465-9CF6-4383-B5CC-D2D8B9C72949}"/>
              </c:ext>
            </c:extLst>
          </c:dPt>
          <c:dPt>
            <c:idx val="2611"/>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467-9CF6-4383-B5CC-D2D8B9C72949}"/>
              </c:ext>
            </c:extLst>
          </c:dPt>
          <c:dPt>
            <c:idx val="2612"/>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469-9CF6-4383-B5CC-D2D8B9C72949}"/>
              </c:ext>
            </c:extLst>
          </c:dPt>
          <c:dPt>
            <c:idx val="2613"/>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46B-9CF6-4383-B5CC-D2D8B9C72949}"/>
              </c:ext>
            </c:extLst>
          </c:dPt>
          <c:dPt>
            <c:idx val="2614"/>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46D-9CF6-4383-B5CC-D2D8B9C72949}"/>
              </c:ext>
            </c:extLst>
          </c:dPt>
          <c:dPt>
            <c:idx val="2615"/>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46F-9CF6-4383-B5CC-D2D8B9C72949}"/>
              </c:ext>
            </c:extLst>
          </c:dPt>
          <c:dPt>
            <c:idx val="2616"/>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471-9CF6-4383-B5CC-D2D8B9C72949}"/>
              </c:ext>
            </c:extLst>
          </c:dPt>
          <c:dPt>
            <c:idx val="2617"/>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473-9CF6-4383-B5CC-D2D8B9C72949}"/>
              </c:ext>
            </c:extLst>
          </c:dPt>
          <c:dPt>
            <c:idx val="2618"/>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475-9CF6-4383-B5CC-D2D8B9C72949}"/>
              </c:ext>
            </c:extLst>
          </c:dPt>
          <c:dPt>
            <c:idx val="2619"/>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477-9CF6-4383-B5CC-D2D8B9C72949}"/>
              </c:ext>
            </c:extLst>
          </c:dPt>
          <c:dPt>
            <c:idx val="2620"/>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479-9CF6-4383-B5CC-D2D8B9C72949}"/>
              </c:ext>
            </c:extLst>
          </c:dPt>
          <c:dPt>
            <c:idx val="262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47B-9CF6-4383-B5CC-D2D8B9C72949}"/>
              </c:ext>
            </c:extLst>
          </c:dPt>
          <c:dPt>
            <c:idx val="2622"/>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47D-9CF6-4383-B5CC-D2D8B9C72949}"/>
              </c:ext>
            </c:extLst>
          </c:dPt>
          <c:dPt>
            <c:idx val="2623"/>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47F-9CF6-4383-B5CC-D2D8B9C72949}"/>
              </c:ext>
            </c:extLst>
          </c:dPt>
          <c:dPt>
            <c:idx val="2624"/>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481-9CF6-4383-B5CC-D2D8B9C72949}"/>
              </c:ext>
            </c:extLst>
          </c:dPt>
          <c:dPt>
            <c:idx val="2625"/>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483-9CF6-4383-B5CC-D2D8B9C72949}"/>
              </c:ext>
            </c:extLst>
          </c:dPt>
          <c:dPt>
            <c:idx val="2626"/>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485-9CF6-4383-B5CC-D2D8B9C72949}"/>
              </c:ext>
            </c:extLst>
          </c:dPt>
          <c:dPt>
            <c:idx val="2627"/>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487-9CF6-4383-B5CC-D2D8B9C72949}"/>
              </c:ext>
            </c:extLst>
          </c:dPt>
          <c:dPt>
            <c:idx val="2628"/>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489-9CF6-4383-B5CC-D2D8B9C72949}"/>
              </c:ext>
            </c:extLst>
          </c:dPt>
          <c:dPt>
            <c:idx val="2629"/>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48B-9CF6-4383-B5CC-D2D8B9C72949}"/>
              </c:ext>
            </c:extLst>
          </c:dPt>
          <c:dPt>
            <c:idx val="2630"/>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48D-9CF6-4383-B5CC-D2D8B9C72949}"/>
              </c:ext>
            </c:extLst>
          </c:dPt>
          <c:dPt>
            <c:idx val="2631"/>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48F-9CF6-4383-B5CC-D2D8B9C72949}"/>
              </c:ext>
            </c:extLst>
          </c:dPt>
          <c:dPt>
            <c:idx val="2632"/>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491-9CF6-4383-B5CC-D2D8B9C72949}"/>
              </c:ext>
            </c:extLst>
          </c:dPt>
          <c:dPt>
            <c:idx val="2633"/>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493-9CF6-4383-B5CC-D2D8B9C72949}"/>
              </c:ext>
            </c:extLst>
          </c:dPt>
          <c:dPt>
            <c:idx val="2634"/>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495-9CF6-4383-B5CC-D2D8B9C72949}"/>
              </c:ext>
            </c:extLst>
          </c:dPt>
          <c:dPt>
            <c:idx val="2635"/>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497-9CF6-4383-B5CC-D2D8B9C72949}"/>
              </c:ext>
            </c:extLst>
          </c:dPt>
          <c:dPt>
            <c:idx val="2636"/>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499-9CF6-4383-B5CC-D2D8B9C72949}"/>
              </c:ext>
            </c:extLst>
          </c:dPt>
          <c:dPt>
            <c:idx val="2637"/>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49B-9CF6-4383-B5CC-D2D8B9C72949}"/>
              </c:ext>
            </c:extLst>
          </c:dPt>
          <c:dPt>
            <c:idx val="2638"/>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49D-9CF6-4383-B5CC-D2D8B9C72949}"/>
              </c:ext>
            </c:extLst>
          </c:dPt>
          <c:dPt>
            <c:idx val="2639"/>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49F-9CF6-4383-B5CC-D2D8B9C72949}"/>
              </c:ext>
            </c:extLst>
          </c:dPt>
          <c:dPt>
            <c:idx val="2640"/>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4A1-9CF6-4383-B5CC-D2D8B9C72949}"/>
              </c:ext>
            </c:extLst>
          </c:dPt>
          <c:dPt>
            <c:idx val="2641"/>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4A3-9CF6-4383-B5CC-D2D8B9C72949}"/>
              </c:ext>
            </c:extLst>
          </c:dPt>
          <c:dPt>
            <c:idx val="2642"/>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4A5-9CF6-4383-B5CC-D2D8B9C72949}"/>
              </c:ext>
            </c:extLst>
          </c:dPt>
          <c:dPt>
            <c:idx val="2643"/>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4A7-9CF6-4383-B5CC-D2D8B9C72949}"/>
              </c:ext>
            </c:extLst>
          </c:dPt>
          <c:dPt>
            <c:idx val="2644"/>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4A9-9CF6-4383-B5CC-D2D8B9C72949}"/>
              </c:ext>
            </c:extLst>
          </c:dPt>
          <c:dPt>
            <c:idx val="2645"/>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4AB-9CF6-4383-B5CC-D2D8B9C72949}"/>
              </c:ext>
            </c:extLst>
          </c:dPt>
          <c:dPt>
            <c:idx val="2646"/>
            <c:bubble3D val="0"/>
            <c:spPr>
              <a:solidFill>
                <a:schemeClr val="accent1"/>
              </a:solidFill>
              <a:ln w="19050">
                <a:solidFill>
                  <a:schemeClr val="lt1"/>
                </a:solidFill>
              </a:ln>
              <a:effectLst/>
            </c:spPr>
            <c:extLst>
              <c:ext xmlns:c16="http://schemas.microsoft.com/office/drawing/2014/chart" uri="{C3380CC4-5D6E-409C-BE32-E72D297353CC}">
                <c16:uniqueId val="{000014AD-9CF6-4383-B5CC-D2D8B9C72949}"/>
              </c:ext>
            </c:extLst>
          </c:dPt>
          <c:dPt>
            <c:idx val="2647"/>
            <c:bubble3D val="0"/>
            <c:spPr>
              <a:solidFill>
                <a:schemeClr val="accent2"/>
              </a:solidFill>
              <a:ln w="19050">
                <a:solidFill>
                  <a:schemeClr val="lt1"/>
                </a:solidFill>
              </a:ln>
              <a:effectLst/>
            </c:spPr>
            <c:extLst>
              <c:ext xmlns:c16="http://schemas.microsoft.com/office/drawing/2014/chart" uri="{C3380CC4-5D6E-409C-BE32-E72D297353CC}">
                <c16:uniqueId val="{000014AF-9CF6-4383-B5CC-D2D8B9C72949}"/>
              </c:ext>
            </c:extLst>
          </c:dPt>
          <c:dPt>
            <c:idx val="2648"/>
            <c:bubble3D val="0"/>
            <c:spPr>
              <a:solidFill>
                <a:schemeClr val="accent3"/>
              </a:solidFill>
              <a:ln w="19050">
                <a:solidFill>
                  <a:schemeClr val="lt1"/>
                </a:solidFill>
              </a:ln>
              <a:effectLst/>
            </c:spPr>
            <c:extLst>
              <c:ext xmlns:c16="http://schemas.microsoft.com/office/drawing/2014/chart" uri="{C3380CC4-5D6E-409C-BE32-E72D297353CC}">
                <c16:uniqueId val="{000014B1-9CF6-4383-B5CC-D2D8B9C72949}"/>
              </c:ext>
            </c:extLst>
          </c:dPt>
          <c:dPt>
            <c:idx val="2649"/>
            <c:bubble3D val="0"/>
            <c:spPr>
              <a:solidFill>
                <a:schemeClr val="accent4"/>
              </a:solidFill>
              <a:ln w="19050">
                <a:solidFill>
                  <a:schemeClr val="lt1"/>
                </a:solidFill>
              </a:ln>
              <a:effectLst/>
            </c:spPr>
            <c:extLst>
              <c:ext xmlns:c16="http://schemas.microsoft.com/office/drawing/2014/chart" uri="{C3380CC4-5D6E-409C-BE32-E72D297353CC}">
                <c16:uniqueId val="{000014B3-9CF6-4383-B5CC-D2D8B9C72949}"/>
              </c:ext>
            </c:extLst>
          </c:dPt>
          <c:dPt>
            <c:idx val="2650"/>
            <c:bubble3D val="0"/>
            <c:spPr>
              <a:solidFill>
                <a:schemeClr val="accent5"/>
              </a:solidFill>
              <a:ln w="19050">
                <a:solidFill>
                  <a:schemeClr val="lt1"/>
                </a:solidFill>
              </a:ln>
              <a:effectLst/>
            </c:spPr>
            <c:extLst>
              <c:ext xmlns:c16="http://schemas.microsoft.com/office/drawing/2014/chart" uri="{C3380CC4-5D6E-409C-BE32-E72D297353CC}">
                <c16:uniqueId val="{000014B5-9CF6-4383-B5CC-D2D8B9C72949}"/>
              </c:ext>
            </c:extLst>
          </c:dPt>
          <c:dPt>
            <c:idx val="2651"/>
            <c:bubble3D val="0"/>
            <c:spPr>
              <a:solidFill>
                <a:schemeClr val="accent6"/>
              </a:solidFill>
              <a:ln w="19050">
                <a:solidFill>
                  <a:schemeClr val="lt1"/>
                </a:solidFill>
              </a:ln>
              <a:effectLst/>
            </c:spPr>
            <c:extLst>
              <c:ext xmlns:c16="http://schemas.microsoft.com/office/drawing/2014/chart" uri="{C3380CC4-5D6E-409C-BE32-E72D297353CC}">
                <c16:uniqueId val="{000014B7-9CF6-4383-B5CC-D2D8B9C72949}"/>
              </c:ext>
            </c:extLst>
          </c:dPt>
          <c:dPt>
            <c:idx val="2652"/>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4B9-9CF6-4383-B5CC-D2D8B9C72949}"/>
              </c:ext>
            </c:extLst>
          </c:dPt>
          <c:dPt>
            <c:idx val="265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4BB-9CF6-4383-B5CC-D2D8B9C72949}"/>
              </c:ext>
            </c:extLst>
          </c:dPt>
          <c:dPt>
            <c:idx val="2654"/>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4BD-9CF6-4383-B5CC-D2D8B9C72949}"/>
              </c:ext>
            </c:extLst>
          </c:dPt>
          <c:dPt>
            <c:idx val="2655"/>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4BF-9CF6-4383-B5CC-D2D8B9C72949}"/>
              </c:ext>
            </c:extLst>
          </c:dPt>
          <c:dPt>
            <c:idx val="2656"/>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4C1-9CF6-4383-B5CC-D2D8B9C72949}"/>
              </c:ext>
            </c:extLst>
          </c:dPt>
          <c:dPt>
            <c:idx val="2657"/>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4C3-9CF6-4383-B5CC-D2D8B9C72949}"/>
              </c:ext>
            </c:extLst>
          </c:dPt>
          <c:dPt>
            <c:idx val="2658"/>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4C5-9CF6-4383-B5CC-D2D8B9C72949}"/>
              </c:ext>
            </c:extLst>
          </c:dPt>
          <c:dPt>
            <c:idx val="2659"/>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4C7-9CF6-4383-B5CC-D2D8B9C72949}"/>
              </c:ext>
            </c:extLst>
          </c:dPt>
          <c:dPt>
            <c:idx val="2660"/>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4C9-9CF6-4383-B5CC-D2D8B9C72949}"/>
              </c:ext>
            </c:extLst>
          </c:dPt>
          <c:dPt>
            <c:idx val="2661"/>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4CB-9CF6-4383-B5CC-D2D8B9C72949}"/>
              </c:ext>
            </c:extLst>
          </c:dPt>
          <c:dPt>
            <c:idx val="2662"/>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4CD-9CF6-4383-B5CC-D2D8B9C72949}"/>
              </c:ext>
            </c:extLst>
          </c:dPt>
          <c:dPt>
            <c:idx val="2663"/>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4CF-9CF6-4383-B5CC-D2D8B9C72949}"/>
              </c:ext>
            </c:extLst>
          </c:dPt>
          <c:dPt>
            <c:idx val="2664"/>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4D1-9CF6-4383-B5CC-D2D8B9C72949}"/>
              </c:ext>
            </c:extLst>
          </c:dPt>
          <c:dPt>
            <c:idx val="2665"/>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4D3-9CF6-4383-B5CC-D2D8B9C72949}"/>
              </c:ext>
            </c:extLst>
          </c:dPt>
          <c:dPt>
            <c:idx val="2666"/>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4D5-9CF6-4383-B5CC-D2D8B9C72949}"/>
              </c:ext>
            </c:extLst>
          </c:dPt>
          <c:dPt>
            <c:idx val="2667"/>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4D7-9CF6-4383-B5CC-D2D8B9C72949}"/>
              </c:ext>
            </c:extLst>
          </c:dPt>
          <c:dPt>
            <c:idx val="2668"/>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4D9-9CF6-4383-B5CC-D2D8B9C72949}"/>
              </c:ext>
            </c:extLst>
          </c:dPt>
          <c:dPt>
            <c:idx val="2669"/>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4DB-9CF6-4383-B5CC-D2D8B9C72949}"/>
              </c:ext>
            </c:extLst>
          </c:dPt>
          <c:dPt>
            <c:idx val="2670"/>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4DD-9CF6-4383-B5CC-D2D8B9C72949}"/>
              </c:ext>
            </c:extLst>
          </c:dPt>
          <c:dPt>
            <c:idx val="2671"/>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4DF-9CF6-4383-B5CC-D2D8B9C72949}"/>
              </c:ext>
            </c:extLst>
          </c:dPt>
          <c:dPt>
            <c:idx val="2672"/>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4E1-9CF6-4383-B5CC-D2D8B9C72949}"/>
              </c:ext>
            </c:extLst>
          </c:dPt>
          <c:dPt>
            <c:idx val="2673"/>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4E3-9CF6-4383-B5CC-D2D8B9C72949}"/>
              </c:ext>
            </c:extLst>
          </c:dPt>
          <c:dPt>
            <c:idx val="267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4E5-9CF6-4383-B5CC-D2D8B9C72949}"/>
              </c:ext>
            </c:extLst>
          </c:dPt>
          <c:dPt>
            <c:idx val="2675"/>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4E7-9CF6-4383-B5CC-D2D8B9C72949}"/>
              </c:ext>
            </c:extLst>
          </c:dPt>
          <c:dPt>
            <c:idx val="2676"/>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4E9-9CF6-4383-B5CC-D2D8B9C72949}"/>
              </c:ext>
            </c:extLst>
          </c:dPt>
          <c:dPt>
            <c:idx val="2677"/>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4EB-9CF6-4383-B5CC-D2D8B9C72949}"/>
              </c:ext>
            </c:extLst>
          </c:dPt>
          <c:dPt>
            <c:idx val="2678"/>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4ED-9CF6-4383-B5CC-D2D8B9C72949}"/>
              </c:ext>
            </c:extLst>
          </c:dPt>
          <c:dPt>
            <c:idx val="2679"/>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4EF-9CF6-4383-B5CC-D2D8B9C72949}"/>
              </c:ext>
            </c:extLst>
          </c:dPt>
          <c:dPt>
            <c:idx val="2680"/>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4F1-9CF6-4383-B5CC-D2D8B9C72949}"/>
              </c:ext>
            </c:extLst>
          </c:dPt>
          <c:dPt>
            <c:idx val="2681"/>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4F3-9CF6-4383-B5CC-D2D8B9C72949}"/>
              </c:ext>
            </c:extLst>
          </c:dPt>
          <c:dPt>
            <c:idx val="2682"/>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4F5-9CF6-4383-B5CC-D2D8B9C72949}"/>
              </c:ext>
            </c:extLst>
          </c:dPt>
          <c:dPt>
            <c:idx val="2683"/>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4F7-9CF6-4383-B5CC-D2D8B9C72949}"/>
              </c:ext>
            </c:extLst>
          </c:dPt>
          <c:dPt>
            <c:idx val="2684"/>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4F9-9CF6-4383-B5CC-D2D8B9C72949}"/>
              </c:ext>
            </c:extLst>
          </c:dPt>
          <c:dPt>
            <c:idx val="2685"/>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4FB-9CF6-4383-B5CC-D2D8B9C72949}"/>
              </c:ext>
            </c:extLst>
          </c:dPt>
          <c:dPt>
            <c:idx val="2686"/>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4FD-9CF6-4383-B5CC-D2D8B9C72949}"/>
              </c:ext>
            </c:extLst>
          </c:dPt>
          <c:dPt>
            <c:idx val="2687"/>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4FF-9CF6-4383-B5CC-D2D8B9C72949}"/>
              </c:ext>
            </c:extLst>
          </c:dPt>
          <c:dPt>
            <c:idx val="2688"/>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501-9CF6-4383-B5CC-D2D8B9C72949}"/>
              </c:ext>
            </c:extLst>
          </c:dPt>
          <c:dPt>
            <c:idx val="2689"/>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503-9CF6-4383-B5CC-D2D8B9C72949}"/>
              </c:ext>
            </c:extLst>
          </c:dPt>
          <c:dPt>
            <c:idx val="2690"/>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505-9CF6-4383-B5CC-D2D8B9C72949}"/>
              </c:ext>
            </c:extLst>
          </c:dPt>
          <c:dPt>
            <c:idx val="2691"/>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507-9CF6-4383-B5CC-D2D8B9C72949}"/>
              </c:ext>
            </c:extLst>
          </c:dPt>
          <c:dPt>
            <c:idx val="2692"/>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509-9CF6-4383-B5CC-D2D8B9C72949}"/>
              </c:ext>
            </c:extLst>
          </c:dPt>
          <c:dPt>
            <c:idx val="2693"/>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50B-9CF6-4383-B5CC-D2D8B9C72949}"/>
              </c:ext>
            </c:extLst>
          </c:dPt>
          <c:dPt>
            <c:idx val="2694"/>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50D-9CF6-4383-B5CC-D2D8B9C72949}"/>
              </c:ext>
            </c:extLst>
          </c:dPt>
          <c:dPt>
            <c:idx val="2695"/>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50F-9CF6-4383-B5CC-D2D8B9C72949}"/>
              </c:ext>
            </c:extLst>
          </c:dPt>
          <c:dPt>
            <c:idx val="2696"/>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511-9CF6-4383-B5CC-D2D8B9C72949}"/>
              </c:ext>
            </c:extLst>
          </c:dPt>
          <c:dPt>
            <c:idx val="2697"/>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513-9CF6-4383-B5CC-D2D8B9C72949}"/>
              </c:ext>
            </c:extLst>
          </c:dPt>
          <c:dPt>
            <c:idx val="2698"/>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515-9CF6-4383-B5CC-D2D8B9C72949}"/>
              </c:ext>
            </c:extLst>
          </c:dPt>
          <c:dPt>
            <c:idx val="2699"/>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517-9CF6-4383-B5CC-D2D8B9C72949}"/>
              </c:ext>
            </c:extLst>
          </c:dPt>
          <c:dPt>
            <c:idx val="2700"/>
            <c:bubble3D val="0"/>
            <c:spPr>
              <a:solidFill>
                <a:schemeClr val="accent1"/>
              </a:solidFill>
              <a:ln w="19050">
                <a:solidFill>
                  <a:schemeClr val="lt1"/>
                </a:solidFill>
              </a:ln>
              <a:effectLst/>
            </c:spPr>
            <c:extLst>
              <c:ext xmlns:c16="http://schemas.microsoft.com/office/drawing/2014/chart" uri="{C3380CC4-5D6E-409C-BE32-E72D297353CC}">
                <c16:uniqueId val="{00001519-9CF6-4383-B5CC-D2D8B9C72949}"/>
              </c:ext>
            </c:extLst>
          </c:dPt>
          <c:dPt>
            <c:idx val="2701"/>
            <c:bubble3D val="0"/>
            <c:spPr>
              <a:solidFill>
                <a:schemeClr val="accent2"/>
              </a:solidFill>
              <a:ln w="19050">
                <a:solidFill>
                  <a:schemeClr val="lt1"/>
                </a:solidFill>
              </a:ln>
              <a:effectLst/>
            </c:spPr>
            <c:extLst>
              <c:ext xmlns:c16="http://schemas.microsoft.com/office/drawing/2014/chart" uri="{C3380CC4-5D6E-409C-BE32-E72D297353CC}">
                <c16:uniqueId val="{0000151B-9CF6-4383-B5CC-D2D8B9C72949}"/>
              </c:ext>
            </c:extLst>
          </c:dPt>
          <c:dPt>
            <c:idx val="2702"/>
            <c:bubble3D val="0"/>
            <c:spPr>
              <a:solidFill>
                <a:schemeClr val="accent3"/>
              </a:solidFill>
              <a:ln w="19050">
                <a:solidFill>
                  <a:schemeClr val="lt1"/>
                </a:solidFill>
              </a:ln>
              <a:effectLst/>
            </c:spPr>
            <c:extLst>
              <c:ext xmlns:c16="http://schemas.microsoft.com/office/drawing/2014/chart" uri="{C3380CC4-5D6E-409C-BE32-E72D297353CC}">
                <c16:uniqueId val="{0000151D-9CF6-4383-B5CC-D2D8B9C72949}"/>
              </c:ext>
            </c:extLst>
          </c:dPt>
          <c:dPt>
            <c:idx val="2703"/>
            <c:bubble3D val="0"/>
            <c:spPr>
              <a:solidFill>
                <a:schemeClr val="accent4"/>
              </a:solidFill>
              <a:ln w="19050">
                <a:solidFill>
                  <a:schemeClr val="lt1"/>
                </a:solidFill>
              </a:ln>
              <a:effectLst/>
            </c:spPr>
            <c:extLst>
              <c:ext xmlns:c16="http://schemas.microsoft.com/office/drawing/2014/chart" uri="{C3380CC4-5D6E-409C-BE32-E72D297353CC}">
                <c16:uniqueId val="{0000151F-9CF6-4383-B5CC-D2D8B9C72949}"/>
              </c:ext>
            </c:extLst>
          </c:dPt>
          <c:dPt>
            <c:idx val="2704"/>
            <c:bubble3D val="0"/>
            <c:spPr>
              <a:solidFill>
                <a:schemeClr val="accent5"/>
              </a:solidFill>
              <a:ln w="19050">
                <a:solidFill>
                  <a:schemeClr val="lt1"/>
                </a:solidFill>
              </a:ln>
              <a:effectLst/>
            </c:spPr>
            <c:extLst>
              <c:ext xmlns:c16="http://schemas.microsoft.com/office/drawing/2014/chart" uri="{C3380CC4-5D6E-409C-BE32-E72D297353CC}">
                <c16:uniqueId val="{00001521-9CF6-4383-B5CC-D2D8B9C72949}"/>
              </c:ext>
            </c:extLst>
          </c:dPt>
          <c:dPt>
            <c:idx val="2705"/>
            <c:bubble3D val="0"/>
            <c:spPr>
              <a:solidFill>
                <a:schemeClr val="accent6"/>
              </a:solidFill>
              <a:ln w="19050">
                <a:solidFill>
                  <a:schemeClr val="lt1"/>
                </a:solidFill>
              </a:ln>
              <a:effectLst/>
            </c:spPr>
            <c:extLst>
              <c:ext xmlns:c16="http://schemas.microsoft.com/office/drawing/2014/chart" uri="{C3380CC4-5D6E-409C-BE32-E72D297353CC}">
                <c16:uniqueId val="{00001523-9CF6-4383-B5CC-D2D8B9C72949}"/>
              </c:ext>
            </c:extLst>
          </c:dPt>
          <c:dPt>
            <c:idx val="270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525-9CF6-4383-B5CC-D2D8B9C72949}"/>
              </c:ext>
            </c:extLst>
          </c:dPt>
          <c:dPt>
            <c:idx val="270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527-9CF6-4383-B5CC-D2D8B9C72949}"/>
              </c:ext>
            </c:extLst>
          </c:dPt>
          <c:dPt>
            <c:idx val="270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529-9CF6-4383-B5CC-D2D8B9C72949}"/>
              </c:ext>
            </c:extLst>
          </c:dPt>
          <c:dPt>
            <c:idx val="270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52B-9CF6-4383-B5CC-D2D8B9C72949}"/>
              </c:ext>
            </c:extLst>
          </c:dPt>
          <c:dPt>
            <c:idx val="27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52D-9CF6-4383-B5CC-D2D8B9C72949}"/>
              </c:ext>
            </c:extLst>
          </c:dPt>
          <c:dPt>
            <c:idx val="27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52F-9CF6-4383-B5CC-D2D8B9C72949}"/>
              </c:ext>
            </c:extLst>
          </c:dPt>
          <c:dPt>
            <c:idx val="27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531-9CF6-4383-B5CC-D2D8B9C72949}"/>
              </c:ext>
            </c:extLst>
          </c:dPt>
          <c:dPt>
            <c:idx val="27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533-9CF6-4383-B5CC-D2D8B9C72949}"/>
              </c:ext>
            </c:extLst>
          </c:dPt>
          <c:dPt>
            <c:idx val="27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1535-9CF6-4383-B5CC-D2D8B9C72949}"/>
              </c:ext>
            </c:extLst>
          </c:dPt>
          <c:dPt>
            <c:idx val="27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1537-9CF6-4383-B5CC-D2D8B9C72949}"/>
              </c:ext>
            </c:extLst>
          </c:dPt>
          <c:dPt>
            <c:idx val="27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1539-9CF6-4383-B5CC-D2D8B9C72949}"/>
              </c:ext>
            </c:extLst>
          </c:dPt>
          <c:dPt>
            <c:idx val="27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153B-9CF6-4383-B5CC-D2D8B9C72949}"/>
              </c:ext>
            </c:extLst>
          </c:dPt>
          <c:dPt>
            <c:idx val="27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153D-9CF6-4383-B5CC-D2D8B9C72949}"/>
              </c:ext>
            </c:extLst>
          </c:dPt>
          <c:dPt>
            <c:idx val="27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153F-9CF6-4383-B5CC-D2D8B9C72949}"/>
              </c:ext>
            </c:extLst>
          </c:dPt>
          <c:dPt>
            <c:idx val="27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1541-9CF6-4383-B5CC-D2D8B9C72949}"/>
              </c:ext>
            </c:extLst>
          </c:dPt>
          <c:dPt>
            <c:idx val="272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1543-9CF6-4383-B5CC-D2D8B9C72949}"/>
              </c:ext>
            </c:extLst>
          </c:dPt>
          <c:dPt>
            <c:idx val="272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1545-9CF6-4383-B5CC-D2D8B9C72949}"/>
              </c:ext>
            </c:extLst>
          </c:dPt>
          <c:dPt>
            <c:idx val="272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1547-9CF6-4383-B5CC-D2D8B9C72949}"/>
              </c:ext>
            </c:extLst>
          </c:dPt>
          <c:dPt>
            <c:idx val="272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1549-9CF6-4383-B5CC-D2D8B9C72949}"/>
              </c:ext>
            </c:extLst>
          </c:dPt>
          <c:dPt>
            <c:idx val="272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154B-9CF6-4383-B5CC-D2D8B9C72949}"/>
              </c:ext>
            </c:extLst>
          </c:dPt>
          <c:dPt>
            <c:idx val="272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154D-9CF6-4383-B5CC-D2D8B9C72949}"/>
              </c:ext>
            </c:extLst>
          </c:dPt>
          <c:dPt>
            <c:idx val="272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154F-9CF6-4383-B5CC-D2D8B9C72949}"/>
              </c:ext>
            </c:extLst>
          </c:dPt>
          <c:dPt>
            <c:idx val="272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1551-9CF6-4383-B5CC-D2D8B9C72949}"/>
              </c:ext>
            </c:extLst>
          </c:dPt>
          <c:dPt>
            <c:idx val="272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1553-9CF6-4383-B5CC-D2D8B9C72949}"/>
              </c:ext>
            </c:extLst>
          </c:dPt>
          <c:dPt>
            <c:idx val="273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1555-9CF6-4383-B5CC-D2D8B9C72949}"/>
              </c:ext>
            </c:extLst>
          </c:dPt>
          <c:dPt>
            <c:idx val="2731"/>
            <c:bubble3D val="0"/>
            <c:spPr>
              <a:solidFill>
                <a:schemeClr val="accent2">
                  <a:lumMod val="50000"/>
                </a:schemeClr>
              </a:solidFill>
              <a:ln w="19050">
                <a:solidFill>
                  <a:schemeClr val="lt1"/>
                </a:solidFill>
              </a:ln>
              <a:effectLst/>
            </c:spPr>
            <c:extLst>
              <c:ext xmlns:c16="http://schemas.microsoft.com/office/drawing/2014/chart" uri="{C3380CC4-5D6E-409C-BE32-E72D297353CC}">
                <c16:uniqueId val="{00001557-9CF6-4383-B5CC-D2D8B9C72949}"/>
              </c:ext>
            </c:extLst>
          </c:dPt>
          <c:dPt>
            <c:idx val="2732"/>
            <c:bubble3D val="0"/>
            <c:spPr>
              <a:solidFill>
                <a:schemeClr val="accent3">
                  <a:lumMod val="50000"/>
                </a:schemeClr>
              </a:solidFill>
              <a:ln w="19050">
                <a:solidFill>
                  <a:schemeClr val="lt1"/>
                </a:solidFill>
              </a:ln>
              <a:effectLst/>
            </c:spPr>
            <c:extLst>
              <c:ext xmlns:c16="http://schemas.microsoft.com/office/drawing/2014/chart" uri="{C3380CC4-5D6E-409C-BE32-E72D297353CC}">
                <c16:uniqueId val="{00001559-9CF6-4383-B5CC-D2D8B9C72949}"/>
              </c:ext>
            </c:extLst>
          </c:dPt>
          <c:dPt>
            <c:idx val="2733"/>
            <c:bubble3D val="0"/>
            <c:spPr>
              <a:solidFill>
                <a:schemeClr val="accent4">
                  <a:lumMod val="50000"/>
                </a:schemeClr>
              </a:solidFill>
              <a:ln w="19050">
                <a:solidFill>
                  <a:schemeClr val="lt1"/>
                </a:solidFill>
              </a:ln>
              <a:effectLst/>
            </c:spPr>
            <c:extLst>
              <c:ext xmlns:c16="http://schemas.microsoft.com/office/drawing/2014/chart" uri="{C3380CC4-5D6E-409C-BE32-E72D297353CC}">
                <c16:uniqueId val="{0000155B-9CF6-4383-B5CC-D2D8B9C72949}"/>
              </c:ext>
            </c:extLst>
          </c:dPt>
          <c:dPt>
            <c:idx val="2734"/>
            <c:bubble3D val="0"/>
            <c:spPr>
              <a:solidFill>
                <a:schemeClr val="accent5">
                  <a:lumMod val="50000"/>
                </a:schemeClr>
              </a:solidFill>
              <a:ln w="19050">
                <a:solidFill>
                  <a:schemeClr val="lt1"/>
                </a:solidFill>
              </a:ln>
              <a:effectLst/>
            </c:spPr>
            <c:extLst>
              <c:ext xmlns:c16="http://schemas.microsoft.com/office/drawing/2014/chart" uri="{C3380CC4-5D6E-409C-BE32-E72D297353CC}">
                <c16:uniqueId val="{0000155D-9CF6-4383-B5CC-D2D8B9C72949}"/>
              </c:ext>
            </c:extLst>
          </c:dPt>
          <c:dPt>
            <c:idx val="2735"/>
            <c:bubble3D val="0"/>
            <c:spPr>
              <a:solidFill>
                <a:schemeClr val="accent6">
                  <a:lumMod val="50000"/>
                </a:schemeClr>
              </a:solidFill>
              <a:ln w="19050">
                <a:solidFill>
                  <a:schemeClr val="lt1"/>
                </a:solidFill>
              </a:ln>
              <a:effectLst/>
            </c:spPr>
            <c:extLst>
              <c:ext xmlns:c16="http://schemas.microsoft.com/office/drawing/2014/chart" uri="{C3380CC4-5D6E-409C-BE32-E72D297353CC}">
                <c16:uniqueId val="{0000155F-9CF6-4383-B5CC-D2D8B9C72949}"/>
              </c:ext>
            </c:extLst>
          </c:dPt>
          <c:dPt>
            <c:idx val="2736"/>
            <c:bubble3D val="0"/>
            <c:spPr>
              <a:solidFill>
                <a:schemeClr val="accent1">
                  <a:lumMod val="70000"/>
                  <a:lumOff val="30000"/>
                </a:schemeClr>
              </a:solidFill>
              <a:ln w="19050">
                <a:solidFill>
                  <a:schemeClr val="lt1"/>
                </a:solidFill>
              </a:ln>
              <a:effectLst/>
            </c:spPr>
            <c:extLst>
              <c:ext xmlns:c16="http://schemas.microsoft.com/office/drawing/2014/chart" uri="{C3380CC4-5D6E-409C-BE32-E72D297353CC}">
                <c16:uniqueId val="{00001561-9CF6-4383-B5CC-D2D8B9C72949}"/>
              </c:ext>
            </c:extLst>
          </c:dPt>
          <c:dPt>
            <c:idx val="2737"/>
            <c:bubble3D val="0"/>
            <c:spPr>
              <a:solidFill>
                <a:schemeClr val="accent2">
                  <a:lumMod val="70000"/>
                  <a:lumOff val="30000"/>
                </a:schemeClr>
              </a:solidFill>
              <a:ln w="19050">
                <a:solidFill>
                  <a:schemeClr val="lt1"/>
                </a:solidFill>
              </a:ln>
              <a:effectLst/>
            </c:spPr>
            <c:extLst>
              <c:ext xmlns:c16="http://schemas.microsoft.com/office/drawing/2014/chart" uri="{C3380CC4-5D6E-409C-BE32-E72D297353CC}">
                <c16:uniqueId val="{00001563-9CF6-4383-B5CC-D2D8B9C72949}"/>
              </c:ext>
            </c:extLst>
          </c:dPt>
          <c:dPt>
            <c:idx val="2738"/>
            <c:bubble3D val="0"/>
            <c:spPr>
              <a:solidFill>
                <a:schemeClr val="accent3">
                  <a:lumMod val="70000"/>
                  <a:lumOff val="30000"/>
                </a:schemeClr>
              </a:solidFill>
              <a:ln w="19050">
                <a:solidFill>
                  <a:schemeClr val="lt1"/>
                </a:solidFill>
              </a:ln>
              <a:effectLst/>
            </c:spPr>
            <c:extLst>
              <c:ext xmlns:c16="http://schemas.microsoft.com/office/drawing/2014/chart" uri="{C3380CC4-5D6E-409C-BE32-E72D297353CC}">
                <c16:uniqueId val="{00001565-9CF6-4383-B5CC-D2D8B9C72949}"/>
              </c:ext>
            </c:extLst>
          </c:dPt>
          <c:dPt>
            <c:idx val="2739"/>
            <c:bubble3D val="0"/>
            <c:spPr>
              <a:solidFill>
                <a:schemeClr val="accent4">
                  <a:lumMod val="70000"/>
                  <a:lumOff val="30000"/>
                </a:schemeClr>
              </a:solidFill>
              <a:ln w="19050">
                <a:solidFill>
                  <a:schemeClr val="lt1"/>
                </a:solidFill>
              </a:ln>
              <a:effectLst/>
            </c:spPr>
            <c:extLst>
              <c:ext xmlns:c16="http://schemas.microsoft.com/office/drawing/2014/chart" uri="{C3380CC4-5D6E-409C-BE32-E72D297353CC}">
                <c16:uniqueId val="{00001567-9CF6-4383-B5CC-D2D8B9C72949}"/>
              </c:ext>
            </c:extLst>
          </c:dPt>
          <c:dPt>
            <c:idx val="2740"/>
            <c:bubble3D val="0"/>
            <c:spPr>
              <a:solidFill>
                <a:schemeClr val="accent5">
                  <a:lumMod val="70000"/>
                  <a:lumOff val="30000"/>
                </a:schemeClr>
              </a:solidFill>
              <a:ln w="19050">
                <a:solidFill>
                  <a:schemeClr val="lt1"/>
                </a:solidFill>
              </a:ln>
              <a:effectLst/>
            </c:spPr>
            <c:extLst>
              <c:ext xmlns:c16="http://schemas.microsoft.com/office/drawing/2014/chart" uri="{C3380CC4-5D6E-409C-BE32-E72D297353CC}">
                <c16:uniqueId val="{00001569-9CF6-4383-B5CC-D2D8B9C72949}"/>
              </c:ext>
            </c:extLst>
          </c:dPt>
          <c:dPt>
            <c:idx val="2741"/>
            <c:bubble3D val="0"/>
            <c:spPr>
              <a:solidFill>
                <a:schemeClr val="accent6">
                  <a:lumMod val="70000"/>
                  <a:lumOff val="30000"/>
                </a:schemeClr>
              </a:solidFill>
              <a:ln w="19050">
                <a:solidFill>
                  <a:schemeClr val="lt1"/>
                </a:solidFill>
              </a:ln>
              <a:effectLst/>
            </c:spPr>
            <c:extLst>
              <c:ext xmlns:c16="http://schemas.microsoft.com/office/drawing/2014/chart" uri="{C3380CC4-5D6E-409C-BE32-E72D297353CC}">
                <c16:uniqueId val="{0000156B-9CF6-4383-B5CC-D2D8B9C72949}"/>
              </c:ext>
            </c:extLst>
          </c:dPt>
          <c:dPt>
            <c:idx val="2742"/>
            <c:bubble3D val="0"/>
            <c:spPr>
              <a:solidFill>
                <a:schemeClr val="accent1">
                  <a:lumMod val="70000"/>
                </a:schemeClr>
              </a:solidFill>
              <a:ln w="19050">
                <a:solidFill>
                  <a:schemeClr val="lt1"/>
                </a:solidFill>
              </a:ln>
              <a:effectLst/>
            </c:spPr>
            <c:extLst>
              <c:ext xmlns:c16="http://schemas.microsoft.com/office/drawing/2014/chart" uri="{C3380CC4-5D6E-409C-BE32-E72D297353CC}">
                <c16:uniqueId val="{0000156D-9CF6-4383-B5CC-D2D8B9C72949}"/>
              </c:ext>
            </c:extLst>
          </c:dPt>
          <c:dPt>
            <c:idx val="2743"/>
            <c:bubble3D val="0"/>
            <c:spPr>
              <a:solidFill>
                <a:schemeClr val="accent2">
                  <a:lumMod val="70000"/>
                </a:schemeClr>
              </a:solidFill>
              <a:ln w="19050">
                <a:solidFill>
                  <a:schemeClr val="lt1"/>
                </a:solidFill>
              </a:ln>
              <a:effectLst/>
            </c:spPr>
            <c:extLst>
              <c:ext xmlns:c16="http://schemas.microsoft.com/office/drawing/2014/chart" uri="{C3380CC4-5D6E-409C-BE32-E72D297353CC}">
                <c16:uniqueId val="{0000156F-9CF6-4383-B5CC-D2D8B9C72949}"/>
              </c:ext>
            </c:extLst>
          </c:dPt>
          <c:dPt>
            <c:idx val="2744"/>
            <c:bubble3D val="0"/>
            <c:spPr>
              <a:solidFill>
                <a:schemeClr val="accent3">
                  <a:lumMod val="70000"/>
                </a:schemeClr>
              </a:solidFill>
              <a:ln w="19050">
                <a:solidFill>
                  <a:schemeClr val="lt1"/>
                </a:solidFill>
              </a:ln>
              <a:effectLst/>
            </c:spPr>
            <c:extLst>
              <c:ext xmlns:c16="http://schemas.microsoft.com/office/drawing/2014/chart" uri="{C3380CC4-5D6E-409C-BE32-E72D297353CC}">
                <c16:uniqueId val="{00001571-9CF6-4383-B5CC-D2D8B9C72949}"/>
              </c:ext>
            </c:extLst>
          </c:dPt>
          <c:dPt>
            <c:idx val="2745"/>
            <c:bubble3D val="0"/>
            <c:spPr>
              <a:solidFill>
                <a:schemeClr val="accent4">
                  <a:lumMod val="70000"/>
                </a:schemeClr>
              </a:solidFill>
              <a:ln w="19050">
                <a:solidFill>
                  <a:schemeClr val="lt1"/>
                </a:solidFill>
              </a:ln>
              <a:effectLst/>
            </c:spPr>
            <c:extLst>
              <c:ext xmlns:c16="http://schemas.microsoft.com/office/drawing/2014/chart" uri="{C3380CC4-5D6E-409C-BE32-E72D297353CC}">
                <c16:uniqueId val="{00001573-9CF6-4383-B5CC-D2D8B9C72949}"/>
              </c:ext>
            </c:extLst>
          </c:dPt>
          <c:dPt>
            <c:idx val="2746"/>
            <c:bubble3D val="0"/>
            <c:spPr>
              <a:solidFill>
                <a:schemeClr val="accent5">
                  <a:lumMod val="70000"/>
                </a:schemeClr>
              </a:solidFill>
              <a:ln w="19050">
                <a:solidFill>
                  <a:schemeClr val="lt1"/>
                </a:solidFill>
              </a:ln>
              <a:effectLst/>
            </c:spPr>
            <c:extLst>
              <c:ext xmlns:c16="http://schemas.microsoft.com/office/drawing/2014/chart" uri="{C3380CC4-5D6E-409C-BE32-E72D297353CC}">
                <c16:uniqueId val="{00001575-9CF6-4383-B5CC-D2D8B9C72949}"/>
              </c:ext>
            </c:extLst>
          </c:dPt>
          <c:dPt>
            <c:idx val="2747"/>
            <c:bubble3D val="0"/>
            <c:spPr>
              <a:solidFill>
                <a:schemeClr val="accent6">
                  <a:lumMod val="70000"/>
                </a:schemeClr>
              </a:solidFill>
              <a:ln w="19050">
                <a:solidFill>
                  <a:schemeClr val="lt1"/>
                </a:solidFill>
              </a:ln>
              <a:effectLst/>
            </c:spPr>
            <c:extLst>
              <c:ext xmlns:c16="http://schemas.microsoft.com/office/drawing/2014/chart" uri="{C3380CC4-5D6E-409C-BE32-E72D297353CC}">
                <c16:uniqueId val="{00001577-9CF6-4383-B5CC-D2D8B9C72949}"/>
              </c:ext>
            </c:extLst>
          </c:dPt>
          <c:dPt>
            <c:idx val="2748"/>
            <c:bubble3D val="0"/>
            <c:spPr>
              <a:solidFill>
                <a:schemeClr val="accent1">
                  <a:lumMod val="50000"/>
                  <a:lumOff val="50000"/>
                </a:schemeClr>
              </a:solidFill>
              <a:ln w="19050">
                <a:solidFill>
                  <a:schemeClr val="lt1"/>
                </a:solidFill>
              </a:ln>
              <a:effectLst/>
            </c:spPr>
            <c:extLst>
              <c:ext xmlns:c16="http://schemas.microsoft.com/office/drawing/2014/chart" uri="{C3380CC4-5D6E-409C-BE32-E72D297353CC}">
                <c16:uniqueId val="{00001579-9CF6-4383-B5CC-D2D8B9C72949}"/>
              </c:ext>
            </c:extLst>
          </c:dPt>
          <c:dPt>
            <c:idx val="2749"/>
            <c:bubble3D val="0"/>
            <c:spPr>
              <a:solidFill>
                <a:schemeClr val="accent2">
                  <a:lumMod val="50000"/>
                  <a:lumOff val="50000"/>
                </a:schemeClr>
              </a:solidFill>
              <a:ln w="19050">
                <a:solidFill>
                  <a:schemeClr val="lt1"/>
                </a:solidFill>
              </a:ln>
              <a:effectLst/>
            </c:spPr>
            <c:extLst>
              <c:ext xmlns:c16="http://schemas.microsoft.com/office/drawing/2014/chart" uri="{C3380CC4-5D6E-409C-BE32-E72D297353CC}">
                <c16:uniqueId val="{0000157B-9CF6-4383-B5CC-D2D8B9C72949}"/>
              </c:ext>
            </c:extLst>
          </c:dPt>
          <c:dPt>
            <c:idx val="2750"/>
            <c:bubble3D val="0"/>
            <c:spPr>
              <a:solidFill>
                <a:schemeClr val="accent3">
                  <a:lumMod val="50000"/>
                  <a:lumOff val="50000"/>
                </a:schemeClr>
              </a:solidFill>
              <a:ln w="19050">
                <a:solidFill>
                  <a:schemeClr val="lt1"/>
                </a:solidFill>
              </a:ln>
              <a:effectLst/>
            </c:spPr>
            <c:extLst>
              <c:ext xmlns:c16="http://schemas.microsoft.com/office/drawing/2014/chart" uri="{C3380CC4-5D6E-409C-BE32-E72D297353CC}">
                <c16:uniqueId val="{0000157D-9CF6-4383-B5CC-D2D8B9C72949}"/>
              </c:ext>
            </c:extLst>
          </c:dPt>
          <c:dPt>
            <c:idx val="2751"/>
            <c:bubble3D val="0"/>
            <c:spPr>
              <a:solidFill>
                <a:schemeClr val="accent4">
                  <a:lumMod val="50000"/>
                  <a:lumOff val="50000"/>
                </a:schemeClr>
              </a:solidFill>
              <a:ln w="19050">
                <a:solidFill>
                  <a:schemeClr val="lt1"/>
                </a:solidFill>
              </a:ln>
              <a:effectLst/>
            </c:spPr>
            <c:extLst>
              <c:ext xmlns:c16="http://schemas.microsoft.com/office/drawing/2014/chart" uri="{C3380CC4-5D6E-409C-BE32-E72D297353CC}">
                <c16:uniqueId val="{0000157F-9CF6-4383-B5CC-D2D8B9C72949}"/>
              </c:ext>
            </c:extLst>
          </c:dPt>
          <c:dPt>
            <c:idx val="2752"/>
            <c:bubble3D val="0"/>
            <c:spPr>
              <a:solidFill>
                <a:schemeClr val="accent5">
                  <a:lumMod val="50000"/>
                  <a:lumOff val="50000"/>
                </a:schemeClr>
              </a:solidFill>
              <a:ln w="19050">
                <a:solidFill>
                  <a:schemeClr val="lt1"/>
                </a:solidFill>
              </a:ln>
              <a:effectLst/>
            </c:spPr>
            <c:extLst>
              <c:ext xmlns:c16="http://schemas.microsoft.com/office/drawing/2014/chart" uri="{C3380CC4-5D6E-409C-BE32-E72D297353CC}">
                <c16:uniqueId val="{00001581-9CF6-4383-B5CC-D2D8B9C72949}"/>
              </c:ext>
            </c:extLst>
          </c:dPt>
          <c:dPt>
            <c:idx val="2753"/>
            <c:bubble3D val="0"/>
            <c:spPr>
              <a:solidFill>
                <a:schemeClr val="accent6">
                  <a:lumMod val="50000"/>
                  <a:lumOff val="50000"/>
                </a:schemeClr>
              </a:solidFill>
              <a:ln w="19050">
                <a:solidFill>
                  <a:schemeClr val="lt1"/>
                </a:solidFill>
              </a:ln>
              <a:effectLst/>
            </c:spPr>
            <c:extLst>
              <c:ext xmlns:c16="http://schemas.microsoft.com/office/drawing/2014/chart" uri="{C3380CC4-5D6E-409C-BE32-E72D297353CC}">
                <c16:uniqueId val="{00001583-9CF6-4383-B5CC-D2D8B9C72949}"/>
              </c:ext>
            </c:extLst>
          </c:dPt>
          <c:dPt>
            <c:idx val="2754"/>
            <c:bubble3D val="0"/>
            <c:spPr>
              <a:solidFill>
                <a:schemeClr val="accent1"/>
              </a:solidFill>
              <a:ln w="19050">
                <a:solidFill>
                  <a:schemeClr val="lt1"/>
                </a:solidFill>
              </a:ln>
              <a:effectLst/>
            </c:spPr>
            <c:extLst>
              <c:ext xmlns:c16="http://schemas.microsoft.com/office/drawing/2014/chart" uri="{C3380CC4-5D6E-409C-BE32-E72D297353CC}">
                <c16:uniqueId val="{00001585-9CF6-4383-B5CC-D2D8B9C72949}"/>
              </c:ext>
            </c:extLst>
          </c:dPt>
          <c:dPt>
            <c:idx val="2755"/>
            <c:bubble3D val="0"/>
            <c:spPr>
              <a:solidFill>
                <a:schemeClr val="accent2"/>
              </a:solidFill>
              <a:ln w="19050">
                <a:solidFill>
                  <a:schemeClr val="lt1"/>
                </a:solidFill>
              </a:ln>
              <a:effectLst/>
            </c:spPr>
            <c:extLst>
              <c:ext xmlns:c16="http://schemas.microsoft.com/office/drawing/2014/chart" uri="{C3380CC4-5D6E-409C-BE32-E72D297353CC}">
                <c16:uniqueId val="{00001587-9CF6-4383-B5CC-D2D8B9C72949}"/>
              </c:ext>
            </c:extLst>
          </c:dPt>
          <c:dPt>
            <c:idx val="2756"/>
            <c:bubble3D val="0"/>
            <c:spPr>
              <a:solidFill>
                <a:schemeClr val="accent3"/>
              </a:solidFill>
              <a:ln w="19050">
                <a:solidFill>
                  <a:schemeClr val="lt1"/>
                </a:solidFill>
              </a:ln>
              <a:effectLst/>
            </c:spPr>
            <c:extLst>
              <c:ext xmlns:c16="http://schemas.microsoft.com/office/drawing/2014/chart" uri="{C3380CC4-5D6E-409C-BE32-E72D297353CC}">
                <c16:uniqueId val="{00001589-9CF6-4383-B5CC-D2D8B9C72949}"/>
              </c:ext>
            </c:extLst>
          </c:dPt>
          <c:dPt>
            <c:idx val="2757"/>
            <c:bubble3D val="0"/>
            <c:spPr>
              <a:solidFill>
                <a:schemeClr val="accent4"/>
              </a:solidFill>
              <a:ln w="19050">
                <a:solidFill>
                  <a:schemeClr val="lt1"/>
                </a:solidFill>
              </a:ln>
              <a:effectLst/>
            </c:spPr>
            <c:extLst>
              <c:ext xmlns:c16="http://schemas.microsoft.com/office/drawing/2014/chart" uri="{C3380CC4-5D6E-409C-BE32-E72D297353CC}">
                <c16:uniqueId val="{0000158B-9CF6-4383-B5CC-D2D8B9C72949}"/>
              </c:ext>
            </c:extLst>
          </c:dPt>
          <c:dPt>
            <c:idx val="2758"/>
            <c:bubble3D val="0"/>
            <c:spPr>
              <a:solidFill>
                <a:schemeClr val="accent5"/>
              </a:solidFill>
              <a:ln w="19050">
                <a:solidFill>
                  <a:schemeClr val="lt1"/>
                </a:solidFill>
              </a:ln>
              <a:effectLst/>
            </c:spPr>
            <c:extLst>
              <c:ext xmlns:c16="http://schemas.microsoft.com/office/drawing/2014/chart" uri="{C3380CC4-5D6E-409C-BE32-E72D297353CC}">
                <c16:uniqueId val="{0000158D-9CF6-4383-B5CC-D2D8B9C72949}"/>
              </c:ext>
            </c:extLst>
          </c:dPt>
          <c:dPt>
            <c:idx val="2759"/>
            <c:bubble3D val="0"/>
            <c:spPr>
              <a:solidFill>
                <a:schemeClr val="accent6"/>
              </a:solidFill>
              <a:ln w="19050">
                <a:solidFill>
                  <a:schemeClr val="lt1"/>
                </a:solidFill>
              </a:ln>
              <a:effectLst/>
            </c:spPr>
            <c:extLst>
              <c:ext xmlns:c16="http://schemas.microsoft.com/office/drawing/2014/chart" uri="{C3380CC4-5D6E-409C-BE32-E72D297353CC}">
                <c16:uniqueId val="{0000158F-9CF6-4383-B5CC-D2D8B9C72949}"/>
              </c:ext>
            </c:extLst>
          </c:dPt>
          <c:dPt>
            <c:idx val="2760"/>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1591-9CF6-4383-B5CC-D2D8B9C72949}"/>
              </c:ext>
            </c:extLst>
          </c:dPt>
          <c:dPt>
            <c:idx val="2761"/>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1593-9CF6-4383-B5CC-D2D8B9C72949}"/>
              </c:ext>
            </c:extLst>
          </c:dPt>
          <c:dPt>
            <c:idx val="2762"/>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1595-9CF6-4383-B5CC-D2D8B9C72949}"/>
              </c:ext>
            </c:extLst>
          </c:dPt>
          <c:dPt>
            <c:idx val="2763"/>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1597-9CF6-4383-B5CC-D2D8B9C72949}"/>
              </c:ext>
            </c:extLst>
          </c:dPt>
          <c:dPt>
            <c:idx val="276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1599-9CF6-4383-B5CC-D2D8B9C72949}"/>
              </c:ext>
            </c:extLst>
          </c:dPt>
          <c:dPt>
            <c:idx val="276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159B-9CF6-4383-B5CC-D2D8B9C72949}"/>
              </c:ext>
            </c:extLst>
          </c:dPt>
          <c:dPt>
            <c:idx val="2766"/>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159D-9CF6-4383-B5CC-D2D8B9C72949}"/>
              </c:ext>
            </c:extLst>
          </c:dPt>
          <c:dPt>
            <c:idx val="2767"/>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159F-9CF6-4383-B5CC-D2D8B9C729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'Product analysis'!$A$4:$A$24</c:f>
              <c:strCache>
                <c:ptCount val="20"/>
                <c:pt idx="0">
                  <c:v>Asstd Design 3d Paper Stickers</c:v>
                </c:pt>
                <c:pt idx="1">
                  <c:v>Rabbit Night Light</c:v>
                </c:pt>
                <c:pt idx="2">
                  <c:v>Popcorn Holder</c:v>
                </c:pt>
                <c:pt idx="3">
                  <c:v>Paper Chain Kit 50'S Christmas</c:v>
                </c:pt>
                <c:pt idx="4">
                  <c:v>Disco Ball Christmas Decoration</c:v>
                </c:pt>
                <c:pt idx="5">
                  <c:v>Wooden Star Christmas Scandinavian</c:v>
                </c:pt>
                <c:pt idx="6">
                  <c:v>Assorted Colour Bird Ornament</c:v>
                </c:pt>
                <c:pt idx="7">
                  <c:v>World War 2 Gliders Asstd Designs</c:v>
                </c:pt>
                <c:pt idx="8">
                  <c:v>Wooden Heart Christmas Scandinavian</c:v>
                </c:pt>
                <c:pt idx="9">
                  <c:v>Vintage Doily Jumbo Bag Red</c:v>
                </c:pt>
                <c:pt idx="10">
                  <c:v>Paper Chain Kit Vintage Christmas</c:v>
                </c:pt>
                <c:pt idx="11">
                  <c:v>Cream Hanging Heart T-Light Holder</c:v>
                </c:pt>
                <c:pt idx="12">
                  <c:v>Rotating Silver Angels T-Light Hldr</c:v>
                </c:pt>
                <c:pt idx="13">
                  <c:v>60 Cake Cases Vintage Christmas</c:v>
                </c:pt>
                <c:pt idx="14">
                  <c:v>Jumbo Bag 50'S Christmas</c:v>
                </c:pt>
                <c:pt idx="15">
                  <c:v>Jumbo Bag Red Retrospot</c:v>
                </c:pt>
                <c:pt idx="16">
                  <c:v>Black Record Cover Frame</c:v>
                </c:pt>
                <c:pt idx="17">
                  <c:v>Charlotte Bag Suki Design</c:v>
                </c:pt>
                <c:pt idx="18">
                  <c:v>Christmas Hanging Star With Bell</c:v>
                </c:pt>
                <c:pt idx="19">
                  <c:v>Red Retrospot Charlotte Bag</c:v>
                </c:pt>
              </c:strCache>
            </c:strRef>
          </c:cat>
          <c:val>
            <c:numRef>
              <c:f>'Product analysis'!$B$4:$B$24</c:f>
              <c:numCache>
                <c:formatCode>General</c:formatCode>
                <c:ptCount val="20"/>
                <c:pt idx="0">
                  <c:v>12632</c:v>
                </c:pt>
                <c:pt idx="1">
                  <c:v>11241</c:v>
                </c:pt>
                <c:pt idx="2">
                  <c:v>11238</c:v>
                </c:pt>
                <c:pt idx="3">
                  <c:v>5494</c:v>
                </c:pt>
                <c:pt idx="4">
                  <c:v>3868</c:v>
                </c:pt>
                <c:pt idx="5">
                  <c:v>3675</c:v>
                </c:pt>
                <c:pt idx="6">
                  <c:v>3254</c:v>
                </c:pt>
                <c:pt idx="7">
                  <c:v>3113</c:v>
                </c:pt>
                <c:pt idx="8">
                  <c:v>3112</c:v>
                </c:pt>
                <c:pt idx="9">
                  <c:v>2728</c:v>
                </c:pt>
                <c:pt idx="10">
                  <c:v>2707</c:v>
                </c:pt>
                <c:pt idx="11">
                  <c:v>2614</c:v>
                </c:pt>
                <c:pt idx="12">
                  <c:v>2609</c:v>
                </c:pt>
                <c:pt idx="13">
                  <c:v>2536</c:v>
                </c:pt>
                <c:pt idx="14">
                  <c:v>2485</c:v>
                </c:pt>
                <c:pt idx="15">
                  <c:v>2484</c:v>
                </c:pt>
                <c:pt idx="16">
                  <c:v>2439</c:v>
                </c:pt>
                <c:pt idx="17">
                  <c:v>2391</c:v>
                </c:pt>
                <c:pt idx="18">
                  <c:v>2188</c:v>
                </c:pt>
                <c:pt idx="19">
                  <c:v>2114</c:v>
                </c:pt>
              </c:numCache>
            </c:numRef>
          </c:val>
          <c:extLst>
            <c:ext xmlns:c16="http://schemas.microsoft.com/office/drawing/2014/chart" uri="{C3380CC4-5D6E-409C-BE32-E72D297353CC}">
              <c16:uniqueId val="{000015A0-9CF6-4383-B5CC-D2D8B9C7294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[Cleaned_Sales_Transaction.xlsx]Transaction analysis!PivotTable1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35723681987262279"/>
          <c:y val="0.23266325026942614"/>
          <c:w val="0.52828051501466722"/>
          <c:h val="0.62680969164448941"/>
        </c:manualLayout>
      </c:layout>
      <c:barChart>
        <c:barDir val="bar"/>
        <c:grouping val="clustered"/>
        <c:varyColors val="0"/>
        <c:ser>
          <c:idx val="0"/>
          <c:order val="0"/>
          <c:tx>
            <c:strRef>
              <c:f>'Transaction analysis'!$B$3</c:f>
              <c:strCache>
                <c:ptCount val="1"/>
                <c:pt idx="0">
                  <c:v>Total</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'Transaction analysis'!$A$4:$A$2422</c:f>
              <c:strCache>
                <c:ptCount val="2418"/>
                <c:pt idx="0">
                  <c:v>576892</c:v>
                </c:pt>
                <c:pt idx="1">
                  <c:v>576893</c:v>
                </c:pt>
                <c:pt idx="2">
                  <c:v>576894</c:v>
                </c:pt>
                <c:pt idx="3">
                  <c:v>576895</c:v>
                </c:pt>
                <c:pt idx="4">
                  <c:v>576896</c:v>
                </c:pt>
                <c:pt idx="5">
                  <c:v>576897</c:v>
                </c:pt>
                <c:pt idx="6">
                  <c:v>576899</c:v>
                </c:pt>
                <c:pt idx="7">
                  <c:v>576900</c:v>
                </c:pt>
                <c:pt idx="8">
                  <c:v>576901</c:v>
                </c:pt>
                <c:pt idx="9">
                  <c:v>576902</c:v>
                </c:pt>
                <c:pt idx="10">
                  <c:v>576904</c:v>
                </c:pt>
                <c:pt idx="11">
                  <c:v>576905</c:v>
                </c:pt>
                <c:pt idx="12">
                  <c:v>576906</c:v>
                </c:pt>
                <c:pt idx="13">
                  <c:v>576907</c:v>
                </c:pt>
                <c:pt idx="14">
                  <c:v>576909</c:v>
                </c:pt>
                <c:pt idx="15">
                  <c:v>576910</c:v>
                </c:pt>
                <c:pt idx="16">
                  <c:v>576911</c:v>
                </c:pt>
                <c:pt idx="17">
                  <c:v>576912</c:v>
                </c:pt>
                <c:pt idx="18">
                  <c:v>576913</c:v>
                </c:pt>
                <c:pt idx="19">
                  <c:v>576914</c:v>
                </c:pt>
                <c:pt idx="20">
                  <c:v>576915</c:v>
                </c:pt>
                <c:pt idx="21">
                  <c:v>576916</c:v>
                </c:pt>
                <c:pt idx="22">
                  <c:v>576917</c:v>
                </c:pt>
                <c:pt idx="23">
                  <c:v>576920</c:v>
                </c:pt>
                <c:pt idx="24">
                  <c:v>576922</c:v>
                </c:pt>
                <c:pt idx="25">
                  <c:v>576923</c:v>
                </c:pt>
                <c:pt idx="26">
                  <c:v>576924</c:v>
                </c:pt>
                <c:pt idx="27">
                  <c:v>576926</c:v>
                </c:pt>
                <c:pt idx="28">
                  <c:v>576927</c:v>
                </c:pt>
                <c:pt idx="29">
                  <c:v>576928</c:v>
                </c:pt>
                <c:pt idx="30">
                  <c:v>576929</c:v>
                </c:pt>
                <c:pt idx="31">
                  <c:v>576930</c:v>
                </c:pt>
                <c:pt idx="32">
                  <c:v>576931</c:v>
                </c:pt>
                <c:pt idx="33">
                  <c:v>576932</c:v>
                </c:pt>
                <c:pt idx="34">
                  <c:v>576933</c:v>
                </c:pt>
                <c:pt idx="35">
                  <c:v>576941</c:v>
                </c:pt>
                <c:pt idx="36">
                  <c:v>576948</c:v>
                </c:pt>
                <c:pt idx="37">
                  <c:v>576958</c:v>
                </c:pt>
                <c:pt idx="38">
                  <c:v>576971</c:v>
                </c:pt>
                <c:pt idx="39">
                  <c:v>576984</c:v>
                </c:pt>
                <c:pt idx="40">
                  <c:v>576995</c:v>
                </c:pt>
                <c:pt idx="41">
                  <c:v>577000</c:v>
                </c:pt>
                <c:pt idx="42">
                  <c:v>577008</c:v>
                </c:pt>
                <c:pt idx="43">
                  <c:v>577009</c:v>
                </c:pt>
                <c:pt idx="44">
                  <c:v>577010</c:v>
                </c:pt>
                <c:pt idx="45">
                  <c:v>577011</c:v>
                </c:pt>
                <c:pt idx="46">
                  <c:v>577016</c:v>
                </c:pt>
                <c:pt idx="47">
                  <c:v>577018</c:v>
                </c:pt>
                <c:pt idx="48">
                  <c:v>577019</c:v>
                </c:pt>
                <c:pt idx="49">
                  <c:v>577020</c:v>
                </c:pt>
                <c:pt idx="50">
                  <c:v>577021</c:v>
                </c:pt>
                <c:pt idx="51">
                  <c:v>577022</c:v>
                </c:pt>
                <c:pt idx="52">
                  <c:v>577023</c:v>
                </c:pt>
                <c:pt idx="53">
                  <c:v>577024</c:v>
                </c:pt>
                <c:pt idx="54">
                  <c:v>577025</c:v>
                </c:pt>
                <c:pt idx="55">
                  <c:v>577026</c:v>
                </c:pt>
                <c:pt idx="56">
                  <c:v>577027</c:v>
                </c:pt>
                <c:pt idx="57">
                  <c:v>577028</c:v>
                </c:pt>
                <c:pt idx="58">
                  <c:v>577029</c:v>
                </c:pt>
                <c:pt idx="59">
                  <c:v>577030</c:v>
                </c:pt>
                <c:pt idx="60">
                  <c:v>577031</c:v>
                </c:pt>
                <c:pt idx="61">
                  <c:v>577032</c:v>
                </c:pt>
                <c:pt idx="62">
                  <c:v>577033</c:v>
                </c:pt>
                <c:pt idx="63">
                  <c:v>577034</c:v>
                </c:pt>
                <c:pt idx="64">
                  <c:v>577035</c:v>
                </c:pt>
                <c:pt idx="65">
                  <c:v>577036</c:v>
                </c:pt>
                <c:pt idx="66">
                  <c:v>577038</c:v>
                </c:pt>
                <c:pt idx="67">
                  <c:v>577039</c:v>
                </c:pt>
                <c:pt idx="68">
                  <c:v>577041</c:v>
                </c:pt>
                <c:pt idx="69">
                  <c:v>577043</c:v>
                </c:pt>
                <c:pt idx="70">
                  <c:v>577044</c:v>
                </c:pt>
                <c:pt idx="71">
                  <c:v>577045</c:v>
                </c:pt>
                <c:pt idx="72">
                  <c:v>577046</c:v>
                </c:pt>
                <c:pt idx="73">
                  <c:v>577047</c:v>
                </c:pt>
                <c:pt idx="74">
                  <c:v>577048</c:v>
                </c:pt>
                <c:pt idx="75">
                  <c:v>577049</c:v>
                </c:pt>
                <c:pt idx="76">
                  <c:v>577050</c:v>
                </c:pt>
                <c:pt idx="77">
                  <c:v>577051</c:v>
                </c:pt>
                <c:pt idx="78">
                  <c:v>577052</c:v>
                </c:pt>
                <c:pt idx="79">
                  <c:v>577053</c:v>
                </c:pt>
                <c:pt idx="80">
                  <c:v>577054</c:v>
                </c:pt>
                <c:pt idx="81">
                  <c:v>577055</c:v>
                </c:pt>
                <c:pt idx="82">
                  <c:v>577056</c:v>
                </c:pt>
                <c:pt idx="83">
                  <c:v>577057</c:v>
                </c:pt>
                <c:pt idx="84">
                  <c:v>577058</c:v>
                </c:pt>
                <c:pt idx="85">
                  <c:v>577059</c:v>
                </c:pt>
                <c:pt idx="86">
                  <c:v>577060</c:v>
                </c:pt>
                <c:pt idx="87">
                  <c:v>577061</c:v>
                </c:pt>
                <c:pt idx="88">
                  <c:v>577062</c:v>
                </c:pt>
                <c:pt idx="89">
                  <c:v>577063</c:v>
                </c:pt>
                <c:pt idx="90">
                  <c:v>577064</c:v>
                </c:pt>
                <c:pt idx="91">
                  <c:v>577065</c:v>
                </c:pt>
                <c:pt idx="92">
                  <c:v>577067</c:v>
                </c:pt>
                <c:pt idx="93">
                  <c:v>577069</c:v>
                </c:pt>
                <c:pt idx="94">
                  <c:v>577071</c:v>
                </c:pt>
                <c:pt idx="95">
                  <c:v>577072</c:v>
                </c:pt>
                <c:pt idx="96">
                  <c:v>577074</c:v>
                </c:pt>
                <c:pt idx="97">
                  <c:v>577076</c:v>
                </c:pt>
                <c:pt idx="98">
                  <c:v>577077</c:v>
                </c:pt>
                <c:pt idx="99">
                  <c:v>577078</c:v>
                </c:pt>
                <c:pt idx="100">
                  <c:v>577079</c:v>
                </c:pt>
                <c:pt idx="101">
                  <c:v>577080</c:v>
                </c:pt>
                <c:pt idx="102">
                  <c:v>577082</c:v>
                </c:pt>
                <c:pt idx="103">
                  <c:v>577083</c:v>
                </c:pt>
                <c:pt idx="104">
                  <c:v>577084</c:v>
                </c:pt>
                <c:pt idx="105">
                  <c:v>577085</c:v>
                </c:pt>
                <c:pt idx="106">
                  <c:v>577086</c:v>
                </c:pt>
                <c:pt idx="107">
                  <c:v>577087</c:v>
                </c:pt>
                <c:pt idx="108">
                  <c:v>577088</c:v>
                </c:pt>
                <c:pt idx="109">
                  <c:v>577089</c:v>
                </c:pt>
                <c:pt idx="110">
                  <c:v>577090</c:v>
                </c:pt>
                <c:pt idx="111">
                  <c:v>577091</c:v>
                </c:pt>
                <c:pt idx="112">
                  <c:v>577092</c:v>
                </c:pt>
                <c:pt idx="113">
                  <c:v>577093</c:v>
                </c:pt>
                <c:pt idx="114">
                  <c:v>577094</c:v>
                </c:pt>
                <c:pt idx="115">
                  <c:v>577095</c:v>
                </c:pt>
                <c:pt idx="116">
                  <c:v>577097</c:v>
                </c:pt>
                <c:pt idx="117">
                  <c:v>577098</c:v>
                </c:pt>
                <c:pt idx="118">
                  <c:v>577099</c:v>
                </c:pt>
                <c:pt idx="119">
                  <c:v>577100</c:v>
                </c:pt>
                <c:pt idx="120">
                  <c:v>577101</c:v>
                </c:pt>
                <c:pt idx="121">
                  <c:v>577103</c:v>
                </c:pt>
                <c:pt idx="122">
                  <c:v>577108</c:v>
                </c:pt>
                <c:pt idx="123">
                  <c:v>577109</c:v>
                </c:pt>
                <c:pt idx="124">
                  <c:v>577121</c:v>
                </c:pt>
                <c:pt idx="125">
                  <c:v>577128</c:v>
                </c:pt>
                <c:pt idx="126">
                  <c:v>577130</c:v>
                </c:pt>
                <c:pt idx="127">
                  <c:v>577132</c:v>
                </c:pt>
                <c:pt idx="128">
                  <c:v>577133</c:v>
                </c:pt>
                <c:pt idx="129">
                  <c:v>577134</c:v>
                </c:pt>
                <c:pt idx="130">
                  <c:v>577135</c:v>
                </c:pt>
                <c:pt idx="131">
                  <c:v>577136</c:v>
                </c:pt>
                <c:pt idx="132">
                  <c:v>577137</c:v>
                </c:pt>
                <c:pt idx="133">
                  <c:v>577138</c:v>
                </c:pt>
                <c:pt idx="134">
                  <c:v>577139</c:v>
                </c:pt>
                <c:pt idx="135">
                  <c:v>577140</c:v>
                </c:pt>
                <c:pt idx="136">
                  <c:v>577141</c:v>
                </c:pt>
                <c:pt idx="137">
                  <c:v>577142</c:v>
                </c:pt>
                <c:pt idx="138">
                  <c:v>577143</c:v>
                </c:pt>
                <c:pt idx="139">
                  <c:v>577146</c:v>
                </c:pt>
                <c:pt idx="140">
                  <c:v>577148</c:v>
                </c:pt>
                <c:pt idx="141">
                  <c:v>577150</c:v>
                </c:pt>
                <c:pt idx="142">
                  <c:v>577152</c:v>
                </c:pt>
                <c:pt idx="143">
                  <c:v>577155</c:v>
                </c:pt>
                <c:pt idx="144">
                  <c:v>577156</c:v>
                </c:pt>
                <c:pt idx="145">
                  <c:v>577157</c:v>
                </c:pt>
                <c:pt idx="146">
                  <c:v>577158</c:v>
                </c:pt>
                <c:pt idx="147">
                  <c:v>577160</c:v>
                </c:pt>
                <c:pt idx="148">
                  <c:v>577161</c:v>
                </c:pt>
                <c:pt idx="149">
                  <c:v>577162</c:v>
                </c:pt>
                <c:pt idx="150">
                  <c:v>577165</c:v>
                </c:pt>
                <c:pt idx="151">
                  <c:v>577166</c:v>
                </c:pt>
                <c:pt idx="152">
                  <c:v>577167</c:v>
                </c:pt>
                <c:pt idx="153">
                  <c:v>577168</c:v>
                </c:pt>
                <c:pt idx="154">
                  <c:v>577169</c:v>
                </c:pt>
                <c:pt idx="155">
                  <c:v>577170</c:v>
                </c:pt>
                <c:pt idx="156">
                  <c:v>577171</c:v>
                </c:pt>
                <c:pt idx="157">
                  <c:v>577172</c:v>
                </c:pt>
                <c:pt idx="158">
                  <c:v>577173</c:v>
                </c:pt>
                <c:pt idx="159">
                  <c:v>577174</c:v>
                </c:pt>
                <c:pt idx="160">
                  <c:v>577175</c:v>
                </c:pt>
                <c:pt idx="161">
                  <c:v>577176</c:v>
                </c:pt>
                <c:pt idx="162">
                  <c:v>577177</c:v>
                </c:pt>
                <c:pt idx="163">
                  <c:v>577178</c:v>
                </c:pt>
                <c:pt idx="164">
                  <c:v>577179</c:v>
                </c:pt>
                <c:pt idx="165">
                  <c:v>577180</c:v>
                </c:pt>
                <c:pt idx="166">
                  <c:v>577181</c:v>
                </c:pt>
                <c:pt idx="167">
                  <c:v>577182</c:v>
                </c:pt>
                <c:pt idx="168">
                  <c:v>577202</c:v>
                </c:pt>
                <c:pt idx="169">
                  <c:v>577209</c:v>
                </c:pt>
                <c:pt idx="170">
                  <c:v>577217</c:v>
                </c:pt>
                <c:pt idx="171">
                  <c:v>577218</c:v>
                </c:pt>
                <c:pt idx="172">
                  <c:v>577228</c:v>
                </c:pt>
                <c:pt idx="173">
                  <c:v>577230</c:v>
                </c:pt>
                <c:pt idx="174">
                  <c:v>577231</c:v>
                </c:pt>
                <c:pt idx="175">
                  <c:v>577235</c:v>
                </c:pt>
                <c:pt idx="176">
                  <c:v>577252</c:v>
                </c:pt>
                <c:pt idx="177">
                  <c:v>577256</c:v>
                </c:pt>
                <c:pt idx="178">
                  <c:v>577258</c:v>
                </c:pt>
                <c:pt idx="179">
                  <c:v>577286</c:v>
                </c:pt>
                <c:pt idx="180">
                  <c:v>577289</c:v>
                </c:pt>
                <c:pt idx="181">
                  <c:v>577295</c:v>
                </c:pt>
                <c:pt idx="182">
                  <c:v>577296</c:v>
                </c:pt>
                <c:pt idx="183">
                  <c:v>577297</c:v>
                </c:pt>
                <c:pt idx="184">
                  <c:v>577298</c:v>
                </c:pt>
                <c:pt idx="185">
                  <c:v>577299</c:v>
                </c:pt>
                <c:pt idx="186">
                  <c:v>577300</c:v>
                </c:pt>
                <c:pt idx="187">
                  <c:v>577301</c:v>
                </c:pt>
                <c:pt idx="188">
                  <c:v>577302</c:v>
                </c:pt>
                <c:pt idx="189">
                  <c:v>577303</c:v>
                </c:pt>
                <c:pt idx="190">
                  <c:v>577308</c:v>
                </c:pt>
                <c:pt idx="191">
                  <c:v>577309</c:v>
                </c:pt>
                <c:pt idx="192">
                  <c:v>577310</c:v>
                </c:pt>
                <c:pt idx="193">
                  <c:v>577311</c:v>
                </c:pt>
                <c:pt idx="194">
                  <c:v>577312</c:v>
                </c:pt>
                <c:pt idx="195">
                  <c:v>577313</c:v>
                </c:pt>
                <c:pt idx="196">
                  <c:v>577314</c:v>
                </c:pt>
                <c:pt idx="197">
                  <c:v>577315</c:v>
                </c:pt>
                <c:pt idx="198">
                  <c:v>577316</c:v>
                </c:pt>
                <c:pt idx="199">
                  <c:v>577317</c:v>
                </c:pt>
                <c:pt idx="200">
                  <c:v>577318</c:v>
                </c:pt>
                <c:pt idx="201">
                  <c:v>577319</c:v>
                </c:pt>
                <c:pt idx="202">
                  <c:v>577320</c:v>
                </c:pt>
                <c:pt idx="203">
                  <c:v>577321</c:v>
                </c:pt>
                <c:pt idx="204">
                  <c:v>577322</c:v>
                </c:pt>
                <c:pt idx="205">
                  <c:v>577324</c:v>
                </c:pt>
                <c:pt idx="206">
                  <c:v>577325</c:v>
                </c:pt>
                <c:pt idx="207">
                  <c:v>577326</c:v>
                </c:pt>
                <c:pt idx="208">
                  <c:v>577328</c:v>
                </c:pt>
                <c:pt idx="209">
                  <c:v>577329</c:v>
                </c:pt>
                <c:pt idx="210">
                  <c:v>577331</c:v>
                </c:pt>
                <c:pt idx="211">
                  <c:v>577332</c:v>
                </c:pt>
                <c:pt idx="212">
                  <c:v>577333</c:v>
                </c:pt>
                <c:pt idx="213">
                  <c:v>577334</c:v>
                </c:pt>
                <c:pt idx="214">
                  <c:v>577335</c:v>
                </c:pt>
                <c:pt idx="215">
                  <c:v>577336</c:v>
                </c:pt>
                <c:pt idx="216">
                  <c:v>577337</c:v>
                </c:pt>
                <c:pt idx="217">
                  <c:v>577338</c:v>
                </c:pt>
                <c:pt idx="218">
                  <c:v>577341</c:v>
                </c:pt>
                <c:pt idx="219">
                  <c:v>577344</c:v>
                </c:pt>
                <c:pt idx="220">
                  <c:v>577347</c:v>
                </c:pt>
                <c:pt idx="221">
                  <c:v>577352</c:v>
                </c:pt>
                <c:pt idx="222">
                  <c:v>577355</c:v>
                </c:pt>
                <c:pt idx="223">
                  <c:v>577356</c:v>
                </c:pt>
                <c:pt idx="224">
                  <c:v>577357</c:v>
                </c:pt>
                <c:pt idx="225">
                  <c:v>577358</c:v>
                </c:pt>
                <c:pt idx="226">
                  <c:v>577359</c:v>
                </c:pt>
                <c:pt idx="227">
                  <c:v>577361</c:v>
                </c:pt>
                <c:pt idx="228">
                  <c:v>577365</c:v>
                </c:pt>
                <c:pt idx="229">
                  <c:v>577382</c:v>
                </c:pt>
                <c:pt idx="230">
                  <c:v>577387</c:v>
                </c:pt>
                <c:pt idx="231">
                  <c:v>577393</c:v>
                </c:pt>
                <c:pt idx="232">
                  <c:v>577396</c:v>
                </c:pt>
                <c:pt idx="233">
                  <c:v>577400</c:v>
                </c:pt>
                <c:pt idx="234">
                  <c:v>577401</c:v>
                </c:pt>
                <c:pt idx="235">
                  <c:v>577402</c:v>
                </c:pt>
                <c:pt idx="236">
                  <c:v>577403</c:v>
                </c:pt>
                <c:pt idx="237">
                  <c:v>577404</c:v>
                </c:pt>
                <c:pt idx="238">
                  <c:v>577405</c:v>
                </c:pt>
                <c:pt idx="239">
                  <c:v>577406</c:v>
                </c:pt>
                <c:pt idx="240">
                  <c:v>577407</c:v>
                </c:pt>
                <c:pt idx="241">
                  <c:v>577408</c:v>
                </c:pt>
                <c:pt idx="242">
                  <c:v>577409</c:v>
                </c:pt>
                <c:pt idx="243">
                  <c:v>577410</c:v>
                </c:pt>
                <c:pt idx="244">
                  <c:v>577411</c:v>
                </c:pt>
                <c:pt idx="245">
                  <c:v>577429</c:v>
                </c:pt>
                <c:pt idx="246">
                  <c:v>577438</c:v>
                </c:pt>
                <c:pt idx="247">
                  <c:v>577440</c:v>
                </c:pt>
                <c:pt idx="248">
                  <c:v>577443</c:v>
                </c:pt>
                <c:pt idx="249">
                  <c:v>577469</c:v>
                </c:pt>
                <c:pt idx="250">
                  <c:v>577472</c:v>
                </c:pt>
                <c:pt idx="251">
                  <c:v>577473</c:v>
                </c:pt>
                <c:pt idx="252">
                  <c:v>577474</c:v>
                </c:pt>
                <c:pt idx="253">
                  <c:v>577475</c:v>
                </c:pt>
                <c:pt idx="254">
                  <c:v>577476</c:v>
                </c:pt>
                <c:pt idx="255">
                  <c:v>577477</c:v>
                </c:pt>
                <c:pt idx="256">
                  <c:v>577478</c:v>
                </c:pt>
                <c:pt idx="257">
                  <c:v>577479</c:v>
                </c:pt>
                <c:pt idx="258">
                  <c:v>577480</c:v>
                </c:pt>
                <c:pt idx="259">
                  <c:v>577482</c:v>
                </c:pt>
                <c:pt idx="260">
                  <c:v>577483</c:v>
                </c:pt>
                <c:pt idx="261">
                  <c:v>577484</c:v>
                </c:pt>
                <c:pt idx="262">
                  <c:v>577485</c:v>
                </c:pt>
                <c:pt idx="263">
                  <c:v>577487</c:v>
                </c:pt>
                <c:pt idx="264">
                  <c:v>577488</c:v>
                </c:pt>
                <c:pt idx="265">
                  <c:v>577489</c:v>
                </c:pt>
                <c:pt idx="266">
                  <c:v>577490</c:v>
                </c:pt>
                <c:pt idx="267">
                  <c:v>577491</c:v>
                </c:pt>
                <c:pt idx="268">
                  <c:v>577492</c:v>
                </c:pt>
                <c:pt idx="269">
                  <c:v>577493</c:v>
                </c:pt>
                <c:pt idx="270">
                  <c:v>577494</c:v>
                </c:pt>
                <c:pt idx="271">
                  <c:v>577495</c:v>
                </c:pt>
                <c:pt idx="272">
                  <c:v>577496</c:v>
                </c:pt>
                <c:pt idx="273">
                  <c:v>577497</c:v>
                </c:pt>
                <c:pt idx="274">
                  <c:v>577498</c:v>
                </c:pt>
                <c:pt idx="275">
                  <c:v>577499</c:v>
                </c:pt>
                <c:pt idx="276">
                  <c:v>577500</c:v>
                </c:pt>
                <c:pt idx="277">
                  <c:v>577501</c:v>
                </c:pt>
                <c:pt idx="278">
                  <c:v>577502</c:v>
                </c:pt>
                <c:pt idx="279">
                  <c:v>577503</c:v>
                </c:pt>
                <c:pt idx="280">
                  <c:v>577504</c:v>
                </c:pt>
                <c:pt idx="281">
                  <c:v>577505</c:v>
                </c:pt>
                <c:pt idx="282">
                  <c:v>577506</c:v>
                </c:pt>
                <c:pt idx="283">
                  <c:v>577507</c:v>
                </c:pt>
                <c:pt idx="284">
                  <c:v>577508</c:v>
                </c:pt>
                <c:pt idx="285">
                  <c:v>577510</c:v>
                </c:pt>
                <c:pt idx="286">
                  <c:v>577511</c:v>
                </c:pt>
                <c:pt idx="287">
                  <c:v>577512</c:v>
                </c:pt>
                <c:pt idx="288">
                  <c:v>577514</c:v>
                </c:pt>
                <c:pt idx="289">
                  <c:v>577515</c:v>
                </c:pt>
                <c:pt idx="290">
                  <c:v>577516</c:v>
                </c:pt>
                <c:pt idx="291">
                  <c:v>577517</c:v>
                </c:pt>
                <c:pt idx="292">
                  <c:v>577518</c:v>
                </c:pt>
                <c:pt idx="293">
                  <c:v>577519</c:v>
                </c:pt>
                <c:pt idx="294">
                  <c:v>577520</c:v>
                </c:pt>
                <c:pt idx="295">
                  <c:v>577521</c:v>
                </c:pt>
                <c:pt idx="296">
                  <c:v>577522</c:v>
                </c:pt>
                <c:pt idx="297">
                  <c:v>577523</c:v>
                </c:pt>
                <c:pt idx="298">
                  <c:v>577524</c:v>
                </c:pt>
                <c:pt idx="299">
                  <c:v>577525</c:v>
                </c:pt>
                <c:pt idx="300">
                  <c:v>577526</c:v>
                </c:pt>
                <c:pt idx="301">
                  <c:v>577527</c:v>
                </c:pt>
                <c:pt idx="302">
                  <c:v>577528</c:v>
                </c:pt>
                <c:pt idx="303">
                  <c:v>577529</c:v>
                </c:pt>
                <c:pt idx="304">
                  <c:v>577530</c:v>
                </c:pt>
                <c:pt idx="305">
                  <c:v>577531</c:v>
                </c:pt>
                <c:pt idx="306">
                  <c:v>577532</c:v>
                </c:pt>
                <c:pt idx="307">
                  <c:v>577533</c:v>
                </c:pt>
                <c:pt idx="308">
                  <c:v>577534</c:v>
                </c:pt>
                <c:pt idx="309">
                  <c:v>577535</c:v>
                </c:pt>
                <c:pt idx="310">
                  <c:v>577536</c:v>
                </c:pt>
                <c:pt idx="311">
                  <c:v>577537</c:v>
                </c:pt>
                <c:pt idx="312">
                  <c:v>577538</c:v>
                </c:pt>
                <c:pt idx="313">
                  <c:v>577539</c:v>
                </c:pt>
                <c:pt idx="314">
                  <c:v>577540</c:v>
                </c:pt>
                <c:pt idx="315">
                  <c:v>577541</c:v>
                </c:pt>
                <c:pt idx="316">
                  <c:v>577542</c:v>
                </c:pt>
                <c:pt idx="317">
                  <c:v>577543</c:v>
                </c:pt>
                <c:pt idx="318">
                  <c:v>577544</c:v>
                </c:pt>
                <c:pt idx="319">
                  <c:v>577545</c:v>
                </c:pt>
                <c:pt idx="320">
                  <c:v>577546</c:v>
                </c:pt>
                <c:pt idx="321">
                  <c:v>577548</c:v>
                </c:pt>
                <c:pt idx="322">
                  <c:v>577549</c:v>
                </c:pt>
                <c:pt idx="323">
                  <c:v>577550</c:v>
                </c:pt>
                <c:pt idx="324">
                  <c:v>577551</c:v>
                </c:pt>
                <c:pt idx="325">
                  <c:v>577552</c:v>
                </c:pt>
                <c:pt idx="326">
                  <c:v>577553</c:v>
                </c:pt>
                <c:pt idx="327">
                  <c:v>577554</c:v>
                </c:pt>
                <c:pt idx="328">
                  <c:v>577555</c:v>
                </c:pt>
                <c:pt idx="329">
                  <c:v>577556</c:v>
                </c:pt>
                <c:pt idx="330">
                  <c:v>577557</c:v>
                </c:pt>
                <c:pt idx="331">
                  <c:v>577572</c:v>
                </c:pt>
                <c:pt idx="332">
                  <c:v>577579</c:v>
                </c:pt>
                <c:pt idx="333">
                  <c:v>577594</c:v>
                </c:pt>
                <c:pt idx="334">
                  <c:v>577595</c:v>
                </c:pt>
                <c:pt idx="335">
                  <c:v>577596</c:v>
                </c:pt>
                <c:pt idx="336">
                  <c:v>577597</c:v>
                </c:pt>
                <c:pt idx="337">
                  <c:v>577598</c:v>
                </c:pt>
                <c:pt idx="338">
                  <c:v>577599</c:v>
                </c:pt>
                <c:pt idx="339">
                  <c:v>577600</c:v>
                </c:pt>
                <c:pt idx="340">
                  <c:v>577601</c:v>
                </c:pt>
                <c:pt idx="341">
                  <c:v>577602</c:v>
                </c:pt>
                <c:pt idx="342">
                  <c:v>577603</c:v>
                </c:pt>
                <c:pt idx="343">
                  <c:v>577604</c:v>
                </c:pt>
                <c:pt idx="344">
                  <c:v>577605</c:v>
                </c:pt>
                <c:pt idx="345">
                  <c:v>577606</c:v>
                </c:pt>
                <c:pt idx="346">
                  <c:v>577607</c:v>
                </c:pt>
                <c:pt idx="347">
                  <c:v>577609</c:v>
                </c:pt>
                <c:pt idx="348">
                  <c:v>577610</c:v>
                </c:pt>
                <c:pt idx="349">
                  <c:v>577613</c:v>
                </c:pt>
                <c:pt idx="350">
                  <c:v>577615</c:v>
                </c:pt>
                <c:pt idx="351">
                  <c:v>577616</c:v>
                </c:pt>
                <c:pt idx="352">
                  <c:v>577617</c:v>
                </c:pt>
                <c:pt idx="353">
                  <c:v>577618</c:v>
                </c:pt>
                <c:pt idx="354">
                  <c:v>577633</c:v>
                </c:pt>
                <c:pt idx="355">
                  <c:v>577646</c:v>
                </c:pt>
                <c:pt idx="356">
                  <c:v>577669</c:v>
                </c:pt>
                <c:pt idx="357">
                  <c:v>577680</c:v>
                </c:pt>
                <c:pt idx="358">
                  <c:v>577687</c:v>
                </c:pt>
                <c:pt idx="359">
                  <c:v>577689</c:v>
                </c:pt>
                <c:pt idx="360">
                  <c:v>577690</c:v>
                </c:pt>
                <c:pt idx="361">
                  <c:v>577691</c:v>
                </c:pt>
                <c:pt idx="362">
                  <c:v>577694</c:v>
                </c:pt>
                <c:pt idx="363">
                  <c:v>577695</c:v>
                </c:pt>
                <c:pt idx="364">
                  <c:v>577696</c:v>
                </c:pt>
                <c:pt idx="365">
                  <c:v>577697</c:v>
                </c:pt>
                <c:pt idx="366">
                  <c:v>577698</c:v>
                </c:pt>
                <c:pt idx="367">
                  <c:v>577699</c:v>
                </c:pt>
                <c:pt idx="368">
                  <c:v>577700</c:v>
                </c:pt>
                <c:pt idx="369">
                  <c:v>577701</c:v>
                </c:pt>
                <c:pt idx="370">
                  <c:v>577711</c:v>
                </c:pt>
                <c:pt idx="371">
                  <c:v>577716</c:v>
                </c:pt>
                <c:pt idx="372">
                  <c:v>577718</c:v>
                </c:pt>
                <c:pt idx="373">
                  <c:v>577719</c:v>
                </c:pt>
                <c:pt idx="374">
                  <c:v>577720</c:v>
                </c:pt>
                <c:pt idx="375">
                  <c:v>577721</c:v>
                </c:pt>
                <c:pt idx="376">
                  <c:v>577723</c:v>
                </c:pt>
                <c:pt idx="377">
                  <c:v>577724</c:v>
                </c:pt>
                <c:pt idx="378">
                  <c:v>577725</c:v>
                </c:pt>
                <c:pt idx="379">
                  <c:v>577726</c:v>
                </c:pt>
                <c:pt idx="380">
                  <c:v>577727</c:v>
                </c:pt>
                <c:pt idx="381">
                  <c:v>577728</c:v>
                </c:pt>
                <c:pt idx="382">
                  <c:v>577729</c:v>
                </c:pt>
                <c:pt idx="383">
                  <c:v>577730</c:v>
                </c:pt>
                <c:pt idx="384">
                  <c:v>577732</c:v>
                </c:pt>
                <c:pt idx="385">
                  <c:v>577733</c:v>
                </c:pt>
                <c:pt idx="386">
                  <c:v>577734</c:v>
                </c:pt>
                <c:pt idx="387">
                  <c:v>577735</c:v>
                </c:pt>
                <c:pt idx="388">
                  <c:v>577736</c:v>
                </c:pt>
                <c:pt idx="389">
                  <c:v>577738</c:v>
                </c:pt>
                <c:pt idx="390">
                  <c:v>577739</c:v>
                </c:pt>
                <c:pt idx="391">
                  <c:v>577740</c:v>
                </c:pt>
                <c:pt idx="392">
                  <c:v>577741</c:v>
                </c:pt>
                <c:pt idx="393">
                  <c:v>577742</c:v>
                </c:pt>
                <c:pt idx="394">
                  <c:v>577743</c:v>
                </c:pt>
                <c:pt idx="395">
                  <c:v>577744</c:v>
                </c:pt>
                <c:pt idx="396">
                  <c:v>577745</c:v>
                </c:pt>
                <c:pt idx="397">
                  <c:v>577746</c:v>
                </c:pt>
                <c:pt idx="398">
                  <c:v>577747</c:v>
                </c:pt>
                <c:pt idx="399">
                  <c:v>577748</c:v>
                </c:pt>
                <c:pt idx="400">
                  <c:v>577749</c:v>
                </c:pt>
                <c:pt idx="401">
                  <c:v>577751</c:v>
                </c:pt>
                <c:pt idx="402">
                  <c:v>577754</c:v>
                </c:pt>
                <c:pt idx="403">
                  <c:v>577755</c:v>
                </c:pt>
                <c:pt idx="404">
                  <c:v>577756</c:v>
                </c:pt>
                <c:pt idx="405">
                  <c:v>577757</c:v>
                </c:pt>
                <c:pt idx="406">
                  <c:v>577768</c:v>
                </c:pt>
                <c:pt idx="407">
                  <c:v>577769</c:v>
                </c:pt>
                <c:pt idx="408">
                  <c:v>577770</c:v>
                </c:pt>
                <c:pt idx="409">
                  <c:v>577771</c:v>
                </c:pt>
                <c:pt idx="410">
                  <c:v>577772</c:v>
                </c:pt>
                <c:pt idx="411">
                  <c:v>577773</c:v>
                </c:pt>
                <c:pt idx="412">
                  <c:v>577774</c:v>
                </c:pt>
                <c:pt idx="413">
                  <c:v>577776</c:v>
                </c:pt>
                <c:pt idx="414">
                  <c:v>577777</c:v>
                </c:pt>
                <c:pt idx="415">
                  <c:v>577778</c:v>
                </c:pt>
                <c:pt idx="416">
                  <c:v>577779</c:v>
                </c:pt>
                <c:pt idx="417">
                  <c:v>577780</c:v>
                </c:pt>
                <c:pt idx="418">
                  <c:v>577782</c:v>
                </c:pt>
                <c:pt idx="419">
                  <c:v>577783</c:v>
                </c:pt>
                <c:pt idx="420">
                  <c:v>577784</c:v>
                </c:pt>
                <c:pt idx="421">
                  <c:v>577785</c:v>
                </c:pt>
                <c:pt idx="422">
                  <c:v>577790</c:v>
                </c:pt>
                <c:pt idx="423">
                  <c:v>577791</c:v>
                </c:pt>
                <c:pt idx="424">
                  <c:v>577792</c:v>
                </c:pt>
                <c:pt idx="425">
                  <c:v>577793</c:v>
                </c:pt>
                <c:pt idx="426">
                  <c:v>577794</c:v>
                </c:pt>
                <c:pt idx="427">
                  <c:v>577795</c:v>
                </c:pt>
                <c:pt idx="428">
                  <c:v>577796</c:v>
                </c:pt>
                <c:pt idx="429">
                  <c:v>577797</c:v>
                </c:pt>
                <c:pt idx="430">
                  <c:v>577798</c:v>
                </c:pt>
                <c:pt idx="431">
                  <c:v>577800</c:v>
                </c:pt>
                <c:pt idx="432">
                  <c:v>577801</c:v>
                </c:pt>
                <c:pt idx="433">
                  <c:v>577802</c:v>
                </c:pt>
                <c:pt idx="434">
                  <c:v>577803</c:v>
                </c:pt>
                <c:pt idx="435">
                  <c:v>577804</c:v>
                </c:pt>
                <c:pt idx="436">
                  <c:v>577805</c:v>
                </c:pt>
                <c:pt idx="437">
                  <c:v>577806</c:v>
                </c:pt>
                <c:pt idx="438">
                  <c:v>577807</c:v>
                </c:pt>
                <c:pt idx="439">
                  <c:v>577808</c:v>
                </c:pt>
                <c:pt idx="440">
                  <c:v>577809</c:v>
                </c:pt>
                <c:pt idx="441">
                  <c:v>577810</c:v>
                </c:pt>
                <c:pt idx="442">
                  <c:v>577811</c:v>
                </c:pt>
                <c:pt idx="443">
                  <c:v>577812</c:v>
                </c:pt>
                <c:pt idx="444">
                  <c:v>577813</c:v>
                </c:pt>
                <c:pt idx="445">
                  <c:v>577814</c:v>
                </c:pt>
                <c:pt idx="446">
                  <c:v>577816</c:v>
                </c:pt>
                <c:pt idx="447">
                  <c:v>577818</c:v>
                </c:pt>
                <c:pt idx="448">
                  <c:v>577820</c:v>
                </c:pt>
                <c:pt idx="449">
                  <c:v>577822</c:v>
                </c:pt>
                <c:pt idx="450">
                  <c:v>577823</c:v>
                </c:pt>
                <c:pt idx="451">
                  <c:v>577824</c:v>
                </c:pt>
                <c:pt idx="452">
                  <c:v>577825</c:v>
                </c:pt>
                <c:pt idx="453">
                  <c:v>577826</c:v>
                </c:pt>
                <c:pt idx="454">
                  <c:v>577827</c:v>
                </c:pt>
                <c:pt idx="455">
                  <c:v>577830</c:v>
                </c:pt>
                <c:pt idx="456">
                  <c:v>577831</c:v>
                </c:pt>
                <c:pt idx="457">
                  <c:v>577833</c:v>
                </c:pt>
                <c:pt idx="458">
                  <c:v>577834</c:v>
                </c:pt>
                <c:pt idx="459">
                  <c:v>577835</c:v>
                </c:pt>
                <c:pt idx="460">
                  <c:v>577837</c:v>
                </c:pt>
                <c:pt idx="461">
                  <c:v>577838</c:v>
                </c:pt>
                <c:pt idx="462">
                  <c:v>577840</c:v>
                </c:pt>
                <c:pt idx="463">
                  <c:v>577841</c:v>
                </c:pt>
                <c:pt idx="464">
                  <c:v>577842</c:v>
                </c:pt>
                <c:pt idx="465">
                  <c:v>577843</c:v>
                </c:pt>
                <c:pt idx="466">
                  <c:v>577844</c:v>
                </c:pt>
                <c:pt idx="467">
                  <c:v>577845</c:v>
                </c:pt>
                <c:pt idx="468">
                  <c:v>577848</c:v>
                </c:pt>
                <c:pt idx="469">
                  <c:v>577850</c:v>
                </c:pt>
                <c:pt idx="470">
                  <c:v>577851</c:v>
                </c:pt>
                <c:pt idx="471">
                  <c:v>577852</c:v>
                </c:pt>
                <c:pt idx="472">
                  <c:v>577853</c:v>
                </c:pt>
                <c:pt idx="473">
                  <c:v>577854</c:v>
                </c:pt>
                <c:pt idx="474">
                  <c:v>577855</c:v>
                </c:pt>
                <c:pt idx="475">
                  <c:v>577856</c:v>
                </c:pt>
                <c:pt idx="476">
                  <c:v>577857</c:v>
                </c:pt>
                <c:pt idx="477">
                  <c:v>577858</c:v>
                </c:pt>
                <c:pt idx="478">
                  <c:v>577859</c:v>
                </c:pt>
                <c:pt idx="479">
                  <c:v>577860</c:v>
                </c:pt>
                <c:pt idx="480">
                  <c:v>577861</c:v>
                </c:pt>
                <c:pt idx="481">
                  <c:v>577869</c:v>
                </c:pt>
                <c:pt idx="482">
                  <c:v>577880</c:v>
                </c:pt>
                <c:pt idx="483">
                  <c:v>577893</c:v>
                </c:pt>
                <c:pt idx="484">
                  <c:v>577897</c:v>
                </c:pt>
                <c:pt idx="485">
                  <c:v>577905</c:v>
                </c:pt>
                <c:pt idx="486">
                  <c:v>577919</c:v>
                </c:pt>
                <c:pt idx="487">
                  <c:v>577938</c:v>
                </c:pt>
                <c:pt idx="488">
                  <c:v>577950</c:v>
                </c:pt>
                <c:pt idx="489">
                  <c:v>577951</c:v>
                </c:pt>
                <c:pt idx="490">
                  <c:v>577973</c:v>
                </c:pt>
                <c:pt idx="491">
                  <c:v>577980</c:v>
                </c:pt>
                <c:pt idx="492">
                  <c:v>577985</c:v>
                </c:pt>
                <c:pt idx="493">
                  <c:v>578004</c:v>
                </c:pt>
                <c:pt idx="494">
                  <c:v>578005</c:v>
                </c:pt>
                <c:pt idx="495">
                  <c:v>578006</c:v>
                </c:pt>
                <c:pt idx="496">
                  <c:v>578008</c:v>
                </c:pt>
                <c:pt idx="497">
                  <c:v>578009</c:v>
                </c:pt>
                <c:pt idx="498">
                  <c:v>578010</c:v>
                </c:pt>
                <c:pt idx="499">
                  <c:v>578011</c:v>
                </c:pt>
                <c:pt idx="500">
                  <c:v>578012</c:v>
                </c:pt>
                <c:pt idx="501">
                  <c:v>578013</c:v>
                </c:pt>
                <c:pt idx="502">
                  <c:v>578014</c:v>
                </c:pt>
                <c:pt idx="503">
                  <c:v>578015</c:v>
                </c:pt>
                <c:pt idx="504">
                  <c:v>578016</c:v>
                </c:pt>
                <c:pt idx="505">
                  <c:v>578017</c:v>
                </c:pt>
                <c:pt idx="506">
                  <c:v>578018</c:v>
                </c:pt>
                <c:pt idx="507">
                  <c:v>578019</c:v>
                </c:pt>
                <c:pt idx="508">
                  <c:v>578020</c:v>
                </c:pt>
                <c:pt idx="509">
                  <c:v>578021</c:v>
                </c:pt>
                <c:pt idx="510">
                  <c:v>578022</c:v>
                </c:pt>
                <c:pt idx="511">
                  <c:v>578023</c:v>
                </c:pt>
                <c:pt idx="512">
                  <c:v>578024</c:v>
                </c:pt>
                <c:pt idx="513">
                  <c:v>578025</c:v>
                </c:pt>
                <c:pt idx="514">
                  <c:v>578026</c:v>
                </c:pt>
                <c:pt idx="515">
                  <c:v>578027</c:v>
                </c:pt>
                <c:pt idx="516">
                  <c:v>578028</c:v>
                </c:pt>
                <c:pt idx="517">
                  <c:v>578029</c:v>
                </c:pt>
                <c:pt idx="518">
                  <c:v>578030</c:v>
                </c:pt>
                <c:pt idx="519">
                  <c:v>578031</c:v>
                </c:pt>
                <c:pt idx="520">
                  <c:v>578032</c:v>
                </c:pt>
                <c:pt idx="521">
                  <c:v>578033</c:v>
                </c:pt>
                <c:pt idx="522">
                  <c:v>578034</c:v>
                </c:pt>
                <c:pt idx="523">
                  <c:v>578035</c:v>
                </c:pt>
                <c:pt idx="524">
                  <c:v>578036</c:v>
                </c:pt>
                <c:pt idx="525">
                  <c:v>578037</c:v>
                </c:pt>
                <c:pt idx="526">
                  <c:v>578038</c:v>
                </c:pt>
                <c:pt idx="527">
                  <c:v>578040</c:v>
                </c:pt>
                <c:pt idx="528">
                  <c:v>578041</c:v>
                </c:pt>
                <c:pt idx="529">
                  <c:v>578042</c:v>
                </c:pt>
                <c:pt idx="530">
                  <c:v>578043</c:v>
                </c:pt>
                <c:pt idx="531">
                  <c:v>578044</c:v>
                </c:pt>
                <c:pt idx="532">
                  <c:v>578045</c:v>
                </c:pt>
                <c:pt idx="533">
                  <c:v>578053</c:v>
                </c:pt>
                <c:pt idx="534">
                  <c:v>578054</c:v>
                </c:pt>
                <c:pt idx="535">
                  <c:v>578055</c:v>
                </c:pt>
                <c:pt idx="536">
                  <c:v>578056</c:v>
                </c:pt>
                <c:pt idx="537">
                  <c:v>578057</c:v>
                </c:pt>
                <c:pt idx="538">
                  <c:v>578058</c:v>
                </c:pt>
                <c:pt idx="539">
                  <c:v>578059</c:v>
                </c:pt>
                <c:pt idx="540">
                  <c:v>578060</c:v>
                </c:pt>
                <c:pt idx="541">
                  <c:v>578063</c:v>
                </c:pt>
                <c:pt idx="542">
                  <c:v>578064</c:v>
                </c:pt>
                <c:pt idx="543">
                  <c:v>578065</c:v>
                </c:pt>
                <c:pt idx="544">
                  <c:v>578066</c:v>
                </c:pt>
                <c:pt idx="545">
                  <c:v>578067</c:v>
                </c:pt>
                <c:pt idx="546">
                  <c:v>578068</c:v>
                </c:pt>
                <c:pt idx="547">
                  <c:v>578069</c:v>
                </c:pt>
                <c:pt idx="548">
                  <c:v>578070</c:v>
                </c:pt>
                <c:pt idx="549">
                  <c:v>578071</c:v>
                </c:pt>
                <c:pt idx="550">
                  <c:v>578072</c:v>
                </c:pt>
                <c:pt idx="551">
                  <c:v>578074</c:v>
                </c:pt>
                <c:pt idx="552">
                  <c:v>578075</c:v>
                </c:pt>
                <c:pt idx="553">
                  <c:v>578078</c:v>
                </c:pt>
                <c:pt idx="554">
                  <c:v>578079</c:v>
                </c:pt>
                <c:pt idx="555">
                  <c:v>578080</c:v>
                </c:pt>
                <c:pt idx="556">
                  <c:v>578081</c:v>
                </c:pt>
                <c:pt idx="557">
                  <c:v>578082</c:v>
                </c:pt>
                <c:pt idx="558">
                  <c:v>578084</c:v>
                </c:pt>
                <c:pt idx="559">
                  <c:v>578085</c:v>
                </c:pt>
                <c:pt idx="560">
                  <c:v>578086</c:v>
                </c:pt>
                <c:pt idx="561">
                  <c:v>578087</c:v>
                </c:pt>
                <c:pt idx="562">
                  <c:v>578088</c:v>
                </c:pt>
                <c:pt idx="563">
                  <c:v>578089</c:v>
                </c:pt>
                <c:pt idx="564">
                  <c:v>578091</c:v>
                </c:pt>
                <c:pt idx="565">
                  <c:v>578092</c:v>
                </c:pt>
                <c:pt idx="566">
                  <c:v>578093</c:v>
                </c:pt>
                <c:pt idx="567">
                  <c:v>578094</c:v>
                </c:pt>
                <c:pt idx="568">
                  <c:v>578096</c:v>
                </c:pt>
                <c:pt idx="569">
                  <c:v>578097</c:v>
                </c:pt>
                <c:pt idx="570">
                  <c:v>578098</c:v>
                </c:pt>
                <c:pt idx="571">
                  <c:v>578099</c:v>
                </c:pt>
                <c:pt idx="572">
                  <c:v>578100</c:v>
                </c:pt>
                <c:pt idx="573">
                  <c:v>578101</c:v>
                </c:pt>
                <c:pt idx="574">
                  <c:v>578102</c:v>
                </c:pt>
                <c:pt idx="575">
                  <c:v>578103</c:v>
                </c:pt>
                <c:pt idx="576">
                  <c:v>578104</c:v>
                </c:pt>
                <c:pt idx="577">
                  <c:v>578105</c:v>
                </c:pt>
                <c:pt idx="578">
                  <c:v>578106</c:v>
                </c:pt>
                <c:pt idx="579">
                  <c:v>578107</c:v>
                </c:pt>
                <c:pt idx="580">
                  <c:v>578108</c:v>
                </c:pt>
                <c:pt idx="581">
                  <c:v>578109</c:v>
                </c:pt>
                <c:pt idx="582">
                  <c:v>578111</c:v>
                </c:pt>
                <c:pt idx="583">
                  <c:v>578112</c:v>
                </c:pt>
                <c:pt idx="584">
                  <c:v>578113</c:v>
                </c:pt>
                <c:pt idx="585">
                  <c:v>578114</c:v>
                </c:pt>
                <c:pt idx="586">
                  <c:v>578115</c:v>
                </c:pt>
                <c:pt idx="587">
                  <c:v>578116</c:v>
                </c:pt>
                <c:pt idx="588">
                  <c:v>578117</c:v>
                </c:pt>
                <c:pt idx="589">
                  <c:v>578118</c:v>
                </c:pt>
                <c:pt idx="590">
                  <c:v>578119</c:v>
                </c:pt>
                <c:pt idx="591">
                  <c:v>578120</c:v>
                </c:pt>
                <c:pt idx="592">
                  <c:v>578121</c:v>
                </c:pt>
                <c:pt idx="593">
                  <c:v>578125</c:v>
                </c:pt>
                <c:pt idx="594">
                  <c:v>578126</c:v>
                </c:pt>
                <c:pt idx="595">
                  <c:v>578127</c:v>
                </c:pt>
                <c:pt idx="596">
                  <c:v>578128</c:v>
                </c:pt>
                <c:pt idx="597">
                  <c:v>578129</c:v>
                </c:pt>
                <c:pt idx="598">
                  <c:v>578130</c:v>
                </c:pt>
                <c:pt idx="599">
                  <c:v>578133</c:v>
                </c:pt>
                <c:pt idx="600">
                  <c:v>578140</c:v>
                </c:pt>
                <c:pt idx="601">
                  <c:v>578141</c:v>
                </c:pt>
                <c:pt idx="602">
                  <c:v>578143</c:v>
                </c:pt>
                <c:pt idx="603">
                  <c:v>578146</c:v>
                </c:pt>
                <c:pt idx="604">
                  <c:v>578147</c:v>
                </c:pt>
                <c:pt idx="605">
                  <c:v>578149</c:v>
                </c:pt>
                <c:pt idx="606">
                  <c:v>578150</c:v>
                </c:pt>
                <c:pt idx="607">
                  <c:v>578151</c:v>
                </c:pt>
                <c:pt idx="608">
                  <c:v>578152</c:v>
                </c:pt>
                <c:pt idx="609">
                  <c:v>578153</c:v>
                </c:pt>
                <c:pt idx="610">
                  <c:v>578154</c:v>
                </c:pt>
                <c:pt idx="611">
                  <c:v>578155</c:v>
                </c:pt>
                <c:pt idx="612">
                  <c:v>578171</c:v>
                </c:pt>
                <c:pt idx="613">
                  <c:v>578174</c:v>
                </c:pt>
                <c:pt idx="614">
                  <c:v>578187</c:v>
                </c:pt>
                <c:pt idx="615">
                  <c:v>578192</c:v>
                </c:pt>
                <c:pt idx="616">
                  <c:v>578196</c:v>
                </c:pt>
                <c:pt idx="617">
                  <c:v>578211</c:v>
                </c:pt>
                <c:pt idx="618">
                  <c:v>578220</c:v>
                </c:pt>
                <c:pt idx="619">
                  <c:v>578225</c:v>
                </c:pt>
                <c:pt idx="620">
                  <c:v>578229</c:v>
                </c:pt>
                <c:pt idx="621">
                  <c:v>578230</c:v>
                </c:pt>
                <c:pt idx="622">
                  <c:v>578231</c:v>
                </c:pt>
                <c:pt idx="623">
                  <c:v>578232</c:v>
                </c:pt>
                <c:pt idx="624">
                  <c:v>578233</c:v>
                </c:pt>
                <c:pt idx="625">
                  <c:v>578234</c:v>
                </c:pt>
                <c:pt idx="626">
                  <c:v>578243</c:v>
                </c:pt>
                <c:pt idx="627">
                  <c:v>578244</c:v>
                </c:pt>
                <c:pt idx="628">
                  <c:v>578246</c:v>
                </c:pt>
                <c:pt idx="629">
                  <c:v>578247</c:v>
                </c:pt>
                <c:pt idx="630">
                  <c:v>578248</c:v>
                </c:pt>
                <c:pt idx="631">
                  <c:v>578249</c:v>
                </c:pt>
                <c:pt idx="632">
                  <c:v>578250</c:v>
                </c:pt>
                <c:pt idx="633">
                  <c:v>578251</c:v>
                </c:pt>
                <c:pt idx="634">
                  <c:v>578252</c:v>
                </c:pt>
                <c:pt idx="635">
                  <c:v>578253</c:v>
                </c:pt>
                <c:pt idx="636">
                  <c:v>578254</c:v>
                </c:pt>
                <c:pt idx="637">
                  <c:v>578255</c:v>
                </c:pt>
                <c:pt idx="638">
                  <c:v>578256</c:v>
                </c:pt>
                <c:pt idx="639">
                  <c:v>578258</c:v>
                </c:pt>
                <c:pt idx="640">
                  <c:v>578260</c:v>
                </c:pt>
                <c:pt idx="641">
                  <c:v>578261</c:v>
                </c:pt>
                <c:pt idx="642">
                  <c:v>578262</c:v>
                </c:pt>
                <c:pt idx="643">
                  <c:v>578263</c:v>
                </c:pt>
                <c:pt idx="644">
                  <c:v>578264</c:v>
                </c:pt>
                <c:pt idx="645">
                  <c:v>578265</c:v>
                </c:pt>
                <c:pt idx="646">
                  <c:v>578266</c:v>
                </c:pt>
                <c:pt idx="647">
                  <c:v>578267</c:v>
                </c:pt>
                <c:pt idx="648">
                  <c:v>578268</c:v>
                </c:pt>
                <c:pt idx="649">
                  <c:v>578270</c:v>
                </c:pt>
                <c:pt idx="650">
                  <c:v>578271</c:v>
                </c:pt>
                <c:pt idx="651">
                  <c:v>578272</c:v>
                </c:pt>
                <c:pt idx="652">
                  <c:v>578273</c:v>
                </c:pt>
                <c:pt idx="653">
                  <c:v>578275</c:v>
                </c:pt>
                <c:pt idx="654">
                  <c:v>578277</c:v>
                </c:pt>
                <c:pt idx="655">
                  <c:v>578278</c:v>
                </c:pt>
                <c:pt idx="656">
                  <c:v>578279</c:v>
                </c:pt>
                <c:pt idx="657">
                  <c:v>578281</c:v>
                </c:pt>
                <c:pt idx="658">
                  <c:v>578283</c:v>
                </c:pt>
                <c:pt idx="659">
                  <c:v>578284</c:v>
                </c:pt>
                <c:pt idx="660">
                  <c:v>578285</c:v>
                </c:pt>
                <c:pt idx="661">
                  <c:v>578286</c:v>
                </c:pt>
                <c:pt idx="662">
                  <c:v>578287</c:v>
                </c:pt>
                <c:pt idx="663">
                  <c:v>578288</c:v>
                </c:pt>
                <c:pt idx="664">
                  <c:v>578289</c:v>
                </c:pt>
                <c:pt idx="665">
                  <c:v>578290</c:v>
                </c:pt>
                <c:pt idx="666">
                  <c:v>578291</c:v>
                </c:pt>
                <c:pt idx="667">
                  <c:v>578292</c:v>
                </c:pt>
                <c:pt idx="668">
                  <c:v>578293</c:v>
                </c:pt>
                <c:pt idx="669">
                  <c:v>578294</c:v>
                </c:pt>
                <c:pt idx="670">
                  <c:v>578295</c:v>
                </c:pt>
                <c:pt idx="671">
                  <c:v>578296</c:v>
                </c:pt>
                <c:pt idx="672">
                  <c:v>578297</c:v>
                </c:pt>
                <c:pt idx="673">
                  <c:v>578298</c:v>
                </c:pt>
                <c:pt idx="674">
                  <c:v>578299</c:v>
                </c:pt>
                <c:pt idx="675">
                  <c:v>578300</c:v>
                </c:pt>
                <c:pt idx="676">
                  <c:v>578301</c:v>
                </c:pt>
                <c:pt idx="677">
                  <c:v>578302</c:v>
                </c:pt>
                <c:pt idx="678">
                  <c:v>578303</c:v>
                </c:pt>
                <c:pt idx="679">
                  <c:v>578304</c:v>
                </c:pt>
                <c:pt idx="680">
                  <c:v>578305</c:v>
                </c:pt>
                <c:pt idx="681">
                  <c:v>578306</c:v>
                </c:pt>
                <c:pt idx="682">
                  <c:v>578307</c:v>
                </c:pt>
                <c:pt idx="683">
                  <c:v>578308</c:v>
                </c:pt>
                <c:pt idx="684">
                  <c:v>578309</c:v>
                </c:pt>
                <c:pt idx="685">
                  <c:v>578310</c:v>
                </c:pt>
                <c:pt idx="686">
                  <c:v>578311</c:v>
                </c:pt>
                <c:pt idx="687">
                  <c:v>578312</c:v>
                </c:pt>
                <c:pt idx="688">
                  <c:v>578313</c:v>
                </c:pt>
                <c:pt idx="689">
                  <c:v>578314</c:v>
                </c:pt>
                <c:pt idx="690">
                  <c:v>578315</c:v>
                </c:pt>
                <c:pt idx="691">
                  <c:v>578316</c:v>
                </c:pt>
                <c:pt idx="692">
                  <c:v>578317</c:v>
                </c:pt>
                <c:pt idx="693">
                  <c:v>578318</c:v>
                </c:pt>
                <c:pt idx="694">
                  <c:v>578319</c:v>
                </c:pt>
                <c:pt idx="695">
                  <c:v>578321</c:v>
                </c:pt>
                <c:pt idx="696">
                  <c:v>578322</c:v>
                </c:pt>
                <c:pt idx="697">
                  <c:v>578323</c:v>
                </c:pt>
                <c:pt idx="698">
                  <c:v>578324</c:v>
                </c:pt>
                <c:pt idx="699">
                  <c:v>578325</c:v>
                </c:pt>
                <c:pt idx="700">
                  <c:v>578326</c:v>
                </c:pt>
                <c:pt idx="701">
                  <c:v>578330</c:v>
                </c:pt>
                <c:pt idx="702">
                  <c:v>578331</c:v>
                </c:pt>
                <c:pt idx="703">
                  <c:v>578332</c:v>
                </c:pt>
                <c:pt idx="704">
                  <c:v>578333</c:v>
                </c:pt>
                <c:pt idx="705">
                  <c:v>578334</c:v>
                </c:pt>
                <c:pt idx="706">
                  <c:v>578335</c:v>
                </c:pt>
                <c:pt idx="707">
                  <c:v>578339</c:v>
                </c:pt>
                <c:pt idx="708">
                  <c:v>578341</c:v>
                </c:pt>
                <c:pt idx="709">
                  <c:v>578343</c:v>
                </c:pt>
                <c:pt idx="710">
                  <c:v>578344</c:v>
                </c:pt>
                <c:pt idx="711">
                  <c:v>578345</c:v>
                </c:pt>
                <c:pt idx="712">
                  <c:v>578346</c:v>
                </c:pt>
                <c:pt idx="713">
                  <c:v>578347</c:v>
                </c:pt>
                <c:pt idx="714">
                  <c:v>578348</c:v>
                </c:pt>
                <c:pt idx="715">
                  <c:v>578349</c:v>
                </c:pt>
                <c:pt idx="716">
                  <c:v>578350</c:v>
                </c:pt>
                <c:pt idx="717">
                  <c:v>578351</c:v>
                </c:pt>
                <c:pt idx="718">
                  <c:v>578352</c:v>
                </c:pt>
                <c:pt idx="719">
                  <c:v>578353</c:v>
                </c:pt>
                <c:pt idx="720">
                  <c:v>578354</c:v>
                </c:pt>
                <c:pt idx="721">
                  <c:v>578356</c:v>
                </c:pt>
                <c:pt idx="722">
                  <c:v>578357</c:v>
                </c:pt>
                <c:pt idx="723">
                  <c:v>578358</c:v>
                </c:pt>
                <c:pt idx="724">
                  <c:v>578359</c:v>
                </c:pt>
                <c:pt idx="725">
                  <c:v>578361</c:v>
                </c:pt>
                <c:pt idx="726">
                  <c:v>578362</c:v>
                </c:pt>
                <c:pt idx="727">
                  <c:v>578364</c:v>
                </c:pt>
                <c:pt idx="728">
                  <c:v>578365</c:v>
                </c:pt>
                <c:pt idx="729">
                  <c:v>578366</c:v>
                </c:pt>
                <c:pt idx="730">
                  <c:v>578369</c:v>
                </c:pt>
                <c:pt idx="731">
                  <c:v>578370</c:v>
                </c:pt>
                <c:pt idx="732">
                  <c:v>578372</c:v>
                </c:pt>
                <c:pt idx="733">
                  <c:v>578373</c:v>
                </c:pt>
                <c:pt idx="734">
                  <c:v>578375</c:v>
                </c:pt>
                <c:pt idx="735">
                  <c:v>578384</c:v>
                </c:pt>
                <c:pt idx="736">
                  <c:v>578400</c:v>
                </c:pt>
                <c:pt idx="737">
                  <c:v>578420</c:v>
                </c:pt>
                <c:pt idx="738">
                  <c:v>578427</c:v>
                </c:pt>
                <c:pt idx="739">
                  <c:v>578429</c:v>
                </c:pt>
                <c:pt idx="740">
                  <c:v>578433</c:v>
                </c:pt>
                <c:pt idx="741">
                  <c:v>578441</c:v>
                </c:pt>
                <c:pt idx="742">
                  <c:v>578445</c:v>
                </c:pt>
                <c:pt idx="743">
                  <c:v>578451</c:v>
                </c:pt>
                <c:pt idx="744">
                  <c:v>578459</c:v>
                </c:pt>
                <c:pt idx="745">
                  <c:v>578461</c:v>
                </c:pt>
                <c:pt idx="746">
                  <c:v>578463</c:v>
                </c:pt>
                <c:pt idx="747">
                  <c:v>578468</c:v>
                </c:pt>
                <c:pt idx="748">
                  <c:v>578469</c:v>
                </c:pt>
                <c:pt idx="749">
                  <c:v>578470</c:v>
                </c:pt>
                <c:pt idx="750">
                  <c:v>578472</c:v>
                </c:pt>
                <c:pt idx="751">
                  <c:v>578479</c:v>
                </c:pt>
                <c:pt idx="752">
                  <c:v>578480</c:v>
                </c:pt>
                <c:pt idx="753">
                  <c:v>578485</c:v>
                </c:pt>
                <c:pt idx="754">
                  <c:v>578488</c:v>
                </c:pt>
                <c:pt idx="755">
                  <c:v>578506</c:v>
                </c:pt>
                <c:pt idx="756">
                  <c:v>578508</c:v>
                </c:pt>
                <c:pt idx="757">
                  <c:v>578509</c:v>
                </c:pt>
                <c:pt idx="758">
                  <c:v>578510</c:v>
                </c:pt>
                <c:pt idx="759">
                  <c:v>578511</c:v>
                </c:pt>
                <c:pt idx="760">
                  <c:v>578512</c:v>
                </c:pt>
                <c:pt idx="761">
                  <c:v>578513</c:v>
                </c:pt>
                <c:pt idx="762">
                  <c:v>578514</c:v>
                </c:pt>
                <c:pt idx="763">
                  <c:v>578515</c:v>
                </c:pt>
                <c:pt idx="764">
                  <c:v>578516</c:v>
                </c:pt>
                <c:pt idx="765">
                  <c:v>578517</c:v>
                </c:pt>
                <c:pt idx="766">
                  <c:v>578518</c:v>
                </c:pt>
                <c:pt idx="767">
                  <c:v>578519</c:v>
                </c:pt>
                <c:pt idx="768">
                  <c:v>578520</c:v>
                </c:pt>
                <c:pt idx="769">
                  <c:v>578521</c:v>
                </c:pt>
                <c:pt idx="770">
                  <c:v>578522</c:v>
                </c:pt>
                <c:pt idx="771">
                  <c:v>578523</c:v>
                </c:pt>
                <c:pt idx="772">
                  <c:v>578526</c:v>
                </c:pt>
                <c:pt idx="773">
                  <c:v>578530</c:v>
                </c:pt>
                <c:pt idx="774">
                  <c:v>578531</c:v>
                </c:pt>
                <c:pt idx="775">
                  <c:v>578532</c:v>
                </c:pt>
                <c:pt idx="776">
                  <c:v>578533</c:v>
                </c:pt>
                <c:pt idx="777">
                  <c:v>578534</c:v>
                </c:pt>
                <c:pt idx="778">
                  <c:v>578535</c:v>
                </c:pt>
                <c:pt idx="779">
                  <c:v>578539</c:v>
                </c:pt>
                <c:pt idx="780">
                  <c:v>578541</c:v>
                </c:pt>
                <c:pt idx="781">
                  <c:v>578544</c:v>
                </c:pt>
                <c:pt idx="782">
                  <c:v>578547</c:v>
                </c:pt>
                <c:pt idx="783">
                  <c:v>578548</c:v>
                </c:pt>
                <c:pt idx="784">
                  <c:v>578550</c:v>
                </c:pt>
                <c:pt idx="785">
                  <c:v>578551</c:v>
                </c:pt>
                <c:pt idx="786">
                  <c:v>578620</c:v>
                </c:pt>
                <c:pt idx="787">
                  <c:v>578621</c:v>
                </c:pt>
                <c:pt idx="788">
                  <c:v>578622</c:v>
                </c:pt>
                <c:pt idx="789">
                  <c:v>578623</c:v>
                </c:pt>
                <c:pt idx="790">
                  <c:v>578626</c:v>
                </c:pt>
                <c:pt idx="791">
                  <c:v>578627</c:v>
                </c:pt>
                <c:pt idx="792">
                  <c:v>578630</c:v>
                </c:pt>
                <c:pt idx="793">
                  <c:v>578631</c:v>
                </c:pt>
                <c:pt idx="794">
                  <c:v>578633</c:v>
                </c:pt>
                <c:pt idx="795">
                  <c:v>578634</c:v>
                </c:pt>
                <c:pt idx="796">
                  <c:v>578653</c:v>
                </c:pt>
                <c:pt idx="797">
                  <c:v>578661</c:v>
                </c:pt>
                <c:pt idx="798">
                  <c:v>578662</c:v>
                </c:pt>
                <c:pt idx="799">
                  <c:v>578663</c:v>
                </c:pt>
                <c:pt idx="800">
                  <c:v>578664</c:v>
                </c:pt>
                <c:pt idx="801">
                  <c:v>578665</c:v>
                </c:pt>
                <c:pt idx="802">
                  <c:v>578666</c:v>
                </c:pt>
                <c:pt idx="803">
                  <c:v>578667</c:v>
                </c:pt>
                <c:pt idx="804">
                  <c:v>578668</c:v>
                </c:pt>
                <c:pt idx="805">
                  <c:v>578670</c:v>
                </c:pt>
                <c:pt idx="806">
                  <c:v>578671</c:v>
                </c:pt>
                <c:pt idx="807">
                  <c:v>578672</c:v>
                </c:pt>
                <c:pt idx="808">
                  <c:v>578674</c:v>
                </c:pt>
                <c:pt idx="809">
                  <c:v>578675</c:v>
                </c:pt>
                <c:pt idx="810">
                  <c:v>578676</c:v>
                </c:pt>
                <c:pt idx="811">
                  <c:v>578677</c:v>
                </c:pt>
                <c:pt idx="812">
                  <c:v>578678</c:v>
                </c:pt>
                <c:pt idx="813">
                  <c:v>578679</c:v>
                </c:pt>
                <c:pt idx="814">
                  <c:v>578680</c:v>
                </c:pt>
                <c:pt idx="815">
                  <c:v>578681</c:v>
                </c:pt>
                <c:pt idx="816">
                  <c:v>578682</c:v>
                </c:pt>
                <c:pt idx="817">
                  <c:v>578683</c:v>
                </c:pt>
                <c:pt idx="818">
                  <c:v>578684</c:v>
                </c:pt>
                <c:pt idx="819">
                  <c:v>578685</c:v>
                </c:pt>
                <c:pt idx="820">
                  <c:v>578686</c:v>
                </c:pt>
                <c:pt idx="821">
                  <c:v>578687</c:v>
                </c:pt>
                <c:pt idx="822">
                  <c:v>578688</c:v>
                </c:pt>
                <c:pt idx="823">
                  <c:v>578689</c:v>
                </c:pt>
                <c:pt idx="824">
                  <c:v>578690</c:v>
                </c:pt>
                <c:pt idx="825">
                  <c:v>578694</c:v>
                </c:pt>
                <c:pt idx="826">
                  <c:v>578695</c:v>
                </c:pt>
                <c:pt idx="827">
                  <c:v>578696</c:v>
                </c:pt>
                <c:pt idx="828">
                  <c:v>578697</c:v>
                </c:pt>
                <c:pt idx="829">
                  <c:v>578698</c:v>
                </c:pt>
                <c:pt idx="830">
                  <c:v>578699</c:v>
                </c:pt>
                <c:pt idx="831">
                  <c:v>578701</c:v>
                </c:pt>
                <c:pt idx="832">
                  <c:v>578702</c:v>
                </c:pt>
                <c:pt idx="833">
                  <c:v>578703</c:v>
                </c:pt>
                <c:pt idx="834">
                  <c:v>578704</c:v>
                </c:pt>
                <c:pt idx="835">
                  <c:v>578705</c:v>
                </c:pt>
                <c:pt idx="836">
                  <c:v>578707</c:v>
                </c:pt>
                <c:pt idx="837">
                  <c:v>578708</c:v>
                </c:pt>
                <c:pt idx="838">
                  <c:v>578719</c:v>
                </c:pt>
                <c:pt idx="839">
                  <c:v>578736</c:v>
                </c:pt>
                <c:pt idx="840">
                  <c:v>578745</c:v>
                </c:pt>
                <c:pt idx="841">
                  <c:v>578746</c:v>
                </c:pt>
                <c:pt idx="842">
                  <c:v>578757</c:v>
                </c:pt>
                <c:pt idx="843">
                  <c:v>578781</c:v>
                </c:pt>
                <c:pt idx="844">
                  <c:v>578782</c:v>
                </c:pt>
                <c:pt idx="845">
                  <c:v>578783</c:v>
                </c:pt>
                <c:pt idx="846">
                  <c:v>578785</c:v>
                </c:pt>
                <c:pt idx="847">
                  <c:v>578786</c:v>
                </c:pt>
                <c:pt idx="848">
                  <c:v>578787</c:v>
                </c:pt>
                <c:pt idx="849">
                  <c:v>578788</c:v>
                </c:pt>
                <c:pt idx="850">
                  <c:v>578789</c:v>
                </c:pt>
                <c:pt idx="851">
                  <c:v>578790</c:v>
                </c:pt>
                <c:pt idx="852">
                  <c:v>578791</c:v>
                </c:pt>
                <c:pt idx="853">
                  <c:v>578792</c:v>
                </c:pt>
                <c:pt idx="854">
                  <c:v>578793</c:v>
                </c:pt>
                <c:pt idx="855">
                  <c:v>578794</c:v>
                </c:pt>
                <c:pt idx="856">
                  <c:v>578795</c:v>
                </c:pt>
                <c:pt idx="857">
                  <c:v>578802</c:v>
                </c:pt>
                <c:pt idx="858">
                  <c:v>578804</c:v>
                </c:pt>
                <c:pt idx="859">
                  <c:v>578805</c:v>
                </c:pt>
                <c:pt idx="860">
                  <c:v>578806</c:v>
                </c:pt>
                <c:pt idx="861">
                  <c:v>578807</c:v>
                </c:pt>
                <c:pt idx="862">
                  <c:v>578808</c:v>
                </c:pt>
                <c:pt idx="863">
                  <c:v>578809</c:v>
                </c:pt>
                <c:pt idx="864">
                  <c:v>578810</c:v>
                </c:pt>
                <c:pt idx="865">
                  <c:v>578811</c:v>
                </c:pt>
                <c:pt idx="866">
                  <c:v>578812</c:v>
                </c:pt>
                <c:pt idx="867">
                  <c:v>578813</c:v>
                </c:pt>
                <c:pt idx="868">
                  <c:v>578814</c:v>
                </c:pt>
                <c:pt idx="869">
                  <c:v>578815</c:v>
                </c:pt>
                <c:pt idx="870">
                  <c:v>578816</c:v>
                </c:pt>
                <c:pt idx="871">
                  <c:v>578817</c:v>
                </c:pt>
                <c:pt idx="872">
                  <c:v>578818</c:v>
                </c:pt>
                <c:pt idx="873">
                  <c:v>578819</c:v>
                </c:pt>
                <c:pt idx="874">
                  <c:v>578820</c:v>
                </c:pt>
                <c:pt idx="875">
                  <c:v>578821</c:v>
                </c:pt>
                <c:pt idx="876">
                  <c:v>578822</c:v>
                </c:pt>
                <c:pt idx="877">
                  <c:v>578823</c:v>
                </c:pt>
                <c:pt idx="878">
                  <c:v>578824</c:v>
                </c:pt>
                <c:pt idx="879">
                  <c:v>578825</c:v>
                </c:pt>
                <c:pt idx="880">
                  <c:v>578826</c:v>
                </c:pt>
                <c:pt idx="881">
                  <c:v>578827</c:v>
                </c:pt>
                <c:pt idx="882">
                  <c:v>578828</c:v>
                </c:pt>
                <c:pt idx="883">
                  <c:v>578829</c:v>
                </c:pt>
                <c:pt idx="884">
                  <c:v>578830</c:v>
                </c:pt>
                <c:pt idx="885">
                  <c:v>578831</c:v>
                </c:pt>
                <c:pt idx="886">
                  <c:v>578833</c:v>
                </c:pt>
                <c:pt idx="887">
                  <c:v>578834</c:v>
                </c:pt>
                <c:pt idx="888">
                  <c:v>578835</c:v>
                </c:pt>
                <c:pt idx="889">
                  <c:v>578836</c:v>
                </c:pt>
                <c:pt idx="890">
                  <c:v>578841</c:v>
                </c:pt>
                <c:pt idx="891">
                  <c:v>578842</c:v>
                </c:pt>
                <c:pt idx="892">
                  <c:v>578843</c:v>
                </c:pt>
                <c:pt idx="893">
                  <c:v>578844</c:v>
                </c:pt>
                <c:pt idx="894">
                  <c:v>578845</c:v>
                </c:pt>
                <c:pt idx="895">
                  <c:v>578846</c:v>
                </c:pt>
                <c:pt idx="896">
                  <c:v>578847</c:v>
                </c:pt>
                <c:pt idx="897">
                  <c:v>578848</c:v>
                </c:pt>
                <c:pt idx="898">
                  <c:v>578849</c:v>
                </c:pt>
                <c:pt idx="899">
                  <c:v>578850</c:v>
                </c:pt>
                <c:pt idx="900">
                  <c:v>578851</c:v>
                </c:pt>
                <c:pt idx="901">
                  <c:v>578852</c:v>
                </c:pt>
                <c:pt idx="902">
                  <c:v>578853</c:v>
                </c:pt>
                <c:pt idx="903">
                  <c:v>578854</c:v>
                </c:pt>
                <c:pt idx="904">
                  <c:v>578855</c:v>
                </c:pt>
                <c:pt idx="905">
                  <c:v>578856</c:v>
                </c:pt>
                <c:pt idx="906">
                  <c:v>578857</c:v>
                </c:pt>
                <c:pt idx="907">
                  <c:v>578858</c:v>
                </c:pt>
                <c:pt idx="908">
                  <c:v>578901</c:v>
                </c:pt>
                <c:pt idx="909">
                  <c:v>578914</c:v>
                </c:pt>
                <c:pt idx="910">
                  <c:v>578921</c:v>
                </c:pt>
                <c:pt idx="911">
                  <c:v>578922</c:v>
                </c:pt>
                <c:pt idx="912">
                  <c:v>578923</c:v>
                </c:pt>
                <c:pt idx="913">
                  <c:v>578924</c:v>
                </c:pt>
                <c:pt idx="914">
                  <c:v>578925</c:v>
                </c:pt>
                <c:pt idx="915">
                  <c:v>578926</c:v>
                </c:pt>
                <c:pt idx="916">
                  <c:v>578927</c:v>
                </c:pt>
                <c:pt idx="917">
                  <c:v>578928</c:v>
                </c:pt>
                <c:pt idx="918">
                  <c:v>578929</c:v>
                </c:pt>
                <c:pt idx="919">
                  <c:v>578931</c:v>
                </c:pt>
                <c:pt idx="920">
                  <c:v>578933</c:v>
                </c:pt>
                <c:pt idx="921">
                  <c:v>578934</c:v>
                </c:pt>
                <c:pt idx="922">
                  <c:v>578935</c:v>
                </c:pt>
                <c:pt idx="923">
                  <c:v>578936</c:v>
                </c:pt>
                <c:pt idx="924">
                  <c:v>578937</c:v>
                </c:pt>
                <c:pt idx="925">
                  <c:v>578938</c:v>
                </c:pt>
                <c:pt idx="926">
                  <c:v>578939</c:v>
                </c:pt>
                <c:pt idx="927">
                  <c:v>578940</c:v>
                </c:pt>
                <c:pt idx="928">
                  <c:v>578941</c:v>
                </c:pt>
                <c:pt idx="929">
                  <c:v>578942</c:v>
                </c:pt>
                <c:pt idx="930">
                  <c:v>578943</c:v>
                </c:pt>
                <c:pt idx="931">
                  <c:v>578944</c:v>
                </c:pt>
                <c:pt idx="932">
                  <c:v>578945</c:v>
                </c:pt>
                <c:pt idx="933">
                  <c:v>578946</c:v>
                </c:pt>
                <c:pt idx="934">
                  <c:v>578947</c:v>
                </c:pt>
                <c:pt idx="935">
                  <c:v>578948</c:v>
                </c:pt>
                <c:pt idx="936">
                  <c:v>578949</c:v>
                </c:pt>
                <c:pt idx="937">
                  <c:v>578950</c:v>
                </c:pt>
                <c:pt idx="938">
                  <c:v>578951</c:v>
                </c:pt>
                <c:pt idx="939">
                  <c:v>578952</c:v>
                </c:pt>
                <c:pt idx="940">
                  <c:v>578953</c:v>
                </c:pt>
                <c:pt idx="941">
                  <c:v>578954</c:v>
                </c:pt>
                <c:pt idx="942">
                  <c:v>578977</c:v>
                </c:pt>
                <c:pt idx="943">
                  <c:v>578992</c:v>
                </c:pt>
                <c:pt idx="944">
                  <c:v>578993</c:v>
                </c:pt>
                <c:pt idx="945">
                  <c:v>578994</c:v>
                </c:pt>
                <c:pt idx="946">
                  <c:v>578995</c:v>
                </c:pt>
                <c:pt idx="947">
                  <c:v>578996</c:v>
                </c:pt>
                <c:pt idx="948">
                  <c:v>578997</c:v>
                </c:pt>
                <c:pt idx="949">
                  <c:v>578998</c:v>
                </c:pt>
                <c:pt idx="950">
                  <c:v>578999</c:v>
                </c:pt>
                <c:pt idx="951">
                  <c:v>579000</c:v>
                </c:pt>
                <c:pt idx="952">
                  <c:v>579001</c:v>
                </c:pt>
                <c:pt idx="953">
                  <c:v>579002</c:v>
                </c:pt>
                <c:pt idx="954">
                  <c:v>579003</c:v>
                </c:pt>
                <c:pt idx="955">
                  <c:v>579005</c:v>
                </c:pt>
                <c:pt idx="956">
                  <c:v>579006</c:v>
                </c:pt>
                <c:pt idx="957">
                  <c:v>579007</c:v>
                </c:pt>
                <c:pt idx="958">
                  <c:v>579008</c:v>
                </c:pt>
                <c:pt idx="959">
                  <c:v>579009</c:v>
                </c:pt>
                <c:pt idx="960">
                  <c:v>579010</c:v>
                </c:pt>
                <c:pt idx="961">
                  <c:v>579011</c:v>
                </c:pt>
                <c:pt idx="962">
                  <c:v>579012</c:v>
                </c:pt>
                <c:pt idx="963">
                  <c:v>579013</c:v>
                </c:pt>
                <c:pt idx="964">
                  <c:v>579014</c:v>
                </c:pt>
                <c:pt idx="965">
                  <c:v>579015</c:v>
                </c:pt>
                <c:pt idx="966">
                  <c:v>579016</c:v>
                </c:pt>
                <c:pt idx="967">
                  <c:v>579017</c:v>
                </c:pt>
                <c:pt idx="968">
                  <c:v>579027</c:v>
                </c:pt>
                <c:pt idx="969">
                  <c:v>579037</c:v>
                </c:pt>
                <c:pt idx="970">
                  <c:v>579039</c:v>
                </c:pt>
                <c:pt idx="971">
                  <c:v>579062</c:v>
                </c:pt>
                <c:pt idx="972">
                  <c:v>579067</c:v>
                </c:pt>
                <c:pt idx="973">
                  <c:v>579069</c:v>
                </c:pt>
                <c:pt idx="974">
                  <c:v>579087</c:v>
                </c:pt>
                <c:pt idx="975">
                  <c:v>579089</c:v>
                </c:pt>
                <c:pt idx="976">
                  <c:v>579091</c:v>
                </c:pt>
                <c:pt idx="977">
                  <c:v>579093</c:v>
                </c:pt>
                <c:pt idx="978">
                  <c:v>579094</c:v>
                </c:pt>
                <c:pt idx="979">
                  <c:v>579095</c:v>
                </c:pt>
                <c:pt idx="980">
                  <c:v>579096</c:v>
                </c:pt>
                <c:pt idx="981">
                  <c:v>579097</c:v>
                </c:pt>
                <c:pt idx="982">
                  <c:v>579098</c:v>
                </c:pt>
                <c:pt idx="983">
                  <c:v>579099</c:v>
                </c:pt>
                <c:pt idx="984">
                  <c:v>579100</c:v>
                </c:pt>
                <c:pt idx="985">
                  <c:v>579101</c:v>
                </c:pt>
                <c:pt idx="986">
                  <c:v>579102</c:v>
                </c:pt>
                <c:pt idx="987">
                  <c:v>579103</c:v>
                </c:pt>
                <c:pt idx="988">
                  <c:v>579106</c:v>
                </c:pt>
                <c:pt idx="989">
                  <c:v>579107</c:v>
                </c:pt>
                <c:pt idx="990">
                  <c:v>579108</c:v>
                </c:pt>
                <c:pt idx="991">
                  <c:v>579109</c:v>
                </c:pt>
                <c:pt idx="992">
                  <c:v>579116</c:v>
                </c:pt>
                <c:pt idx="993">
                  <c:v>579121</c:v>
                </c:pt>
                <c:pt idx="994">
                  <c:v>579122</c:v>
                </c:pt>
                <c:pt idx="995">
                  <c:v>579123</c:v>
                </c:pt>
                <c:pt idx="996">
                  <c:v>579124</c:v>
                </c:pt>
                <c:pt idx="997">
                  <c:v>579125</c:v>
                </c:pt>
                <c:pt idx="998">
                  <c:v>579126</c:v>
                </c:pt>
                <c:pt idx="999">
                  <c:v>579128</c:v>
                </c:pt>
                <c:pt idx="1000">
                  <c:v>579129</c:v>
                </c:pt>
                <c:pt idx="1001">
                  <c:v>579130</c:v>
                </c:pt>
                <c:pt idx="1002">
                  <c:v>579131</c:v>
                </c:pt>
                <c:pt idx="1003">
                  <c:v>579132</c:v>
                </c:pt>
                <c:pt idx="1004">
                  <c:v>579133</c:v>
                </c:pt>
                <c:pt idx="1005">
                  <c:v>579134</c:v>
                </c:pt>
                <c:pt idx="1006">
                  <c:v>579135</c:v>
                </c:pt>
                <c:pt idx="1007">
                  <c:v>579136</c:v>
                </c:pt>
                <c:pt idx="1008">
                  <c:v>579138</c:v>
                </c:pt>
                <c:pt idx="1009">
                  <c:v>579139</c:v>
                </c:pt>
                <c:pt idx="1010">
                  <c:v>579141</c:v>
                </c:pt>
                <c:pt idx="1011">
                  <c:v>579142</c:v>
                </c:pt>
                <c:pt idx="1012">
                  <c:v>579143</c:v>
                </c:pt>
                <c:pt idx="1013">
                  <c:v>579144</c:v>
                </c:pt>
                <c:pt idx="1014">
                  <c:v>579145</c:v>
                </c:pt>
                <c:pt idx="1015">
                  <c:v>579146</c:v>
                </c:pt>
                <c:pt idx="1016">
                  <c:v>579147</c:v>
                </c:pt>
                <c:pt idx="1017">
                  <c:v>579148</c:v>
                </c:pt>
                <c:pt idx="1018">
                  <c:v>579149</c:v>
                </c:pt>
                <c:pt idx="1019">
                  <c:v>579150</c:v>
                </c:pt>
                <c:pt idx="1020">
                  <c:v>579151</c:v>
                </c:pt>
                <c:pt idx="1021">
                  <c:v>579152</c:v>
                </c:pt>
                <c:pt idx="1022">
                  <c:v>579153</c:v>
                </c:pt>
                <c:pt idx="1023">
                  <c:v>579154</c:v>
                </c:pt>
                <c:pt idx="1024">
                  <c:v>579155</c:v>
                </c:pt>
                <c:pt idx="1025">
                  <c:v>579156</c:v>
                </c:pt>
                <c:pt idx="1026">
                  <c:v>579157</c:v>
                </c:pt>
                <c:pt idx="1027">
                  <c:v>579158</c:v>
                </c:pt>
                <c:pt idx="1028">
                  <c:v>579159</c:v>
                </c:pt>
                <c:pt idx="1029">
                  <c:v>579160</c:v>
                </c:pt>
                <c:pt idx="1030">
                  <c:v>579161</c:v>
                </c:pt>
                <c:pt idx="1031">
                  <c:v>579162</c:v>
                </c:pt>
                <c:pt idx="1032">
                  <c:v>579163</c:v>
                </c:pt>
                <c:pt idx="1033">
                  <c:v>579164</c:v>
                </c:pt>
                <c:pt idx="1034">
                  <c:v>579165</c:v>
                </c:pt>
                <c:pt idx="1035">
                  <c:v>579166</c:v>
                </c:pt>
                <c:pt idx="1036">
                  <c:v>579167</c:v>
                </c:pt>
                <c:pt idx="1037">
                  <c:v>579168</c:v>
                </c:pt>
                <c:pt idx="1038">
                  <c:v>579170</c:v>
                </c:pt>
                <c:pt idx="1039">
                  <c:v>579171</c:v>
                </c:pt>
                <c:pt idx="1040">
                  <c:v>579173</c:v>
                </c:pt>
                <c:pt idx="1041">
                  <c:v>579174</c:v>
                </c:pt>
                <c:pt idx="1042">
                  <c:v>579175</c:v>
                </c:pt>
                <c:pt idx="1043">
                  <c:v>579176</c:v>
                </c:pt>
                <c:pt idx="1044">
                  <c:v>579177</c:v>
                </c:pt>
                <c:pt idx="1045">
                  <c:v>579179</c:v>
                </c:pt>
                <c:pt idx="1046">
                  <c:v>579180</c:v>
                </c:pt>
                <c:pt idx="1047">
                  <c:v>579181</c:v>
                </c:pt>
                <c:pt idx="1048">
                  <c:v>579182</c:v>
                </c:pt>
                <c:pt idx="1049">
                  <c:v>579183</c:v>
                </c:pt>
                <c:pt idx="1050">
                  <c:v>579184</c:v>
                </c:pt>
                <c:pt idx="1051">
                  <c:v>579185</c:v>
                </c:pt>
                <c:pt idx="1052">
                  <c:v>579187</c:v>
                </c:pt>
                <c:pt idx="1053">
                  <c:v>579188</c:v>
                </c:pt>
                <c:pt idx="1054">
                  <c:v>579189</c:v>
                </c:pt>
                <c:pt idx="1055">
                  <c:v>579190</c:v>
                </c:pt>
                <c:pt idx="1056">
                  <c:v>579191</c:v>
                </c:pt>
                <c:pt idx="1057">
                  <c:v>579193</c:v>
                </c:pt>
                <c:pt idx="1058">
                  <c:v>579194</c:v>
                </c:pt>
                <c:pt idx="1059">
                  <c:v>579196</c:v>
                </c:pt>
                <c:pt idx="1060">
                  <c:v>579245</c:v>
                </c:pt>
                <c:pt idx="1061">
                  <c:v>579249</c:v>
                </c:pt>
                <c:pt idx="1062">
                  <c:v>579250</c:v>
                </c:pt>
                <c:pt idx="1063">
                  <c:v>579251</c:v>
                </c:pt>
                <c:pt idx="1064">
                  <c:v>579252</c:v>
                </c:pt>
                <c:pt idx="1065">
                  <c:v>579253</c:v>
                </c:pt>
                <c:pt idx="1066">
                  <c:v>579254</c:v>
                </c:pt>
                <c:pt idx="1067">
                  <c:v>579255</c:v>
                </c:pt>
                <c:pt idx="1068">
                  <c:v>579256</c:v>
                </c:pt>
                <c:pt idx="1069">
                  <c:v>579257</c:v>
                </c:pt>
                <c:pt idx="1070">
                  <c:v>579258</c:v>
                </c:pt>
                <c:pt idx="1071">
                  <c:v>579259</c:v>
                </c:pt>
                <c:pt idx="1072">
                  <c:v>579260</c:v>
                </c:pt>
                <c:pt idx="1073">
                  <c:v>579261</c:v>
                </c:pt>
                <c:pt idx="1074">
                  <c:v>579262</c:v>
                </c:pt>
                <c:pt idx="1075">
                  <c:v>579263</c:v>
                </c:pt>
                <c:pt idx="1076">
                  <c:v>579264</c:v>
                </c:pt>
                <c:pt idx="1077">
                  <c:v>579265</c:v>
                </c:pt>
                <c:pt idx="1078">
                  <c:v>579267</c:v>
                </c:pt>
                <c:pt idx="1079">
                  <c:v>579268</c:v>
                </c:pt>
                <c:pt idx="1080">
                  <c:v>579269</c:v>
                </c:pt>
                <c:pt idx="1081">
                  <c:v>579270</c:v>
                </c:pt>
                <c:pt idx="1082">
                  <c:v>579271</c:v>
                </c:pt>
                <c:pt idx="1083">
                  <c:v>579273</c:v>
                </c:pt>
                <c:pt idx="1084">
                  <c:v>579274</c:v>
                </c:pt>
                <c:pt idx="1085">
                  <c:v>579276</c:v>
                </c:pt>
                <c:pt idx="1086">
                  <c:v>579278</c:v>
                </c:pt>
                <c:pt idx="1087">
                  <c:v>579279</c:v>
                </c:pt>
                <c:pt idx="1088">
                  <c:v>579280</c:v>
                </c:pt>
                <c:pt idx="1089">
                  <c:v>579281</c:v>
                </c:pt>
                <c:pt idx="1090">
                  <c:v>579282</c:v>
                </c:pt>
                <c:pt idx="1091">
                  <c:v>579283</c:v>
                </c:pt>
                <c:pt idx="1092">
                  <c:v>579284</c:v>
                </c:pt>
                <c:pt idx="1093">
                  <c:v>579285</c:v>
                </c:pt>
                <c:pt idx="1094">
                  <c:v>579286</c:v>
                </c:pt>
                <c:pt idx="1095">
                  <c:v>579287</c:v>
                </c:pt>
                <c:pt idx="1096">
                  <c:v>579288</c:v>
                </c:pt>
                <c:pt idx="1097">
                  <c:v>579289</c:v>
                </c:pt>
                <c:pt idx="1098">
                  <c:v>579291</c:v>
                </c:pt>
                <c:pt idx="1099">
                  <c:v>579293</c:v>
                </c:pt>
                <c:pt idx="1100">
                  <c:v>579297</c:v>
                </c:pt>
                <c:pt idx="1101">
                  <c:v>579300</c:v>
                </c:pt>
                <c:pt idx="1102">
                  <c:v>579301</c:v>
                </c:pt>
                <c:pt idx="1103">
                  <c:v>579307</c:v>
                </c:pt>
                <c:pt idx="1104">
                  <c:v>579328</c:v>
                </c:pt>
                <c:pt idx="1105">
                  <c:v>579332</c:v>
                </c:pt>
                <c:pt idx="1106">
                  <c:v>579339</c:v>
                </c:pt>
                <c:pt idx="1107">
                  <c:v>579345</c:v>
                </c:pt>
                <c:pt idx="1108">
                  <c:v>579350</c:v>
                </c:pt>
                <c:pt idx="1109">
                  <c:v>579352</c:v>
                </c:pt>
                <c:pt idx="1110">
                  <c:v>579358</c:v>
                </c:pt>
                <c:pt idx="1111">
                  <c:v>579361</c:v>
                </c:pt>
                <c:pt idx="1112">
                  <c:v>579364</c:v>
                </c:pt>
                <c:pt idx="1113">
                  <c:v>579365</c:v>
                </c:pt>
                <c:pt idx="1114">
                  <c:v>579387</c:v>
                </c:pt>
                <c:pt idx="1115">
                  <c:v>579391</c:v>
                </c:pt>
                <c:pt idx="1116">
                  <c:v>579393</c:v>
                </c:pt>
                <c:pt idx="1117">
                  <c:v>579399</c:v>
                </c:pt>
                <c:pt idx="1118">
                  <c:v>579400</c:v>
                </c:pt>
                <c:pt idx="1119">
                  <c:v>579401</c:v>
                </c:pt>
                <c:pt idx="1120">
                  <c:v>579402</c:v>
                </c:pt>
                <c:pt idx="1121">
                  <c:v>579403</c:v>
                </c:pt>
                <c:pt idx="1122">
                  <c:v>579404</c:v>
                </c:pt>
                <c:pt idx="1123">
                  <c:v>579405</c:v>
                </c:pt>
                <c:pt idx="1124">
                  <c:v>579406</c:v>
                </c:pt>
                <c:pt idx="1125">
                  <c:v>579407</c:v>
                </c:pt>
                <c:pt idx="1126">
                  <c:v>579408</c:v>
                </c:pt>
                <c:pt idx="1127">
                  <c:v>579409</c:v>
                </c:pt>
                <c:pt idx="1128">
                  <c:v>579410</c:v>
                </c:pt>
                <c:pt idx="1129">
                  <c:v>579411</c:v>
                </c:pt>
                <c:pt idx="1130">
                  <c:v>579412</c:v>
                </c:pt>
                <c:pt idx="1131">
                  <c:v>579413</c:v>
                </c:pt>
                <c:pt idx="1132">
                  <c:v>579414</c:v>
                </c:pt>
                <c:pt idx="1133">
                  <c:v>579416</c:v>
                </c:pt>
                <c:pt idx="1134">
                  <c:v>579419</c:v>
                </c:pt>
                <c:pt idx="1135">
                  <c:v>579427</c:v>
                </c:pt>
                <c:pt idx="1136">
                  <c:v>579430</c:v>
                </c:pt>
                <c:pt idx="1137">
                  <c:v>579432</c:v>
                </c:pt>
                <c:pt idx="1138">
                  <c:v>579433</c:v>
                </c:pt>
                <c:pt idx="1139">
                  <c:v>579434</c:v>
                </c:pt>
                <c:pt idx="1140">
                  <c:v>579435</c:v>
                </c:pt>
                <c:pt idx="1141">
                  <c:v>579436</c:v>
                </c:pt>
                <c:pt idx="1142">
                  <c:v>579437</c:v>
                </c:pt>
                <c:pt idx="1143">
                  <c:v>579439</c:v>
                </c:pt>
                <c:pt idx="1144">
                  <c:v>579440</c:v>
                </c:pt>
                <c:pt idx="1145">
                  <c:v>579441</c:v>
                </c:pt>
                <c:pt idx="1146">
                  <c:v>579442</c:v>
                </c:pt>
                <c:pt idx="1147">
                  <c:v>579443</c:v>
                </c:pt>
                <c:pt idx="1148">
                  <c:v>579444</c:v>
                </c:pt>
                <c:pt idx="1149">
                  <c:v>579445</c:v>
                </c:pt>
                <c:pt idx="1150">
                  <c:v>579446</c:v>
                </c:pt>
                <c:pt idx="1151">
                  <c:v>579447</c:v>
                </c:pt>
                <c:pt idx="1152">
                  <c:v>579448</c:v>
                </c:pt>
                <c:pt idx="1153">
                  <c:v>579449</c:v>
                </c:pt>
                <c:pt idx="1154">
                  <c:v>579450</c:v>
                </c:pt>
                <c:pt idx="1155">
                  <c:v>579451</c:v>
                </c:pt>
                <c:pt idx="1156">
                  <c:v>579452</c:v>
                </c:pt>
                <c:pt idx="1157">
                  <c:v>579453</c:v>
                </c:pt>
                <c:pt idx="1158">
                  <c:v>579454</c:v>
                </c:pt>
                <c:pt idx="1159">
                  <c:v>579455</c:v>
                </c:pt>
                <c:pt idx="1160">
                  <c:v>579456</c:v>
                </c:pt>
                <c:pt idx="1161">
                  <c:v>579457</c:v>
                </c:pt>
                <c:pt idx="1162">
                  <c:v>579458</c:v>
                </c:pt>
                <c:pt idx="1163">
                  <c:v>579459</c:v>
                </c:pt>
                <c:pt idx="1164">
                  <c:v>579461</c:v>
                </c:pt>
                <c:pt idx="1165">
                  <c:v>579462</c:v>
                </c:pt>
                <c:pt idx="1166">
                  <c:v>579463</c:v>
                </c:pt>
                <c:pt idx="1167">
                  <c:v>579464</c:v>
                </c:pt>
                <c:pt idx="1168">
                  <c:v>579465</c:v>
                </c:pt>
                <c:pt idx="1169">
                  <c:v>579466</c:v>
                </c:pt>
                <c:pt idx="1170">
                  <c:v>579467</c:v>
                </c:pt>
                <c:pt idx="1171">
                  <c:v>579468</c:v>
                </c:pt>
                <c:pt idx="1172">
                  <c:v>579469</c:v>
                </c:pt>
                <c:pt idx="1173">
                  <c:v>579470</c:v>
                </c:pt>
                <c:pt idx="1174">
                  <c:v>579471</c:v>
                </c:pt>
                <c:pt idx="1175">
                  <c:v>579472</c:v>
                </c:pt>
                <c:pt idx="1176">
                  <c:v>579473</c:v>
                </c:pt>
                <c:pt idx="1177">
                  <c:v>579489</c:v>
                </c:pt>
                <c:pt idx="1178">
                  <c:v>579491</c:v>
                </c:pt>
                <c:pt idx="1179">
                  <c:v>579492</c:v>
                </c:pt>
                <c:pt idx="1180">
                  <c:v>579493</c:v>
                </c:pt>
                <c:pt idx="1181">
                  <c:v>579494</c:v>
                </c:pt>
                <c:pt idx="1182">
                  <c:v>579495</c:v>
                </c:pt>
                <c:pt idx="1183">
                  <c:v>579497</c:v>
                </c:pt>
                <c:pt idx="1184">
                  <c:v>579498</c:v>
                </c:pt>
                <c:pt idx="1185">
                  <c:v>579499</c:v>
                </c:pt>
                <c:pt idx="1186">
                  <c:v>579501</c:v>
                </c:pt>
                <c:pt idx="1187">
                  <c:v>579503</c:v>
                </c:pt>
                <c:pt idx="1188">
                  <c:v>579505</c:v>
                </c:pt>
                <c:pt idx="1189">
                  <c:v>579506</c:v>
                </c:pt>
                <c:pt idx="1190">
                  <c:v>579507</c:v>
                </c:pt>
                <c:pt idx="1191">
                  <c:v>579508</c:v>
                </c:pt>
                <c:pt idx="1192">
                  <c:v>579509</c:v>
                </c:pt>
                <c:pt idx="1193">
                  <c:v>579510</c:v>
                </c:pt>
                <c:pt idx="1194">
                  <c:v>579511</c:v>
                </c:pt>
                <c:pt idx="1195">
                  <c:v>579512</c:v>
                </c:pt>
                <c:pt idx="1196">
                  <c:v>579513</c:v>
                </c:pt>
                <c:pt idx="1197">
                  <c:v>579514</c:v>
                </c:pt>
                <c:pt idx="1198">
                  <c:v>579515</c:v>
                </c:pt>
                <c:pt idx="1199">
                  <c:v>579516</c:v>
                </c:pt>
                <c:pt idx="1200">
                  <c:v>579517</c:v>
                </c:pt>
                <c:pt idx="1201">
                  <c:v>579518</c:v>
                </c:pt>
                <c:pt idx="1202">
                  <c:v>579520</c:v>
                </c:pt>
                <c:pt idx="1203">
                  <c:v>579522</c:v>
                </c:pt>
                <c:pt idx="1204">
                  <c:v>579523</c:v>
                </c:pt>
                <c:pt idx="1205">
                  <c:v>579524</c:v>
                </c:pt>
                <c:pt idx="1206">
                  <c:v>579525</c:v>
                </c:pt>
                <c:pt idx="1207">
                  <c:v>579526</c:v>
                </c:pt>
                <c:pt idx="1208">
                  <c:v>579527</c:v>
                </c:pt>
                <c:pt idx="1209">
                  <c:v>579528</c:v>
                </c:pt>
                <c:pt idx="1210">
                  <c:v>579529</c:v>
                </c:pt>
                <c:pt idx="1211">
                  <c:v>579530</c:v>
                </c:pt>
                <c:pt idx="1212">
                  <c:v>579531</c:v>
                </c:pt>
                <c:pt idx="1213">
                  <c:v>579533</c:v>
                </c:pt>
                <c:pt idx="1214">
                  <c:v>579534</c:v>
                </c:pt>
                <c:pt idx="1215">
                  <c:v>579535</c:v>
                </c:pt>
                <c:pt idx="1216">
                  <c:v>579536</c:v>
                </c:pt>
                <c:pt idx="1217">
                  <c:v>579537</c:v>
                </c:pt>
                <c:pt idx="1218">
                  <c:v>579538</c:v>
                </c:pt>
                <c:pt idx="1219">
                  <c:v>579539</c:v>
                </c:pt>
                <c:pt idx="1220">
                  <c:v>579540</c:v>
                </c:pt>
                <c:pt idx="1221">
                  <c:v>579541</c:v>
                </c:pt>
                <c:pt idx="1222">
                  <c:v>579542</c:v>
                </c:pt>
                <c:pt idx="1223">
                  <c:v>579543</c:v>
                </c:pt>
                <c:pt idx="1224">
                  <c:v>579544</c:v>
                </c:pt>
                <c:pt idx="1225">
                  <c:v>579545</c:v>
                </c:pt>
                <c:pt idx="1226">
                  <c:v>579546</c:v>
                </c:pt>
                <c:pt idx="1227">
                  <c:v>579548</c:v>
                </c:pt>
                <c:pt idx="1228">
                  <c:v>579549</c:v>
                </c:pt>
                <c:pt idx="1229">
                  <c:v>579550</c:v>
                </c:pt>
                <c:pt idx="1230">
                  <c:v>579551</c:v>
                </c:pt>
                <c:pt idx="1231">
                  <c:v>579552</c:v>
                </c:pt>
                <c:pt idx="1232">
                  <c:v>579553</c:v>
                </c:pt>
                <c:pt idx="1233">
                  <c:v>579555</c:v>
                </c:pt>
                <c:pt idx="1234">
                  <c:v>579556</c:v>
                </c:pt>
                <c:pt idx="1235">
                  <c:v>579557</c:v>
                </c:pt>
                <c:pt idx="1236">
                  <c:v>579558</c:v>
                </c:pt>
                <c:pt idx="1237">
                  <c:v>579559</c:v>
                </c:pt>
                <c:pt idx="1238">
                  <c:v>579560</c:v>
                </c:pt>
                <c:pt idx="1239">
                  <c:v>579561</c:v>
                </c:pt>
                <c:pt idx="1240">
                  <c:v>579571</c:v>
                </c:pt>
                <c:pt idx="1241">
                  <c:v>579572</c:v>
                </c:pt>
                <c:pt idx="1242">
                  <c:v>579600</c:v>
                </c:pt>
                <c:pt idx="1243">
                  <c:v>579605</c:v>
                </c:pt>
                <c:pt idx="1244">
                  <c:v>579612</c:v>
                </c:pt>
                <c:pt idx="1245">
                  <c:v>579619</c:v>
                </c:pt>
                <c:pt idx="1246">
                  <c:v>579623</c:v>
                </c:pt>
                <c:pt idx="1247">
                  <c:v>579629</c:v>
                </c:pt>
                <c:pt idx="1248">
                  <c:v>579634</c:v>
                </c:pt>
                <c:pt idx="1249">
                  <c:v>579666</c:v>
                </c:pt>
                <c:pt idx="1250">
                  <c:v>579667</c:v>
                </c:pt>
                <c:pt idx="1251">
                  <c:v>579668</c:v>
                </c:pt>
                <c:pt idx="1252">
                  <c:v>579669</c:v>
                </c:pt>
                <c:pt idx="1253">
                  <c:v>579670</c:v>
                </c:pt>
                <c:pt idx="1254">
                  <c:v>579671</c:v>
                </c:pt>
                <c:pt idx="1255">
                  <c:v>579672</c:v>
                </c:pt>
                <c:pt idx="1256">
                  <c:v>579673</c:v>
                </c:pt>
                <c:pt idx="1257">
                  <c:v>579674</c:v>
                </c:pt>
                <c:pt idx="1258">
                  <c:v>579675</c:v>
                </c:pt>
                <c:pt idx="1259">
                  <c:v>579676</c:v>
                </c:pt>
                <c:pt idx="1260">
                  <c:v>579677</c:v>
                </c:pt>
                <c:pt idx="1261">
                  <c:v>579678</c:v>
                </c:pt>
                <c:pt idx="1262">
                  <c:v>579679</c:v>
                </c:pt>
                <c:pt idx="1263">
                  <c:v>579684</c:v>
                </c:pt>
                <c:pt idx="1264">
                  <c:v>579685</c:v>
                </c:pt>
                <c:pt idx="1265">
                  <c:v>579686</c:v>
                </c:pt>
                <c:pt idx="1266">
                  <c:v>579687</c:v>
                </c:pt>
                <c:pt idx="1267">
                  <c:v>579689</c:v>
                </c:pt>
                <c:pt idx="1268">
                  <c:v>579690</c:v>
                </c:pt>
                <c:pt idx="1269">
                  <c:v>579692</c:v>
                </c:pt>
                <c:pt idx="1270">
                  <c:v>579693</c:v>
                </c:pt>
                <c:pt idx="1271">
                  <c:v>579694</c:v>
                </c:pt>
                <c:pt idx="1272">
                  <c:v>579708</c:v>
                </c:pt>
                <c:pt idx="1273">
                  <c:v>579711</c:v>
                </c:pt>
                <c:pt idx="1274">
                  <c:v>579712</c:v>
                </c:pt>
                <c:pt idx="1275">
                  <c:v>579725</c:v>
                </c:pt>
                <c:pt idx="1276">
                  <c:v>579740</c:v>
                </c:pt>
                <c:pt idx="1277">
                  <c:v>579741</c:v>
                </c:pt>
                <c:pt idx="1278">
                  <c:v>579744</c:v>
                </c:pt>
                <c:pt idx="1279">
                  <c:v>579747</c:v>
                </c:pt>
                <c:pt idx="1280">
                  <c:v>579749</c:v>
                </c:pt>
                <c:pt idx="1281">
                  <c:v>579750</c:v>
                </c:pt>
                <c:pt idx="1282">
                  <c:v>579751</c:v>
                </c:pt>
                <c:pt idx="1283">
                  <c:v>579754</c:v>
                </c:pt>
                <c:pt idx="1284">
                  <c:v>579757</c:v>
                </c:pt>
                <c:pt idx="1285">
                  <c:v>579759</c:v>
                </c:pt>
                <c:pt idx="1286">
                  <c:v>579768</c:v>
                </c:pt>
                <c:pt idx="1287">
                  <c:v>579777</c:v>
                </c:pt>
                <c:pt idx="1288">
                  <c:v>579779</c:v>
                </c:pt>
                <c:pt idx="1289">
                  <c:v>579784</c:v>
                </c:pt>
                <c:pt idx="1290">
                  <c:v>579786</c:v>
                </c:pt>
                <c:pt idx="1291">
                  <c:v>579787</c:v>
                </c:pt>
                <c:pt idx="1292">
                  <c:v>579788</c:v>
                </c:pt>
                <c:pt idx="1293">
                  <c:v>579789</c:v>
                </c:pt>
                <c:pt idx="1294">
                  <c:v>579792</c:v>
                </c:pt>
                <c:pt idx="1295">
                  <c:v>579807</c:v>
                </c:pt>
                <c:pt idx="1296">
                  <c:v>579832</c:v>
                </c:pt>
                <c:pt idx="1297">
                  <c:v>579834</c:v>
                </c:pt>
                <c:pt idx="1298">
                  <c:v>579837</c:v>
                </c:pt>
                <c:pt idx="1299">
                  <c:v>579840</c:v>
                </c:pt>
                <c:pt idx="1300">
                  <c:v>579843</c:v>
                </c:pt>
                <c:pt idx="1301">
                  <c:v>579846</c:v>
                </c:pt>
                <c:pt idx="1302">
                  <c:v>579848</c:v>
                </c:pt>
                <c:pt idx="1303">
                  <c:v>579854</c:v>
                </c:pt>
                <c:pt idx="1304">
                  <c:v>579865</c:v>
                </c:pt>
                <c:pt idx="1305">
                  <c:v>579867</c:v>
                </c:pt>
                <c:pt idx="1306">
                  <c:v>579868</c:v>
                </c:pt>
                <c:pt idx="1307">
                  <c:v>579870</c:v>
                </c:pt>
                <c:pt idx="1308">
                  <c:v>579872</c:v>
                </c:pt>
                <c:pt idx="1309">
                  <c:v>579881</c:v>
                </c:pt>
                <c:pt idx="1310">
                  <c:v>579885</c:v>
                </c:pt>
                <c:pt idx="1311">
                  <c:v>579899</c:v>
                </c:pt>
                <c:pt idx="1312">
                  <c:v>579900</c:v>
                </c:pt>
                <c:pt idx="1313">
                  <c:v>579901</c:v>
                </c:pt>
                <c:pt idx="1314">
                  <c:v>579907</c:v>
                </c:pt>
                <c:pt idx="1315">
                  <c:v>579909</c:v>
                </c:pt>
                <c:pt idx="1316">
                  <c:v>579910</c:v>
                </c:pt>
                <c:pt idx="1317">
                  <c:v>579916</c:v>
                </c:pt>
                <c:pt idx="1318">
                  <c:v>579917</c:v>
                </c:pt>
                <c:pt idx="1319">
                  <c:v>579920</c:v>
                </c:pt>
                <c:pt idx="1320">
                  <c:v>579921</c:v>
                </c:pt>
                <c:pt idx="1321">
                  <c:v>579922</c:v>
                </c:pt>
                <c:pt idx="1322">
                  <c:v>579927</c:v>
                </c:pt>
                <c:pt idx="1323">
                  <c:v>579936</c:v>
                </c:pt>
                <c:pt idx="1324">
                  <c:v>579937</c:v>
                </c:pt>
                <c:pt idx="1325">
                  <c:v>579938</c:v>
                </c:pt>
                <c:pt idx="1326">
                  <c:v>579939</c:v>
                </c:pt>
                <c:pt idx="1327">
                  <c:v>579940</c:v>
                </c:pt>
                <c:pt idx="1328">
                  <c:v>579941</c:v>
                </c:pt>
                <c:pt idx="1329">
                  <c:v>579942</c:v>
                </c:pt>
                <c:pt idx="1330">
                  <c:v>579943</c:v>
                </c:pt>
                <c:pt idx="1331">
                  <c:v>579946</c:v>
                </c:pt>
                <c:pt idx="1332">
                  <c:v>579947</c:v>
                </c:pt>
                <c:pt idx="1333">
                  <c:v>579949</c:v>
                </c:pt>
                <c:pt idx="1334">
                  <c:v>579954</c:v>
                </c:pt>
                <c:pt idx="1335">
                  <c:v>579962</c:v>
                </c:pt>
                <c:pt idx="1336">
                  <c:v>579980</c:v>
                </c:pt>
                <c:pt idx="1337">
                  <c:v>579986</c:v>
                </c:pt>
                <c:pt idx="1338">
                  <c:v>579990</c:v>
                </c:pt>
                <c:pt idx="1339">
                  <c:v>579991</c:v>
                </c:pt>
                <c:pt idx="1340">
                  <c:v>580005</c:v>
                </c:pt>
                <c:pt idx="1341">
                  <c:v>580021</c:v>
                </c:pt>
                <c:pt idx="1342">
                  <c:v>580022</c:v>
                </c:pt>
                <c:pt idx="1343">
                  <c:v>580023</c:v>
                </c:pt>
                <c:pt idx="1344">
                  <c:v>580024</c:v>
                </c:pt>
                <c:pt idx="1345">
                  <c:v>580025</c:v>
                </c:pt>
                <c:pt idx="1346">
                  <c:v>580026</c:v>
                </c:pt>
                <c:pt idx="1347">
                  <c:v>580027</c:v>
                </c:pt>
                <c:pt idx="1348">
                  <c:v>580028</c:v>
                </c:pt>
                <c:pt idx="1349">
                  <c:v>580029</c:v>
                </c:pt>
                <c:pt idx="1350">
                  <c:v>580030</c:v>
                </c:pt>
                <c:pt idx="1351">
                  <c:v>580031</c:v>
                </c:pt>
                <c:pt idx="1352">
                  <c:v>580032</c:v>
                </c:pt>
                <c:pt idx="1353">
                  <c:v>580033</c:v>
                </c:pt>
                <c:pt idx="1354">
                  <c:v>580043</c:v>
                </c:pt>
                <c:pt idx="1355">
                  <c:v>580044</c:v>
                </c:pt>
                <c:pt idx="1356">
                  <c:v>580045</c:v>
                </c:pt>
                <c:pt idx="1357">
                  <c:v>580046</c:v>
                </c:pt>
                <c:pt idx="1358">
                  <c:v>580047</c:v>
                </c:pt>
                <c:pt idx="1359">
                  <c:v>580048</c:v>
                </c:pt>
                <c:pt idx="1360">
                  <c:v>580049</c:v>
                </c:pt>
                <c:pt idx="1361">
                  <c:v>580050</c:v>
                </c:pt>
                <c:pt idx="1362">
                  <c:v>580051</c:v>
                </c:pt>
                <c:pt idx="1363">
                  <c:v>580052</c:v>
                </c:pt>
                <c:pt idx="1364">
                  <c:v>580053</c:v>
                </c:pt>
                <c:pt idx="1365">
                  <c:v>580054</c:v>
                </c:pt>
                <c:pt idx="1366">
                  <c:v>580055</c:v>
                </c:pt>
                <c:pt idx="1367">
                  <c:v>580057</c:v>
                </c:pt>
                <c:pt idx="1368">
                  <c:v>580058</c:v>
                </c:pt>
                <c:pt idx="1369">
                  <c:v>580059</c:v>
                </c:pt>
                <c:pt idx="1370">
                  <c:v>580060</c:v>
                </c:pt>
                <c:pt idx="1371">
                  <c:v>580061</c:v>
                </c:pt>
                <c:pt idx="1372">
                  <c:v>580062</c:v>
                </c:pt>
                <c:pt idx="1373">
                  <c:v>580063</c:v>
                </c:pt>
                <c:pt idx="1374">
                  <c:v>580064</c:v>
                </c:pt>
                <c:pt idx="1375">
                  <c:v>580065</c:v>
                </c:pt>
                <c:pt idx="1376">
                  <c:v>580066</c:v>
                </c:pt>
                <c:pt idx="1377">
                  <c:v>580067</c:v>
                </c:pt>
                <c:pt idx="1378">
                  <c:v>580068</c:v>
                </c:pt>
                <c:pt idx="1379">
                  <c:v>580069</c:v>
                </c:pt>
                <c:pt idx="1380">
                  <c:v>580070</c:v>
                </c:pt>
                <c:pt idx="1381">
                  <c:v>580071</c:v>
                </c:pt>
                <c:pt idx="1382">
                  <c:v>580073</c:v>
                </c:pt>
                <c:pt idx="1383">
                  <c:v>580074</c:v>
                </c:pt>
                <c:pt idx="1384">
                  <c:v>580075</c:v>
                </c:pt>
                <c:pt idx="1385">
                  <c:v>580076</c:v>
                </c:pt>
                <c:pt idx="1386">
                  <c:v>580077</c:v>
                </c:pt>
                <c:pt idx="1387">
                  <c:v>580088</c:v>
                </c:pt>
                <c:pt idx="1388">
                  <c:v>580089</c:v>
                </c:pt>
                <c:pt idx="1389">
                  <c:v>580090</c:v>
                </c:pt>
                <c:pt idx="1390">
                  <c:v>580091</c:v>
                </c:pt>
                <c:pt idx="1391">
                  <c:v>580092</c:v>
                </c:pt>
                <c:pt idx="1392">
                  <c:v>580093</c:v>
                </c:pt>
                <c:pt idx="1393">
                  <c:v>580094</c:v>
                </c:pt>
                <c:pt idx="1394">
                  <c:v>580095</c:v>
                </c:pt>
                <c:pt idx="1395">
                  <c:v>580096</c:v>
                </c:pt>
                <c:pt idx="1396">
                  <c:v>580097</c:v>
                </c:pt>
                <c:pt idx="1397">
                  <c:v>580098</c:v>
                </c:pt>
                <c:pt idx="1398">
                  <c:v>580100</c:v>
                </c:pt>
                <c:pt idx="1399">
                  <c:v>580101</c:v>
                </c:pt>
                <c:pt idx="1400">
                  <c:v>580102</c:v>
                </c:pt>
                <c:pt idx="1401">
                  <c:v>580103</c:v>
                </c:pt>
                <c:pt idx="1402">
                  <c:v>580104</c:v>
                </c:pt>
                <c:pt idx="1403">
                  <c:v>580105</c:v>
                </c:pt>
                <c:pt idx="1404">
                  <c:v>580106</c:v>
                </c:pt>
                <c:pt idx="1405">
                  <c:v>580107</c:v>
                </c:pt>
                <c:pt idx="1406">
                  <c:v>580108</c:v>
                </c:pt>
                <c:pt idx="1407">
                  <c:v>580109</c:v>
                </c:pt>
                <c:pt idx="1408">
                  <c:v>580110</c:v>
                </c:pt>
                <c:pt idx="1409">
                  <c:v>580111</c:v>
                </c:pt>
                <c:pt idx="1410">
                  <c:v>580112</c:v>
                </c:pt>
                <c:pt idx="1411">
                  <c:v>580113</c:v>
                </c:pt>
                <c:pt idx="1412">
                  <c:v>580114</c:v>
                </c:pt>
                <c:pt idx="1413">
                  <c:v>580115</c:v>
                </c:pt>
                <c:pt idx="1414">
                  <c:v>580116</c:v>
                </c:pt>
                <c:pt idx="1415">
                  <c:v>580117</c:v>
                </c:pt>
                <c:pt idx="1416">
                  <c:v>580118</c:v>
                </c:pt>
                <c:pt idx="1417">
                  <c:v>580119</c:v>
                </c:pt>
                <c:pt idx="1418">
                  <c:v>580120</c:v>
                </c:pt>
                <c:pt idx="1419">
                  <c:v>580123</c:v>
                </c:pt>
                <c:pt idx="1420">
                  <c:v>580124</c:v>
                </c:pt>
                <c:pt idx="1421">
                  <c:v>580125</c:v>
                </c:pt>
                <c:pt idx="1422">
                  <c:v>580126</c:v>
                </c:pt>
                <c:pt idx="1423">
                  <c:v>580127</c:v>
                </c:pt>
                <c:pt idx="1424">
                  <c:v>580128</c:v>
                </c:pt>
                <c:pt idx="1425">
                  <c:v>580129</c:v>
                </c:pt>
                <c:pt idx="1426">
                  <c:v>580130</c:v>
                </c:pt>
                <c:pt idx="1427">
                  <c:v>580132</c:v>
                </c:pt>
                <c:pt idx="1428">
                  <c:v>580133</c:v>
                </c:pt>
                <c:pt idx="1429">
                  <c:v>580134</c:v>
                </c:pt>
                <c:pt idx="1430">
                  <c:v>580135</c:v>
                </c:pt>
                <c:pt idx="1431">
                  <c:v>580136</c:v>
                </c:pt>
                <c:pt idx="1432">
                  <c:v>580137</c:v>
                </c:pt>
                <c:pt idx="1433">
                  <c:v>580138</c:v>
                </c:pt>
                <c:pt idx="1434">
                  <c:v>580139</c:v>
                </c:pt>
                <c:pt idx="1435">
                  <c:v>580140</c:v>
                </c:pt>
                <c:pt idx="1436">
                  <c:v>580141</c:v>
                </c:pt>
                <c:pt idx="1437">
                  <c:v>580142</c:v>
                </c:pt>
                <c:pt idx="1438">
                  <c:v>580143</c:v>
                </c:pt>
                <c:pt idx="1439">
                  <c:v>580144</c:v>
                </c:pt>
                <c:pt idx="1440">
                  <c:v>580146</c:v>
                </c:pt>
                <c:pt idx="1441">
                  <c:v>580147</c:v>
                </c:pt>
                <c:pt idx="1442">
                  <c:v>580148</c:v>
                </c:pt>
                <c:pt idx="1443">
                  <c:v>580149</c:v>
                </c:pt>
                <c:pt idx="1444">
                  <c:v>580150</c:v>
                </c:pt>
                <c:pt idx="1445">
                  <c:v>580151</c:v>
                </c:pt>
                <c:pt idx="1446">
                  <c:v>580152</c:v>
                </c:pt>
                <c:pt idx="1447">
                  <c:v>580153</c:v>
                </c:pt>
                <c:pt idx="1448">
                  <c:v>580154</c:v>
                </c:pt>
                <c:pt idx="1449">
                  <c:v>580155</c:v>
                </c:pt>
                <c:pt idx="1450">
                  <c:v>580156</c:v>
                </c:pt>
                <c:pt idx="1451">
                  <c:v>580157</c:v>
                </c:pt>
                <c:pt idx="1452">
                  <c:v>580158</c:v>
                </c:pt>
                <c:pt idx="1453">
                  <c:v>580159</c:v>
                </c:pt>
                <c:pt idx="1454">
                  <c:v>580160</c:v>
                </c:pt>
                <c:pt idx="1455">
                  <c:v>580162</c:v>
                </c:pt>
                <c:pt idx="1456">
                  <c:v>580163</c:v>
                </c:pt>
                <c:pt idx="1457">
                  <c:v>580164</c:v>
                </c:pt>
                <c:pt idx="1458">
                  <c:v>580166</c:v>
                </c:pt>
                <c:pt idx="1459">
                  <c:v>580167</c:v>
                </c:pt>
                <c:pt idx="1460">
                  <c:v>580169</c:v>
                </c:pt>
                <c:pt idx="1461">
                  <c:v>580170</c:v>
                </c:pt>
                <c:pt idx="1462">
                  <c:v>580172</c:v>
                </c:pt>
                <c:pt idx="1463">
                  <c:v>580173</c:v>
                </c:pt>
                <c:pt idx="1464">
                  <c:v>580175</c:v>
                </c:pt>
                <c:pt idx="1465">
                  <c:v>580176</c:v>
                </c:pt>
                <c:pt idx="1466">
                  <c:v>580177</c:v>
                </c:pt>
                <c:pt idx="1467">
                  <c:v>580178</c:v>
                </c:pt>
                <c:pt idx="1468">
                  <c:v>580188</c:v>
                </c:pt>
                <c:pt idx="1469">
                  <c:v>580189</c:v>
                </c:pt>
                <c:pt idx="1470">
                  <c:v>580193</c:v>
                </c:pt>
                <c:pt idx="1471">
                  <c:v>580208</c:v>
                </c:pt>
                <c:pt idx="1472">
                  <c:v>580213</c:v>
                </c:pt>
                <c:pt idx="1473">
                  <c:v>580214</c:v>
                </c:pt>
                <c:pt idx="1474">
                  <c:v>580221</c:v>
                </c:pt>
                <c:pt idx="1475">
                  <c:v>580235</c:v>
                </c:pt>
                <c:pt idx="1476">
                  <c:v>580243</c:v>
                </c:pt>
                <c:pt idx="1477">
                  <c:v>580256</c:v>
                </c:pt>
                <c:pt idx="1478">
                  <c:v>580257</c:v>
                </c:pt>
                <c:pt idx="1479">
                  <c:v>580258</c:v>
                </c:pt>
                <c:pt idx="1480">
                  <c:v>580259</c:v>
                </c:pt>
                <c:pt idx="1481">
                  <c:v>580260</c:v>
                </c:pt>
                <c:pt idx="1482">
                  <c:v>580261</c:v>
                </c:pt>
                <c:pt idx="1483">
                  <c:v>580262</c:v>
                </c:pt>
                <c:pt idx="1484">
                  <c:v>580264</c:v>
                </c:pt>
                <c:pt idx="1485">
                  <c:v>580265</c:v>
                </c:pt>
                <c:pt idx="1486">
                  <c:v>580272</c:v>
                </c:pt>
                <c:pt idx="1487">
                  <c:v>580276</c:v>
                </c:pt>
                <c:pt idx="1488">
                  <c:v>580277</c:v>
                </c:pt>
                <c:pt idx="1489">
                  <c:v>580278</c:v>
                </c:pt>
                <c:pt idx="1490">
                  <c:v>580279</c:v>
                </c:pt>
                <c:pt idx="1491">
                  <c:v>580280</c:v>
                </c:pt>
                <c:pt idx="1492">
                  <c:v>580281</c:v>
                </c:pt>
                <c:pt idx="1493">
                  <c:v>580282</c:v>
                </c:pt>
                <c:pt idx="1494">
                  <c:v>580283</c:v>
                </c:pt>
                <c:pt idx="1495">
                  <c:v>580284</c:v>
                </c:pt>
                <c:pt idx="1496">
                  <c:v>580285</c:v>
                </c:pt>
                <c:pt idx="1497">
                  <c:v>580286</c:v>
                </c:pt>
                <c:pt idx="1498">
                  <c:v>580287</c:v>
                </c:pt>
                <c:pt idx="1499">
                  <c:v>580288</c:v>
                </c:pt>
                <c:pt idx="1500">
                  <c:v>580289</c:v>
                </c:pt>
                <c:pt idx="1501">
                  <c:v>580290</c:v>
                </c:pt>
                <c:pt idx="1502">
                  <c:v>580291</c:v>
                </c:pt>
                <c:pt idx="1503">
                  <c:v>580292</c:v>
                </c:pt>
                <c:pt idx="1504">
                  <c:v>580293</c:v>
                </c:pt>
                <c:pt idx="1505">
                  <c:v>580294</c:v>
                </c:pt>
                <c:pt idx="1506">
                  <c:v>580295</c:v>
                </c:pt>
                <c:pt idx="1507">
                  <c:v>580296</c:v>
                </c:pt>
                <c:pt idx="1508">
                  <c:v>580297</c:v>
                </c:pt>
                <c:pt idx="1509">
                  <c:v>580298</c:v>
                </c:pt>
                <c:pt idx="1510">
                  <c:v>580299</c:v>
                </c:pt>
                <c:pt idx="1511">
                  <c:v>580300</c:v>
                </c:pt>
                <c:pt idx="1512">
                  <c:v>580301</c:v>
                </c:pt>
                <c:pt idx="1513">
                  <c:v>580302</c:v>
                </c:pt>
                <c:pt idx="1514">
                  <c:v>580303</c:v>
                </c:pt>
                <c:pt idx="1515">
                  <c:v>580304</c:v>
                </c:pt>
                <c:pt idx="1516">
                  <c:v>580305</c:v>
                </c:pt>
                <c:pt idx="1517">
                  <c:v>580306</c:v>
                </c:pt>
                <c:pt idx="1518">
                  <c:v>580307</c:v>
                </c:pt>
                <c:pt idx="1519">
                  <c:v>580308</c:v>
                </c:pt>
                <c:pt idx="1520">
                  <c:v>580309</c:v>
                </c:pt>
                <c:pt idx="1521">
                  <c:v>580310</c:v>
                </c:pt>
                <c:pt idx="1522">
                  <c:v>580311</c:v>
                </c:pt>
                <c:pt idx="1523">
                  <c:v>580314</c:v>
                </c:pt>
                <c:pt idx="1524">
                  <c:v>580315</c:v>
                </c:pt>
                <c:pt idx="1525">
                  <c:v>580316</c:v>
                </c:pt>
                <c:pt idx="1526">
                  <c:v>580317</c:v>
                </c:pt>
                <c:pt idx="1527">
                  <c:v>580318</c:v>
                </c:pt>
                <c:pt idx="1528">
                  <c:v>580319</c:v>
                </c:pt>
                <c:pt idx="1529">
                  <c:v>580320</c:v>
                </c:pt>
                <c:pt idx="1530">
                  <c:v>580321</c:v>
                </c:pt>
                <c:pt idx="1531">
                  <c:v>580322</c:v>
                </c:pt>
                <c:pt idx="1532">
                  <c:v>580331</c:v>
                </c:pt>
                <c:pt idx="1533">
                  <c:v>580351</c:v>
                </c:pt>
                <c:pt idx="1534">
                  <c:v>580355</c:v>
                </c:pt>
                <c:pt idx="1535">
                  <c:v>580356</c:v>
                </c:pt>
                <c:pt idx="1536">
                  <c:v>580357</c:v>
                </c:pt>
                <c:pt idx="1537">
                  <c:v>580358</c:v>
                </c:pt>
                <c:pt idx="1538">
                  <c:v>580360</c:v>
                </c:pt>
                <c:pt idx="1539">
                  <c:v>580361</c:v>
                </c:pt>
                <c:pt idx="1540">
                  <c:v>580362</c:v>
                </c:pt>
                <c:pt idx="1541">
                  <c:v>580363</c:v>
                </c:pt>
                <c:pt idx="1542">
                  <c:v>580364</c:v>
                </c:pt>
                <c:pt idx="1543">
                  <c:v>580366</c:v>
                </c:pt>
                <c:pt idx="1544">
                  <c:v>580367</c:v>
                </c:pt>
                <c:pt idx="1545">
                  <c:v>580368</c:v>
                </c:pt>
                <c:pt idx="1546">
                  <c:v>580369</c:v>
                </c:pt>
                <c:pt idx="1547">
                  <c:v>580370</c:v>
                </c:pt>
                <c:pt idx="1548">
                  <c:v>580371</c:v>
                </c:pt>
                <c:pt idx="1549">
                  <c:v>580372</c:v>
                </c:pt>
                <c:pt idx="1550">
                  <c:v>580373</c:v>
                </c:pt>
                <c:pt idx="1551">
                  <c:v>580374</c:v>
                </c:pt>
                <c:pt idx="1552">
                  <c:v>580375</c:v>
                </c:pt>
                <c:pt idx="1553">
                  <c:v>580384</c:v>
                </c:pt>
                <c:pt idx="1554">
                  <c:v>580385</c:v>
                </c:pt>
                <c:pt idx="1555">
                  <c:v>580386</c:v>
                </c:pt>
                <c:pt idx="1556">
                  <c:v>580387</c:v>
                </c:pt>
                <c:pt idx="1557">
                  <c:v>580388</c:v>
                </c:pt>
                <c:pt idx="1558">
                  <c:v>580389</c:v>
                </c:pt>
                <c:pt idx="1559">
                  <c:v>580393</c:v>
                </c:pt>
                <c:pt idx="1560">
                  <c:v>580394</c:v>
                </c:pt>
                <c:pt idx="1561">
                  <c:v>580395</c:v>
                </c:pt>
                <c:pt idx="1562">
                  <c:v>580396</c:v>
                </c:pt>
                <c:pt idx="1563">
                  <c:v>580397</c:v>
                </c:pt>
                <c:pt idx="1564">
                  <c:v>580398</c:v>
                </c:pt>
                <c:pt idx="1565">
                  <c:v>580399</c:v>
                </c:pt>
                <c:pt idx="1566">
                  <c:v>580400</c:v>
                </c:pt>
                <c:pt idx="1567">
                  <c:v>580401</c:v>
                </c:pt>
                <c:pt idx="1568">
                  <c:v>580402</c:v>
                </c:pt>
                <c:pt idx="1569">
                  <c:v>580403</c:v>
                </c:pt>
                <c:pt idx="1570">
                  <c:v>580404</c:v>
                </c:pt>
                <c:pt idx="1571">
                  <c:v>580405</c:v>
                </c:pt>
                <c:pt idx="1572">
                  <c:v>580419</c:v>
                </c:pt>
                <c:pt idx="1573">
                  <c:v>580431</c:v>
                </c:pt>
                <c:pt idx="1574">
                  <c:v>580432</c:v>
                </c:pt>
                <c:pt idx="1575">
                  <c:v>580434</c:v>
                </c:pt>
                <c:pt idx="1576">
                  <c:v>580436</c:v>
                </c:pt>
                <c:pt idx="1577">
                  <c:v>580438</c:v>
                </c:pt>
                <c:pt idx="1578">
                  <c:v>580441</c:v>
                </c:pt>
                <c:pt idx="1579">
                  <c:v>580460</c:v>
                </c:pt>
                <c:pt idx="1580">
                  <c:v>580468</c:v>
                </c:pt>
                <c:pt idx="1581">
                  <c:v>580469</c:v>
                </c:pt>
                <c:pt idx="1582">
                  <c:v>580482</c:v>
                </c:pt>
                <c:pt idx="1583">
                  <c:v>580490</c:v>
                </c:pt>
                <c:pt idx="1584">
                  <c:v>580500</c:v>
                </c:pt>
                <c:pt idx="1585">
                  <c:v>580501</c:v>
                </c:pt>
                <c:pt idx="1586">
                  <c:v>580502</c:v>
                </c:pt>
                <c:pt idx="1587">
                  <c:v>580503</c:v>
                </c:pt>
                <c:pt idx="1588">
                  <c:v>580504</c:v>
                </c:pt>
                <c:pt idx="1589">
                  <c:v>580505</c:v>
                </c:pt>
                <c:pt idx="1590">
                  <c:v>580506</c:v>
                </c:pt>
                <c:pt idx="1591">
                  <c:v>580508</c:v>
                </c:pt>
                <c:pt idx="1592">
                  <c:v>580509</c:v>
                </c:pt>
                <c:pt idx="1593">
                  <c:v>580511</c:v>
                </c:pt>
                <c:pt idx="1594">
                  <c:v>580512</c:v>
                </c:pt>
                <c:pt idx="1595">
                  <c:v>580513</c:v>
                </c:pt>
                <c:pt idx="1596">
                  <c:v>580514</c:v>
                </c:pt>
                <c:pt idx="1597">
                  <c:v>580515</c:v>
                </c:pt>
                <c:pt idx="1598">
                  <c:v>580516</c:v>
                </c:pt>
                <c:pt idx="1599">
                  <c:v>580517</c:v>
                </c:pt>
                <c:pt idx="1600">
                  <c:v>580518</c:v>
                </c:pt>
                <c:pt idx="1601">
                  <c:v>580519</c:v>
                </c:pt>
                <c:pt idx="1602">
                  <c:v>580520</c:v>
                </c:pt>
                <c:pt idx="1603">
                  <c:v>580521</c:v>
                </c:pt>
                <c:pt idx="1604">
                  <c:v>580523</c:v>
                </c:pt>
                <c:pt idx="1605">
                  <c:v>580524</c:v>
                </c:pt>
                <c:pt idx="1606">
                  <c:v>580525</c:v>
                </c:pt>
                <c:pt idx="1607">
                  <c:v>580526</c:v>
                </c:pt>
                <c:pt idx="1608">
                  <c:v>580527</c:v>
                </c:pt>
                <c:pt idx="1609">
                  <c:v>580528</c:v>
                </c:pt>
                <c:pt idx="1610">
                  <c:v>580529</c:v>
                </c:pt>
                <c:pt idx="1611">
                  <c:v>580530</c:v>
                </c:pt>
                <c:pt idx="1612">
                  <c:v>580531</c:v>
                </c:pt>
                <c:pt idx="1613">
                  <c:v>580532</c:v>
                </c:pt>
                <c:pt idx="1614">
                  <c:v>580533</c:v>
                </c:pt>
                <c:pt idx="1615">
                  <c:v>580534</c:v>
                </c:pt>
                <c:pt idx="1616">
                  <c:v>580535</c:v>
                </c:pt>
                <c:pt idx="1617">
                  <c:v>580536</c:v>
                </c:pt>
                <c:pt idx="1618">
                  <c:v>580537</c:v>
                </c:pt>
                <c:pt idx="1619">
                  <c:v>580538</c:v>
                </c:pt>
                <c:pt idx="1620">
                  <c:v>580539</c:v>
                </c:pt>
                <c:pt idx="1621">
                  <c:v>580540</c:v>
                </c:pt>
                <c:pt idx="1622">
                  <c:v>580541</c:v>
                </c:pt>
                <c:pt idx="1623">
                  <c:v>580542</c:v>
                </c:pt>
                <c:pt idx="1624">
                  <c:v>580543</c:v>
                </c:pt>
                <c:pt idx="1625">
                  <c:v>580544</c:v>
                </c:pt>
                <c:pt idx="1626">
                  <c:v>580545</c:v>
                </c:pt>
                <c:pt idx="1627">
                  <c:v>580548</c:v>
                </c:pt>
                <c:pt idx="1628">
                  <c:v>580550</c:v>
                </c:pt>
                <c:pt idx="1629">
                  <c:v>580552</c:v>
                </c:pt>
                <c:pt idx="1630">
                  <c:v>580553</c:v>
                </c:pt>
                <c:pt idx="1631">
                  <c:v>580554</c:v>
                </c:pt>
                <c:pt idx="1632">
                  <c:v>580555</c:v>
                </c:pt>
                <c:pt idx="1633">
                  <c:v>580556</c:v>
                </c:pt>
                <c:pt idx="1634">
                  <c:v>580557</c:v>
                </c:pt>
                <c:pt idx="1635">
                  <c:v>580558</c:v>
                </c:pt>
                <c:pt idx="1636">
                  <c:v>580559</c:v>
                </c:pt>
                <c:pt idx="1637">
                  <c:v>580595</c:v>
                </c:pt>
                <c:pt idx="1638">
                  <c:v>580596</c:v>
                </c:pt>
                <c:pt idx="1639">
                  <c:v>580598</c:v>
                </c:pt>
                <c:pt idx="1640">
                  <c:v>580599</c:v>
                </c:pt>
                <c:pt idx="1641">
                  <c:v>580600</c:v>
                </c:pt>
                <c:pt idx="1642">
                  <c:v>580601</c:v>
                </c:pt>
                <c:pt idx="1643">
                  <c:v>580602</c:v>
                </c:pt>
                <c:pt idx="1644">
                  <c:v>580603</c:v>
                </c:pt>
                <c:pt idx="1645">
                  <c:v>580606</c:v>
                </c:pt>
                <c:pt idx="1646">
                  <c:v>580607</c:v>
                </c:pt>
                <c:pt idx="1647">
                  <c:v>580608</c:v>
                </c:pt>
                <c:pt idx="1648">
                  <c:v>580610</c:v>
                </c:pt>
                <c:pt idx="1649">
                  <c:v>580611</c:v>
                </c:pt>
                <c:pt idx="1650">
                  <c:v>580612</c:v>
                </c:pt>
                <c:pt idx="1651">
                  <c:v>580613</c:v>
                </c:pt>
                <c:pt idx="1652">
                  <c:v>580614</c:v>
                </c:pt>
                <c:pt idx="1653">
                  <c:v>580615</c:v>
                </c:pt>
                <c:pt idx="1654">
                  <c:v>580619</c:v>
                </c:pt>
                <c:pt idx="1655">
                  <c:v>580622</c:v>
                </c:pt>
                <c:pt idx="1656">
                  <c:v>580630</c:v>
                </c:pt>
                <c:pt idx="1657">
                  <c:v>580631</c:v>
                </c:pt>
                <c:pt idx="1658">
                  <c:v>580632</c:v>
                </c:pt>
                <c:pt idx="1659">
                  <c:v>580633</c:v>
                </c:pt>
                <c:pt idx="1660">
                  <c:v>580634</c:v>
                </c:pt>
                <c:pt idx="1661">
                  <c:v>580635</c:v>
                </c:pt>
                <c:pt idx="1662">
                  <c:v>580636</c:v>
                </c:pt>
                <c:pt idx="1663">
                  <c:v>580637</c:v>
                </c:pt>
                <c:pt idx="1664">
                  <c:v>580638</c:v>
                </c:pt>
                <c:pt idx="1665">
                  <c:v>580639</c:v>
                </c:pt>
                <c:pt idx="1666">
                  <c:v>580640</c:v>
                </c:pt>
                <c:pt idx="1667">
                  <c:v>580642</c:v>
                </c:pt>
                <c:pt idx="1668">
                  <c:v>580643</c:v>
                </c:pt>
                <c:pt idx="1669">
                  <c:v>580644</c:v>
                </c:pt>
                <c:pt idx="1670">
                  <c:v>580645</c:v>
                </c:pt>
                <c:pt idx="1671">
                  <c:v>580646</c:v>
                </c:pt>
                <c:pt idx="1672">
                  <c:v>580647</c:v>
                </c:pt>
                <c:pt idx="1673">
                  <c:v>580648</c:v>
                </c:pt>
                <c:pt idx="1674">
                  <c:v>580650</c:v>
                </c:pt>
                <c:pt idx="1675">
                  <c:v>580651</c:v>
                </c:pt>
                <c:pt idx="1676">
                  <c:v>580652</c:v>
                </c:pt>
                <c:pt idx="1677">
                  <c:v>580653</c:v>
                </c:pt>
                <c:pt idx="1678">
                  <c:v>580654</c:v>
                </c:pt>
                <c:pt idx="1679">
                  <c:v>580655</c:v>
                </c:pt>
                <c:pt idx="1680">
                  <c:v>580656</c:v>
                </c:pt>
                <c:pt idx="1681">
                  <c:v>580657</c:v>
                </c:pt>
                <c:pt idx="1682">
                  <c:v>580658</c:v>
                </c:pt>
                <c:pt idx="1683">
                  <c:v>580659</c:v>
                </c:pt>
                <c:pt idx="1684">
                  <c:v>580660</c:v>
                </c:pt>
                <c:pt idx="1685">
                  <c:v>580661</c:v>
                </c:pt>
                <c:pt idx="1686">
                  <c:v>580662</c:v>
                </c:pt>
                <c:pt idx="1687">
                  <c:v>580663</c:v>
                </c:pt>
                <c:pt idx="1688">
                  <c:v>580664</c:v>
                </c:pt>
                <c:pt idx="1689">
                  <c:v>580665</c:v>
                </c:pt>
                <c:pt idx="1690">
                  <c:v>580666</c:v>
                </c:pt>
                <c:pt idx="1691">
                  <c:v>580667</c:v>
                </c:pt>
                <c:pt idx="1692">
                  <c:v>580668</c:v>
                </c:pt>
                <c:pt idx="1693">
                  <c:v>580669</c:v>
                </c:pt>
                <c:pt idx="1694">
                  <c:v>580670</c:v>
                </c:pt>
                <c:pt idx="1695">
                  <c:v>580671</c:v>
                </c:pt>
                <c:pt idx="1696">
                  <c:v>580672</c:v>
                </c:pt>
                <c:pt idx="1697">
                  <c:v>580673</c:v>
                </c:pt>
                <c:pt idx="1698">
                  <c:v>580674</c:v>
                </c:pt>
                <c:pt idx="1699">
                  <c:v>580675</c:v>
                </c:pt>
                <c:pt idx="1700">
                  <c:v>580676</c:v>
                </c:pt>
                <c:pt idx="1701">
                  <c:v>580677</c:v>
                </c:pt>
                <c:pt idx="1702">
                  <c:v>580678</c:v>
                </c:pt>
                <c:pt idx="1703">
                  <c:v>580679</c:v>
                </c:pt>
                <c:pt idx="1704">
                  <c:v>580680</c:v>
                </c:pt>
                <c:pt idx="1705">
                  <c:v>580681</c:v>
                </c:pt>
                <c:pt idx="1706">
                  <c:v>580682</c:v>
                </c:pt>
                <c:pt idx="1707">
                  <c:v>580683</c:v>
                </c:pt>
                <c:pt idx="1708">
                  <c:v>580684</c:v>
                </c:pt>
                <c:pt idx="1709">
                  <c:v>580685</c:v>
                </c:pt>
                <c:pt idx="1710">
                  <c:v>580687</c:v>
                </c:pt>
                <c:pt idx="1711">
                  <c:v>580688</c:v>
                </c:pt>
                <c:pt idx="1712">
                  <c:v>580689</c:v>
                </c:pt>
                <c:pt idx="1713">
                  <c:v>580690</c:v>
                </c:pt>
                <c:pt idx="1714">
                  <c:v>580691</c:v>
                </c:pt>
                <c:pt idx="1715">
                  <c:v>580692</c:v>
                </c:pt>
                <c:pt idx="1716">
                  <c:v>580693</c:v>
                </c:pt>
                <c:pt idx="1717">
                  <c:v>580694</c:v>
                </c:pt>
                <c:pt idx="1718">
                  <c:v>580695</c:v>
                </c:pt>
                <c:pt idx="1719">
                  <c:v>580696</c:v>
                </c:pt>
                <c:pt idx="1720">
                  <c:v>580697</c:v>
                </c:pt>
                <c:pt idx="1721">
                  <c:v>580699</c:v>
                </c:pt>
                <c:pt idx="1722">
                  <c:v>580700</c:v>
                </c:pt>
                <c:pt idx="1723">
                  <c:v>580704</c:v>
                </c:pt>
                <c:pt idx="1724">
                  <c:v>580705</c:v>
                </c:pt>
                <c:pt idx="1725">
                  <c:v>580709</c:v>
                </c:pt>
                <c:pt idx="1726">
                  <c:v>580712</c:v>
                </c:pt>
                <c:pt idx="1727">
                  <c:v>580713</c:v>
                </c:pt>
                <c:pt idx="1728">
                  <c:v>580715</c:v>
                </c:pt>
                <c:pt idx="1729">
                  <c:v>580716</c:v>
                </c:pt>
                <c:pt idx="1730">
                  <c:v>580717</c:v>
                </c:pt>
                <c:pt idx="1731">
                  <c:v>580718</c:v>
                </c:pt>
                <c:pt idx="1732">
                  <c:v>580719</c:v>
                </c:pt>
                <c:pt idx="1733">
                  <c:v>580720</c:v>
                </c:pt>
                <c:pt idx="1734">
                  <c:v>580721</c:v>
                </c:pt>
                <c:pt idx="1735">
                  <c:v>580722</c:v>
                </c:pt>
                <c:pt idx="1736">
                  <c:v>580723</c:v>
                </c:pt>
                <c:pt idx="1737">
                  <c:v>580724</c:v>
                </c:pt>
                <c:pt idx="1738">
                  <c:v>580725</c:v>
                </c:pt>
                <c:pt idx="1739">
                  <c:v>580727</c:v>
                </c:pt>
                <c:pt idx="1740">
                  <c:v>580728</c:v>
                </c:pt>
                <c:pt idx="1741">
                  <c:v>580729</c:v>
                </c:pt>
                <c:pt idx="1742">
                  <c:v>580730</c:v>
                </c:pt>
                <c:pt idx="1743">
                  <c:v>580731</c:v>
                </c:pt>
                <c:pt idx="1744">
                  <c:v>580732</c:v>
                </c:pt>
                <c:pt idx="1745">
                  <c:v>580733</c:v>
                </c:pt>
                <c:pt idx="1746">
                  <c:v>580734</c:v>
                </c:pt>
                <c:pt idx="1747">
                  <c:v>580735</c:v>
                </c:pt>
                <c:pt idx="1748">
                  <c:v>580736</c:v>
                </c:pt>
                <c:pt idx="1749">
                  <c:v>580737</c:v>
                </c:pt>
                <c:pt idx="1750">
                  <c:v>580738</c:v>
                </c:pt>
                <c:pt idx="1751">
                  <c:v>580739</c:v>
                </c:pt>
                <c:pt idx="1752">
                  <c:v>580742</c:v>
                </c:pt>
                <c:pt idx="1753">
                  <c:v>580744</c:v>
                </c:pt>
                <c:pt idx="1754">
                  <c:v>580745</c:v>
                </c:pt>
                <c:pt idx="1755">
                  <c:v>580746</c:v>
                </c:pt>
                <c:pt idx="1756">
                  <c:v>580748</c:v>
                </c:pt>
                <c:pt idx="1757">
                  <c:v>580750</c:v>
                </c:pt>
                <c:pt idx="1758">
                  <c:v>580752</c:v>
                </c:pt>
                <c:pt idx="1759">
                  <c:v>580753</c:v>
                </c:pt>
                <c:pt idx="1760">
                  <c:v>580754</c:v>
                </c:pt>
                <c:pt idx="1761">
                  <c:v>580755</c:v>
                </c:pt>
                <c:pt idx="1762">
                  <c:v>580756</c:v>
                </c:pt>
                <c:pt idx="1763">
                  <c:v>580757</c:v>
                </c:pt>
                <c:pt idx="1764">
                  <c:v>580758</c:v>
                </c:pt>
                <c:pt idx="1765">
                  <c:v>580759</c:v>
                </c:pt>
                <c:pt idx="1766">
                  <c:v>580760</c:v>
                </c:pt>
                <c:pt idx="1767">
                  <c:v>580763</c:v>
                </c:pt>
                <c:pt idx="1768">
                  <c:v>580765</c:v>
                </c:pt>
                <c:pt idx="1769">
                  <c:v>580771</c:v>
                </c:pt>
                <c:pt idx="1770">
                  <c:v>580772</c:v>
                </c:pt>
                <c:pt idx="1771">
                  <c:v>580774</c:v>
                </c:pt>
                <c:pt idx="1772">
                  <c:v>580775</c:v>
                </c:pt>
                <c:pt idx="1773">
                  <c:v>580776</c:v>
                </c:pt>
                <c:pt idx="1774">
                  <c:v>580777</c:v>
                </c:pt>
                <c:pt idx="1775">
                  <c:v>580778</c:v>
                </c:pt>
                <c:pt idx="1776">
                  <c:v>580808</c:v>
                </c:pt>
                <c:pt idx="1777">
                  <c:v>580816</c:v>
                </c:pt>
                <c:pt idx="1778">
                  <c:v>580819</c:v>
                </c:pt>
                <c:pt idx="1779">
                  <c:v>580820</c:v>
                </c:pt>
                <c:pt idx="1780">
                  <c:v>580822</c:v>
                </c:pt>
                <c:pt idx="1781">
                  <c:v>580830</c:v>
                </c:pt>
                <c:pt idx="1782">
                  <c:v>580831</c:v>
                </c:pt>
                <c:pt idx="1783">
                  <c:v>580833</c:v>
                </c:pt>
                <c:pt idx="1784">
                  <c:v>580848</c:v>
                </c:pt>
                <c:pt idx="1785">
                  <c:v>580852</c:v>
                </c:pt>
                <c:pt idx="1786">
                  <c:v>580865</c:v>
                </c:pt>
                <c:pt idx="1787">
                  <c:v>580872</c:v>
                </c:pt>
                <c:pt idx="1788">
                  <c:v>580873</c:v>
                </c:pt>
                <c:pt idx="1789">
                  <c:v>580874</c:v>
                </c:pt>
                <c:pt idx="1790">
                  <c:v>580875</c:v>
                </c:pt>
                <c:pt idx="1791">
                  <c:v>580876</c:v>
                </c:pt>
                <c:pt idx="1792">
                  <c:v>580877</c:v>
                </c:pt>
                <c:pt idx="1793">
                  <c:v>580878</c:v>
                </c:pt>
                <c:pt idx="1794">
                  <c:v>580879</c:v>
                </c:pt>
                <c:pt idx="1795">
                  <c:v>580880</c:v>
                </c:pt>
                <c:pt idx="1796">
                  <c:v>580881</c:v>
                </c:pt>
                <c:pt idx="1797">
                  <c:v>580882</c:v>
                </c:pt>
                <c:pt idx="1798">
                  <c:v>580883</c:v>
                </c:pt>
                <c:pt idx="1799">
                  <c:v>580884</c:v>
                </c:pt>
                <c:pt idx="1800">
                  <c:v>580885</c:v>
                </c:pt>
                <c:pt idx="1801">
                  <c:v>580887</c:v>
                </c:pt>
                <c:pt idx="1802">
                  <c:v>580888</c:v>
                </c:pt>
                <c:pt idx="1803">
                  <c:v>580889</c:v>
                </c:pt>
                <c:pt idx="1804">
                  <c:v>580890</c:v>
                </c:pt>
                <c:pt idx="1805">
                  <c:v>580891</c:v>
                </c:pt>
                <c:pt idx="1806">
                  <c:v>580892</c:v>
                </c:pt>
                <c:pt idx="1807">
                  <c:v>580893</c:v>
                </c:pt>
                <c:pt idx="1808">
                  <c:v>580894</c:v>
                </c:pt>
                <c:pt idx="1809">
                  <c:v>580901</c:v>
                </c:pt>
                <c:pt idx="1810">
                  <c:v>580902</c:v>
                </c:pt>
                <c:pt idx="1811">
                  <c:v>580903</c:v>
                </c:pt>
                <c:pt idx="1812">
                  <c:v>580904</c:v>
                </c:pt>
                <c:pt idx="1813">
                  <c:v>580905</c:v>
                </c:pt>
                <c:pt idx="1814">
                  <c:v>580906</c:v>
                </c:pt>
                <c:pt idx="1815">
                  <c:v>580907</c:v>
                </c:pt>
                <c:pt idx="1816">
                  <c:v>580908</c:v>
                </c:pt>
                <c:pt idx="1817">
                  <c:v>580909</c:v>
                </c:pt>
                <c:pt idx="1818">
                  <c:v>580910</c:v>
                </c:pt>
                <c:pt idx="1819">
                  <c:v>580911</c:v>
                </c:pt>
                <c:pt idx="1820">
                  <c:v>580914</c:v>
                </c:pt>
                <c:pt idx="1821">
                  <c:v>580915</c:v>
                </c:pt>
                <c:pt idx="1822">
                  <c:v>580916</c:v>
                </c:pt>
                <c:pt idx="1823">
                  <c:v>580937</c:v>
                </c:pt>
                <c:pt idx="1824">
                  <c:v>580939</c:v>
                </c:pt>
                <c:pt idx="1825">
                  <c:v>580955</c:v>
                </c:pt>
                <c:pt idx="1826">
                  <c:v>580956</c:v>
                </c:pt>
                <c:pt idx="1827">
                  <c:v>580958</c:v>
                </c:pt>
                <c:pt idx="1828">
                  <c:v>580959</c:v>
                </c:pt>
                <c:pt idx="1829">
                  <c:v>580960</c:v>
                </c:pt>
                <c:pt idx="1830">
                  <c:v>580961</c:v>
                </c:pt>
                <c:pt idx="1831">
                  <c:v>580962</c:v>
                </c:pt>
                <c:pt idx="1832">
                  <c:v>580963</c:v>
                </c:pt>
                <c:pt idx="1833">
                  <c:v>580964</c:v>
                </c:pt>
                <c:pt idx="1834">
                  <c:v>580965</c:v>
                </c:pt>
                <c:pt idx="1835">
                  <c:v>580967</c:v>
                </c:pt>
                <c:pt idx="1836">
                  <c:v>580969</c:v>
                </c:pt>
                <c:pt idx="1837">
                  <c:v>580972</c:v>
                </c:pt>
                <c:pt idx="1838">
                  <c:v>580973</c:v>
                </c:pt>
                <c:pt idx="1839">
                  <c:v>580974</c:v>
                </c:pt>
                <c:pt idx="1840">
                  <c:v>580975</c:v>
                </c:pt>
                <c:pt idx="1841">
                  <c:v>580977</c:v>
                </c:pt>
                <c:pt idx="1842">
                  <c:v>580978</c:v>
                </c:pt>
                <c:pt idx="1843">
                  <c:v>580979</c:v>
                </c:pt>
                <c:pt idx="1844">
                  <c:v>580980</c:v>
                </c:pt>
                <c:pt idx="1845">
                  <c:v>580981</c:v>
                </c:pt>
                <c:pt idx="1846">
                  <c:v>580982</c:v>
                </c:pt>
                <c:pt idx="1847">
                  <c:v>580983</c:v>
                </c:pt>
                <c:pt idx="1848">
                  <c:v>580984</c:v>
                </c:pt>
                <c:pt idx="1849">
                  <c:v>580985</c:v>
                </c:pt>
                <c:pt idx="1850">
                  <c:v>580986</c:v>
                </c:pt>
                <c:pt idx="1851">
                  <c:v>580987</c:v>
                </c:pt>
                <c:pt idx="1852">
                  <c:v>580988</c:v>
                </c:pt>
                <c:pt idx="1853">
                  <c:v>580992</c:v>
                </c:pt>
                <c:pt idx="1854">
                  <c:v>580993</c:v>
                </c:pt>
                <c:pt idx="1855">
                  <c:v>580996</c:v>
                </c:pt>
                <c:pt idx="1856">
                  <c:v>580997</c:v>
                </c:pt>
                <c:pt idx="1857">
                  <c:v>580998</c:v>
                </c:pt>
                <c:pt idx="1858">
                  <c:v>580999</c:v>
                </c:pt>
                <c:pt idx="1859">
                  <c:v>581000</c:v>
                </c:pt>
                <c:pt idx="1860">
                  <c:v>581001</c:v>
                </c:pt>
                <c:pt idx="1861">
                  <c:v>581002</c:v>
                </c:pt>
                <c:pt idx="1862">
                  <c:v>581003</c:v>
                </c:pt>
                <c:pt idx="1863">
                  <c:v>581004</c:v>
                </c:pt>
                <c:pt idx="1864">
                  <c:v>581005</c:v>
                </c:pt>
                <c:pt idx="1865">
                  <c:v>581006</c:v>
                </c:pt>
                <c:pt idx="1866">
                  <c:v>581007</c:v>
                </c:pt>
                <c:pt idx="1867">
                  <c:v>581008</c:v>
                </c:pt>
                <c:pt idx="1868">
                  <c:v>581010</c:v>
                </c:pt>
                <c:pt idx="1869">
                  <c:v>581011</c:v>
                </c:pt>
                <c:pt idx="1870">
                  <c:v>581013</c:v>
                </c:pt>
                <c:pt idx="1871">
                  <c:v>581014</c:v>
                </c:pt>
                <c:pt idx="1872">
                  <c:v>581015</c:v>
                </c:pt>
                <c:pt idx="1873">
                  <c:v>581016</c:v>
                </c:pt>
                <c:pt idx="1874">
                  <c:v>581017</c:v>
                </c:pt>
                <c:pt idx="1875">
                  <c:v>581018</c:v>
                </c:pt>
                <c:pt idx="1876">
                  <c:v>581019</c:v>
                </c:pt>
                <c:pt idx="1877">
                  <c:v>581020</c:v>
                </c:pt>
                <c:pt idx="1878">
                  <c:v>581021</c:v>
                </c:pt>
                <c:pt idx="1879">
                  <c:v>581022</c:v>
                </c:pt>
                <c:pt idx="1880">
                  <c:v>581023</c:v>
                </c:pt>
                <c:pt idx="1881">
                  <c:v>581027</c:v>
                </c:pt>
                <c:pt idx="1882">
                  <c:v>581034</c:v>
                </c:pt>
                <c:pt idx="1883">
                  <c:v>581057</c:v>
                </c:pt>
                <c:pt idx="1884">
                  <c:v>581058</c:v>
                </c:pt>
                <c:pt idx="1885">
                  <c:v>581059</c:v>
                </c:pt>
                <c:pt idx="1886">
                  <c:v>581064</c:v>
                </c:pt>
                <c:pt idx="1887">
                  <c:v>581068</c:v>
                </c:pt>
                <c:pt idx="1888">
                  <c:v>581074</c:v>
                </c:pt>
                <c:pt idx="1889">
                  <c:v>581095</c:v>
                </c:pt>
                <c:pt idx="1890">
                  <c:v>581096</c:v>
                </c:pt>
                <c:pt idx="1891">
                  <c:v>581097</c:v>
                </c:pt>
                <c:pt idx="1892">
                  <c:v>581098</c:v>
                </c:pt>
                <c:pt idx="1893">
                  <c:v>581099</c:v>
                </c:pt>
                <c:pt idx="1894">
                  <c:v>581101</c:v>
                </c:pt>
                <c:pt idx="1895">
                  <c:v>581104</c:v>
                </c:pt>
                <c:pt idx="1896">
                  <c:v>581105</c:v>
                </c:pt>
                <c:pt idx="1897">
                  <c:v>581107</c:v>
                </c:pt>
                <c:pt idx="1898">
                  <c:v>581108</c:v>
                </c:pt>
                <c:pt idx="1899">
                  <c:v>581110</c:v>
                </c:pt>
                <c:pt idx="1900">
                  <c:v>581112</c:v>
                </c:pt>
                <c:pt idx="1901">
                  <c:v>581113</c:v>
                </c:pt>
                <c:pt idx="1902">
                  <c:v>581114</c:v>
                </c:pt>
                <c:pt idx="1903">
                  <c:v>581115</c:v>
                </c:pt>
                <c:pt idx="1904">
                  <c:v>581116</c:v>
                </c:pt>
                <c:pt idx="1905">
                  <c:v>581118</c:v>
                </c:pt>
                <c:pt idx="1906">
                  <c:v>581119</c:v>
                </c:pt>
                <c:pt idx="1907">
                  <c:v>581120</c:v>
                </c:pt>
                <c:pt idx="1908">
                  <c:v>581122</c:v>
                </c:pt>
                <c:pt idx="1909">
                  <c:v>581123</c:v>
                </c:pt>
                <c:pt idx="1910">
                  <c:v>581125</c:v>
                </c:pt>
                <c:pt idx="1911">
                  <c:v>581126</c:v>
                </c:pt>
                <c:pt idx="1912">
                  <c:v>581129</c:v>
                </c:pt>
                <c:pt idx="1913">
                  <c:v>581130</c:v>
                </c:pt>
                <c:pt idx="1914">
                  <c:v>581131</c:v>
                </c:pt>
                <c:pt idx="1915">
                  <c:v>581132</c:v>
                </c:pt>
                <c:pt idx="1916">
                  <c:v>581133</c:v>
                </c:pt>
                <c:pt idx="1917">
                  <c:v>581134</c:v>
                </c:pt>
                <c:pt idx="1918">
                  <c:v>581135</c:v>
                </c:pt>
                <c:pt idx="1919">
                  <c:v>581136</c:v>
                </c:pt>
                <c:pt idx="1920">
                  <c:v>581137</c:v>
                </c:pt>
                <c:pt idx="1921">
                  <c:v>581138</c:v>
                </c:pt>
                <c:pt idx="1922">
                  <c:v>581139</c:v>
                </c:pt>
                <c:pt idx="1923">
                  <c:v>581140</c:v>
                </c:pt>
                <c:pt idx="1924">
                  <c:v>581141</c:v>
                </c:pt>
                <c:pt idx="1925">
                  <c:v>581142</c:v>
                </c:pt>
                <c:pt idx="1926">
                  <c:v>581143</c:v>
                </c:pt>
                <c:pt idx="1927">
                  <c:v>581144</c:v>
                </c:pt>
                <c:pt idx="1928">
                  <c:v>581146</c:v>
                </c:pt>
                <c:pt idx="1929">
                  <c:v>581147</c:v>
                </c:pt>
                <c:pt idx="1930">
                  <c:v>581149</c:v>
                </c:pt>
                <c:pt idx="1931">
                  <c:v>581150</c:v>
                </c:pt>
                <c:pt idx="1932">
                  <c:v>581163</c:v>
                </c:pt>
                <c:pt idx="1933">
                  <c:v>581164</c:v>
                </c:pt>
                <c:pt idx="1934">
                  <c:v>581165</c:v>
                </c:pt>
                <c:pt idx="1935">
                  <c:v>581166</c:v>
                </c:pt>
                <c:pt idx="1936">
                  <c:v>581167</c:v>
                </c:pt>
                <c:pt idx="1937">
                  <c:v>581168</c:v>
                </c:pt>
                <c:pt idx="1938">
                  <c:v>581169</c:v>
                </c:pt>
                <c:pt idx="1939">
                  <c:v>581170</c:v>
                </c:pt>
                <c:pt idx="1940">
                  <c:v>581171</c:v>
                </c:pt>
                <c:pt idx="1941">
                  <c:v>581172</c:v>
                </c:pt>
                <c:pt idx="1942">
                  <c:v>581173</c:v>
                </c:pt>
                <c:pt idx="1943">
                  <c:v>581174</c:v>
                </c:pt>
                <c:pt idx="1944">
                  <c:v>581175</c:v>
                </c:pt>
                <c:pt idx="1945">
                  <c:v>581176</c:v>
                </c:pt>
                <c:pt idx="1946">
                  <c:v>581177</c:v>
                </c:pt>
                <c:pt idx="1947">
                  <c:v>581179</c:v>
                </c:pt>
                <c:pt idx="1948">
                  <c:v>581180</c:v>
                </c:pt>
                <c:pt idx="1949">
                  <c:v>581181</c:v>
                </c:pt>
                <c:pt idx="1950">
                  <c:v>581182</c:v>
                </c:pt>
                <c:pt idx="1951">
                  <c:v>581183</c:v>
                </c:pt>
                <c:pt idx="1952">
                  <c:v>581184</c:v>
                </c:pt>
                <c:pt idx="1953">
                  <c:v>581185</c:v>
                </c:pt>
                <c:pt idx="1954">
                  <c:v>581186</c:v>
                </c:pt>
                <c:pt idx="1955">
                  <c:v>581187</c:v>
                </c:pt>
                <c:pt idx="1956">
                  <c:v>581188</c:v>
                </c:pt>
                <c:pt idx="1957">
                  <c:v>581191</c:v>
                </c:pt>
                <c:pt idx="1958">
                  <c:v>581192</c:v>
                </c:pt>
                <c:pt idx="1959">
                  <c:v>581193</c:v>
                </c:pt>
                <c:pt idx="1960">
                  <c:v>581194</c:v>
                </c:pt>
                <c:pt idx="1961">
                  <c:v>581195</c:v>
                </c:pt>
                <c:pt idx="1962">
                  <c:v>581196</c:v>
                </c:pt>
                <c:pt idx="1963">
                  <c:v>581197</c:v>
                </c:pt>
                <c:pt idx="1964">
                  <c:v>581214</c:v>
                </c:pt>
                <c:pt idx="1965">
                  <c:v>581215</c:v>
                </c:pt>
                <c:pt idx="1966">
                  <c:v>581216</c:v>
                </c:pt>
                <c:pt idx="1967">
                  <c:v>581217</c:v>
                </c:pt>
                <c:pt idx="1968">
                  <c:v>581218</c:v>
                </c:pt>
                <c:pt idx="1969">
                  <c:v>581219</c:v>
                </c:pt>
                <c:pt idx="1970">
                  <c:v>581220</c:v>
                </c:pt>
                <c:pt idx="1971">
                  <c:v>581221</c:v>
                </c:pt>
                <c:pt idx="1972">
                  <c:v>581222</c:v>
                </c:pt>
                <c:pt idx="1973">
                  <c:v>581223</c:v>
                </c:pt>
                <c:pt idx="1974">
                  <c:v>581224</c:v>
                </c:pt>
                <c:pt idx="1975">
                  <c:v>581225</c:v>
                </c:pt>
                <c:pt idx="1976">
                  <c:v>581227</c:v>
                </c:pt>
                <c:pt idx="1977">
                  <c:v>581230</c:v>
                </c:pt>
                <c:pt idx="1978">
                  <c:v>581231</c:v>
                </c:pt>
                <c:pt idx="1979">
                  <c:v>581232</c:v>
                </c:pt>
                <c:pt idx="1980">
                  <c:v>581233</c:v>
                </c:pt>
                <c:pt idx="1981">
                  <c:v>581236</c:v>
                </c:pt>
                <c:pt idx="1982">
                  <c:v>581237</c:v>
                </c:pt>
                <c:pt idx="1983">
                  <c:v>581238</c:v>
                </c:pt>
                <c:pt idx="1984">
                  <c:v>581241</c:v>
                </c:pt>
                <c:pt idx="1985">
                  <c:v>581246</c:v>
                </c:pt>
                <c:pt idx="1986">
                  <c:v>581251</c:v>
                </c:pt>
                <c:pt idx="1987">
                  <c:v>581252</c:v>
                </c:pt>
                <c:pt idx="1988">
                  <c:v>581253</c:v>
                </c:pt>
                <c:pt idx="1989">
                  <c:v>581256</c:v>
                </c:pt>
                <c:pt idx="1990">
                  <c:v>581266</c:v>
                </c:pt>
                <c:pt idx="1991">
                  <c:v>581279</c:v>
                </c:pt>
                <c:pt idx="1992">
                  <c:v>581281</c:v>
                </c:pt>
                <c:pt idx="1993">
                  <c:v>581285</c:v>
                </c:pt>
                <c:pt idx="1994">
                  <c:v>581291</c:v>
                </c:pt>
                <c:pt idx="1995">
                  <c:v>581310</c:v>
                </c:pt>
                <c:pt idx="1996">
                  <c:v>581324</c:v>
                </c:pt>
                <c:pt idx="1997">
                  <c:v>581325</c:v>
                </c:pt>
                <c:pt idx="1998">
                  <c:v>581327</c:v>
                </c:pt>
                <c:pt idx="1999">
                  <c:v>581333</c:v>
                </c:pt>
                <c:pt idx="2000">
                  <c:v>581334</c:v>
                </c:pt>
                <c:pt idx="2001">
                  <c:v>581335</c:v>
                </c:pt>
                <c:pt idx="2002">
                  <c:v>581336</c:v>
                </c:pt>
                <c:pt idx="2003">
                  <c:v>581338</c:v>
                </c:pt>
                <c:pt idx="2004">
                  <c:v>581345</c:v>
                </c:pt>
                <c:pt idx="2005">
                  <c:v>581352</c:v>
                </c:pt>
                <c:pt idx="2006">
                  <c:v>581356</c:v>
                </c:pt>
                <c:pt idx="2007">
                  <c:v>581357</c:v>
                </c:pt>
                <c:pt idx="2008">
                  <c:v>581358</c:v>
                </c:pt>
                <c:pt idx="2009">
                  <c:v>581361</c:v>
                </c:pt>
                <c:pt idx="2010">
                  <c:v>581375</c:v>
                </c:pt>
                <c:pt idx="2011">
                  <c:v>581376</c:v>
                </c:pt>
                <c:pt idx="2012">
                  <c:v>581377</c:v>
                </c:pt>
                <c:pt idx="2013">
                  <c:v>581378</c:v>
                </c:pt>
                <c:pt idx="2014">
                  <c:v>581379</c:v>
                </c:pt>
                <c:pt idx="2015">
                  <c:v>581380</c:v>
                </c:pt>
                <c:pt idx="2016">
                  <c:v>581381</c:v>
                </c:pt>
                <c:pt idx="2017">
                  <c:v>581382</c:v>
                </c:pt>
                <c:pt idx="2018">
                  <c:v>581383</c:v>
                </c:pt>
                <c:pt idx="2019">
                  <c:v>581385</c:v>
                </c:pt>
                <c:pt idx="2020">
                  <c:v>581394</c:v>
                </c:pt>
                <c:pt idx="2021">
                  <c:v>581395</c:v>
                </c:pt>
                <c:pt idx="2022">
                  <c:v>581396</c:v>
                </c:pt>
                <c:pt idx="2023">
                  <c:v>581397</c:v>
                </c:pt>
                <c:pt idx="2024">
                  <c:v>581398</c:v>
                </c:pt>
                <c:pt idx="2025">
                  <c:v>581399</c:v>
                </c:pt>
                <c:pt idx="2026">
                  <c:v>581400</c:v>
                </c:pt>
                <c:pt idx="2027">
                  <c:v>581401</c:v>
                </c:pt>
                <c:pt idx="2028">
                  <c:v>581402</c:v>
                </c:pt>
                <c:pt idx="2029">
                  <c:v>581403</c:v>
                </c:pt>
                <c:pt idx="2030">
                  <c:v>581404</c:v>
                </c:pt>
                <c:pt idx="2031">
                  <c:v>581405</c:v>
                </c:pt>
                <c:pt idx="2032">
                  <c:v>581407</c:v>
                </c:pt>
                <c:pt idx="2033">
                  <c:v>581410</c:v>
                </c:pt>
                <c:pt idx="2034">
                  <c:v>581411</c:v>
                </c:pt>
                <c:pt idx="2035">
                  <c:v>581412</c:v>
                </c:pt>
                <c:pt idx="2036">
                  <c:v>581413</c:v>
                </c:pt>
                <c:pt idx="2037">
                  <c:v>581414</c:v>
                </c:pt>
                <c:pt idx="2038">
                  <c:v>581415</c:v>
                </c:pt>
                <c:pt idx="2039">
                  <c:v>581416</c:v>
                </c:pt>
                <c:pt idx="2040">
                  <c:v>581417</c:v>
                </c:pt>
                <c:pt idx="2041">
                  <c:v>581418</c:v>
                </c:pt>
                <c:pt idx="2042">
                  <c:v>581419</c:v>
                </c:pt>
                <c:pt idx="2043">
                  <c:v>581420</c:v>
                </c:pt>
                <c:pt idx="2044">
                  <c:v>581421</c:v>
                </c:pt>
                <c:pt idx="2045">
                  <c:v>581423</c:v>
                </c:pt>
                <c:pt idx="2046">
                  <c:v>581424</c:v>
                </c:pt>
                <c:pt idx="2047">
                  <c:v>581425</c:v>
                </c:pt>
                <c:pt idx="2048">
                  <c:v>581426</c:v>
                </c:pt>
                <c:pt idx="2049">
                  <c:v>581427</c:v>
                </c:pt>
                <c:pt idx="2050">
                  <c:v>581428</c:v>
                </c:pt>
                <c:pt idx="2051">
                  <c:v>581429</c:v>
                </c:pt>
                <c:pt idx="2052">
                  <c:v>581430</c:v>
                </c:pt>
                <c:pt idx="2053">
                  <c:v>581431</c:v>
                </c:pt>
                <c:pt idx="2054">
                  <c:v>581432</c:v>
                </c:pt>
                <c:pt idx="2055">
                  <c:v>581433</c:v>
                </c:pt>
                <c:pt idx="2056">
                  <c:v>581434</c:v>
                </c:pt>
                <c:pt idx="2057">
                  <c:v>581435</c:v>
                </c:pt>
                <c:pt idx="2058">
                  <c:v>581436</c:v>
                </c:pt>
                <c:pt idx="2059">
                  <c:v>581437</c:v>
                </c:pt>
                <c:pt idx="2060">
                  <c:v>581438</c:v>
                </c:pt>
                <c:pt idx="2061">
                  <c:v>581439</c:v>
                </c:pt>
                <c:pt idx="2062">
                  <c:v>581442</c:v>
                </c:pt>
                <c:pt idx="2063">
                  <c:v>581443</c:v>
                </c:pt>
                <c:pt idx="2064">
                  <c:v>581445</c:v>
                </c:pt>
                <c:pt idx="2065">
                  <c:v>581448</c:v>
                </c:pt>
                <c:pt idx="2066">
                  <c:v>581449</c:v>
                </c:pt>
                <c:pt idx="2067">
                  <c:v>581450</c:v>
                </c:pt>
                <c:pt idx="2068">
                  <c:v>581451</c:v>
                </c:pt>
                <c:pt idx="2069">
                  <c:v>581452</c:v>
                </c:pt>
                <c:pt idx="2070">
                  <c:v>581453</c:v>
                </c:pt>
                <c:pt idx="2071">
                  <c:v>581454</c:v>
                </c:pt>
                <c:pt idx="2072">
                  <c:v>581455</c:v>
                </c:pt>
                <c:pt idx="2073">
                  <c:v>581456</c:v>
                </c:pt>
                <c:pt idx="2074">
                  <c:v>581457</c:v>
                </c:pt>
                <c:pt idx="2075">
                  <c:v>581458</c:v>
                </c:pt>
                <c:pt idx="2076">
                  <c:v>581459</c:v>
                </c:pt>
                <c:pt idx="2077">
                  <c:v>581461</c:v>
                </c:pt>
                <c:pt idx="2078">
                  <c:v>581467</c:v>
                </c:pt>
                <c:pt idx="2079">
                  <c:v>581469</c:v>
                </c:pt>
                <c:pt idx="2080">
                  <c:v>581471</c:v>
                </c:pt>
                <c:pt idx="2081">
                  <c:v>581472</c:v>
                </c:pt>
                <c:pt idx="2082">
                  <c:v>581473</c:v>
                </c:pt>
                <c:pt idx="2083">
                  <c:v>581474</c:v>
                </c:pt>
                <c:pt idx="2084">
                  <c:v>581475</c:v>
                </c:pt>
                <c:pt idx="2085">
                  <c:v>581476</c:v>
                </c:pt>
                <c:pt idx="2086">
                  <c:v>581477</c:v>
                </c:pt>
                <c:pt idx="2087">
                  <c:v>581478</c:v>
                </c:pt>
                <c:pt idx="2088">
                  <c:v>581479</c:v>
                </c:pt>
                <c:pt idx="2089">
                  <c:v>581480</c:v>
                </c:pt>
                <c:pt idx="2090">
                  <c:v>581481</c:v>
                </c:pt>
                <c:pt idx="2091">
                  <c:v>581482</c:v>
                </c:pt>
                <c:pt idx="2092">
                  <c:v>581483</c:v>
                </c:pt>
                <c:pt idx="2093">
                  <c:v>581485</c:v>
                </c:pt>
                <c:pt idx="2094">
                  <c:v>581486</c:v>
                </c:pt>
                <c:pt idx="2095">
                  <c:v>581487</c:v>
                </c:pt>
                <c:pt idx="2096">
                  <c:v>581488</c:v>
                </c:pt>
                <c:pt idx="2097">
                  <c:v>581489</c:v>
                </c:pt>
                <c:pt idx="2098">
                  <c:v>581491</c:v>
                </c:pt>
                <c:pt idx="2099">
                  <c:v>581492</c:v>
                </c:pt>
                <c:pt idx="2100">
                  <c:v>581493</c:v>
                </c:pt>
                <c:pt idx="2101">
                  <c:v>581494</c:v>
                </c:pt>
                <c:pt idx="2102">
                  <c:v>581495</c:v>
                </c:pt>
                <c:pt idx="2103">
                  <c:v>581496</c:v>
                </c:pt>
                <c:pt idx="2104">
                  <c:v>581497</c:v>
                </c:pt>
                <c:pt idx="2105">
                  <c:v>581498</c:v>
                </c:pt>
                <c:pt idx="2106">
                  <c:v>581500</c:v>
                </c:pt>
                <c:pt idx="2107">
                  <c:v>581501</c:v>
                </c:pt>
                <c:pt idx="2108">
                  <c:v>581502</c:v>
                </c:pt>
                <c:pt idx="2109">
                  <c:v>581514</c:v>
                </c:pt>
                <c:pt idx="2110">
                  <c:v>581516</c:v>
                </c:pt>
                <c:pt idx="2111">
                  <c:v>581538</c:v>
                </c:pt>
                <c:pt idx="2112">
                  <c:v>581566</c:v>
                </c:pt>
                <c:pt idx="2113">
                  <c:v>581567</c:v>
                </c:pt>
                <c:pt idx="2114">
                  <c:v>581570</c:v>
                </c:pt>
                <c:pt idx="2115">
                  <c:v>581571</c:v>
                </c:pt>
                <c:pt idx="2116">
                  <c:v>581572</c:v>
                </c:pt>
                <c:pt idx="2117">
                  <c:v>581574</c:v>
                </c:pt>
                <c:pt idx="2118">
                  <c:v>581578</c:v>
                </c:pt>
                <c:pt idx="2119">
                  <c:v>581579</c:v>
                </c:pt>
                <c:pt idx="2120">
                  <c:v>581580</c:v>
                </c:pt>
                <c:pt idx="2121">
                  <c:v>581581</c:v>
                </c:pt>
                <c:pt idx="2122">
                  <c:v>581582</c:v>
                </c:pt>
                <c:pt idx="2123">
                  <c:v>581583</c:v>
                </c:pt>
                <c:pt idx="2124">
                  <c:v>581584</c:v>
                </c:pt>
                <c:pt idx="2125">
                  <c:v>581585</c:v>
                </c:pt>
                <c:pt idx="2126">
                  <c:v>581586</c:v>
                </c:pt>
                <c:pt idx="2127">
                  <c:v>581587</c:v>
                </c:pt>
                <c:pt idx="2128">
                  <c:v>C576903</c:v>
                </c:pt>
                <c:pt idx="2129">
                  <c:v>C577131</c:v>
                </c:pt>
                <c:pt idx="2130">
                  <c:v>C577147</c:v>
                </c:pt>
                <c:pt idx="2131">
                  <c:v>C577149</c:v>
                </c:pt>
                <c:pt idx="2132">
                  <c:v>C577151</c:v>
                </c:pt>
                <c:pt idx="2133">
                  <c:v>C577153</c:v>
                </c:pt>
                <c:pt idx="2134">
                  <c:v>C577154</c:v>
                </c:pt>
                <c:pt idx="2135">
                  <c:v>C577159</c:v>
                </c:pt>
                <c:pt idx="2136">
                  <c:v>C577163</c:v>
                </c:pt>
                <c:pt idx="2137">
                  <c:v>C577196</c:v>
                </c:pt>
                <c:pt idx="2138">
                  <c:v>C577323</c:v>
                </c:pt>
                <c:pt idx="2139">
                  <c:v>C577327</c:v>
                </c:pt>
                <c:pt idx="2140">
                  <c:v>C577345</c:v>
                </c:pt>
                <c:pt idx="2141">
                  <c:v>C577349</c:v>
                </c:pt>
                <c:pt idx="2142">
                  <c:v>C577350</c:v>
                </c:pt>
                <c:pt idx="2143">
                  <c:v>C577351</c:v>
                </c:pt>
                <c:pt idx="2144">
                  <c:v>C577354</c:v>
                </c:pt>
                <c:pt idx="2145">
                  <c:v>C577360</c:v>
                </c:pt>
                <c:pt idx="2146">
                  <c:v>C577362</c:v>
                </c:pt>
                <c:pt idx="2147">
                  <c:v>C577363</c:v>
                </c:pt>
                <c:pt idx="2148">
                  <c:v>C577364</c:v>
                </c:pt>
                <c:pt idx="2149">
                  <c:v>C577369</c:v>
                </c:pt>
                <c:pt idx="2150">
                  <c:v>C577375</c:v>
                </c:pt>
                <c:pt idx="2151">
                  <c:v>C577381</c:v>
                </c:pt>
                <c:pt idx="2152">
                  <c:v>C577383</c:v>
                </c:pt>
                <c:pt idx="2153">
                  <c:v>C577384</c:v>
                </c:pt>
                <c:pt idx="2154">
                  <c:v>C577385</c:v>
                </c:pt>
                <c:pt idx="2155">
                  <c:v>C577386</c:v>
                </c:pt>
                <c:pt idx="2156">
                  <c:v>C577388</c:v>
                </c:pt>
                <c:pt idx="2157">
                  <c:v>C577389</c:v>
                </c:pt>
                <c:pt idx="2158">
                  <c:v>C577390</c:v>
                </c:pt>
                <c:pt idx="2159">
                  <c:v>C577391</c:v>
                </c:pt>
                <c:pt idx="2160">
                  <c:v>C577392</c:v>
                </c:pt>
                <c:pt idx="2161">
                  <c:v>C577394</c:v>
                </c:pt>
                <c:pt idx="2162">
                  <c:v>C577395</c:v>
                </c:pt>
                <c:pt idx="2163">
                  <c:v>C577397</c:v>
                </c:pt>
                <c:pt idx="2164">
                  <c:v>C577398</c:v>
                </c:pt>
                <c:pt idx="2165">
                  <c:v>C577399</c:v>
                </c:pt>
                <c:pt idx="2166">
                  <c:v>C577486</c:v>
                </c:pt>
                <c:pt idx="2167">
                  <c:v>C577509</c:v>
                </c:pt>
                <c:pt idx="2168">
                  <c:v>C577513</c:v>
                </c:pt>
                <c:pt idx="2169">
                  <c:v>C577547</c:v>
                </c:pt>
                <c:pt idx="2170">
                  <c:v>C577614</c:v>
                </c:pt>
                <c:pt idx="2171">
                  <c:v>C577683</c:v>
                </c:pt>
                <c:pt idx="2172">
                  <c:v>C577688</c:v>
                </c:pt>
                <c:pt idx="2173">
                  <c:v>C577692</c:v>
                </c:pt>
                <c:pt idx="2174">
                  <c:v>C577693</c:v>
                </c:pt>
                <c:pt idx="2175">
                  <c:v>C577722</c:v>
                </c:pt>
                <c:pt idx="2176">
                  <c:v>C577731</c:v>
                </c:pt>
                <c:pt idx="2177">
                  <c:v>C577737</c:v>
                </c:pt>
                <c:pt idx="2178">
                  <c:v>C577750</c:v>
                </c:pt>
                <c:pt idx="2179">
                  <c:v>C577752</c:v>
                </c:pt>
                <c:pt idx="2180">
                  <c:v>C577753</c:v>
                </c:pt>
                <c:pt idx="2181">
                  <c:v>C577775</c:v>
                </c:pt>
                <c:pt idx="2182">
                  <c:v>C577781</c:v>
                </c:pt>
                <c:pt idx="2183">
                  <c:v>C577786</c:v>
                </c:pt>
                <c:pt idx="2184">
                  <c:v>C577799</c:v>
                </c:pt>
                <c:pt idx="2185">
                  <c:v>C577815</c:v>
                </c:pt>
                <c:pt idx="2186">
                  <c:v>C577817</c:v>
                </c:pt>
                <c:pt idx="2187">
                  <c:v>C577819</c:v>
                </c:pt>
                <c:pt idx="2188">
                  <c:v>C577821</c:v>
                </c:pt>
                <c:pt idx="2189">
                  <c:v>C577828</c:v>
                </c:pt>
                <c:pt idx="2190">
                  <c:v>C577832</c:v>
                </c:pt>
                <c:pt idx="2191">
                  <c:v>C577839</c:v>
                </c:pt>
                <c:pt idx="2192">
                  <c:v>C577849</c:v>
                </c:pt>
                <c:pt idx="2193">
                  <c:v>C577889</c:v>
                </c:pt>
                <c:pt idx="2194">
                  <c:v>C578003</c:v>
                </c:pt>
                <c:pt idx="2195">
                  <c:v>C578007</c:v>
                </c:pt>
                <c:pt idx="2196">
                  <c:v>C578039</c:v>
                </c:pt>
                <c:pt idx="2197">
                  <c:v>C578061</c:v>
                </c:pt>
                <c:pt idx="2198">
                  <c:v>C578062</c:v>
                </c:pt>
                <c:pt idx="2199">
                  <c:v>C578077</c:v>
                </c:pt>
                <c:pt idx="2200">
                  <c:v>C578110</c:v>
                </c:pt>
                <c:pt idx="2201">
                  <c:v>C578124</c:v>
                </c:pt>
                <c:pt idx="2202">
                  <c:v>C578131</c:v>
                </c:pt>
                <c:pt idx="2203">
                  <c:v>C578132</c:v>
                </c:pt>
                <c:pt idx="2204">
                  <c:v>C578136</c:v>
                </c:pt>
                <c:pt idx="2205">
                  <c:v>C578142</c:v>
                </c:pt>
                <c:pt idx="2206">
                  <c:v>C578144</c:v>
                </c:pt>
                <c:pt idx="2207">
                  <c:v>C578148</c:v>
                </c:pt>
                <c:pt idx="2208">
                  <c:v>C578164</c:v>
                </c:pt>
                <c:pt idx="2209">
                  <c:v>C578257</c:v>
                </c:pt>
                <c:pt idx="2210">
                  <c:v>C578259</c:v>
                </c:pt>
                <c:pt idx="2211">
                  <c:v>C578274</c:v>
                </c:pt>
                <c:pt idx="2212">
                  <c:v>C578276</c:v>
                </c:pt>
                <c:pt idx="2213">
                  <c:v>C578280</c:v>
                </c:pt>
                <c:pt idx="2214">
                  <c:v>C578282</c:v>
                </c:pt>
                <c:pt idx="2215">
                  <c:v>C578342</c:v>
                </c:pt>
                <c:pt idx="2216">
                  <c:v>C578355</c:v>
                </c:pt>
                <c:pt idx="2217">
                  <c:v>C578363</c:v>
                </c:pt>
                <c:pt idx="2218">
                  <c:v>C578367</c:v>
                </c:pt>
                <c:pt idx="2219">
                  <c:v>C578368</c:v>
                </c:pt>
                <c:pt idx="2220">
                  <c:v>C578371</c:v>
                </c:pt>
                <c:pt idx="2221">
                  <c:v>C578377</c:v>
                </c:pt>
                <c:pt idx="2222">
                  <c:v>C578432</c:v>
                </c:pt>
                <c:pt idx="2223">
                  <c:v>C578669</c:v>
                </c:pt>
                <c:pt idx="2224">
                  <c:v>C578673</c:v>
                </c:pt>
                <c:pt idx="2225">
                  <c:v>C578803</c:v>
                </c:pt>
                <c:pt idx="2226">
                  <c:v>C578832</c:v>
                </c:pt>
                <c:pt idx="2227">
                  <c:v>C578932</c:v>
                </c:pt>
                <c:pt idx="2228">
                  <c:v>C578991</c:v>
                </c:pt>
                <c:pt idx="2229">
                  <c:v>C579090</c:v>
                </c:pt>
                <c:pt idx="2230">
                  <c:v>C579092</c:v>
                </c:pt>
                <c:pt idx="2231">
                  <c:v>C579127</c:v>
                </c:pt>
                <c:pt idx="2232">
                  <c:v>C579140</c:v>
                </c:pt>
                <c:pt idx="2233">
                  <c:v>C579169</c:v>
                </c:pt>
                <c:pt idx="2234">
                  <c:v>C579172</c:v>
                </c:pt>
                <c:pt idx="2235">
                  <c:v>C579178</c:v>
                </c:pt>
                <c:pt idx="2236">
                  <c:v>C579186</c:v>
                </c:pt>
                <c:pt idx="2237">
                  <c:v>C579192</c:v>
                </c:pt>
                <c:pt idx="2238">
                  <c:v>C579266</c:v>
                </c:pt>
                <c:pt idx="2239">
                  <c:v>C579277</c:v>
                </c:pt>
                <c:pt idx="2240">
                  <c:v>C579347</c:v>
                </c:pt>
                <c:pt idx="2241">
                  <c:v>C579415</c:v>
                </c:pt>
                <c:pt idx="2242">
                  <c:v>C579431</c:v>
                </c:pt>
                <c:pt idx="2243">
                  <c:v>C579438</c:v>
                </c:pt>
                <c:pt idx="2244">
                  <c:v>C579496</c:v>
                </c:pt>
                <c:pt idx="2245">
                  <c:v>C579502</c:v>
                </c:pt>
                <c:pt idx="2246">
                  <c:v>C579519</c:v>
                </c:pt>
                <c:pt idx="2247">
                  <c:v>C579521</c:v>
                </c:pt>
                <c:pt idx="2248">
                  <c:v>C579532</c:v>
                </c:pt>
                <c:pt idx="2249">
                  <c:v>C579547</c:v>
                </c:pt>
                <c:pt idx="2250">
                  <c:v>C579554</c:v>
                </c:pt>
                <c:pt idx="2251">
                  <c:v>C579562</c:v>
                </c:pt>
                <c:pt idx="2252">
                  <c:v>C579710</c:v>
                </c:pt>
                <c:pt idx="2253">
                  <c:v>C579739</c:v>
                </c:pt>
                <c:pt idx="2254">
                  <c:v>C579746</c:v>
                </c:pt>
                <c:pt idx="2255">
                  <c:v>C579748</c:v>
                </c:pt>
                <c:pt idx="2256">
                  <c:v>C579752</c:v>
                </c:pt>
                <c:pt idx="2257">
                  <c:v>C579753</c:v>
                </c:pt>
                <c:pt idx="2258">
                  <c:v>C579756</c:v>
                </c:pt>
                <c:pt idx="2259">
                  <c:v>C579758</c:v>
                </c:pt>
                <c:pt idx="2260">
                  <c:v>C579760</c:v>
                </c:pt>
                <c:pt idx="2261">
                  <c:v>C579764</c:v>
                </c:pt>
                <c:pt idx="2262">
                  <c:v>C579766</c:v>
                </c:pt>
                <c:pt idx="2263">
                  <c:v>C579776</c:v>
                </c:pt>
                <c:pt idx="2264">
                  <c:v>C579778</c:v>
                </c:pt>
                <c:pt idx="2265">
                  <c:v>C579780</c:v>
                </c:pt>
                <c:pt idx="2266">
                  <c:v>C579781</c:v>
                </c:pt>
                <c:pt idx="2267">
                  <c:v>C579782</c:v>
                </c:pt>
                <c:pt idx="2268">
                  <c:v>C579783</c:v>
                </c:pt>
                <c:pt idx="2269">
                  <c:v>C579785</c:v>
                </c:pt>
                <c:pt idx="2270">
                  <c:v>C579791</c:v>
                </c:pt>
                <c:pt idx="2271">
                  <c:v>C579864</c:v>
                </c:pt>
                <c:pt idx="2272">
                  <c:v>C579866</c:v>
                </c:pt>
                <c:pt idx="2273">
                  <c:v>C579869</c:v>
                </c:pt>
                <c:pt idx="2274">
                  <c:v>C579871</c:v>
                </c:pt>
                <c:pt idx="2275">
                  <c:v>C579876</c:v>
                </c:pt>
                <c:pt idx="2276">
                  <c:v>C579877</c:v>
                </c:pt>
                <c:pt idx="2277">
                  <c:v>C579878</c:v>
                </c:pt>
                <c:pt idx="2278">
                  <c:v>C579882</c:v>
                </c:pt>
                <c:pt idx="2279">
                  <c:v>C579883</c:v>
                </c:pt>
                <c:pt idx="2280">
                  <c:v>C579886</c:v>
                </c:pt>
                <c:pt idx="2281">
                  <c:v>C579887</c:v>
                </c:pt>
                <c:pt idx="2282">
                  <c:v>C579889</c:v>
                </c:pt>
                <c:pt idx="2283">
                  <c:v>C579890</c:v>
                </c:pt>
                <c:pt idx="2284">
                  <c:v>C579891</c:v>
                </c:pt>
                <c:pt idx="2285">
                  <c:v>C579892</c:v>
                </c:pt>
                <c:pt idx="2286">
                  <c:v>C579893</c:v>
                </c:pt>
                <c:pt idx="2287">
                  <c:v>C579894</c:v>
                </c:pt>
                <c:pt idx="2288">
                  <c:v>C579895</c:v>
                </c:pt>
                <c:pt idx="2289">
                  <c:v>C579896</c:v>
                </c:pt>
                <c:pt idx="2290">
                  <c:v>C579897</c:v>
                </c:pt>
                <c:pt idx="2291">
                  <c:v>C579898</c:v>
                </c:pt>
                <c:pt idx="2292">
                  <c:v>C579902</c:v>
                </c:pt>
                <c:pt idx="2293">
                  <c:v>C579903</c:v>
                </c:pt>
                <c:pt idx="2294">
                  <c:v>C579904</c:v>
                </c:pt>
                <c:pt idx="2295">
                  <c:v>C579905</c:v>
                </c:pt>
                <c:pt idx="2296">
                  <c:v>C579906</c:v>
                </c:pt>
                <c:pt idx="2297">
                  <c:v>C579911</c:v>
                </c:pt>
                <c:pt idx="2298">
                  <c:v>C579912</c:v>
                </c:pt>
                <c:pt idx="2299">
                  <c:v>C579913</c:v>
                </c:pt>
                <c:pt idx="2300">
                  <c:v>C579914</c:v>
                </c:pt>
                <c:pt idx="2301">
                  <c:v>C579915</c:v>
                </c:pt>
                <c:pt idx="2302">
                  <c:v>C579918</c:v>
                </c:pt>
                <c:pt idx="2303">
                  <c:v>C579919</c:v>
                </c:pt>
                <c:pt idx="2304">
                  <c:v>C579923</c:v>
                </c:pt>
                <c:pt idx="2305">
                  <c:v>C579924</c:v>
                </c:pt>
                <c:pt idx="2306">
                  <c:v>C579925</c:v>
                </c:pt>
                <c:pt idx="2307">
                  <c:v>C579926</c:v>
                </c:pt>
                <c:pt idx="2308">
                  <c:v>C579928</c:v>
                </c:pt>
                <c:pt idx="2309">
                  <c:v>C579929</c:v>
                </c:pt>
                <c:pt idx="2310">
                  <c:v>C579930</c:v>
                </c:pt>
                <c:pt idx="2311">
                  <c:v>C579931</c:v>
                </c:pt>
                <c:pt idx="2312">
                  <c:v>C579932</c:v>
                </c:pt>
                <c:pt idx="2313">
                  <c:v>C579933</c:v>
                </c:pt>
                <c:pt idx="2314">
                  <c:v>C579934</c:v>
                </c:pt>
                <c:pt idx="2315">
                  <c:v>C579935</c:v>
                </c:pt>
                <c:pt idx="2316">
                  <c:v>C579944</c:v>
                </c:pt>
                <c:pt idx="2317">
                  <c:v>C579945</c:v>
                </c:pt>
                <c:pt idx="2318">
                  <c:v>C579948</c:v>
                </c:pt>
                <c:pt idx="2319">
                  <c:v>C579968</c:v>
                </c:pt>
                <c:pt idx="2320">
                  <c:v>C579970</c:v>
                </c:pt>
                <c:pt idx="2321">
                  <c:v>C579989</c:v>
                </c:pt>
                <c:pt idx="2322">
                  <c:v>C579992</c:v>
                </c:pt>
                <c:pt idx="2323">
                  <c:v>C580056</c:v>
                </c:pt>
                <c:pt idx="2324">
                  <c:v>C580072</c:v>
                </c:pt>
                <c:pt idx="2325">
                  <c:v>C580099</c:v>
                </c:pt>
                <c:pt idx="2326">
                  <c:v>C580131</c:v>
                </c:pt>
                <c:pt idx="2327">
                  <c:v>C580165</c:v>
                </c:pt>
                <c:pt idx="2328">
                  <c:v>C580168</c:v>
                </c:pt>
                <c:pt idx="2329">
                  <c:v>C580171</c:v>
                </c:pt>
                <c:pt idx="2330">
                  <c:v>C580174</c:v>
                </c:pt>
                <c:pt idx="2331">
                  <c:v>C580179</c:v>
                </c:pt>
                <c:pt idx="2332">
                  <c:v>C580180</c:v>
                </c:pt>
                <c:pt idx="2333">
                  <c:v>C580263</c:v>
                </c:pt>
                <c:pt idx="2334">
                  <c:v>C580312</c:v>
                </c:pt>
                <c:pt idx="2335">
                  <c:v>C580313</c:v>
                </c:pt>
                <c:pt idx="2336">
                  <c:v>C580392</c:v>
                </c:pt>
                <c:pt idx="2337">
                  <c:v>C580507</c:v>
                </c:pt>
                <c:pt idx="2338">
                  <c:v>C580522</c:v>
                </c:pt>
                <c:pt idx="2339">
                  <c:v>C580597</c:v>
                </c:pt>
                <c:pt idx="2340">
                  <c:v>C580641</c:v>
                </c:pt>
                <c:pt idx="2341">
                  <c:v>C580649</c:v>
                </c:pt>
                <c:pt idx="2342">
                  <c:v>C580686</c:v>
                </c:pt>
                <c:pt idx="2343">
                  <c:v>C580698</c:v>
                </c:pt>
                <c:pt idx="2344">
                  <c:v>C580701</c:v>
                </c:pt>
                <c:pt idx="2345">
                  <c:v>C580702</c:v>
                </c:pt>
                <c:pt idx="2346">
                  <c:v>C580703</c:v>
                </c:pt>
                <c:pt idx="2347">
                  <c:v>C580707</c:v>
                </c:pt>
                <c:pt idx="2348">
                  <c:v>C580708</c:v>
                </c:pt>
                <c:pt idx="2349">
                  <c:v>C580710</c:v>
                </c:pt>
                <c:pt idx="2350">
                  <c:v>C580711</c:v>
                </c:pt>
                <c:pt idx="2351">
                  <c:v>C580714</c:v>
                </c:pt>
                <c:pt idx="2352">
                  <c:v>C580740</c:v>
                </c:pt>
                <c:pt idx="2353">
                  <c:v>C580741</c:v>
                </c:pt>
                <c:pt idx="2354">
                  <c:v>C580747</c:v>
                </c:pt>
                <c:pt idx="2355">
                  <c:v>C580749</c:v>
                </c:pt>
                <c:pt idx="2356">
                  <c:v>C580751</c:v>
                </c:pt>
                <c:pt idx="2357">
                  <c:v>C580761</c:v>
                </c:pt>
                <c:pt idx="2358">
                  <c:v>C580762</c:v>
                </c:pt>
                <c:pt idx="2359">
                  <c:v>C580764</c:v>
                </c:pt>
                <c:pt idx="2360">
                  <c:v>C580766</c:v>
                </c:pt>
                <c:pt idx="2361">
                  <c:v>C580767</c:v>
                </c:pt>
                <c:pt idx="2362">
                  <c:v>C580768</c:v>
                </c:pt>
                <c:pt idx="2363">
                  <c:v>C580769</c:v>
                </c:pt>
                <c:pt idx="2364">
                  <c:v>C580770</c:v>
                </c:pt>
                <c:pt idx="2365">
                  <c:v>C580773</c:v>
                </c:pt>
                <c:pt idx="2366">
                  <c:v>C580805</c:v>
                </c:pt>
                <c:pt idx="2367">
                  <c:v>C580821</c:v>
                </c:pt>
                <c:pt idx="2368">
                  <c:v>C580826</c:v>
                </c:pt>
                <c:pt idx="2369">
                  <c:v>C580832</c:v>
                </c:pt>
                <c:pt idx="2370">
                  <c:v>C580886</c:v>
                </c:pt>
                <c:pt idx="2371">
                  <c:v>C580912</c:v>
                </c:pt>
                <c:pt idx="2372">
                  <c:v>C580913</c:v>
                </c:pt>
                <c:pt idx="2373">
                  <c:v>C580917</c:v>
                </c:pt>
                <c:pt idx="2374">
                  <c:v>C580918</c:v>
                </c:pt>
                <c:pt idx="2375">
                  <c:v>C580919</c:v>
                </c:pt>
                <c:pt idx="2376">
                  <c:v>C580954</c:v>
                </c:pt>
                <c:pt idx="2377">
                  <c:v>C580966</c:v>
                </c:pt>
                <c:pt idx="2378">
                  <c:v>C580968</c:v>
                </c:pt>
                <c:pt idx="2379">
                  <c:v>C580970</c:v>
                </c:pt>
                <c:pt idx="2380">
                  <c:v>C580971</c:v>
                </c:pt>
                <c:pt idx="2381">
                  <c:v>C580989</c:v>
                </c:pt>
                <c:pt idx="2382">
                  <c:v>C581012</c:v>
                </c:pt>
                <c:pt idx="2383">
                  <c:v>C581071</c:v>
                </c:pt>
                <c:pt idx="2384">
                  <c:v>C581100</c:v>
                </c:pt>
                <c:pt idx="2385">
                  <c:v>C581106</c:v>
                </c:pt>
                <c:pt idx="2386">
                  <c:v>C581117</c:v>
                </c:pt>
                <c:pt idx="2387">
                  <c:v>C581121</c:v>
                </c:pt>
                <c:pt idx="2388">
                  <c:v>C581124</c:v>
                </c:pt>
                <c:pt idx="2389">
                  <c:v>C581128</c:v>
                </c:pt>
                <c:pt idx="2390">
                  <c:v>C581145</c:v>
                </c:pt>
                <c:pt idx="2391">
                  <c:v>C581148</c:v>
                </c:pt>
                <c:pt idx="2392">
                  <c:v>C581162</c:v>
                </c:pt>
                <c:pt idx="2393">
                  <c:v>C581178</c:v>
                </c:pt>
                <c:pt idx="2394">
                  <c:v>C581228</c:v>
                </c:pt>
                <c:pt idx="2395">
                  <c:v>C581229</c:v>
                </c:pt>
                <c:pt idx="2396">
                  <c:v>C581235</c:v>
                </c:pt>
                <c:pt idx="2397">
                  <c:v>C581305</c:v>
                </c:pt>
                <c:pt idx="2398">
                  <c:v>C581316</c:v>
                </c:pt>
                <c:pt idx="2399">
                  <c:v>C581322</c:v>
                </c:pt>
                <c:pt idx="2400">
                  <c:v>C581323</c:v>
                </c:pt>
                <c:pt idx="2401">
                  <c:v>C581330</c:v>
                </c:pt>
                <c:pt idx="2402">
                  <c:v>C581384</c:v>
                </c:pt>
                <c:pt idx="2403">
                  <c:v>C581390</c:v>
                </c:pt>
                <c:pt idx="2404">
                  <c:v>C581393</c:v>
                </c:pt>
                <c:pt idx="2405">
                  <c:v>C581409</c:v>
                </c:pt>
                <c:pt idx="2406">
                  <c:v>C581460</c:v>
                </c:pt>
                <c:pt idx="2407">
                  <c:v>C581462</c:v>
                </c:pt>
                <c:pt idx="2408">
                  <c:v>C581463</c:v>
                </c:pt>
                <c:pt idx="2409">
                  <c:v>C581464</c:v>
                </c:pt>
                <c:pt idx="2410">
                  <c:v>C581465</c:v>
                </c:pt>
                <c:pt idx="2411">
                  <c:v>C581466</c:v>
                </c:pt>
                <c:pt idx="2412">
                  <c:v>C581468</c:v>
                </c:pt>
                <c:pt idx="2413">
                  <c:v>C581470</c:v>
                </c:pt>
                <c:pt idx="2414">
                  <c:v>C581484</c:v>
                </c:pt>
                <c:pt idx="2415">
                  <c:v>C581490</c:v>
                </c:pt>
                <c:pt idx="2416">
                  <c:v>C581568</c:v>
                </c:pt>
                <c:pt idx="2417">
                  <c:v>C581569</c:v>
                </c:pt>
              </c:strCache>
            </c:strRef>
          </c:cat>
          <c:val>
            <c:numRef>
              <c:f>'Transaction analysis'!$B$4:$B$2422</c:f>
              <c:numCache>
                <c:formatCode>General</c:formatCode>
                <c:ptCount val="2418"/>
                <c:pt idx="0">
                  <c:v>3</c:v>
                </c:pt>
                <c:pt idx="1">
                  <c:v>11</c:v>
                </c:pt>
                <c:pt idx="2">
                  <c:v>15</c:v>
                </c:pt>
                <c:pt idx="3">
                  <c:v>2</c:v>
                </c:pt>
                <c:pt idx="4">
                  <c:v>3</c:v>
                </c:pt>
                <c:pt idx="5">
                  <c:v>7</c:v>
                </c:pt>
                <c:pt idx="6">
                  <c:v>31</c:v>
                </c:pt>
                <c:pt idx="7">
                  <c:v>9</c:v>
                </c:pt>
                <c:pt idx="8">
                  <c:v>10</c:v>
                </c:pt>
                <c:pt idx="9">
                  <c:v>1</c:v>
                </c:pt>
                <c:pt idx="10">
                  <c:v>8</c:v>
                </c:pt>
                <c:pt idx="11">
                  <c:v>17</c:v>
                </c:pt>
                <c:pt idx="12">
                  <c:v>33</c:v>
                </c:pt>
                <c:pt idx="13">
                  <c:v>8</c:v>
                </c:pt>
                <c:pt idx="14">
                  <c:v>31</c:v>
                </c:pt>
                <c:pt idx="15">
                  <c:v>44</c:v>
                </c:pt>
                <c:pt idx="16">
                  <c:v>56</c:v>
                </c:pt>
                <c:pt idx="17">
                  <c:v>7</c:v>
                </c:pt>
                <c:pt idx="18">
                  <c:v>3</c:v>
                </c:pt>
                <c:pt idx="19">
                  <c:v>5</c:v>
                </c:pt>
                <c:pt idx="20">
                  <c:v>3</c:v>
                </c:pt>
                <c:pt idx="21">
                  <c:v>12</c:v>
                </c:pt>
                <c:pt idx="22">
                  <c:v>15</c:v>
                </c:pt>
                <c:pt idx="23">
                  <c:v>23</c:v>
                </c:pt>
                <c:pt idx="24">
                  <c:v>1</c:v>
                </c:pt>
                <c:pt idx="25">
                  <c:v>31</c:v>
                </c:pt>
                <c:pt idx="26">
                  <c:v>23</c:v>
                </c:pt>
                <c:pt idx="27">
                  <c:v>14</c:v>
                </c:pt>
                <c:pt idx="28">
                  <c:v>80</c:v>
                </c:pt>
                <c:pt idx="29">
                  <c:v>6</c:v>
                </c:pt>
                <c:pt idx="30">
                  <c:v>7</c:v>
                </c:pt>
                <c:pt idx="31">
                  <c:v>8</c:v>
                </c:pt>
                <c:pt idx="32">
                  <c:v>21</c:v>
                </c:pt>
                <c:pt idx="33">
                  <c:v>55</c:v>
                </c:pt>
                <c:pt idx="34">
                  <c:v>75</c:v>
                </c:pt>
                <c:pt idx="35">
                  <c:v>18</c:v>
                </c:pt>
                <c:pt idx="36">
                  <c:v>23</c:v>
                </c:pt>
                <c:pt idx="37">
                  <c:v>1</c:v>
                </c:pt>
                <c:pt idx="38">
                  <c:v>16</c:v>
                </c:pt>
                <c:pt idx="39">
                  <c:v>10</c:v>
                </c:pt>
                <c:pt idx="40">
                  <c:v>7</c:v>
                </c:pt>
                <c:pt idx="41">
                  <c:v>3</c:v>
                </c:pt>
                <c:pt idx="42">
                  <c:v>29</c:v>
                </c:pt>
                <c:pt idx="43">
                  <c:v>30</c:v>
                </c:pt>
                <c:pt idx="44">
                  <c:v>71</c:v>
                </c:pt>
                <c:pt idx="45">
                  <c:v>1</c:v>
                </c:pt>
                <c:pt idx="46">
                  <c:v>37</c:v>
                </c:pt>
                <c:pt idx="47">
                  <c:v>3</c:v>
                </c:pt>
                <c:pt idx="48">
                  <c:v>6</c:v>
                </c:pt>
                <c:pt idx="49">
                  <c:v>16</c:v>
                </c:pt>
                <c:pt idx="50">
                  <c:v>3</c:v>
                </c:pt>
                <c:pt idx="51">
                  <c:v>37</c:v>
                </c:pt>
                <c:pt idx="52">
                  <c:v>19</c:v>
                </c:pt>
                <c:pt idx="53">
                  <c:v>42</c:v>
                </c:pt>
                <c:pt idx="54">
                  <c:v>22</c:v>
                </c:pt>
                <c:pt idx="55">
                  <c:v>12</c:v>
                </c:pt>
                <c:pt idx="56">
                  <c:v>6</c:v>
                </c:pt>
                <c:pt idx="57">
                  <c:v>6</c:v>
                </c:pt>
                <c:pt idx="58">
                  <c:v>47</c:v>
                </c:pt>
                <c:pt idx="59">
                  <c:v>8</c:v>
                </c:pt>
                <c:pt idx="60">
                  <c:v>15</c:v>
                </c:pt>
                <c:pt idx="61">
                  <c:v>4</c:v>
                </c:pt>
                <c:pt idx="62">
                  <c:v>53</c:v>
                </c:pt>
                <c:pt idx="63">
                  <c:v>84</c:v>
                </c:pt>
                <c:pt idx="64">
                  <c:v>10</c:v>
                </c:pt>
                <c:pt idx="65">
                  <c:v>11</c:v>
                </c:pt>
                <c:pt idx="66">
                  <c:v>62</c:v>
                </c:pt>
                <c:pt idx="67">
                  <c:v>42</c:v>
                </c:pt>
                <c:pt idx="68">
                  <c:v>1</c:v>
                </c:pt>
                <c:pt idx="69">
                  <c:v>7</c:v>
                </c:pt>
                <c:pt idx="70">
                  <c:v>2</c:v>
                </c:pt>
                <c:pt idx="71">
                  <c:v>1</c:v>
                </c:pt>
                <c:pt idx="72">
                  <c:v>58</c:v>
                </c:pt>
                <c:pt idx="73">
                  <c:v>4</c:v>
                </c:pt>
                <c:pt idx="74">
                  <c:v>4</c:v>
                </c:pt>
                <c:pt idx="75">
                  <c:v>40</c:v>
                </c:pt>
                <c:pt idx="76">
                  <c:v>36</c:v>
                </c:pt>
                <c:pt idx="77">
                  <c:v>61</c:v>
                </c:pt>
                <c:pt idx="78">
                  <c:v>48</c:v>
                </c:pt>
                <c:pt idx="79">
                  <c:v>23</c:v>
                </c:pt>
                <c:pt idx="80">
                  <c:v>4</c:v>
                </c:pt>
                <c:pt idx="81">
                  <c:v>7</c:v>
                </c:pt>
                <c:pt idx="82">
                  <c:v>21</c:v>
                </c:pt>
                <c:pt idx="83">
                  <c:v>139</c:v>
                </c:pt>
                <c:pt idx="84">
                  <c:v>104</c:v>
                </c:pt>
                <c:pt idx="85">
                  <c:v>12</c:v>
                </c:pt>
                <c:pt idx="86">
                  <c:v>4</c:v>
                </c:pt>
                <c:pt idx="87">
                  <c:v>45</c:v>
                </c:pt>
                <c:pt idx="88">
                  <c:v>10</c:v>
                </c:pt>
                <c:pt idx="89">
                  <c:v>7</c:v>
                </c:pt>
                <c:pt idx="90">
                  <c:v>3</c:v>
                </c:pt>
                <c:pt idx="91">
                  <c:v>8</c:v>
                </c:pt>
                <c:pt idx="92">
                  <c:v>3</c:v>
                </c:pt>
                <c:pt idx="93">
                  <c:v>4</c:v>
                </c:pt>
                <c:pt idx="94">
                  <c:v>53</c:v>
                </c:pt>
                <c:pt idx="95">
                  <c:v>3</c:v>
                </c:pt>
                <c:pt idx="96">
                  <c:v>17</c:v>
                </c:pt>
                <c:pt idx="97">
                  <c:v>37</c:v>
                </c:pt>
                <c:pt idx="98">
                  <c:v>63</c:v>
                </c:pt>
                <c:pt idx="99">
                  <c:v>571</c:v>
                </c:pt>
                <c:pt idx="100">
                  <c:v>3</c:v>
                </c:pt>
                <c:pt idx="101">
                  <c:v>13</c:v>
                </c:pt>
                <c:pt idx="102">
                  <c:v>28</c:v>
                </c:pt>
                <c:pt idx="103">
                  <c:v>5</c:v>
                </c:pt>
                <c:pt idx="104">
                  <c:v>6</c:v>
                </c:pt>
                <c:pt idx="105">
                  <c:v>10</c:v>
                </c:pt>
                <c:pt idx="106">
                  <c:v>14</c:v>
                </c:pt>
                <c:pt idx="107">
                  <c:v>2</c:v>
                </c:pt>
                <c:pt idx="108">
                  <c:v>2</c:v>
                </c:pt>
                <c:pt idx="109">
                  <c:v>13</c:v>
                </c:pt>
                <c:pt idx="110">
                  <c:v>15</c:v>
                </c:pt>
                <c:pt idx="111">
                  <c:v>7</c:v>
                </c:pt>
                <c:pt idx="112">
                  <c:v>23</c:v>
                </c:pt>
                <c:pt idx="113">
                  <c:v>18</c:v>
                </c:pt>
                <c:pt idx="114">
                  <c:v>29</c:v>
                </c:pt>
                <c:pt idx="115">
                  <c:v>36</c:v>
                </c:pt>
                <c:pt idx="116">
                  <c:v>3</c:v>
                </c:pt>
                <c:pt idx="117">
                  <c:v>5</c:v>
                </c:pt>
                <c:pt idx="118">
                  <c:v>14</c:v>
                </c:pt>
                <c:pt idx="119">
                  <c:v>1</c:v>
                </c:pt>
                <c:pt idx="120">
                  <c:v>8</c:v>
                </c:pt>
                <c:pt idx="121">
                  <c:v>2</c:v>
                </c:pt>
                <c:pt idx="122">
                  <c:v>1</c:v>
                </c:pt>
                <c:pt idx="123">
                  <c:v>3</c:v>
                </c:pt>
                <c:pt idx="124">
                  <c:v>1</c:v>
                </c:pt>
                <c:pt idx="125">
                  <c:v>1</c:v>
                </c:pt>
                <c:pt idx="126">
                  <c:v>1</c:v>
                </c:pt>
                <c:pt idx="127">
                  <c:v>3</c:v>
                </c:pt>
                <c:pt idx="128">
                  <c:v>4</c:v>
                </c:pt>
                <c:pt idx="129">
                  <c:v>2</c:v>
                </c:pt>
                <c:pt idx="130">
                  <c:v>5</c:v>
                </c:pt>
                <c:pt idx="131">
                  <c:v>2</c:v>
                </c:pt>
                <c:pt idx="132">
                  <c:v>1</c:v>
                </c:pt>
                <c:pt idx="133">
                  <c:v>1</c:v>
                </c:pt>
                <c:pt idx="134">
                  <c:v>3</c:v>
                </c:pt>
                <c:pt idx="135">
                  <c:v>3</c:v>
                </c:pt>
                <c:pt idx="136">
                  <c:v>27</c:v>
                </c:pt>
                <c:pt idx="137">
                  <c:v>18</c:v>
                </c:pt>
                <c:pt idx="138">
                  <c:v>9</c:v>
                </c:pt>
                <c:pt idx="139">
                  <c:v>4</c:v>
                </c:pt>
                <c:pt idx="140">
                  <c:v>9</c:v>
                </c:pt>
                <c:pt idx="141">
                  <c:v>94</c:v>
                </c:pt>
                <c:pt idx="142">
                  <c:v>23</c:v>
                </c:pt>
                <c:pt idx="143">
                  <c:v>17</c:v>
                </c:pt>
                <c:pt idx="144">
                  <c:v>34</c:v>
                </c:pt>
                <c:pt idx="145">
                  <c:v>44</c:v>
                </c:pt>
                <c:pt idx="146">
                  <c:v>20</c:v>
                </c:pt>
                <c:pt idx="147">
                  <c:v>19</c:v>
                </c:pt>
                <c:pt idx="148">
                  <c:v>15</c:v>
                </c:pt>
                <c:pt idx="149">
                  <c:v>4</c:v>
                </c:pt>
                <c:pt idx="150">
                  <c:v>10</c:v>
                </c:pt>
                <c:pt idx="151">
                  <c:v>1</c:v>
                </c:pt>
                <c:pt idx="152">
                  <c:v>62</c:v>
                </c:pt>
                <c:pt idx="153">
                  <c:v>1</c:v>
                </c:pt>
                <c:pt idx="154">
                  <c:v>7</c:v>
                </c:pt>
                <c:pt idx="155">
                  <c:v>7</c:v>
                </c:pt>
                <c:pt idx="156">
                  <c:v>46</c:v>
                </c:pt>
                <c:pt idx="157">
                  <c:v>16</c:v>
                </c:pt>
                <c:pt idx="158">
                  <c:v>20</c:v>
                </c:pt>
                <c:pt idx="159">
                  <c:v>86</c:v>
                </c:pt>
                <c:pt idx="160">
                  <c:v>11</c:v>
                </c:pt>
                <c:pt idx="161">
                  <c:v>14</c:v>
                </c:pt>
                <c:pt idx="162">
                  <c:v>1</c:v>
                </c:pt>
                <c:pt idx="163">
                  <c:v>10</c:v>
                </c:pt>
                <c:pt idx="164">
                  <c:v>2</c:v>
                </c:pt>
                <c:pt idx="165">
                  <c:v>16</c:v>
                </c:pt>
                <c:pt idx="166">
                  <c:v>10</c:v>
                </c:pt>
                <c:pt idx="167">
                  <c:v>17</c:v>
                </c:pt>
                <c:pt idx="168">
                  <c:v>3</c:v>
                </c:pt>
                <c:pt idx="169">
                  <c:v>3</c:v>
                </c:pt>
                <c:pt idx="170">
                  <c:v>30</c:v>
                </c:pt>
                <c:pt idx="171">
                  <c:v>10</c:v>
                </c:pt>
                <c:pt idx="172">
                  <c:v>93</c:v>
                </c:pt>
                <c:pt idx="173">
                  <c:v>44</c:v>
                </c:pt>
                <c:pt idx="174">
                  <c:v>2</c:v>
                </c:pt>
                <c:pt idx="175">
                  <c:v>14</c:v>
                </c:pt>
                <c:pt idx="176">
                  <c:v>66</c:v>
                </c:pt>
                <c:pt idx="177">
                  <c:v>14</c:v>
                </c:pt>
                <c:pt idx="178">
                  <c:v>64</c:v>
                </c:pt>
                <c:pt idx="179">
                  <c:v>32</c:v>
                </c:pt>
                <c:pt idx="180">
                  <c:v>2</c:v>
                </c:pt>
                <c:pt idx="181">
                  <c:v>8</c:v>
                </c:pt>
                <c:pt idx="182">
                  <c:v>44</c:v>
                </c:pt>
                <c:pt idx="183">
                  <c:v>87</c:v>
                </c:pt>
                <c:pt idx="184">
                  <c:v>18</c:v>
                </c:pt>
                <c:pt idx="185">
                  <c:v>7</c:v>
                </c:pt>
                <c:pt idx="186">
                  <c:v>33</c:v>
                </c:pt>
                <c:pt idx="187">
                  <c:v>2</c:v>
                </c:pt>
                <c:pt idx="188">
                  <c:v>34</c:v>
                </c:pt>
                <c:pt idx="189">
                  <c:v>40</c:v>
                </c:pt>
                <c:pt idx="190">
                  <c:v>17</c:v>
                </c:pt>
                <c:pt idx="191">
                  <c:v>27</c:v>
                </c:pt>
                <c:pt idx="192">
                  <c:v>5</c:v>
                </c:pt>
                <c:pt idx="193">
                  <c:v>19</c:v>
                </c:pt>
                <c:pt idx="194">
                  <c:v>37</c:v>
                </c:pt>
                <c:pt idx="195">
                  <c:v>5</c:v>
                </c:pt>
                <c:pt idx="196">
                  <c:v>34</c:v>
                </c:pt>
                <c:pt idx="197">
                  <c:v>43</c:v>
                </c:pt>
                <c:pt idx="198">
                  <c:v>43</c:v>
                </c:pt>
                <c:pt idx="199">
                  <c:v>45</c:v>
                </c:pt>
                <c:pt idx="200">
                  <c:v>24</c:v>
                </c:pt>
                <c:pt idx="201">
                  <c:v>59</c:v>
                </c:pt>
                <c:pt idx="202">
                  <c:v>25</c:v>
                </c:pt>
                <c:pt idx="203">
                  <c:v>10</c:v>
                </c:pt>
                <c:pt idx="204">
                  <c:v>1</c:v>
                </c:pt>
                <c:pt idx="205">
                  <c:v>22</c:v>
                </c:pt>
                <c:pt idx="206">
                  <c:v>2</c:v>
                </c:pt>
                <c:pt idx="207">
                  <c:v>1</c:v>
                </c:pt>
                <c:pt idx="208">
                  <c:v>2</c:v>
                </c:pt>
                <c:pt idx="209">
                  <c:v>16</c:v>
                </c:pt>
                <c:pt idx="210">
                  <c:v>44</c:v>
                </c:pt>
                <c:pt idx="211">
                  <c:v>12</c:v>
                </c:pt>
                <c:pt idx="212">
                  <c:v>17</c:v>
                </c:pt>
                <c:pt idx="213">
                  <c:v>4</c:v>
                </c:pt>
                <c:pt idx="214">
                  <c:v>5</c:v>
                </c:pt>
                <c:pt idx="215">
                  <c:v>14</c:v>
                </c:pt>
                <c:pt idx="216">
                  <c:v>35</c:v>
                </c:pt>
                <c:pt idx="217">
                  <c:v>8</c:v>
                </c:pt>
                <c:pt idx="218">
                  <c:v>44</c:v>
                </c:pt>
                <c:pt idx="219">
                  <c:v>9</c:v>
                </c:pt>
                <c:pt idx="220">
                  <c:v>8</c:v>
                </c:pt>
                <c:pt idx="221">
                  <c:v>6</c:v>
                </c:pt>
                <c:pt idx="222">
                  <c:v>44</c:v>
                </c:pt>
                <c:pt idx="223">
                  <c:v>4</c:v>
                </c:pt>
                <c:pt idx="224">
                  <c:v>13</c:v>
                </c:pt>
                <c:pt idx="225">
                  <c:v>560</c:v>
                </c:pt>
                <c:pt idx="226">
                  <c:v>60</c:v>
                </c:pt>
                <c:pt idx="227">
                  <c:v>1</c:v>
                </c:pt>
                <c:pt idx="228">
                  <c:v>16</c:v>
                </c:pt>
                <c:pt idx="229">
                  <c:v>3</c:v>
                </c:pt>
                <c:pt idx="230">
                  <c:v>1</c:v>
                </c:pt>
                <c:pt idx="231">
                  <c:v>22</c:v>
                </c:pt>
                <c:pt idx="232">
                  <c:v>11</c:v>
                </c:pt>
                <c:pt idx="233">
                  <c:v>31</c:v>
                </c:pt>
                <c:pt idx="234">
                  <c:v>1</c:v>
                </c:pt>
                <c:pt idx="235">
                  <c:v>9</c:v>
                </c:pt>
                <c:pt idx="236">
                  <c:v>27</c:v>
                </c:pt>
                <c:pt idx="237">
                  <c:v>19</c:v>
                </c:pt>
                <c:pt idx="238">
                  <c:v>8</c:v>
                </c:pt>
                <c:pt idx="239">
                  <c:v>11</c:v>
                </c:pt>
                <c:pt idx="240">
                  <c:v>10</c:v>
                </c:pt>
                <c:pt idx="241">
                  <c:v>9</c:v>
                </c:pt>
                <c:pt idx="242">
                  <c:v>17</c:v>
                </c:pt>
                <c:pt idx="243">
                  <c:v>33</c:v>
                </c:pt>
                <c:pt idx="244">
                  <c:v>58</c:v>
                </c:pt>
                <c:pt idx="245">
                  <c:v>17</c:v>
                </c:pt>
                <c:pt idx="246">
                  <c:v>48</c:v>
                </c:pt>
                <c:pt idx="247">
                  <c:v>3</c:v>
                </c:pt>
                <c:pt idx="248">
                  <c:v>3</c:v>
                </c:pt>
                <c:pt idx="249">
                  <c:v>66</c:v>
                </c:pt>
                <c:pt idx="250">
                  <c:v>36</c:v>
                </c:pt>
                <c:pt idx="251">
                  <c:v>83</c:v>
                </c:pt>
                <c:pt idx="252">
                  <c:v>7</c:v>
                </c:pt>
                <c:pt idx="253">
                  <c:v>30</c:v>
                </c:pt>
                <c:pt idx="254">
                  <c:v>26</c:v>
                </c:pt>
                <c:pt idx="255">
                  <c:v>9</c:v>
                </c:pt>
                <c:pt idx="256">
                  <c:v>10</c:v>
                </c:pt>
                <c:pt idx="257">
                  <c:v>41</c:v>
                </c:pt>
                <c:pt idx="258">
                  <c:v>64</c:v>
                </c:pt>
                <c:pt idx="259">
                  <c:v>29</c:v>
                </c:pt>
                <c:pt idx="260">
                  <c:v>83</c:v>
                </c:pt>
                <c:pt idx="261">
                  <c:v>23</c:v>
                </c:pt>
                <c:pt idx="262">
                  <c:v>143</c:v>
                </c:pt>
                <c:pt idx="263">
                  <c:v>5</c:v>
                </c:pt>
                <c:pt idx="264">
                  <c:v>11</c:v>
                </c:pt>
                <c:pt idx="265">
                  <c:v>23</c:v>
                </c:pt>
                <c:pt idx="266">
                  <c:v>55</c:v>
                </c:pt>
                <c:pt idx="267">
                  <c:v>6</c:v>
                </c:pt>
                <c:pt idx="268">
                  <c:v>8</c:v>
                </c:pt>
                <c:pt idx="269">
                  <c:v>47</c:v>
                </c:pt>
                <c:pt idx="270">
                  <c:v>1</c:v>
                </c:pt>
                <c:pt idx="271">
                  <c:v>62</c:v>
                </c:pt>
                <c:pt idx="272">
                  <c:v>3</c:v>
                </c:pt>
                <c:pt idx="273">
                  <c:v>56</c:v>
                </c:pt>
                <c:pt idx="274">
                  <c:v>17</c:v>
                </c:pt>
                <c:pt idx="275">
                  <c:v>9</c:v>
                </c:pt>
                <c:pt idx="276">
                  <c:v>56</c:v>
                </c:pt>
                <c:pt idx="277">
                  <c:v>17</c:v>
                </c:pt>
                <c:pt idx="278">
                  <c:v>26</c:v>
                </c:pt>
                <c:pt idx="279">
                  <c:v>37</c:v>
                </c:pt>
                <c:pt idx="280">
                  <c:v>190</c:v>
                </c:pt>
                <c:pt idx="281">
                  <c:v>30</c:v>
                </c:pt>
                <c:pt idx="282">
                  <c:v>85</c:v>
                </c:pt>
                <c:pt idx="283">
                  <c:v>55</c:v>
                </c:pt>
                <c:pt idx="284">
                  <c:v>33</c:v>
                </c:pt>
                <c:pt idx="285">
                  <c:v>1</c:v>
                </c:pt>
                <c:pt idx="286">
                  <c:v>45</c:v>
                </c:pt>
                <c:pt idx="287">
                  <c:v>13</c:v>
                </c:pt>
                <c:pt idx="288">
                  <c:v>11</c:v>
                </c:pt>
                <c:pt idx="289">
                  <c:v>6</c:v>
                </c:pt>
                <c:pt idx="290">
                  <c:v>33</c:v>
                </c:pt>
                <c:pt idx="291">
                  <c:v>51</c:v>
                </c:pt>
                <c:pt idx="292">
                  <c:v>8</c:v>
                </c:pt>
                <c:pt idx="293">
                  <c:v>65</c:v>
                </c:pt>
                <c:pt idx="294">
                  <c:v>34</c:v>
                </c:pt>
                <c:pt idx="295">
                  <c:v>24</c:v>
                </c:pt>
                <c:pt idx="296">
                  <c:v>26</c:v>
                </c:pt>
                <c:pt idx="297">
                  <c:v>11</c:v>
                </c:pt>
                <c:pt idx="298">
                  <c:v>51</c:v>
                </c:pt>
                <c:pt idx="299">
                  <c:v>7</c:v>
                </c:pt>
                <c:pt idx="300">
                  <c:v>30</c:v>
                </c:pt>
                <c:pt idx="301">
                  <c:v>22</c:v>
                </c:pt>
                <c:pt idx="302">
                  <c:v>9</c:v>
                </c:pt>
                <c:pt idx="303">
                  <c:v>1</c:v>
                </c:pt>
                <c:pt idx="304">
                  <c:v>19</c:v>
                </c:pt>
                <c:pt idx="305">
                  <c:v>197</c:v>
                </c:pt>
                <c:pt idx="306">
                  <c:v>32</c:v>
                </c:pt>
                <c:pt idx="307">
                  <c:v>23</c:v>
                </c:pt>
                <c:pt idx="308">
                  <c:v>5</c:v>
                </c:pt>
                <c:pt idx="309">
                  <c:v>78</c:v>
                </c:pt>
                <c:pt idx="310">
                  <c:v>49</c:v>
                </c:pt>
                <c:pt idx="311">
                  <c:v>11</c:v>
                </c:pt>
                <c:pt idx="312">
                  <c:v>7</c:v>
                </c:pt>
                <c:pt idx="313">
                  <c:v>24</c:v>
                </c:pt>
                <c:pt idx="314">
                  <c:v>23</c:v>
                </c:pt>
                <c:pt idx="315">
                  <c:v>21</c:v>
                </c:pt>
                <c:pt idx="316">
                  <c:v>25</c:v>
                </c:pt>
                <c:pt idx="317">
                  <c:v>20</c:v>
                </c:pt>
                <c:pt idx="318">
                  <c:v>71</c:v>
                </c:pt>
                <c:pt idx="319">
                  <c:v>54</c:v>
                </c:pt>
                <c:pt idx="320">
                  <c:v>1</c:v>
                </c:pt>
                <c:pt idx="321">
                  <c:v>6</c:v>
                </c:pt>
                <c:pt idx="322">
                  <c:v>89</c:v>
                </c:pt>
                <c:pt idx="323">
                  <c:v>20</c:v>
                </c:pt>
                <c:pt idx="324">
                  <c:v>14</c:v>
                </c:pt>
                <c:pt idx="325">
                  <c:v>9</c:v>
                </c:pt>
                <c:pt idx="326">
                  <c:v>1</c:v>
                </c:pt>
                <c:pt idx="327">
                  <c:v>39</c:v>
                </c:pt>
                <c:pt idx="328">
                  <c:v>2</c:v>
                </c:pt>
                <c:pt idx="329">
                  <c:v>3</c:v>
                </c:pt>
                <c:pt idx="330">
                  <c:v>90</c:v>
                </c:pt>
                <c:pt idx="331">
                  <c:v>12</c:v>
                </c:pt>
                <c:pt idx="332">
                  <c:v>7</c:v>
                </c:pt>
                <c:pt idx="333">
                  <c:v>23</c:v>
                </c:pt>
                <c:pt idx="334">
                  <c:v>41</c:v>
                </c:pt>
                <c:pt idx="335">
                  <c:v>1</c:v>
                </c:pt>
                <c:pt idx="336">
                  <c:v>18</c:v>
                </c:pt>
                <c:pt idx="337">
                  <c:v>20</c:v>
                </c:pt>
                <c:pt idx="338">
                  <c:v>12</c:v>
                </c:pt>
                <c:pt idx="339">
                  <c:v>14</c:v>
                </c:pt>
                <c:pt idx="340">
                  <c:v>40</c:v>
                </c:pt>
                <c:pt idx="341">
                  <c:v>16</c:v>
                </c:pt>
                <c:pt idx="342">
                  <c:v>11</c:v>
                </c:pt>
                <c:pt idx="343">
                  <c:v>3</c:v>
                </c:pt>
                <c:pt idx="344">
                  <c:v>5</c:v>
                </c:pt>
                <c:pt idx="345">
                  <c:v>21</c:v>
                </c:pt>
                <c:pt idx="346">
                  <c:v>1</c:v>
                </c:pt>
                <c:pt idx="347">
                  <c:v>72</c:v>
                </c:pt>
                <c:pt idx="348">
                  <c:v>18</c:v>
                </c:pt>
                <c:pt idx="349">
                  <c:v>50</c:v>
                </c:pt>
                <c:pt idx="350">
                  <c:v>34</c:v>
                </c:pt>
                <c:pt idx="351">
                  <c:v>14</c:v>
                </c:pt>
                <c:pt idx="352">
                  <c:v>6</c:v>
                </c:pt>
                <c:pt idx="353">
                  <c:v>13</c:v>
                </c:pt>
                <c:pt idx="354">
                  <c:v>48</c:v>
                </c:pt>
                <c:pt idx="355">
                  <c:v>11</c:v>
                </c:pt>
                <c:pt idx="356">
                  <c:v>7</c:v>
                </c:pt>
                <c:pt idx="357">
                  <c:v>7</c:v>
                </c:pt>
                <c:pt idx="358">
                  <c:v>15</c:v>
                </c:pt>
                <c:pt idx="359">
                  <c:v>20</c:v>
                </c:pt>
                <c:pt idx="360">
                  <c:v>42</c:v>
                </c:pt>
                <c:pt idx="361">
                  <c:v>20</c:v>
                </c:pt>
                <c:pt idx="362">
                  <c:v>12</c:v>
                </c:pt>
                <c:pt idx="363">
                  <c:v>51</c:v>
                </c:pt>
                <c:pt idx="364">
                  <c:v>58</c:v>
                </c:pt>
                <c:pt idx="365">
                  <c:v>11</c:v>
                </c:pt>
                <c:pt idx="366">
                  <c:v>34</c:v>
                </c:pt>
                <c:pt idx="367">
                  <c:v>19</c:v>
                </c:pt>
                <c:pt idx="368">
                  <c:v>46</c:v>
                </c:pt>
                <c:pt idx="369">
                  <c:v>24</c:v>
                </c:pt>
                <c:pt idx="370">
                  <c:v>39</c:v>
                </c:pt>
                <c:pt idx="371">
                  <c:v>14</c:v>
                </c:pt>
                <c:pt idx="372">
                  <c:v>2</c:v>
                </c:pt>
                <c:pt idx="373">
                  <c:v>9</c:v>
                </c:pt>
                <c:pt idx="374">
                  <c:v>8</c:v>
                </c:pt>
                <c:pt idx="375">
                  <c:v>11</c:v>
                </c:pt>
                <c:pt idx="376">
                  <c:v>77</c:v>
                </c:pt>
                <c:pt idx="377">
                  <c:v>4</c:v>
                </c:pt>
                <c:pt idx="378">
                  <c:v>3</c:v>
                </c:pt>
                <c:pt idx="379">
                  <c:v>6</c:v>
                </c:pt>
                <c:pt idx="380">
                  <c:v>4</c:v>
                </c:pt>
                <c:pt idx="381">
                  <c:v>40</c:v>
                </c:pt>
                <c:pt idx="382">
                  <c:v>34</c:v>
                </c:pt>
                <c:pt idx="383">
                  <c:v>18</c:v>
                </c:pt>
                <c:pt idx="384">
                  <c:v>12</c:v>
                </c:pt>
                <c:pt idx="385">
                  <c:v>19</c:v>
                </c:pt>
                <c:pt idx="386">
                  <c:v>4</c:v>
                </c:pt>
                <c:pt idx="387">
                  <c:v>11</c:v>
                </c:pt>
                <c:pt idx="388">
                  <c:v>24</c:v>
                </c:pt>
                <c:pt idx="389">
                  <c:v>3</c:v>
                </c:pt>
                <c:pt idx="390">
                  <c:v>3</c:v>
                </c:pt>
                <c:pt idx="391">
                  <c:v>54</c:v>
                </c:pt>
                <c:pt idx="392">
                  <c:v>22</c:v>
                </c:pt>
                <c:pt idx="393">
                  <c:v>70</c:v>
                </c:pt>
                <c:pt idx="394">
                  <c:v>17</c:v>
                </c:pt>
                <c:pt idx="395">
                  <c:v>10</c:v>
                </c:pt>
                <c:pt idx="396">
                  <c:v>18</c:v>
                </c:pt>
                <c:pt idx="397">
                  <c:v>25</c:v>
                </c:pt>
                <c:pt idx="398">
                  <c:v>14</c:v>
                </c:pt>
                <c:pt idx="399">
                  <c:v>49</c:v>
                </c:pt>
                <c:pt idx="400">
                  <c:v>41</c:v>
                </c:pt>
                <c:pt idx="401">
                  <c:v>39</c:v>
                </c:pt>
                <c:pt idx="402">
                  <c:v>34</c:v>
                </c:pt>
                <c:pt idx="403">
                  <c:v>11</c:v>
                </c:pt>
                <c:pt idx="404">
                  <c:v>21</c:v>
                </c:pt>
                <c:pt idx="405">
                  <c:v>8</c:v>
                </c:pt>
                <c:pt idx="406">
                  <c:v>525</c:v>
                </c:pt>
                <c:pt idx="407">
                  <c:v>22</c:v>
                </c:pt>
                <c:pt idx="408">
                  <c:v>15</c:v>
                </c:pt>
                <c:pt idx="409">
                  <c:v>2</c:v>
                </c:pt>
                <c:pt idx="410">
                  <c:v>22</c:v>
                </c:pt>
                <c:pt idx="411">
                  <c:v>87</c:v>
                </c:pt>
                <c:pt idx="412">
                  <c:v>55</c:v>
                </c:pt>
                <c:pt idx="413">
                  <c:v>3</c:v>
                </c:pt>
                <c:pt idx="414">
                  <c:v>4</c:v>
                </c:pt>
                <c:pt idx="415">
                  <c:v>58</c:v>
                </c:pt>
                <c:pt idx="416">
                  <c:v>3</c:v>
                </c:pt>
                <c:pt idx="417">
                  <c:v>1</c:v>
                </c:pt>
                <c:pt idx="418">
                  <c:v>77</c:v>
                </c:pt>
                <c:pt idx="419">
                  <c:v>35</c:v>
                </c:pt>
                <c:pt idx="420">
                  <c:v>8</c:v>
                </c:pt>
                <c:pt idx="421">
                  <c:v>53</c:v>
                </c:pt>
                <c:pt idx="422">
                  <c:v>10</c:v>
                </c:pt>
                <c:pt idx="423">
                  <c:v>63</c:v>
                </c:pt>
                <c:pt idx="424">
                  <c:v>2</c:v>
                </c:pt>
                <c:pt idx="425">
                  <c:v>9</c:v>
                </c:pt>
                <c:pt idx="426">
                  <c:v>57</c:v>
                </c:pt>
                <c:pt idx="427">
                  <c:v>24</c:v>
                </c:pt>
                <c:pt idx="428">
                  <c:v>11</c:v>
                </c:pt>
                <c:pt idx="429">
                  <c:v>1</c:v>
                </c:pt>
                <c:pt idx="430">
                  <c:v>21</c:v>
                </c:pt>
                <c:pt idx="431">
                  <c:v>36</c:v>
                </c:pt>
                <c:pt idx="432">
                  <c:v>9</c:v>
                </c:pt>
                <c:pt idx="433">
                  <c:v>1</c:v>
                </c:pt>
                <c:pt idx="434">
                  <c:v>8</c:v>
                </c:pt>
                <c:pt idx="435">
                  <c:v>33</c:v>
                </c:pt>
                <c:pt idx="436">
                  <c:v>7</c:v>
                </c:pt>
                <c:pt idx="437">
                  <c:v>5</c:v>
                </c:pt>
                <c:pt idx="438">
                  <c:v>18</c:v>
                </c:pt>
                <c:pt idx="439">
                  <c:v>3</c:v>
                </c:pt>
                <c:pt idx="440">
                  <c:v>13</c:v>
                </c:pt>
                <c:pt idx="441">
                  <c:v>1</c:v>
                </c:pt>
                <c:pt idx="442">
                  <c:v>14</c:v>
                </c:pt>
                <c:pt idx="443">
                  <c:v>16</c:v>
                </c:pt>
                <c:pt idx="444">
                  <c:v>26</c:v>
                </c:pt>
                <c:pt idx="445">
                  <c:v>9</c:v>
                </c:pt>
                <c:pt idx="446">
                  <c:v>28</c:v>
                </c:pt>
                <c:pt idx="447">
                  <c:v>10</c:v>
                </c:pt>
                <c:pt idx="448">
                  <c:v>7</c:v>
                </c:pt>
                <c:pt idx="449">
                  <c:v>10</c:v>
                </c:pt>
                <c:pt idx="450">
                  <c:v>2</c:v>
                </c:pt>
                <c:pt idx="451">
                  <c:v>11</c:v>
                </c:pt>
                <c:pt idx="452">
                  <c:v>10</c:v>
                </c:pt>
                <c:pt idx="453">
                  <c:v>13</c:v>
                </c:pt>
                <c:pt idx="454">
                  <c:v>11</c:v>
                </c:pt>
                <c:pt idx="455">
                  <c:v>4</c:v>
                </c:pt>
                <c:pt idx="456">
                  <c:v>19</c:v>
                </c:pt>
                <c:pt idx="457">
                  <c:v>9</c:v>
                </c:pt>
                <c:pt idx="458">
                  <c:v>28</c:v>
                </c:pt>
                <c:pt idx="459">
                  <c:v>12</c:v>
                </c:pt>
                <c:pt idx="460">
                  <c:v>5</c:v>
                </c:pt>
                <c:pt idx="461">
                  <c:v>14</c:v>
                </c:pt>
                <c:pt idx="462">
                  <c:v>2</c:v>
                </c:pt>
                <c:pt idx="463">
                  <c:v>6</c:v>
                </c:pt>
                <c:pt idx="464">
                  <c:v>8</c:v>
                </c:pt>
                <c:pt idx="465">
                  <c:v>1</c:v>
                </c:pt>
                <c:pt idx="466">
                  <c:v>85</c:v>
                </c:pt>
                <c:pt idx="467">
                  <c:v>22</c:v>
                </c:pt>
                <c:pt idx="468">
                  <c:v>1</c:v>
                </c:pt>
                <c:pt idx="469">
                  <c:v>63</c:v>
                </c:pt>
                <c:pt idx="470">
                  <c:v>12</c:v>
                </c:pt>
                <c:pt idx="471">
                  <c:v>1</c:v>
                </c:pt>
                <c:pt idx="472">
                  <c:v>10</c:v>
                </c:pt>
                <c:pt idx="473">
                  <c:v>5</c:v>
                </c:pt>
                <c:pt idx="474">
                  <c:v>106</c:v>
                </c:pt>
                <c:pt idx="475">
                  <c:v>12</c:v>
                </c:pt>
                <c:pt idx="476">
                  <c:v>6</c:v>
                </c:pt>
                <c:pt idx="477">
                  <c:v>2</c:v>
                </c:pt>
                <c:pt idx="478">
                  <c:v>21</c:v>
                </c:pt>
                <c:pt idx="479">
                  <c:v>11</c:v>
                </c:pt>
                <c:pt idx="480">
                  <c:v>21</c:v>
                </c:pt>
                <c:pt idx="481">
                  <c:v>37</c:v>
                </c:pt>
                <c:pt idx="482">
                  <c:v>12</c:v>
                </c:pt>
                <c:pt idx="483">
                  <c:v>35</c:v>
                </c:pt>
                <c:pt idx="484">
                  <c:v>1</c:v>
                </c:pt>
                <c:pt idx="485">
                  <c:v>5</c:v>
                </c:pt>
                <c:pt idx="486">
                  <c:v>15</c:v>
                </c:pt>
                <c:pt idx="487">
                  <c:v>35</c:v>
                </c:pt>
                <c:pt idx="488">
                  <c:v>10</c:v>
                </c:pt>
                <c:pt idx="489">
                  <c:v>34</c:v>
                </c:pt>
                <c:pt idx="490">
                  <c:v>6</c:v>
                </c:pt>
                <c:pt idx="491">
                  <c:v>22</c:v>
                </c:pt>
                <c:pt idx="492">
                  <c:v>9</c:v>
                </c:pt>
                <c:pt idx="493">
                  <c:v>11</c:v>
                </c:pt>
                <c:pt idx="494">
                  <c:v>11</c:v>
                </c:pt>
                <c:pt idx="495">
                  <c:v>20</c:v>
                </c:pt>
                <c:pt idx="496">
                  <c:v>33</c:v>
                </c:pt>
                <c:pt idx="497">
                  <c:v>19</c:v>
                </c:pt>
                <c:pt idx="498">
                  <c:v>1</c:v>
                </c:pt>
                <c:pt idx="499">
                  <c:v>20</c:v>
                </c:pt>
                <c:pt idx="500">
                  <c:v>1</c:v>
                </c:pt>
                <c:pt idx="501">
                  <c:v>32</c:v>
                </c:pt>
                <c:pt idx="502">
                  <c:v>1</c:v>
                </c:pt>
                <c:pt idx="503">
                  <c:v>10</c:v>
                </c:pt>
                <c:pt idx="504">
                  <c:v>68</c:v>
                </c:pt>
                <c:pt idx="505">
                  <c:v>55</c:v>
                </c:pt>
                <c:pt idx="506">
                  <c:v>34</c:v>
                </c:pt>
                <c:pt idx="507">
                  <c:v>36</c:v>
                </c:pt>
                <c:pt idx="508">
                  <c:v>31</c:v>
                </c:pt>
                <c:pt idx="509">
                  <c:v>9</c:v>
                </c:pt>
                <c:pt idx="510">
                  <c:v>62</c:v>
                </c:pt>
                <c:pt idx="511">
                  <c:v>1</c:v>
                </c:pt>
                <c:pt idx="512">
                  <c:v>36</c:v>
                </c:pt>
                <c:pt idx="513">
                  <c:v>15</c:v>
                </c:pt>
                <c:pt idx="514">
                  <c:v>33</c:v>
                </c:pt>
                <c:pt idx="515">
                  <c:v>37</c:v>
                </c:pt>
                <c:pt idx="516">
                  <c:v>17</c:v>
                </c:pt>
                <c:pt idx="517">
                  <c:v>24</c:v>
                </c:pt>
                <c:pt idx="518">
                  <c:v>20</c:v>
                </c:pt>
                <c:pt idx="519">
                  <c:v>18</c:v>
                </c:pt>
                <c:pt idx="520">
                  <c:v>39</c:v>
                </c:pt>
                <c:pt idx="521">
                  <c:v>27</c:v>
                </c:pt>
                <c:pt idx="522">
                  <c:v>4</c:v>
                </c:pt>
                <c:pt idx="523">
                  <c:v>6</c:v>
                </c:pt>
                <c:pt idx="524">
                  <c:v>77</c:v>
                </c:pt>
                <c:pt idx="525">
                  <c:v>5</c:v>
                </c:pt>
                <c:pt idx="526">
                  <c:v>9</c:v>
                </c:pt>
                <c:pt idx="527">
                  <c:v>25</c:v>
                </c:pt>
                <c:pt idx="528">
                  <c:v>161</c:v>
                </c:pt>
                <c:pt idx="529">
                  <c:v>1</c:v>
                </c:pt>
                <c:pt idx="530">
                  <c:v>22</c:v>
                </c:pt>
                <c:pt idx="531">
                  <c:v>28</c:v>
                </c:pt>
                <c:pt idx="532">
                  <c:v>49</c:v>
                </c:pt>
                <c:pt idx="533">
                  <c:v>20</c:v>
                </c:pt>
                <c:pt idx="534">
                  <c:v>9</c:v>
                </c:pt>
                <c:pt idx="535">
                  <c:v>13</c:v>
                </c:pt>
                <c:pt idx="536">
                  <c:v>12</c:v>
                </c:pt>
                <c:pt idx="537">
                  <c:v>27</c:v>
                </c:pt>
                <c:pt idx="538">
                  <c:v>8</c:v>
                </c:pt>
                <c:pt idx="539">
                  <c:v>8</c:v>
                </c:pt>
                <c:pt idx="540">
                  <c:v>2</c:v>
                </c:pt>
                <c:pt idx="541">
                  <c:v>14</c:v>
                </c:pt>
                <c:pt idx="542">
                  <c:v>1</c:v>
                </c:pt>
                <c:pt idx="543">
                  <c:v>493</c:v>
                </c:pt>
                <c:pt idx="544">
                  <c:v>9</c:v>
                </c:pt>
                <c:pt idx="545">
                  <c:v>485</c:v>
                </c:pt>
                <c:pt idx="546">
                  <c:v>115</c:v>
                </c:pt>
                <c:pt idx="547">
                  <c:v>16</c:v>
                </c:pt>
                <c:pt idx="548">
                  <c:v>1</c:v>
                </c:pt>
                <c:pt idx="549">
                  <c:v>6</c:v>
                </c:pt>
                <c:pt idx="550">
                  <c:v>72</c:v>
                </c:pt>
                <c:pt idx="551">
                  <c:v>122</c:v>
                </c:pt>
                <c:pt idx="552">
                  <c:v>24</c:v>
                </c:pt>
                <c:pt idx="553">
                  <c:v>11</c:v>
                </c:pt>
                <c:pt idx="554">
                  <c:v>23</c:v>
                </c:pt>
                <c:pt idx="555">
                  <c:v>15</c:v>
                </c:pt>
                <c:pt idx="556">
                  <c:v>10</c:v>
                </c:pt>
                <c:pt idx="557">
                  <c:v>13</c:v>
                </c:pt>
                <c:pt idx="558">
                  <c:v>20</c:v>
                </c:pt>
                <c:pt idx="559">
                  <c:v>12</c:v>
                </c:pt>
                <c:pt idx="560">
                  <c:v>16</c:v>
                </c:pt>
                <c:pt idx="561">
                  <c:v>13</c:v>
                </c:pt>
                <c:pt idx="562">
                  <c:v>103</c:v>
                </c:pt>
                <c:pt idx="563">
                  <c:v>5</c:v>
                </c:pt>
                <c:pt idx="564">
                  <c:v>4</c:v>
                </c:pt>
                <c:pt idx="565">
                  <c:v>18</c:v>
                </c:pt>
                <c:pt idx="566">
                  <c:v>16</c:v>
                </c:pt>
                <c:pt idx="567">
                  <c:v>23</c:v>
                </c:pt>
                <c:pt idx="568">
                  <c:v>2</c:v>
                </c:pt>
                <c:pt idx="569">
                  <c:v>7</c:v>
                </c:pt>
                <c:pt idx="570">
                  <c:v>26</c:v>
                </c:pt>
                <c:pt idx="571">
                  <c:v>20</c:v>
                </c:pt>
                <c:pt idx="572">
                  <c:v>18</c:v>
                </c:pt>
                <c:pt idx="573">
                  <c:v>3</c:v>
                </c:pt>
                <c:pt idx="574">
                  <c:v>12</c:v>
                </c:pt>
                <c:pt idx="575">
                  <c:v>9</c:v>
                </c:pt>
                <c:pt idx="576">
                  <c:v>15</c:v>
                </c:pt>
                <c:pt idx="577">
                  <c:v>7</c:v>
                </c:pt>
                <c:pt idx="578">
                  <c:v>6</c:v>
                </c:pt>
                <c:pt idx="579">
                  <c:v>7</c:v>
                </c:pt>
                <c:pt idx="580">
                  <c:v>13</c:v>
                </c:pt>
                <c:pt idx="581">
                  <c:v>21</c:v>
                </c:pt>
                <c:pt idx="582">
                  <c:v>5</c:v>
                </c:pt>
                <c:pt idx="583">
                  <c:v>1</c:v>
                </c:pt>
                <c:pt idx="584">
                  <c:v>4</c:v>
                </c:pt>
                <c:pt idx="585">
                  <c:v>12</c:v>
                </c:pt>
                <c:pt idx="586">
                  <c:v>8</c:v>
                </c:pt>
                <c:pt idx="587">
                  <c:v>7</c:v>
                </c:pt>
                <c:pt idx="588">
                  <c:v>14</c:v>
                </c:pt>
                <c:pt idx="589">
                  <c:v>29</c:v>
                </c:pt>
                <c:pt idx="590">
                  <c:v>4</c:v>
                </c:pt>
                <c:pt idx="591">
                  <c:v>21</c:v>
                </c:pt>
                <c:pt idx="592">
                  <c:v>21</c:v>
                </c:pt>
                <c:pt idx="593">
                  <c:v>45</c:v>
                </c:pt>
                <c:pt idx="594">
                  <c:v>1</c:v>
                </c:pt>
                <c:pt idx="595">
                  <c:v>6</c:v>
                </c:pt>
                <c:pt idx="596">
                  <c:v>8</c:v>
                </c:pt>
                <c:pt idx="597">
                  <c:v>9</c:v>
                </c:pt>
                <c:pt idx="598">
                  <c:v>4</c:v>
                </c:pt>
                <c:pt idx="599">
                  <c:v>10</c:v>
                </c:pt>
                <c:pt idx="600">
                  <c:v>42</c:v>
                </c:pt>
                <c:pt idx="601">
                  <c:v>1</c:v>
                </c:pt>
                <c:pt idx="602">
                  <c:v>11</c:v>
                </c:pt>
                <c:pt idx="603">
                  <c:v>47</c:v>
                </c:pt>
                <c:pt idx="604">
                  <c:v>46</c:v>
                </c:pt>
                <c:pt idx="605">
                  <c:v>281</c:v>
                </c:pt>
                <c:pt idx="606">
                  <c:v>1</c:v>
                </c:pt>
                <c:pt idx="607">
                  <c:v>19</c:v>
                </c:pt>
                <c:pt idx="608">
                  <c:v>1</c:v>
                </c:pt>
                <c:pt idx="609">
                  <c:v>49</c:v>
                </c:pt>
                <c:pt idx="610">
                  <c:v>1</c:v>
                </c:pt>
                <c:pt idx="611">
                  <c:v>48</c:v>
                </c:pt>
                <c:pt idx="612">
                  <c:v>16</c:v>
                </c:pt>
                <c:pt idx="613">
                  <c:v>11</c:v>
                </c:pt>
                <c:pt idx="614">
                  <c:v>31</c:v>
                </c:pt>
                <c:pt idx="615">
                  <c:v>1</c:v>
                </c:pt>
                <c:pt idx="616">
                  <c:v>1</c:v>
                </c:pt>
                <c:pt idx="617">
                  <c:v>58</c:v>
                </c:pt>
                <c:pt idx="618">
                  <c:v>5</c:v>
                </c:pt>
                <c:pt idx="619">
                  <c:v>48</c:v>
                </c:pt>
                <c:pt idx="620">
                  <c:v>21</c:v>
                </c:pt>
                <c:pt idx="621">
                  <c:v>2</c:v>
                </c:pt>
                <c:pt idx="622">
                  <c:v>24</c:v>
                </c:pt>
                <c:pt idx="623">
                  <c:v>1</c:v>
                </c:pt>
                <c:pt idx="624">
                  <c:v>208</c:v>
                </c:pt>
                <c:pt idx="625">
                  <c:v>17</c:v>
                </c:pt>
                <c:pt idx="626">
                  <c:v>33</c:v>
                </c:pt>
                <c:pt idx="627">
                  <c:v>39</c:v>
                </c:pt>
                <c:pt idx="628">
                  <c:v>6</c:v>
                </c:pt>
                <c:pt idx="629">
                  <c:v>17</c:v>
                </c:pt>
                <c:pt idx="630">
                  <c:v>38</c:v>
                </c:pt>
                <c:pt idx="631">
                  <c:v>1</c:v>
                </c:pt>
                <c:pt idx="632">
                  <c:v>46</c:v>
                </c:pt>
                <c:pt idx="633">
                  <c:v>78</c:v>
                </c:pt>
                <c:pt idx="634">
                  <c:v>5</c:v>
                </c:pt>
                <c:pt idx="635">
                  <c:v>3</c:v>
                </c:pt>
                <c:pt idx="636">
                  <c:v>7</c:v>
                </c:pt>
                <c:pt idx="637">
                  <c:v>99</c:v>
                </c:pt>
                <c:pt idx="638">
                  <c:v>1</c:v>
                </c:pt>
                <c:pt idx="639">
                  <c:v>60</c:v>
                </c:pt>
                <c:pt idx="640">
                  <c:v>17</c:v>
                </c:pt>
                <c:pt idx="641">
                  <c:v>10</c:v>
                </c:pt>
                <c:pt idx="642">
                  <c:v>102</c:v>
                </c:pt>
                <c:pt idx="643">
                  <c:v>16</c:v>
                </c:pt>
                <c:pt idx="644">
                  <c:v>33</c:v>
                </c:pt>
                <c:pt idx="645">
                  <c:v>19</c:v>
                </c:pt>
                <c:pt idx="646">
                  <c:v>41</c:v>
                </c:pt>
                <c:pt idx="647">
                  <c:v>1</c:v>
                </c:pt>
                <c:pt idx="648">
                  <c:v>1</c:v>
                </c:pt>
                <c:pt idx="649">
                  <c:v>441</c:v>
                </c:pt>
                <c:pt idx="650">
                  <c:v>4</c:v>
                </c:pt>
                <c:pt idx="651">
                  <c:v>13</c:v>
                </c:pt>
                <c:pt idx="652">
                  <c:v>20</c:v>
                </c:pt>
                <c:pt idx="653">
                  <c:v>34</c:v>
                </c:pt>
                <c:pt idx="654">
                  <c:v>25</c:v>
                </c:pt>
                <c:pt idx="655">
                  <c:v>45</c:v>
                </c:pt>
                <c:pt idx="656">
                  <c:v>7</c:v>
                </c:pt>
                <c:pt idx="657">
                  <c:v>15</c:v>
                </c:pt>
                <c:pt idx="658">
                  <c:v>7</c:v>
                </c:pt>
                <c:pt idx="659">
                  <c:v>5</c:v>
                </c:pt>
                <c:pt idx="660">
                  <c:v>28</c:v>
                </c:pt>
                <c:pt idx="661">
                  <c:v>1</c:v>
                </c:pt>
                <c:pt idx="662">
                  <c:v>3</c:v>
                </c:pt>
                <c:pt idx="663">
                  <c:v>7</c:v>
                </c:pt>
                <c:pt idx="664">
                  <c:v>123</c:v>
                </c:pt>
                <c:pt idx="665">
                  <c:v>37</c:v>
                </c:pt>
                <c:pt idx="666">
                  <c:v>2</c:v>
                </c:pt>
                <c:pt idx="667">
                  <c:v>72</c:v>
                </c:pt>
                <c:pt idx="668">
                  <c:v>33</c:v>
                </c:pt>
                <c:pt idx="669">
                  <c:v>5</c:v>
                </c:pt>
                <c:pt idx="670">
                  <c:v>6</c:v>
                </c:pt>
                <c:pt idx="671">
                  <c:v>2</c:v>
                </c:pt>
                <c:pt idx="672">
                  <c:v>9</c:v>
                </c:pt>
                <c:pt idx="673">
                  <c:v>16</c:v>
                </c:pt>
                <c:pt idx="674">
                  <c:v>9</c:v>
                </c:pt>
                <c:pt idx="675">
                  <c:v>1</c:v>
                </c:pt>
                <c:pt idx="676">
                  <c:v>13</c:v>
                </c:pt>
                <c:pt idx="677">
                  <c:v>38</c:v>
                </c:pt>
                <c:pt idx="678">
                  <c:v>12</c:v>
                </c:pt>
                <c:pt idx="679">
                  <c:v>5</c:v>
                </c:pt>
                <c:pt idx="680">
                  <c:v>132</c:v>
                </c:pt>
                <c:pt idx="681">
                  <c:v>11</c:v>
                </c:pt>
                <c:pt idx="682">
                  <c:v>51</c:v>
                </c:pt>
                <c:pt idx="683">
                  <c:v>14</c:v>
                </c:pt>
                <c:pt idx="684">
                  <c:v>14</c:v>
                </c:pt>
                <c:pt idx="685">
                  <c:v>21</c:v>
                </c:pt>
                <c:pt idx="686">
                  <c:v>1</c:v>
                </c:pt>
                <c:pt idx="687">
                  <c:v>8</c:v>
                </c:pt>
                <c:pt idx="688">
                  <c:v>7</c:v>
                </c:pt>
                <c:pt idx="689">
                  <c:v>7</c:v>
                </c:pt>
                <c:pt idx="690">
                  <c:v>19</c:v>
                </c:pt>
                <c:pt idx="691">
                  <c:v>18</c:v>
                </c:pt>
                <c:pt idx="692">
                  <c:v>38</c:v>
                </c:pt>
                <c:pt idx="693">
                  <c:v>8</c:v>
                </c:pt>
                <c:pt idx="694">
                  <c:v>4</c:v>
                </c:pt>
                <c:pt idx="695">
                  <c:v>4</c:v>
                </c:pt>
                <c:pt idx="696">
                  <c:v>10</c:v>
                </c:pt>
                <c:pt idx="697">
                  <c:v>23</c:v>
                </c:pt>
                <c:pt idx="698">
                  <c:v>26</c:v>
                </c:pt>
                <c:pt idx="699">
                  <c:v>25</c:v>
                </c:pt>
                <c:pt idx="700">
                  <c:v>20</c:v>
                </c:pt>
                <c:pt idx="701">
                  <c:v>2</c:v>
                </c:pt>
                <c:pt idx="702">
                  <c:v>9</c:v>
                </c:pt>
                <c:pt idx="703">
                  <c:v>8</c:v>
                </c:pt>
                <c:pt idx="704">
                  <c:v>11</c:v>
                </c:pt>
                <c:pt idx="705">
                  <c:v>6</c:v>
                </c:pt>
                <c:pt idx="706">
                  <c:v>26</c:v>
                </c:pt>
                <c:pt idx="707">
                  <c:v>8</c:v>
                </c:pt>
                <c:pt idx="708">
                  <c:v>2</c:v>
                </c:pt>
                <c:pt idx="709">
                  <c:v>3</c:v>
                </c:pt>
                <c:pt idx="710">
                  <c:v>621</c:v>
                </c:pt>
                <c:pt idx="711">
                  <c:v>3</c:v>
                </c:pt>
                <c:pt idx="712">
                  <c:v>3</c:v>
                </c:pt>
                <c:pt idx="713">
                  <c:v>603</c:v>
                </c:pt>
                <c:pt idx="714">
                  <c:v>10</c:v>
                </c:pt>
                <c:pt idx="715">
                  <c:v>25</c:v>
                </c:pt>
                <c:pt idx="716">
                  <c:v>14</c:v>
                </c:pt>
                <c:pt idx="717">
                  <c:v>2</c:v>
                </c:pt>
                <c:pt idx="718">
                  <c:v>6</c:v>
                </c:pt>
                <c:pt idx="719">
                  <c:v>7</c:v>
                </c:pt>
                <c:pt idx="720">
                  <c:v>23</c:v>
                </c:pt>
                <c:pt idx="721">
                  <c:v>3</c:v>
                </c:pt>
                <c:pt idx="722">
                  <c:v>18</c:v>
                </c:pt>
                <c:pt idx="723">
                  <c:v>12</c:v>
                </c:pt>
                <c:pt idx="724">
                  <c:v>6</c:v>
                </c:pt>
                <c:pt idx="725">
                  <c:v>8</c:v>
                </c:pt>
                <c:pt idx="726">
                  <c:v>21</c:v>
                </c:pt>
                <c:pt idx="727">
                  <c:v>12</c:v>
                </c:pt>
                <c:pt idx="728">
                  <c:v>12</c:v>
                </c:pt>
                <c:pt idx="729">
                  <c:v>19</c:v>
                </c:pt>
                <c:pt idx="730">
                  <c:v>20</c:v>
                </c:pt>
                <c:pt idx="731">
                  <c:v>31</c:v>
                </c:pt>
                <c:pt idx="732">
                  <c:v>2</c:v>
                </c:pt>
                <c:pt idx="733">
                  <c:v>21</c:v>
                </c:pt>
                <c:pt idx="734">
                  <c:v>5</c:v>
                </c:pt>
                <c:pt idx="735">
                  <c:v>5</c:v>
                </c:pt>
                <c:pt idx="736">
                  <c:v>46</c:v>
                </c:pt>
                <c:pt idx="737">
                  <c:v>18</c:v>
                </c:pt>
                <c:pt idx="738">
                  <c:v>8</c:v>
                </c:pt>
                <c:pt idx="739">
                  <c:v>54</c:v>
                </c:pt>
                <c:pt idx="740">
                  <c:v>9</c:v>
                </c:pt>
                <c:pt idx="741">
                  <c:v>3</c:v>
                </c:pt>
                <c:pt idx="742">
                  <c:v>30</c:v>
                </c:pt>
                <c:pt idx="743">
                  <c:v>1</c:v>
                </c:pt>
                <c:pt idx="744">
                  <c:v>8</c:v>
                </c:pt>
                <c:pt idx="745">
                  <c:v>11</c:v>
                </c:pt>
                <c:pt idx="746">
                  <c:v>15</c:v>
                </c:pt>
                <c:pt idx="747">
                  <c:v>18</c:v>
                </c:pt>
                <c:pt idx="748">
                  <c:v>12</c:v>
                </c:pt>
                <c:pt idx="749">
                  <c:v>13</c:v>
                </c:pt>
                <c:pt idx="750">
                  <c:v>58</c:v>
                </c:pt>
                <c:pt idx="751">
                  <c:v>37</c:v>
                </c:pt>
                <c:pt idx="752">
                  <c:v>12</c:v>
                </c:pt>
                <c:pt idx="753">
                  <c:v>33</c:v>
                </c:pt>
                <c:pt idx="754">
                  <c:v>58</c:v>
                </c:pt>
                <c:pt idx="755">
                  <c:v>54</c:v>
                </c:pt>
                <c:pt idx="756">
                  <c:v>40</c:v>
                </c:pt>
                <c:pt idx="757">
                  <c:v>10</c:v>
                </c:pt>
                <c:pt idx="758">
                  <c:v>66</c:v>
                </c:pt>
                <c:pt idx="759">
                  <c:v>27</c:v>
                </c:pt>
                <c:pt idx="760">
                  <c:v>5</c:v>
                </c:pt>
                <c:pt idx="761">
                  <c:v>55</c:v>
                </c:pt>
                <c:pt idx="762">
                  <c:v>2</c:v>
                </c:pt>
                <c:pt idx="763">
                  <c:v>39</c:v>
                </c:pt>
                <c:pt idx="764">
                  <c:v>36</c:v>
                </c:pt>
                <c:pt idx="765">
                  <c:v>22</c:v>
                </c:pt>
                <c:pt idx="766">
                  <c:v>29</c:v>
                </c:pt>
                <c:pt idx="767">
                  <c:v>85</c:v>
                </c:pt>
                <c:pt idx="768">
                  <c:v>23</c:v>
                </c:pt>
                <c:pt idx="769">
                  <c:v>41</c:v>
                </c:pt>
                <c:pt idx="770">
                  <c:v>55</c:v>
                </c:pt>
                <c:pt idx="771">
                  <c:v>16</c:v>
                </c:pt>
                <c:pt idx="772">
                  <c:v>13</c:v>
                </c:pt>
                <c:pt idx="773">
                  <c:v>10</c:v>
                </c:pt>
                <c:pt idx="774">
                  <c:v>67</c:v>
                </c:pt>
                <c:pt idx="775">
                  <c:v>18</c:v>
                </c:pt>
                <c:pt idx="776">
                  <c:v>21</c:v>
                </c:pt>
                <c:pt idx="777">
                  <c:v>32</c:v>
                </c:pt>
                <c:pt idx="778">
                  <c:v>3</c:v>
                </c:pt>
                <c:pt idx="779">
                  <c:v>34</c:v>
                </c:pt>
                <c:pt idx="780">
                  <c:v>124</c:v>
                </c:pt>
                <c:pt idx="781">
                  <c:v>16</c:v>
                </c:pt>
                <c:pt idx="782">
                  <c:v>15</c:v>
                </c:pt>
                <c:pt idx="783">
                  <c:v>51</c:v>
                </c:pt>
                <c:pt idx="784">
                  <c:v>6</c:v>
                </c:pt>
                <c:pt idx="785">
                  <c:v>60</c:v>
                </c:pt>
                <c:pt idx="786">
                  <c:v>55</c:v>
                </c:pt>
                <c:pt idx="787">
                  <c:v>6</c:v>
                </c:pt>
                <c:pt idx="788">
                  <c:v>1</c:v>
                </c:pt>
                <c:pt idx="789">
                  <c:v>7</c:v>
                </c:pt>
                <c:pt idx="790">
                  <c:v>18</c:v>
                </c:pt>
                <c:pt idx="791">
                  <c:v>10</c:v>
                </c:pt>
                <c:pt idx="792">
                  <c:v>3</c:v>
                </c:pt>
                <c:pt idx="793">
                  <c:v>8</c:v>
                </c:pt>
                <c:pt idx="794">
                  <c:v>22</c:v>
                </c:pt>
                <c:pt idx="795">
                  <c:v>7</c:v>
                </c:pt>
                <c:pt idx="796">
                  <c:v>24</c:v>
                </c:pt>
                <c:pt idx="797">
                  <c:v>13</c:v>
                </c:pt>
                <c:pt idx="798">
                  <c:v>23</c:v>
                </c:pt>
                <c:pt idx="799">
                  <c:v>6</c:v>
                </c:pt>
                <c:pt idx="800">
                  <c:v>47</c:v>
                </c:pt>
                <c:pt idx="801">
                  <c:v>11</c:v>
                </c:pt>
                <c:pt idx="802">
                  <c:v>66</c:v>
                </c:pt>
                <c:pt idx="803">
                  <c:v>26</c:v>
                </c:pt>
                <c:pt idx="804">
                  <c:v>5</c:v>
                </c:pt>
                <c:pt idx="805">
                  <c:v>1</c:v>
                </c:pt>
                <c:pt idx="806">
                  <c:v>1</c:v>
                </c:pt>
                <c:pt idx="807">
                  <c:v>3</c:v>
                </c:pt>
                <c:pt idx="808">
                  <c:v>1</c:v>
                </c:pt>
                <c:pt idx="809">
                  <c:v>38</c:v>
                </c:pt>
                <c:pt idx="810">
                  <c:v>26</c:v>
                </c:pt>
                <c:pt idx="811">
                  <c:v>25</c:v>
                </c:pt>
                <c:pt idx="812">
                  <c:v>96</c:v>
                </c:pt>
                <c:pt idx="813">
                  <c:v>10</c:v>
                </c:pt>
                <c:pt idx="814">
                  <c:v>13</c:v>
                </c:pt>
                <c:pt idx="815">
                  <c:v>14</c:v>
                </c:pt>
                <c:pt idx="816">
                  <c:v>20</c:v>
                </c:pt>
                <c:pt idx="817">
                  <c:v>5</c:v>
                </c:pt>
                <c:pt idx="818">
                  <c:v>2</c:v>
                </c:pt>
                <c:pt idx="819">
                  <c:v>7</c:v>
                </c:pt>
                <c:pt idx="820">
                  <c:v>20</c:v>
                </c:pt>
                <c:pt idx="821">
                  <c:v>22</c:v>
                </c:pt>
                <c:pt idx="822">
                  <c:v>38</c:v>
                </c:pt>
                <c:pt idx="823">
                  <c:v>4</c:v>
                </c:pt>
                <c:pt idx="824">
                  <c:v>9</c:v>
                </c:pt>
                <c:pt idx="825">
                  <c:v>2</c:v>
                </c:pt>
                <c:pt idx="826">
                  <c:v>3</c:v>
                </c:pt>
                <c:pt idx="827">
                  <c:v>32</c:v>
                </c:pt>
                <c:pt idx="828">
                  <c:v>22</c:v>
                </c:pt>
                <c:pt idx="829">
                  <c:v>34</c:v>
                </c:pt>
                <c:pt idx="830">
                  <c:v>5</c:v>
                </c:pt>
                <c:pt idx="831">
                  <c:v>25</c:v>
                </c:pt>
                <c:pt idx="832">
                  <c:v>56</c:v>
                </c:pt>
                <c:pt idx="833">
                  <c:v>47</c:v>
                </c:pt>
                <c:pt idx="834">
                  <c:v>2</c:v>
                </c:pt>
                <c:pt idx="835">
                  <c:v>17</c:v>
                </c:pt>
                <c:pt idx="836">
                  <c:v>68</c:v>
                </c:pt>
                <c:pt idx="837">
                  <c:v>1</c:v>
                </c:pt>
                <c:pt idx="838">
                  <c:v>38</c:v>
                </c:pt>
                <c:pt idx="839">
                  <c:v>14</c:v>
                </c:pt>
                <c:pt idx="840">
                  <c:v>1</c:v>
                </c:pt>
                <c:pt idx="841">
                  <c:v>78</c:v>
                </c:pt>
                <c:pt idx="842">
                  <c:v>115</c:v>
                </c:pt>
                <c:pt idx="843">
                  <c:v>119</c:v>
                </c:pt>
                <c:pt idx="844">
                  <c:v>1</c:v>
                </c:pt>
                <c:pt idx="845">
                  <c:v>37</c:v>
                </c:pt>
                <c:pt idx="846">
                  <c:v>4</c:v>
                </c:pt>
                <c:pt idx="847">
                  <c:v>21</c:v>
                </c:pt>
                <c:pt idx="848">
                  <c:v>12</c:v>
                </c:pt>
                <c:pt idx="849">
                  <c:v>2</c:v>
                </c:pt>
                <c:pt idx="850">
                  <c:v>14</c:v>
                </c:pt>
                <c:pt idx="851">
                  <c:v>36</c:v>
                </c:pt>
                <c:pt idx="852">
                  <c:v>15</c:v>
                </c:pt>
                <c:pt idx="853">
                  <c:v>5</c:v>
                </c:pt>
                <c:pt idx="854">
                  <c:v>10</c:v>
                </c:pt>
                <c:pt idx="855">
                  <c:v>17</c:v>
                </c:pt>
                <c:pt idx="856">
                  <c:v>13</c:v>
                </c:pt>
                <c:pt idx="857">
                  <c:v>4</c:v>
                </c:pt>
                <c:pt idx="858">
                  <c:v>8</c:v>
                </c:pt>
                <c:pt idx="859">
                  <c:v>20</c:v>
                </c:pt>
                <c:pt idx="860">
                  <c:v>22</c:v>
                </c:pt>
                <c:pt idx="861">
                  <c:v>6</c:v>
                </c:pt>
                <c:pt idx="862">
                  <c:v>50</c:v>
                </c:pt>
                <c:pt idx="863">
                  <c:v>30</c:v>
                </c:pt>
                <c:pt idx="864">
                  <c:v>7</c:v>
                </c:pt>
                <c:pt idx="865">
                  <c:v>48</c:v>
                </c:pt>
                <c:pt idx="866">
                  <c:v>20</c:v>
                </c:pt>
                <c:pt idx="867">
                  <c:v>3</c:v>
                </c:pt>
                <c:pt idx="868">
                  <c:v>80</c:v>
                </c:pt>
                <c:pt idx="869">
                  <c:v>19</c:v>
                </c:pt>
                <c:pt idx="870">
                  <c:v>4</c:v>
                </c:pt>
                <c:pt idx="871">
                  <c:v>66</c:v>
                </c:pt>
                <c:pt idx="872">
                  <c:v>31</c:v>
                </c:pt>
                <c:pt idx="873">
                  <c:v>11</c:v>
                </c:pt>
                <c:pt idx="874">
                  <c:v>4</c:v>
                </c:pt>
                <c:pt idx="875">
                  <c:v>3</c:v>
                </c:pt>
                <c:pt idx="876">
                  <c:v>13</c:v>
                </c:pt>
                <c:pt idx="877">
                  <c:v>1</c:v>
                </c:pt>
                <c:pt idx="878">
                  <c:v>59</c:v>
                </c:pt>
                <c:pt idx="879">
                  <c:v>10</c:v>
                </c:pt>
                <c:pt idx="880">
                  <c:v>17</c:v>
                </c:pt>
                <c:pt idx="881">
                  <c:v>519</c:v>
                </c:pt>
                <c:pt idx="882">
                  <c:v>2</c:v>
                </c:pt>
                <c:pt idx="883">
                  <c:v>17</c:v>
                </c:pt>
                <c:pt idx="884">
                  <c:v>9</c:v>
                </c:pt>
                <c:pt idx="885">
                  <c:v>2</c:v>
                </c:pt>
                <c:pt idx="886">
                  <c:v>245</c:v>
                </c:pt>
                <c:pt idx="887">
                  <c:v>31</c:v>
                </c:pt>
                <c:pt idx="888">
                  <c:v>4</c:v>
                </c:pt>
                <c:pt idx="889">
                  <c:v>23</c:v>
                </c:pt>
                <c:pt idx="890">
                  <c:v>1</c:v>
                </c:pt>
                <c:pt idx="891">
                  <c:v>10</c:v>
                </c:pt>
                <c:pt idx="892">
                  <c:v>33</c:v>
                </c:pt>
                <c:pt idx="893">
                  <c:v>526</c:v>
                </c:pt>
                <c:pt idx="894">
                  <c:v>1</c:v>
                </c:pt>
                <c:pt idx="895">
                  <c:v>49</c:v>
                </c:pt>
                <c:pt idx="896">
                  <c:v>1</c:v>
                </c:pt>
                <c:pt idx="897">
                  <c:v>2</c:v>
                </c:pt>
                <c:pt idx="898">
                  <c:v>17</c:v>
                </c:pt>
                <c:pt idx="899">
                  <c:v>31</c:v>
                </c:pt>
                <c:pt idx="900">
                  <c:v>21</c:v>
                </c:pt>
                <c:pt idx="901">
                  <c:v>102</c:v>
                </c:pt>
                <c:pt idx="902">
                  <c:v>11</c:v>
                </c:pt>
                <c:pt idx="903">
                  <c:v>13</c:v>
                </c:pt>
                <c:pt idx="904">
                  <c:v>9</c:v>
                </c:pt>
                <c:pt idx="905">
                  <c:v>40</c:v>
                </c:pt>
                <c:pt idx="906">
                  <c:v>2</c:v>
                </c:pt>
                <c:pt idx="907">
                  <c:v>82</c:v>
                </c:pt>
                <c:pt idx="908">
                  <c:v>50</c:v>
                </c:pt>
                <c:pt idx="909">
                  <c:v>15</c:v>
                </c:pt>
                <c:pt idx="910">
                  <c:v>135</c:v>
                </c:pt>
                <c:pt idx="911">
                  <c:v>32</c:v>
                </c:pt>
                <c:pt idx="912">
                  <c:v>21</c:v>
                </c:pt>
                <c:pt idx="913">
                  <c:v>18</c:v>
                </c:pt>
                <c:pt idx="914">
                  <c:v>39</c:v>
                </c:pt>
                <c:pt idx="915">
                  <c:v>73</c:v>
                </c:pt>
                <c:pt idx="916">
                  <c:v>47</c:v>
                </c:pt>
                <c:pt idx="917">
                  <c:v>73</c:v>
                </c:pt>
                <c:pt idx="918">
                  <c:v>20</c:v>
                </c:pt>
                <c:pt idx="919">
                  <c:v>52</c:v>
                </c:pt>
                <c:pt idx="920">
                  <c:v>8</c:v>
                </c:pt>
                <c:pt idx="921">
                  <c:v>33</c:v>
                </c:pt>
                <c:pt idx="922">
                  <c:v>66</c:v>
                </c:pt>
                <c:pt idx="923">
                  <c:v>65</c:v>
                </c:pt>
                <c:pt idx="924">
                  <c:v>22</c:v>
                </c:pt>
                <c:pt idx="925">
                  <c:v>1</c:v>
                </c:pt>
                <c:pt idx="926">
                  <c:v>14</c:v>
                </c:pt>
                <c:pt idx="927">
                  <c:v>71</c:v>
                </c:pt>
                <c:pt idx="928">
                  <c:v>61</c:v>
                </c:pt>
                <c:pt idx="929">
                  <c:v>108</c:v>
                </c:pt>
                <c:pt idx="930">
                  <c:v>28</c:v>
                </c:pt>
                <c:pt idx="931">
                  <c:v>76</c:v>
                </c:pt>
                <c:pt idx="932">
                  <c:v>19</c:v>
                </c:pt>
                <c:pt idx="933">
                  <c:v>46</c:v>
                </c:pt>
                <c:pt idx="934">
                  <c:v>50</c:v>
                </c:pt>
                <c:pt idx="935">
                  <c:v>9</c:v>
                </c:pt>
                <c:pt idx="936">
                  <c:v>79</c:v>
                </c:pt>
                <c:pt idx="937">
                  <c:v>57</c:v>
                </c:pt>
                <c:pt idx="938">
                  <c:v>6</c:v>
                </c:pt>
                <c:pt idx="939">
                  <c:v>14</c:v>
                </c:pt>
                <c:pt idx="940">
                  <c:v>38</c:v>
                </c:pt>
                <c:pt idx="941">
                  <c:v>46</c:v>
                </c:pt>
                <c:pt idx="942">
                  <c:v>57</c:v>
                </c:pt>
                <c:pt idx="943">
                  <c:v>19</c:v>
                </c:pt>
                <c:pt idx="944">
                  <c:v>52</c:v>
                </c:pt>
                <c:pt idx="945">
                  <c:v>22</c:v>
                </c:pt>
                <c:pt idx="946">
                  <c:v>99</c:v>
                </c:pt>
                <c:pt idx="947">
                  <c:v>24</c:v>
                </c:pt>
                <c:pt idx="948">
                  <c:v>16</c:v>
                </c:pt>
                <c:pt idx="949">
                  <c:v>84</c:v>
                </c:pt>
                <c:pt idx="950">
                  <c:v>49</c:v>
                </c:pt>
                <c:pt idx="951">
                  <c:v>3</c:v>
                </c:pt>
                <c:pt idx="952">
                  <c:v>100</c:v>
                </c:pt>
                <c:pt idx="953">
                  <c:v>102</c:v>
                </c:pt>
                <c:pt idx="954">
                  <c:v>10</c:v>
                </c:pt>
                <c:pt idx="955">
                  <c:v>3</c:v>
                </c:pt>
                <c:pt idx="956">
                  <c:v>1</c:v>
                </c:pt>
                <c:pt idx="957">
                  <c:v>2</c:v>
                </c:pt>
                <c:pt idx="958">
                  <c:v>4</c:v>
                </c:pt>
                <c:pt idx="959">
                  <c:v>1</c:v>
                </c:pt>
                <c:pt idx="960">
                  <c:v>4</c:v>
                </c:pt>
                <c:pt idx="961">
                  <c:v>10</c:v>
                </c:pt>
                <c:pt idx="962">
                  <c:v>26</c:v>
                </c:pt>
                <c:pt idx="963">
                  <c:v>8</c:v>
                </c:pt>
                <c:pt idx="964">
                  <c:v>8</c:v>
                </c:pt>
                <c:pt idx="965">
                  <c:v>1</c:v>
                </c:pt>
                <c:pt idx="966">
                  <c:v>7</c:v>
                </c:pt>
                <c:pt idx="967">
                  <c:v>3</c:v>
                </c:pt>
                <c:pt idx="968">
                  <c:v>9</c:v>
                </c:pt>
                <c:pt idx="969">
                  <c:v>15</c:v>
                </c:pt>
                <c:pt idx="970">
                  <c:v>9</c:v>
                </c:pt>
                <c:pt idx="971">
                  <c:v>16</c:v>
                </c:pt>
                <c:pt idx="972">
                  <c:v>8</c:v>
                </c:pt>
                <c:pt idx="973">
                  <c:v>59</c:v>
                </c:pt>
                <c:pt idx="974">
                  <c:v>17</c:v>
                </c:pt>
                <c:pt idx="975">
                  <c:v>32</c:v>
                </c:pt>
                <c:pt idx="976">
                  <c:v>51</c:v>
                </c:pt>
                <c:pt idx="977">
                  <c:v>63</c:v>
                </c:pt>
                <c:pt idx="978">
                  <c:v>37</c:v>
                </c:pt>
                <c:pt idx="979">
                  <c:v>10</c:v>
                </c:pt>
                <c:pt idx="980">
                  <c:v>11</c:v>
                </c:pt>
                <c:pt idx="981">
                  <c:v>11</c:v>
                </c:pt>
                <c:pt idx="982">
                  <c:v>55</c:v>
                </c:pt>
                <c:pt idx="983">
                  <c:v>29</c:v>
                </c:pt>
                <c:pt idx="984">
                  <c:v>25</c:v>
                </c:pt>
                <c:pt idx="985">
                  <c:v>24</c:v>
                </c:pt>
                <c:pt idx="986">
                  <c:v>43</c:v>
                </c:pt>
                <c:pt idx="987">
                  <c:v>53</c:v>
                </c:pt>
                <c:pt idx="988">
                  <c:v>26</c:v>
                </c:pt>
                <c:pt idx="989">
                  <c:v>1</c:v>
                </c:pt>
                <c:pt idx="990">
                  <c:v>1</c:v>
                </c:pt>
                <c:pt idx="991">
                  <c:v>2</c:v>
                </c:pt>
                <c:pt idx="992">
                  <c:v>33</c:v>
                </c:pt>
                <c:pt idx="993">
                  <c:v>4</c:v>
                </c:pt>
                <c:pt idx="994">
                  <c:v>6</c:v>
                </c:pt>
                <c:pt idx="995">
                  <c:v>4</c:v>
                </c:pt>
                <c:pt idx="996">
                  <c:v>88</c:v>
                </c:pt>
                <c:pt idx="997">
                  <c:v>28</c:v>
                </c:pt>
                <c:pt idx="998">
                  <c:v>4</c:v>
                </c:pt>
                <c:pt idx="999">
                  <c:v>5</c:v>
                </c:pt>
                <c:pt idx="1000">
                  <c:v>8</c:v>
                </c:pt>
                <c:pt idx="1001">
                  <c:v>4</c:v>
                </c:pt>
                <c:pt idx="1002">
                  <c:v>27</c:v>
                </c:pt>
                <c:pt idx="1003">
                  <c:v>48</c:v>
                </c:pt>
                <c:pt idx="1004">
                  <c:v>16</c:v>
                </c:pt>
                <c:pt idx="1005">
                  <c:v>22</c:v>
                </c:pt>
                <c:pt idx="1006">
                  <c:v>47</c:v>
                </c:pt>
                <c:pt idx="1007">
                  <c:v>13</c:v>
                </c:pt>
                <c:pt idx="1008">
                  <c:v>15</c:v>
                </c:pt>
                <c:pt idx="1009">
                  <c:v>1</c:v>
                </c:pt>
                <c:pt idx="1010">
                  <c:v>75</c:v>
                </c:pt>
                <c:pt idx="1011">
                  <c:v>36</c:v>
                </c:pt>
                <c:pt idx="1012">
                  <c:v>15</c:v>
                </c:pt>
                <c:pt idx="1013">
                  <c:v>21</c:v>
                </c:pt>
                <c:pt idx="1014">
                  <c:v>52</c:v>
                </c:pt>
                <c:pt idx="1015">
                  <c:v>34</c:v>
                </c:pt>
                <c:pt idx="1016">
                  <c:v>44</c:v>
                </c:pt>
                <c:pt idx="1017">
                  <c:v>8</c:v>
                </c:pt>
                <c:pt idx="1018">
                  <c:v>20</c:v>
                </c:pt>
                <c:pt idx="1019">
                  <c:v>10</c:v>
                </c:pt>
                <c:pt idx="1020">
                  <c:v>2</c:v>
                </c:pt>
                <c:pt idx="1021">
                  <c:v>30</c:v>
                </c:pt>
                <c:pt idx="1022">
                  <c:v>12</c:v>
                </c:pt>
                <c:pt idx="1023">
                  <c:v>32</c:v>
                </c:pt>
                <c:pt idx="1024">
                  <c:v>28</c:v>
                </c:pt>
                <c:pt idx="1025">
                  <c:v>13</c:v>
                </c:pt>
                <c:pt idx="1026">
                  <c:v>15</c:v>
                </c:pt>
                <c:pt idx="1027">
                  <c:v>13</c:v>
                </c:pt>
                <c:pt idx="1028">
                  <c:v>9</c:v>
                </c:pt>
                <c:pt idx="1029">
                  <c:v>4</c:v>
                </c:pt>
                <c:pt idx="1030">
                  <c:v>80</c:v>
                </c:pt>
                <c:pt idx="1031">
                  <c:v>30</c:v>
                </c:pt>
                <c:pt idx="1032">
                  <c:v>4</c:v>
                </c:pt>
                <c:pt idx="1033">
                  <c:v>2</c:v>
                </c:pt>
                <c:pt idx="1034">
                  <c:v>12</c:v>
                </c:pt>
                <c:pt idx="1035">
                  <c:v>16</c:v>
                </c:pt>
                <c:pt idx="1036">
                  <c:v>156</c:v>
                </c:pt>
                <c:pt idx="1037">
                  <c:v>43</c:v>
                </c:pt>
                <c:pt idx="1038">
                  <c:v>32</c:v>
                </c:pt>
                <c:pt idx="1039">
                  <c:v>35</c:v>
                </c:pt>
                <c:pt idx="1040">
                  <c:v>15</c:v>
                </c:pt>
                <c:pt idx="1041">
                  <c:v>15</c:v>
                </c:pt>
                <c:pt idx="1042">
                  <c:v>26</c:v>
                </c:pt>
                <c:pt idx="1043">
                  <c:v>11</c:v>
                </c:pt>
                <c:pt idx="1044">
                  <c:v>8</c:v>
                </c:pt>
                <c:pt idx="1045">
                  <c:v>7</c:v>
                </c:pt>
                <c:pt idx="1046">
                  <c:v>4</c:v>
                </c:pt>
                <c:pt idx="1047">
                  <c:v>1</c:v>
                </c:pt>
                <c:pt idx="1048">
                  <c:v>9</c:v>
                </c:pt>
                <c:pt idx="1049">
                  <c:v>4</c:v>
                </c:pt>
                <c:pt idx="1050">
                  <c:v>11</c:v>
                </c:pt>
                <c:pt idx="1051">
                  <c:v>1</c:v>
                </c:pt>
                <c:pt idx="1052">
                  <c:v>540</c:v>
                </c:pt>
                <c:pt idx="1053">
                  <c:v>39</c:v>
                </c:pt>
                <c:pt idx="1054">
                  <c:v>2</c:v>
                </c:pt>
                <c:pt idx="1055">
                  <c:v>8</c:v>
                </c:pt>
                <c:pt idx="1056">
                  <c:v>1</c:v>
                </c:pt>
                <c:pt idx="1057">
                  <c:v>8</c:v>
                </c:pt>
                <c:pt idx="1058">
                  <c:v>11</c:v>
                </c:pt>
                <c:pt idx="1059">
                  <c:v>532</c:v>
                </c:pt>
                <c:pt idx="1060">
                  <c:v>1</c:v>
                </c:pt>
                <c:pt idx="1061">
                  <c:v>2</c:v>
                </c:pt>
                <c:pt idx="1062">
                  <c:v>13</c:v>
                </c:pt>
                <c:pt idx="1063">
                  <c:v>3</c:v>
                </c:pt>
                <c:pt idx="1064">
                  <c:v>2</c:v>
                </c:pt>
                <c:pt idx="1065">
                  <c:v>1</c:v>
                </c:pt>
                <c:pt idx="1066">
                  <c:v>19</c:v>
                </c:pt>
                <c:pt idx="1067">
                  <c:v>14</c:v>
                </c:pt>
                <c:pt idx="1068">
                  <c:v>15</c:v>
                </c:pt>
                <c:pt idx="1069">
                  <c:v>3</c:v>
                </c:pt>
                <c:pt idx="1070">
                  <c:v>20</c:v>
                </c:pt>
                <c:pt idx="1071">
                  <c:v>14</c:v>
                </c:pt>
                <c:pt idx="1072">
                  <c:v>7</c:v>
                </c:pt>
                <c:pt idx="1073">
                  <c:v>19</c:v>
                </c:pt>
                <c:pt idx="1074">
                  <c:v>2</c:v>
                </c:pt>
                <c:pt idx="1075">
                  <c:v>2</c:v>
                </c:pt>
                <c:pt idx="1076">
                  <c:v>3</c:v>
                </c:pt>
                <c:pt idx="1077">
                  <c:v>2</c:v>
                </c:pt>
                <c:pt idx="1078">
                  <c:v>38</c:v>
                </c:pt>
                <c:pt idx="1079">
                  <c:v>19</c:v>
                </c:pt>
                <c:pt idx="1080">
                  <c:v>7</c:v>
                </c:pt>
                <c:pt idx="1081">
                  <c:v>14</c:v>
                </c:pt>
                <c:pt idx="1082">
                  <c:v>10</c:v>
                </c:pt>
                <c:pt idx="1083">
                  <c:v>17</c:v>
                </c:pt>
                <c:pt idx="1084">
                  <c:v>20</c:v>
                </c:pt>
                <c:pt idx="1085">
                  <c:v>4</c:v>
                </c:pt>
                <c:pt idx="1086">
                  <c:v>6</c:v>
                </c:pt>
                <c:pt idx="1087">
                  <c:v>9</c:v>
                </c:pt>
                <c:pt idx="1088">
                  <c:v>6</c:v>
                </c:pt>
                <c:pt idx="1089">
                  <c:v>5</c:v>
                </c:pt>
                <c:pt idx="1090">
                  <c:v>7</c:v>
                </c:pt>
                <c:pt idx="1091">
                  <c:v>48</c:v>
                </c:pt>
                <c:pt idx="1092">
                  <c:v>21</c:v>
                </c:pt>
                <c:pt idx="1093">
                  <c:v>8</c:v>
                </c:pt>
                <c:pt idx="1094">
                  <c:v>47</c:v>
                </c:pt>
                <c:pt idx="1095">
                  <c:v>9</c:v>
                </c:pt>
                <c:pt idx="1096">
                  <c:v>5</c:v>
                </c:pt>
                <c:pt idx="1097">
                  <c:v>3</c:v>
                </c:pt>
                <c:pt idx="1098">
                  <c:v>67</c:v>
                </c:pt>
                <c:pt idx="1099">
                  <c:v>47</c:v>
                </c:pt>
                <c:pt idx="1100">
                  <c:v>236</c:v>
                </c:pt>
                <c:pt idx="1101">
                  <c:v>13</c:v>
                </c:pt>
                <c:pt idx="1102">
                  <c:v>88</c:v>
                </c:pt>
                <c:pt idx="1103">
                  <c:v>14</c:v>
                </c:pt>
                <c:pt idx="1104">
                  <c:v>10</c:v>
                </c:pt>
                <c:pt idx="1105">
                  <c:v>8</c:v>
                </c:pt>
                <c:pt idx="1106">
                  <c:v>5</c:v>
                </c:pt>
                <c:pt idx="1107">
                  <c:v>22</c:v>
                </c:pt>
                <c:pt idx="1108">
                  <c:v>17</c:v>
                </c:pt>
                <c:pt idx="1109">
                  <c:v>11</c:v>
                </c:pt>
                <c:pt idx="1110">
                  <c:v>11</c:v>
                </c:pt>
                <c:pt idx="1111">
                  <c:v>4</c:v>
                </c:pt>
                <c:pt idx="1112">
                  <c:v>5</c:v>
                </c:pt>
                <c:pt idx="1113">
                  <c:v>1</c:v>
                </c:pt>
                <c:pt idx="1114">
                  <c:v>32</c:v>
                </c:pt>
                <c:pt idx="1115">
                  <c:v>13</c:v>
                </c:pt>
                <c:pt idx="1116">
                  <c:v>28</c:v>
                </c:pt>
                <c:pt idx="1117">
                  <c:v>105</c:v>
                </c:pt>
                <c:pt idx="1118">
                  <c:v>7</c:v>
                </c:pt>
                <c:pt idx="1119">
                  <c:v>22</c:v>
                </c:pt>
                <c:pt idx="1120">
                  <c:v>3</c:v>
                </c:pt>
                <c:pt idx="1121">
                  <c:v>9</c:v>
                </c:pt>
                <c:pt idx="1122">
                  <c:v>11</c:v>
                </c:pt>
                <c:pt idx="1123">
                  <c:v>2</c:v>
                </c:pt>
                <c:pt idx="1124">
                  <c:v>7</c:v>
                </c:pt>
                <c:pt idx="1125">
                  <c:v>6</c:v>
                </c:pt>
                <c:pt idx="1126">
                  <c:v>94</c:v>
                </c:pt>
                <c:pt idx="1127">
                  <c:v>1</c:v>
                </c:pt>
                <c:pt idx="1128">
                  <c:v>3</c:v>
                </c:pt>
                <c:pt idx="1129">
                  <c:v>23</c:v>
                </c:pt>
                <c:pt idx="1130">
                  <c:v>23</c:v>
                </c:pt>
                <c:pt idx="1131">
                  <c:v>44</c:v>
                </c:pt>
                <c:pt idx="1132">
                  <c:v>49</c:v>
                </c:pt>
                <c:pt idx="1133">
                  <c:v>11</c:v>
                </c:pt>
                <c:pt idx="1134">
                  <c:v>6</c:v>
                </c:pt>
                <c:pt idx="1135">
                  <c:v>20</c:v>
                </c:pt>
                <c:pt idx="1136">
                  <c:v>41</c:v>
                </c:pt>
                <c:pt idx="1137">
                  <c:v>18</c:v>
                </c:pt>
                <c:pt idx="1138">
                  <c:v>18</c:v>
                </c:pt>
                <c:pt idx="1139">
                  <c:v>16</c:v>
                </c:pt>
                <c:pt idx="1140">
                  <c:v>2</c:v>
                </c:pt>
                <c:pt idx="1141">
                  <c:v>1</c:v>
                </c:pt>
                <c:pt idx="1142">
                  <c:v>2</c:v>
                </c:pt>
                <c:pt idx="1143">
                  <c:v>7</c:v>
                </c:pt>
                <c:pt idx="1144">
                  <c:v>23</c:v>
                </c:pt>
                <c:pt idx="1145">
                  <c:v>4</c:v>
                </c:pt>
                <c:pt idx="1146">
                  <c:v>15</c:v>
                </c:pt>
                <c:pt idx="1147">
                  <c:v>14</c:v>
                </c:pt>
                <c:pt idx="1148">
                  <c:v>20</c:v>
                </c:pt>
                <c:pt idx="1149">
                  <c:v>3</c:v>
                </c:pt>
                <c:pt idx="1150">
                  <c:v>32</c:v>
                </c:pt>
                <c:pt idx="1151">
                  <c:v>28</c:v>
                </c:pt>
                <c:pt idx="1152">
                  <c:v>1</c:v>
                </c:pt>
                <c:pt idx="1153">
                  <c:v>2</c:v>
                </c:pt>
                <c:pt idx="1154">
                  <c:v>1</c:v>
                </c:pt>
                <c:pt idx="1155">
                  <c:v>1</c:v>
                </c:pt>
                <c:pt idx="1156">
                  <c:v>1</c:v>
                </c:pt>
                <c:pt idx="1157">
                  <c:v>9</c:v>
                </c:pt>
                <c:pt idx="1158">
                  <c:v>7</c:v>
                </c:pt>
                <c:pt idx="1159">
                  <c:v>19</c:v>
                </c:pt>
                <c:pt idx="1160">
                  <c:v>72</c:v>
                </c:pt>
                <c:pt idx="1161">
                  <c:v>7</c:v>
                </c:pt>
                <c:pt idx="1162">
                  <c:v>114</c:v>
                </c:pt>
                <c:pt idx="1163">
                  <c:v>4</c:v>
                </c:pt>
                <c:pt idx="1164">
                  <c:v>32</c:v>
                </c:pt>
                <c:pt idx="1165">
                  <c:v>10</c:v>
                </c:pt>
                <c:pt idx="1166">
                  <c:v>2</c:v>
                </c:pt>
                <c:pt idx="1167">
                  <c:v>10</c:v>
                </c:pt>
                <c:pt idx="1168">
                  <c:v>35</c:v>
                </c:pt>
                <c:pt idx="1169">
                  <c:v>2</c:v>
                </c:pt>
                <c:pt idx="1170">
                  <c:v>15</c:v>
                </c:pt>
                <c:pt idx="1171">
                  <c:v>33</c:v>
                </c:pt>
                <c:pt idx="1172">
                  <c:v>1</c:v>
                </c:pt>
                <c:pt idx="1173">
                  <c:v>193</c:v>
                </c:pt>
                <c:pt idx="1174">
                  <c:v>165</c:v>
                </c:pt>
                <c:pt idx="1175">
                  <c:v>121</c:v>
                </c:pt>
                <c:pt idx="1176">
                  <c:v>24</c:v>
                </c:pt>
                <c:pt idx="1177">
                  <c:v>10</c:v>
                </c:pt>
                <c:pt idx="1178">
                  <c:v>61</c:v>
                </c:pt>
                <c:pt idx="1179">
                  <c:v>13</c:v>
                </c:pt>
                <c:pt idx="1180">
                  <c:v>18</c:v>
                </c:pt>
                <c:pt idx="1181">
                  <c:v>1</c:v>
                </c:pt>
                <c:pt idx="1182">
                  <c:v>8</c:v>
                </c:pt>
                <c:pt idx="1183">
                  <c:v>31</c:v>
                </c:pt>
                <c:pt idx="1184">
                  <c:v>1</c:v>
                </c:pt>
                <c:pt idx="1185">
                  <c:v>29</c:v>
                </c:pt>
                <c:pt idx="1186">
                  <c:v>29</c:v>
                </c:pt>
                <c:pt idx="1187">
                  <c:v>31</c:v>
                </c:pt>
                <c:pt idx="1188">
                  <c:v>7</c:v>
                </c:pt>
                <c:pt idx="1189">
                  <c:v>11</c:v>
                </c:pt>
                <c:pt idx="1190">
                  <c:v>16</c:v>
                </c:pt>
                <c:pt idx="1191">
                  <c:v>577</c:v>
                </c:pt>
                <c:pt idx="1192">
                  <c:v>9</c:v>
                </c:pt>
                <c:pt idx="1193">
                  <c:v>27</c:v>
                </c:pt>
                <c:pt idx="1194">
                  <c:v>1</c:v>
                </c:pt>
                <c:pt idx="1195">
                  <c:v>502</c:v>
                </c:pt>
                <c:pt idx="1196">
                  <c:v>3</c:v>
                </c:pt>
                <c:pt idx="1197">
                  <c:v>12</c:v>
                </c:pt>
                <c:pt idx="1198">
                  <c:v>19</c:v>
                </c:pt>
                <c:pt idx="1199">
                  <c:v>156</c:v>
                </c:pt>
                <c:pt idx="1200">
                  <c:v>7</c:v>
                </c:pt>
                <c:pt idx="1201">
                  <c:v>15</c:v>
                </c:pt>
                <c:pt idx="1202">
                  <c:v>46</c:v>
                </c:pt>
                <c:pt idx="1203">
                  <c:v>15</c:v>
                </c:pt>
                <c:pt idx="1204">
                  <c:v>7</c:v>
                </c:pt>
                <c:pt idx="1205">
                  <c:v>17</c:v>
                </c:pt>
                <c:pt idx="1206">
                  <c:v>24</c:v>
                </c:pt>
                <c:pt idx="1207">
                  <c:v>3</c:v>
                </c:pt>
                <c:pt idx="1208">
                  <c:v>18</c:v>
                </c:pt>
                <c:pt idx="1209">
                  <c:v>3</c:v>
                </c:pt>
                <c:pt idx="1210">
                  <c:v>26</c:v>
                </c:pt>
                <c:pt idx="1211">
                  <c:v>19</c:v>
                </c:pt>
                <c:pt idx="1212">
                  <c:v>12</c:v>
                </c:pt>
                <c:pt idx="1213">
                  <c:v>17</c:v>
                </c:pt>
                <c:pt idx="1214">
                  <c:v>1</c:v>
                </c:pt>
                <c:pt idx="1215">
                  <c:v>17</c:v>
                </c:pt>
                <c:pt idx="1216">
                  <c:v>60</c:v>
                </c:pt>
                <c:pt idx="1217">
                  <c:v>5</c:v>
                </c:pt>
                <c:pt idx="1218">
                  <c:v>14</c:v>
                </c:pt>
                <c:pt idx="1219">
                  <c:v>17</c:v>
                </c:pt>
                <c:pt idx="1220">
                  <c:v>21</c:v>
                </c:pt>
                <c:pt idx="1221">
                  <c:v>45</c:v>
                </c:pt>
                <c:pt idx="1222">
                  <c:v>4</c:v>
                </c:pt>
                <c:pt idx="1223">
                  <c:v>2</c:v>
                </c:pt>
                <c:pt idx="1224">
                  <c:v>15</c:v>
                </c:pt>
                <c:pt idx="1225">
                  <c:v>18</c:v>
                </c:pt>
                <c:pt idx="1226">
                  <c:v>21</c:v>
                </c:pt>
                <c:pt idx="1227">
                  <c:v>10</c:v>
                </c:pt>
                <c:pt idx="1228">
                  <c:v>12</c:v>
                </c:pt>
                <c:pt idx="1229">
                  <c:v>28</c:v>
                </c:pt>
                <c:pt idx="1230">
                  <c:v>9</c:v>
                </c:pt>
                <c:pt idx="1231">
                  <c:v>17</c:v>
                </c:pt>
                <c:pt idx="1232">
                  <c:v>31</c:v>
                </c:pt>
                <c:pt idx="1233">
                  <c:v>110</c:v>
                </c:pt>
                <c:pt idx="1234">
                  <c:v>22</c:v>
                </c:pt>
                <c:pt idx="1235">
                  <c:v>58</c:v>
                </c:pt>
                <c:pt idx="1236">
                  <c:v>30</c:v>
                </c:pt>
                <c:pt idx="1237">
                  <c:v>57</c:v>
                </c:pt>
                <c:pt idx="1238">
                  <c:v>33</c:v>
                </c:pt>
                <c:pt idx="1239">
                  <c:v>24</c:v>
                </c:pt>
                <c:pt idx="1240">
                  <c:v>30</c:v>
                </c:pt>
                <c:pt idx="1241">
                  <c:v>14</c:v>
                </c:pt>
                <c:pt idx="1242">
                  <c:v>18</c:v>
                </c:pt>
                <c:pt idx="1243">
                  <c:v>27</c:v>
                </c:pt>
                <c:pt idx="1244">
                  <c:v>1</c:v>
                </c:pt>
                <c:pt idx="1245">
                  <c:v>5</c:v>
                </c:pt>
                <c:pt idx="1246">
                  <c:v>16</c:v>
                </c:pt>
                <c:pt idx="1247">
                  <c:v>27</c:v>
                </c:pt>
                <c:pt idx="1248">
                  <c:v>11</c:v>
                </c:pt>
                <c:pt idx="1249">
                  <c:v>22</c:v>
                </c:pt>
                <c:pt idx="1250">
                  <c:v>17</c:v>
                </c:pt>
                <c:pt idx="1251">
                  <c:v>26</c:v>
                </c:pt>
                <c:pt idx="1252">
                  <c:v>12</c:v>
                </c:pt>
                <c:pt idx="1253">
                  <c:v>7</c:v>
                </c:pt>
                <c:pt idx="1254">
                  <c:v>10</c:v>
                </c:pt>
                <c:pt idx="1255">
                  <c:v>30</c:v>
                </c:pt>
                <c:pt idx="1256">
                  <c:v>51</c:v>
                </c:pt>
                <c:pt idx="1257">
                  <c:v>10</c:v>
                </c:pt>
                <c:pt idx="1258">
                  <c:v>11</c:v>
                </c:pt>
                <c:pt idx="1259">
                  <c:v>12</c:v>
                </c:pt>
                <c:pt idx="1260">
                  <c:v>7</c:v>
                </c:pt>
                <c:pt idx="1261">
                  <c:v>6</c:v>
                </c:pt>
                <c:pt idx="1262">
                  <c:v>14</c:v>
                </c:pt>
                <c:pt idx="1263">
                  <c:v>2</c:v>
                </c:pt>
                <c:pt idx="1264">
                  <c:v>15</c:v>
                </c:pt>
                <c:pt idx="1265">
                  <c:v>1</c:v>
                </c:pt>
                <c:pt idx="1266">
                  <c:v>2</c:v>
                </c:pt>
                <c:pt idx="1267">
                  <c:v>37</c:v>
                </c:pt>
                <c:pt idx="1268">
                  <c:v>43</c:v>
                </c:pt>
                <c:pt idx="1269">
                  <c:v>68</c:v>
                </c:pt>
                <c:pt idx="1270">
                  <c:v>11</c:v>
                </c:pt>
                <c:pt idx="1271">
                  <c:v>176</c:v>
                </c:pt>
                <c:pt idx="1272">
                  <c:v>18</c:v>
                </c:pt>
                <c:pt idx="1273">
                  <c:v>66</c:v>
                </c:pt>
                <c:pt idx="1274">
                  <c:v>13</c:v>
                </c:pt>
                <c:pt idx="1275">
                  <c:v>1</c:v>
                </c:pt>
                <c:pt idx="1276">
                  <c:v>13</c:v>
                </c:pt>
                <c:pt idx="1277">
                  <c:v>68</c:v>
                </c:pt>
                <c:pt idx="1278">
                  <c:v>50</c:v>
                </c:pt>
                <c:pt idx="1279">
                  <c:v>11</c:v>
                </c:pt>
                <c:pt idx="1280">
                  <c:v>34</c:v>
                </c:pt>
                <c:pt idx="1281">
                  <c:v>28</c:v>
                </c:pt>
                <c:pt idx="1282">
                  <c:v>73</c:v>
                </c:pt>
                <c:pt idx="1283">
                  <c:v>39</c:v>
                </c:pt>
                <c:pt idx="1284">
                  <c:v>1</c:v>
                </c:pt>
                <c:pt idx="1285">
                  <c:v>3</c:v>
                </c:pt>
                <c:pt idx="1286">
                  <c:v>8</c:v>
                </c:pt>
                <c:pt idx="1287">
                  <c:v>685</c:v>
                </c:pt>
                <c:pt idx="1288">
                  <c:v>4</c:v>
                </c:pt>
                <c:pt idx="1289">
                  <c:v>8</c:v>
                </c:pt>
                <c:pt idx="1290">
                  <c:v>3</c:v>
                </c:pt>
                <c:pt idx="1291">
                  <c:v>149</c:v>
                </c:pt>
                <c:pt idx="1292">
                  <c:v>1</c:v>
                </c:pt>
                <c:pt idx="1293">
                  <c:v>5</c:v>
                </c:pt>
                <c:pt idx="1294">
                  <c:v>66</c:v>
                </c:pt>
                <c:pt idx="1295">
                  <c:v>13</c:v>
                </c:pt>
                <c:pt idx="1296">
                  <c:v>20</c:v>
                </c:pt>
                <c:pt idx="1297">
                  <c:v>7</c:v>
                </c:pt>
                <c:pt idx="1298">
                  <c:v>8</c:v>
                </c:pt>
                <c:pt idx="1299">
                  <c:v>10</c:v>
                </c:pt>
                <c:pt idx="1300">
                  <c:v>27</c:v>
                </c:pt>
                <c:pt idx="1301">
                  <c:v>18</c:v>
                </c:pt>
                <c:pt idx="1302">
                  <c:v>10</c:v>
                </c:pt>
                <c:pt idx="1303">
                  <c:v>16</c:v>
                </c:pt>
                <c:pt idx="1304">
                  <c:v>8</c:v>
                </c:pt>
                <c:pt idx="1305">
                  <c:v>33</c:v>
                </c:pt>
                <c:pt idx="1306">
                  <c:v>22</c:v>
                </c:pt>
                <c:pt idx="1307">
                  <c:v>13</c:v>
                </c:pt>
                <c:pt idx="1308">
                  <c:v>17</c:v>
                </c:pt>
                <c:pt idx="1309">
                  <c:v>27</c:v>
                </c:pt>
                <c:pt idx="1310">
                  <c:v>147</c:v>
                </c:pt>
                <c:pt idx="1311">
                  <c:v>12</c:v>
                </c:pt>
                <c:pt idx="1312">
                  <c:v>19</c:v>
                </c:pt>
                <c:pt idx="1313">
                  <c:v>9</c:v>
                </c:pt>
                <c:pt idx="1314">
                  <c:v>1</c:v>
                </c:pt>
                <c:pt idx="1315">
                  <c:v>14</c:v>
                </c:pt>
                <c:pt idx="1316">
                  <c:v>14</c:v>
                </c:pt>
                <c:pt idx="1317">
                  <c:v>3</c:v>
                </c:pt>
                <c:pt idx="1318">
                  <c:v>1</c:v>
                </c:pt>
                <c:pt idx="1319">
                  <c:v>4</c:v>
                </c:pt>
                <c:pt idx="1320">
                  <c:v>7</c:v>
                </c:pt>
                <c:pt idx="1321">
                  <c:v>5</c:v>
                </c:pt>
                <c:pt idx="1322">
                  <c:v>23</c:v>
                </c:pt>
                <c:pt idx="1323">
                  <c:v>1</c:v>
                </c:pt>
                <c:pt idx="1324">
                  <c:v>5</c:v>
                </c:pt>
                <c:pt idx="1325">
                  <c:v>73</c:v>
                </c:pt>
                <c:pt idx="1326">
                  <c:v>4</c:v>
                </c:pt>
                <c:pt idx="1327">
                  <c:v>21</c:v>
                </c:pt>
                <c:pt idx="1328">
                  <c:v>24</c:v>
                </c:pt>
                <c:pt idx="1329">
                  <c:v>21</c:v>
                </c:pt>
                <c:pt idx="1330">
                  <c:v>22</c:v>
                </c:pt>
                <c:pt idx="1331">
                  <c:v>34</c:v>
                </c:pt>
                <c:pt idx="1332">
                  <c:v>1</c:v>
                </c:pt>
                <c:pt idx="1333">
                  <c:v>14</c:v>
                </c:pt>
                <c:pt idx="1334">
                  <c:v>16</c:v>
                </c:pt>
                <c:pt idx="1335">
                  <c:v>6</c:v>
                </c:pt>
                <c:pt idx="1336">
                  <c:v>27</c:v>
                </c:pt>
                <c:pt idx="1337">
                  <c:v>14</c:v>
                </c:pt>
                <c:pt idx="1338">
                  <c:v>12</c:v>
                </c:pt>
                <c:pt idx="1339">
                  <c:v>23</c:v>
                </c:pt>
                <c:pt idx="1340">
                  <c:v>19</c:v>
                </c:pt>
                <c:pt idx="1341">
                  <c:v>11</c:v>
                </c:pt>
                <c:pt idx="1342">
                  <c:v>5</c:v>
                </c:pt>
                <c:pt idx="1343">
                  <c:v>6</c:v>
                </c:pt>
                <c:pt idx="1344">
                  <c:v>25</c:v>
                </c:pt>
                <c:pt idx="1345">
                  <c:v>49</c:v>
                </c:pt>
                <c:pt idx="1346">
                  <c:v>2</c:v>
                </c:pt>
                <c:pt idx="1347">
                  <c:v>68</c:v>
                </c:pt>
                <c:pt idx="1348">
                  <c:v>11</c:v>
                </c:pt>
                <c:pt idx="1349">
                  <c:v>6</c:v>
                </c:pt>
                <c:pt idx="1350">
                  <c:v>18</c:v>
                </c:pt>
                <c:pt idx="1351">
                  <c:v>2</c:v>
                </c:pt>
                <c:pt idx="1352">
                  <c:v>23</c:v>
                </c:pt>
                <c:pt idx="1353">
                  <c:v>8</c:v>
                </c:pt>
                <c:pt idx="1354">
                  <c:v>26</c:v>
                </c:pt>
                <c:pt idx="1355">
                  <c:v>21</c:v>
                </c:pt>
                <c:pt idx="1356">
                  <c:v>5</c:v>
                </c:pt>
                <c:pt idx="1357">
                  <c:v>10</c:v>
                </c:pt>
                <c:pt idx="1358">
                  <c:v>23</c:v>
                </c:pt>
                <c:pt idx="1359">
                  <c:v>49</c:v>
                </c:pt>
                <c:pt idx="1360">
                  <c:v>14</c:v>
                </c:pt>
                <c:pt idx="1361">
                  <c:v>25</c:v>
                </c:pt>
                <c:pt idx="1362">
                  <c:v>12</c:v>
                </c:pt>
                <c:pt idx="1363">
                  <c:v>1</c:v>
                </c:pt>
                <c:pt idx="1364">
                  <c:v>9</c:v>
                </c:pt>
                <c:pt idx="1365">
                  <c:v>80</c:v>
                </c:pt>
                <c:pt idx="1366">
                  <c:v>14</c:v>
                </c:pt>
                <c:pt idx="1367">
                  <c:v>8</c:v>
                </c:pt>
                <c:pt idx="1368">
                  <c:v>23</c:v>
                </c:pt>
                <c:pt idx="1369">
                  <c:v>24</c:v>
                </c:pt>
                <c:pt idx="1370">
                  <c:v>5</c:v>
                </c:pt>
                <c:pt idx="1371">
                  <c:v>9</c:v>
                </c:pt>
                <c:pt idx="1372">
                  <c:v>47</c:v>
                </c:pt>
                <c:pt idx="1373">
                  <c:v>5</c:v>
                </c:pt>
                <c:pt idx="1374">
                  <c:v>23</c:v>
                </c:pt>
                <c:pt idx="1375">
                  <c:v>8</c:v>
                </c:pt>
                <c:pt idx="1376">
                  <c:v>18</c:v>
                </c:pt>
                <c:pt idx="1377">
                  <c:v>3</c:v>
                </c:pt>
                <c:pt idx="1378">
                  <c:v>1</c:v>
                </c:pt>
                <c:pt idx="1379">
                  <c:v>8</c:v>
                </c:pt>
                <c:pt idx="1380">
                  <c:v>8</c:v>
                </c:pt>
                <c:pt idx="1381">
                  <c:v>16</c:v>
                </c:pt>
                <c:pt idx="1382">
                  <c:v>18</c:v>
                </c:pt>
                <c:pt idx="1383">
                  <c:v>5</c:v>
                </c:pt>
                <c:pt idx="1384">
                  <c:v>16</c:v>
                </c:pt>
                <c:pt idx="1385">
                  <c:v>5</c:v>
                </c:pt>
                <c:pt idx="1386">
                  <c:v>20</c:v>
                </c:pt>
                <c:pt idx="1387">
                  <c:v>7</c:v>
                </c:pt>
                <c:pt idx="1388">
                  <c:v>18</c:v>
                </c:pt>
                <c:pt idx="1389">
                  <c:v>5</c:v>
                </c:pt>
                <c:pt idx="1390">
                  <c:v>10</c:v>
                </c:pt>
                <c:pt idx="1391">
                  <c:v>61</c:v>
                </c:pt>
                <c:pt idx="1392">
                  <c:v>2</c:v>
                </c:pt>
                <c:pt idx="1393">
                  <c:v>30</c:v>
                </c:pt>
                <c:pt idx="1394">
                  <c:v>4</c:v>
                </c:pt>
                <c:pt idx="1395">
                  <c:v>15</c:v>
                </c:pt>
                <c:pt idx="1396">
                  <c:v>12</c:v>
                </c:pt>
                <c:pt idx="1397">
                  <c:v>13</c:v>
                </c:pt>
                <c:pt idx="1398">
                  <c:v>5</c:v>
                </c:pt>
                <c:pt idx="1399">
                  <c:v>21</c:v>
                </c:pt>
                <c:pt idx="1400">
                  <c:v>5</c:v>
                </c:pt>
                <c:pt idx="1401">
                  <c:v>42</c:v>
                </c:pt>
                <c:pt idx="1402">
                  <c:v>5</c:v>
                </c:pt>
                <c:pt idx="1403">
                  <c:v>15</c:v>
                </c:pt>
                <c:pt idx="1404">
                  <c:v>15</c:v>
                </c:pt>
                <c:pt idx="1405">
                  <c:v>20</c:v>
                </c:pt>
                <c:pt idx="1406">
                  <c:v>9</c:v>
                </c:pt>
                <c:pt idx="1407">
                  <c:v>6</c:v>
                </c:pt>
                <c:pt idx="1408">
                  <c:v>4</c:v>
                </c:pt>
                <c:pt idx="1409">
                  <c:v>12</c:v>
                </c:pt>
                <c:pt idx="1410">
                  <c:v>6</c:v>
                </c:pt>
                <c:pt idx="1411">
                  <c:v>21</c:v>
                </c:pt>
                <c:pt idx="1412">
                  <c:v>14</c:v>
                </c:pt>
                <c:pt idx="1413">
                  <c:v>643</c:v>
                </c:pt>
                <c:pt idx="1414">
                  <c:v>19</c:v>
                </c:pt>
                <c:pt idx="1415">
                  <c:v>10</c:v>
                </c:pt>
                <c:pt idx="1416">
                  <c:v>14</c:v>
                </c:pt>
                <c:pt idx="1417">
                  <c:v>40</c:v>
                </c:pt>
                <c:pt idx="1418">
                  <c:v>9</c:v>
                </c:pt>
                <c:pt idx="1419">
                  <c:v>3</c:v>
                </c:pt>
                <c:pt idx="1420">
                  <c:v>13</c:v>
                </c:pt>
                <c:pt idx="1421">
                  <c:v>10</c:v>
                </c:pt>
                <c:pt idx="1422">
                  <c:v>21</c:v>
                </c:pt>
                <c:pt idx="1423">
                  <c:v>18</c:v>
                </c:pt>
                <c:pt idx="1424">
                  <c:v>42</c:v>
                </c:pt>
                <c:pt idx="1425">
                  <c:v>37</c:v>
                </c:pt>
                <c:pt idx="1426">
                  <c:v>8</c:v>
                </c:pt>
                <c:pt idx="1427">
                  <c:v>6</c:v>
                </c:pt>
                <c:pt idx="1428">
                  <c:v>39</c:v>
                </c:pt>
                <c:pt idx="1429">
                  <c:v>15</c:v>
                </c:pt>
                <c:pt idx="1430">
                  <c:v>16</c:v>
                </c:pt>
                <c:pt idx="1431">
                  <c:v>121</c:v>
                </c:pt>
                <c:pt idx="1432">
                  <c:v>81</c:v>
                </c:pt>
                <c:pt idx="1433">
                  <c:v>3</c:v>
                </c:pt>
                <c:pt idx="1434">
                  <c:v>5</c:v>
                </c:pt>
                <c:pt idx="1435">
                  <c:v>42</c:v>
                </c:pt>
                <c:pt idx="1436">
                  <c:v>1</c:v>
                </c:pt>
                <c:pt idx="1437">
                  <c:v>3</c:v>
                </c:pt>
                <c:pt idx="1438">
                  <c:v>10</c:v>
                </c:pt>
                <c:pt idx="1439">
                  <c:v>5</c:v>
                </c:pt>
                <c:pt idx="1440">
                  <c:v>71</c:v>
                </c:pt>
                <c:pt idx="1441">
                  <c:v>12</c:v>
                </c:pt>
                <c:pt idx="1442">
                  <c:v>68</c:v>
                </c:pt>
                <c:pt idx="1443">
                  <c:v>1</c:v>
                </c:pt>
                <c:pt idx="1444">
                  <c:v>2</c:v>
                </c:pt>
                <c:pt idx="1445">
                  <c:v>12</c:v>
                </c:pt>
                <c:pt idx="1446">
                  <c:v>26</c:v>
                </c:pt>
                <c:pt idx="1447">
                  <c:v>47</c:v>
                </c:pt>
                <c:pt idx="1448">
                  <c:v>3</c:v>
                </c:pt>
                <c:pt idx="1449">
                  <c:v>6</c:v>
                </c:pt>
                <c:pt idx="1450">
                  <c:v>18</c:v>
                </c:pt>
                <c:pt idx="1451">
                  <c:v>7</c:v>
                </c:pt>
                <c:pt idx="1452">
                  <c:v>11</c:v>
                </c:pt>
                <c:pt idx="1453">
                  <c:v>2</c:v>
                </c:pt>
                <c:pt idx="1454">
                  <c:v>56</c:v>
                </c:pt>
                <c:pt idx="1455">
                  <c:v>49</c:v>
                </c:pt>
                <c:pt idx="1456">
                  <c:v>13</c:v>
                </c:pt>
                <c:pt idx="1457">
                  <c:v>23</c:v>
                </c:pt>
                <c:pt idx="1458">
                  <c:v>5</c:v>
                </c:pt>
                <c:pt idx="1459">
                  <c:v>17</c:v>
                </c:pt>
                <c:pt idx="1460">
                  <c:v>1</c:v>
                </c:pt>
                <c:pt idx="1461">
                  <c:v>1</c:v>
                </c:pt>
                <c:pt idx="1462">
                  <c:v>1</c:v>
                </c:pt>
                <c:pt idx="1463">
                  <c:v>5</c:v>
                </c:pt>
                <c:pt idx="1464">
                  <c:v>1</c:v>
                </c:pt>
                <c:pt idx="1465">
                  <c:v>6</c:v>
                </c:pt>
                <c:pt idx="1466">
                  <c:v>1</c:v>
                </c:pt>
                <c:pt idx="1467">
                  <c:v>16</c:v>
                </c:pt>
                <c:pt idx="1468">
                  <c:v>80</c:v>
                </c:pt>
                <c:pt idx="1469">
                  <c:v>1</c:v>
                </c:pt>
                <c:pt idx="1470">
                  <c:v>24</c:v>
                </c:pt>
                <c:pt idx="1471">
                  <c:v>9</c:v>
                </c:pt>
                <c:pt idx="1472">
                  <c:v>7</c:v>
                </c:pt>
                <c:pt idx="1473">
                  <c:v>2</c:v>
                </c:pt>
                <c:pt idx="1474">
                  <c:v>15</c:v>
                </c:pt>
                <c:pt idx="1475">
                  <c:v>1</c:v>
                </c:pt>
                <c:pt idx="1476">
                  <c:v>1</c:v>
                </c:pt>
                <c:pt idx="1477">
                  <c:v>45</c:v>
                </c:pt>
                <c:pt idx="1478">
                  <c:v>1</c:v>
                </c:pt>
                <c:pt idx="1479">
                  <c:v>6</c:v>
                </c:pt>
                <c:pt idx="1480">
                  <c:v>7</c:v>
                </c:pt>
                <c:pt idx="1481">
                  <c:v>47</c:v>
                </c:pt>
                <c:pt idx="1482">
                  <c:v>3</c:v>
                </c:pt>
                <c:pt idx="1483">
                  <c:v>19</c:v>
                </c:pt>
                <c:pt idx="1484">
                  <c:v>1</c:v>
                </c:pt>
                <c:pt idx="1485">
                  <c:v>3</c:v>
                </c:pt>
                <c:pt idx="1486">
                  <c:v>94</c:v>
                </c:pt>
                <c:pt idx="1487">
                  <c:v>51</c:v>
                </c:pt>
                <c:pt idx="1488">
                  <c:v>5</c:v>
                </c:pt>
                <c:pt idx="1489">
                  <c:v>32</c:v>
                </c:pt>
                <c:pt idx="1490">
                  <c:v>53</c:v>
                </c:pt>
                <c:pt idx="1491">
                  <c:v>8</c:v>
                </c:pt>
                <c:pt idx="1492">
                  <c:v>4</c:v>
                </c:pt>
                <c:pt idx="1493">
                  <c:v>13</c:v>
                </c:pt>
                <c:pt idx="1494">
                  <c:v>21</c:v>
                </c:pt>
                <c:pt idx="1495">
                  <c:v>17</c:v>
                </c:pt>
                <c:pt idx="1496">
                  <c:v>3</c:v>
                </c:pt>
                <c:pt idx="1497">
                  <c:v>11</c:v>
                </c:pt>
                <c:pt idx="1498">
                  <c:v>22</c:v>
                </c:pt>
                <c:pt idx="1499">
                  <c:v>8</c:v>
                </c:pt>
                <c:pt idx="1500">
                  <c:v>30</c:v>
                </c:pt>
                <c:pt idx="1501">
                  <c:v>32</c:v>
                </c:pt>
                <c:pt idx="1502">
                  <c:v>41</c:v>
                </c:pt>
                <c:pt idx="1503">
                  <c:v>5</c:v>
                </c:pt>
                <c:pt idx="1504">
                  <c:v>20</c:v>
                </c:pt>
                <c:pt idx="1505">
                  <c:v>21</c:v>
                </c:pt>
                <c:pt idx="1506">
                  <c:v>29</c:v>
                </c:pt>
                <c:pt idx="1507">
                  <c:v>48</c:v>
                </c:pt>
                <c:pt idx="1508">
                  <c:v>8</c:v>
                </c:pt>
                <c:pt idx="1509">
                  <c:v>30</c:v>
                </c:pt>
                <c:pt idx="1510">
                  <c:v>15</c:v>
                </c:pt>
                <c:pt idx="1511">
                  <c:v>1</c:v>
                </c:pt>
                <c:pt idx="1512">
                  <c:v>11</c:v>
                </c:pt>
                <c:pt idx="1513">
                  <c:v>1</c:v>
                </c:pt>
                <c:pt idx="1514">
                  <c:v>4</c:v>
                </c:pt>
                <c:pt idx="1515">
                  <c:v>47</c:v>
                </c:pt>
                <c:pt idx="1516">
                  <c:v>112</c:v>
                </c:pt>
                <c:pt idx="1517">
                  <c:v>22</c:v>
                </c:pt>
                <c:pt idx="1518">
                  <c:v>16</c:v>
                </c:pt>
                <c:pt idx="1519">
                  <c:v>15</c:v>
                </c:pt>
                <c:pt idx="1520">
                  <c:v>13</c:v>
                </c:pt>
                <c:pt idx="1521">
                  <c:v>2</c:v>
                </c:pt>
                <c:pt idx="1522">
                  <c:v>55</c:v>
                </c:pt>
                <c:pt idx="1523">
                  <c:v>6</c:v>
                </c:pt>
                <c:pt idx="1524">
                  <c:v>1</c:v>
                </c:pt>
                <c:pt idx="1525">
                  <c:v>21</c:v>
                </c:pt>
                <c:pt idx="1526">
                  <c:v>25</c:v>
                </c:pt>
                <c:pt idx="1527">
                  <c:v>34</c:v>
                </c:pt>
                <c:pt idx="1528">
                  <c:v>14</c:v>
                </c:pt>
                <c:pt idx="1529">
                  <c:v>20</c:v>
                </c:pt>
                <c:pt idx="1530">
                  <c:v>2</c:v>
                </c:pt>
                <c:pt idx="1531">
                  <c:v>11</c:v>
                </c:pt>
                <c:pt idx="1532">
                  <c:v>1</c:v>
                </c:pt>
                <c:pt idx="1533">
                  <c:v>5</c:v>
                </c:pt>
                <c:pt idx="1534">
                  <c:v>7</c:v>
                </c:pt>
                <c:pt idx="1535">
                  <c:v>1</c:v>
                </c:pt>
                <c:pt idx="1536">
                  <c:v>26</c:v>
                </c:pt>
                <c:pt idx="1537">
                  <c:v>49</c:v>
                </c:pt>
                <c:pt idx="1538">
                  <c:v>27</c:v>
                </c:pt>
                <c:pt idx="1539">
                  <c:v>1</c:v>
                </c:pt>
                <c:pt idx="1540">
                  <c:v>13</c:v>
                </c:pt>
                <c:pt idx="1541">
                  <c:v>1</c:v>
                </c:pt>
                <c:pt idx="1542">
                  <c:v>16</c:v>
                </c:pt>
                <c:pt idx="1543">
                  <c:v>44</c:v>
                </c:pt>
                <c:pt idx="1544">
                  <c:v>648</c:v>
                </c:pt>
                <c:pt idx="1545">
                  <c:v>1</c:v>
                </c:pt>
                <c:pt idx="1546">
                  <c:v>12</c:v>
                </c:pt>
                <c:pt idx="1547">
                  <c:v>3</c:v>
                </c:pt>
                <c:pt idx="1548">
                  <c:v>1</c:v>
                </c:pt>
                <c:pt idx="1549">
                  <c:v>10</c:v>
                </c:pt>
                <c:pt idx="1550">
                  <c:v>15</c:v>
                </c:pt>
                <c:pt idx="1551">
                  <c:v>19</c:v>
                </c:pt>
                <c:pt idx="1552">
                  <c:v>9</c:v>
                </c:pt>
                <c:pt idx="1553">
                  <c:v>15</c:v>
                </c:pt>
                <c:pt idx="1554">
                  <c:v>20</c:v>
                </c:pt>
                <c:pt idx="1555">
                  <c:v>10</c:v>
                </c:pt>
                <c:pt idx="1556">
                  <c:v>6</c:v>
                </c:pt>
                <c:pt idx="1557">
                  <c:v>7</c:v>
                </c:pt>
                <c:pt idx="1558">
                  <c:v>18</c:v>
                </c:pt>
                <c:pt idx="1559">
                  <c:v>20</c:v>
                </c:pt>
                <c:pt idx="1560">
                  <c:v>6</c:v>
                </c:pt>
                <c:pt idx="1561">
                  <c:v>17</c:v>
                </c:pt>
                <c:pt idx="1562">
                  <c:v>51</c:v>
                </c:pt>
                <c:pt idx="1563">
                  <c:v>36</c:v>
                </c:pt>
                <c:pt idx="1564">
                  <c:v>3</c:v>
                </c:pt>
                <c:pt idx="1565">
                  <c:v>135</c:v>
                </c:pt>
                <c:pt idx="1566">
                  <c:v>15</c:v>
                </c:pt>
                <c:pt idx="1567">
                  <c:v>12</c:v>
                </c:pt>
                <c:pt idx="1568">
                  <c:v>37</c:v>
                </c:pt>
                <c:pt idx="1569">
                  <c:v>43</c:v>
                </c:pt>
                <c:pt idx="1570">
                  <c:v>18</c:v>
                </c:pt>
                <c:pt idx="1571">
                  <c:v>15</c:v>
                </c:pt>
                <c:pt idx="1572">
                  <c:v>17</c:v>
                </c:pt>
                <c:pt idx="1573">
                  <c:v>5</c:v>
                </c:pt>
                <c:pt idx="1574">
                  <c:v>15</c:v>
                </c:pt>
                <c:pt idx="1575">
                  <c:v>24</c:v>
                </c:pt>
                <c:pt idx="1576">
                  <c:v>3</c:v>
                </c:pt>
                <c:pt idx="1577">
                  <c:v>5</c:v>
                </c:pt>
                <c:pt idx="1578">
                  <c:v>13</c:v>
                </c:pt>
                <c:pt idx="1579">
                  <c:v>9</c:v>
                </c:pt>
                <c:pt idx="1580">
                  <c:v>35</c:v>
                </c:pt>
                <c:pt idx="1581">
                  <c:v>93</c:v>
                </c:pt>
                <c:pt idx="1582">
                  <c:v>73</c:v>
                </c:pt>
                <c:pt idx="1583">
                  <c:v>10</c:v>
                </c:pt>
                <c:pt idx="1584">
                  <c:v>60</c:v>
                </c:pt>
                <c:pt idx="1585">
                  <c:v>72</c:v>
                </c:pt>
                <c:pt idx="1586">
                  <c:v>82</c:v>
                </c:pt>
                <c:pt idx="1587">
                  <c:v>20</c:v>
                </c:pt>
                <c:pt idx="1588">
                  <c:v>72</c:v>
                </c:pt>
                <c:pt idx="1589">
                  <c:v>37</c:v>
                </c:pt>
                <c:pt idx="1590">
                  <c:v>9</c:v>
                </c:pt>
                <c:pt idx="1591">
                  <c:v>15</c:v>
                </c:pt>
                <c:pt idx="1592">
                  <c:v>20</c:v>
                </c:pt>
                <c:pt idx="1593">
                  <c:v>27</c:v>
                </c:pt>
                <c:pt idx="1594">
                  <c:v>18</c:v>
                </c:pt>
                <c:pt idx="1595">
                  <c:v>117</c:v>
                </c:pt>
                <c:pt idx="1596">
                  <c:v>26</c:v>
                </c:pt>
                <c:pt idx="1597">
                  <c:v>12</c:v>
                </c:pt>
                <c:pt idx="1598">
                  <c:v>62</c:v>
                </c:pt>
                <c:pt idx="1599">
                  <c:v>15</c:v>
                </c:pt>
                <c:pt idx="1600">
                  <c:v>14</c:v>
                </c:pt>
                <c:pt idx="1601">
                  <c:v>63</c:v>
                </c:pt>
                <c:pt idx="1602">
                  <c:v>121</c:v>
                </c:pt>
                <c:pt idx="1603">
                  <c:v>1</c:v>
                </c:pt>
                <c:pt idx="1604">
                  <c:v>61</c:v>
                </c:pt>
                <c:pt idx="1605">
                  <c:v>11</c:v>
                </c:pt>
                <c:pt idx="1606">
                  <c:v>4</c:v>
                </c:pt>
                <c:pt idx="1607">
                  <c:v>31</c:v>
                </c:pt>
                <c:pt idx="1608">
                  <c:v>114</c:v>
                </c:pt>
                <c:pt idx="1609">
                  <c:v>30</c:v>
                </c:pt>
                <c:pt idx="1610">
                  <c:v>15</c:v>
                </c:pt>
                <c:pt idx="1611">
                  <c:v>5</c:v>
                </c:pt>
                <c:pt idx="1612">
                  <c:v>3</c:v>
                </c:pt>
                <c:pt idx="1613">
                  <c:v>6</c:v>
                </c:pt>
                <c:pt idx="1614">
                  <c:v>1</c:v>
                </c:pt>
                <c:pt idx="1615">
                  <c:v>7</c:v>
                </c:pt>
                <c:pt idx="1616">
                  <c:v>7</c:v>
                </c:pt>
                <c:pt idx="1617">
                  <c:v>25</c:v>
                </c:pt>
                <c:pt idx="1618">
                  <c:v>10</c:v>
                </c:pt>
                <c:pt idx="1619">
                  <c:v>8</c:v>
                </c:pt>
                <c:pt idx="1620">
                  <c:v>22</c:v>
                </c:pt>
                <c:pt idx="1621">
                  <c:v>18</c:v>
                </c:pt>
                <c:pt idx="1622">
                  <c:v>53</c:v>
                </c:pt>
                <c:pt idx="1623">
                  <c:v>3</c:v>
                </c:pt>
                <c:pt idx="1624">
                  <c:v>23</c:v>
                </c:pt>
                <c:pt idx="1625">
                  <c:v>25</c:v>
                </c:pt>
                <c:pt idx="1626">
                  <c:v>13</c:v>
                </c:pt>
                <c:pt idx="1627">
                  <c:v>3</c:v>
                </c:pt>
                <c:pt idx="1628">
                  <c:v>30</c:v>
                </c:pt>
                <c:pt idx="1629">
                  <c:v>10</c:v>
                </c:pt>
                <c:pt idx="1630">
                  <c:v>21</c:v>
                </c:pt>
                <c:pt idx="1631">
                  <c:v>2</c:v>
                </c:pt>
                <c:pt idx="1632">
                  <c:v>12</c:v>
                </c:pt>
                <c:pt idx="1633">
                  <c:v>2</c:v>
                </c:pt>
                <c:pt idx="1634">
                  <c:v>4</c:v>
                </c:pt>
                <c:pt idx="1635">
                  <c:v>5</c:v>
                </c:pt>
                <c:pt idx="1636">
                  <c:v>9</c:v>
                </c:pt>
                <c:pt idx="1637">
                  <c:v>22</c:v>
                </c:pt>
                <c:pt idx="1638">
                  <c:v>15</c:v>
                </c:pt>
                <c:pt idx="1639">
                  <c:v>9</c:v>
                </c:pt>
                <c:pt idx="1640">
                  <c:v>21</c:v>
                </c:pt>
                <c:pt idx="1641">
                  <c:v>28</c:v>
                </c:pt>
                <c:pt idx="1642">
                  <c:v>1</c:v>
                </c:pt>
                <c:pt idx="1643">
                  <c:v>7</c:v>
                </c:pt>
                <c:pt idx="1644">
                  <c:v>19</c:v>
                </c:pt>
                <c:pt idx="1645">
                  <c:v>2</c:v>
                </c:pt>
                <c:pt idx="1646">
                  <c:v>7</c:v>
                </c:pt>
                <c:pt idx="1647">
                  <c:v>10</c:v>
                </c:pt>
                <c:pt idx="1648">
                  <c:v>270</c:v>
                </c:pt>
                <c:pt idx="1649">
                  <c:v>104</c:v>
                </c:pt>
                <c:pt idx="1650">
                  <c:v>251</c:v>
                </c:pt>
                <c:pt idx="1651">
                  <c:v>50</c:v>
                </c:pt>
                <c:pt idx="1652">
                  <c:v>2</c:v>
                </c:pt>
                <c:pt idx="1653">
                  <c:v>78</c:v>
                </c:pt>
                <c:pt idx="1654">
                  <c:v>31</c:v>
                </c:pt>
                <c:pt idx="1655">
                  <c:v>9</c:v>
                </c:pt>
                <c:pt idx="1656">
                  <c:v>12</c:v>
                </c:pt>
                <c:pt idx="1657">
                  <c:v>6</c:v>
                </c:pt>
                <c:pt idx="1658">
                  <c:v>142</c:v>
                </c:pt>
                <c:pt idx="1659">
                  <c:v>33</c:v>
                </c:pt>
                <c:pt idx="1660">
                  <c:v>9</c:v>
                </c:pt>
                <c:pt idx="1661">
                  <c:v>84</c:v>
                </c:pt>
                <c:pt idx="1662">
                  <c:v>36</c:v>
                </c:pt>
                <c:pt idx="1663">
                  <c:v>43</c:v>
                </c:pt>
                <c:pt idx="1664">
                  <c:v>6</c:v>
                </c:pt>
                <c:pt idx="1665">
                  <c:v>57</c:v>
                </c:pt>
                <c:pt idx="1666">
                  <c:v>92</c:v>
                </c:pt>
                <c:pt idx="1667">
                  <c:v>2</c:v>
                </c:pt>
                <c:pt idx="1668">
                  <c:v>17</c:v>
                </c:pt>
                <c:pt idx="1669">
                  <c:v>42</c:v>
                </c:pt>
                <c:pt idx="1670">
                  <c:v>2</c:v>
                </c:pt>
                <c:pt idx="1671">
                  <c:v>1</c:v>
                </c:pt>
                <c:pt idx="1672">
                  <c:v>72</c:v>
                </c:pt>
                <c:pt idx="1673">
                  <c:v>12</c:v>
                </c:pt>
                <c:pt idx="1674">
                  <c:v>25</c:v>
                </c:pt>
                <c:pt idx="1675">
                  <c:v>6</c:v>
                </c:pt>
                <c:pt idx="1676">
                  <c:v>33</c:v>
                </c:pt>
                <c:pt idx="1677">
                  <c:v>21</c:v>
                </c:pt>
                <c:pt idx="1678">
                  <c:v>34</c:v>
                </c:pt>
                <c:pt idx="1679">
                  <c:v>4</c:v>
                </c:pt>
                <c:pt idx="1680">
                  <c:v>8</c:v>
                </c:pt>
                <c:pt idx="1681">
                  <c:v>20</c:v>
                </c:pt>
                <c:pt idx="1682">
                  <c:v>5</c:v>
                </c:pt>
                <c:pt idx="1683">
                  <c:v>21</c:v>
                </c:pt>
                <c:pt idx="1684">
                  <c:v>38</c:v>
                </c:pt>
                <c:pt idx="1685">
                  <c:v>17</c:v>
                </c:pt>
                <c:pt idx="1686">
                  <c:v>7</c:v>
                </c:pt>
                <c:pt idx="1687">
                  <c:v>1</c:v>
                </c:pt>
                <c:pt idx="1688">
                  <c:v>25</c:v>
                </c:pt>
                <c:pt idx="1689">
                  <c:v>29</c:v>
                </c:pt>
                <c:pt idx="1690">
                  <c:v>1</c:v>
                </c:pt>
                <c:pt idx="1691">
                  <c:v>32</c:v>
                </c:pt>
                <c:pt idx="1692">
                  <c:v>4</c:v>
                </c:pt>
                <c:pt idx="1693">
                  <c:v>39</c:v>
                </c:pt>
                <c:pt idx="1694">
                  <c:v>9</c:v>
                </c:pt>
                <c:pt idx="1695">
                  <c:v>19</c:v>
                </c:pt>
                <c:pt idx="1696">
                  <c:v>83</c:v>
                </c:pt>
                <c:pt idx="1697">
                  <c:v>71</c:v>
                </c:pt>
                <c:pt idx="1698">
                  <c:v>3</c:v>
                </c:pt>
                <c:pt idx="1699">
                  <c:v>41</c:v>
                </c:pt>
                <c:pt idx="1700">
                  <c:v>20</c:v>
                </c:pt>
                <c:pt idx="1701">
                  <c:v>117</c:v>
                </c:pt>
                <c:pt idx="1702">
                  <c:v>46</c:v>
                </c:pt>
                <c:pt idx="1703">
                  <c:v>14</c:v>
                </c:pt>
                <c:pt idx="1704">
                  <c:v>15</c:v>
                </c:pt>
                <c:pt idx="1705">
                  <c:v>4</c:v>
                </c:pt>
                <c:pt idx="1706">
                  <c:v>16</c:v>
                </c:pt>
                <c:pt idx="1707">
                  <c:v>2</c:v>
                </c:pt>
                <c:pt idx="1708">
                  <c:v>9</c:v>
                </c:pt>
                <c:pt idx="1709">
                  <c:v>16</c:v>
                </c:pt>
                <c:pt idx="1710">
                  <c:v>17</c:v>
                </c:pt>
                <c:pt idx="1711">
                  <c:v>12</c:v>
                </c:pt>
                <c:pt idx="1712">
                  <c:v>20</c:v>
                </c:pt>
                <c:pt idx="1713">
                  <c:v>7</c:v>
                </c:pt>
                <c:pt idx="1714">
                  <c:v>45</c:v>
                </c:pt>
                <c:pt idx="1715">
                  <c:v>20</c:v>
                </c:pt>
                <c:pt idx="1716">
                  <c:v>11</c:v>
                </c:pt>
                <c:pt idx="1717">
                  <c:v>18</c:v>
                </c:pt>
                <c:pt idx="1718">
                  <c:v>114</c:v>
                </c:pt>
                <c:pt idx="1719">
                  <c:v>20</c:v>
                </c:pt>
                <c:pt idx="1720">
                  <c:v>43</c:v>
                </c:pt>
                <c:pt idx="1721">
                  <c:v>2</c:v>
                </c:pt>
                <c:pt idx="1722">
                  <c:v>7</c:v>
                </c:pt>
                <c:pt idx="1723">
                  <c:v>1</c:v>
                </c:pt>
                <c:pt idx="1724">
                  <c:v>33</c:v>
                </c:pt>
                <c:pt idx="1725">
                  <c:v>2</c:v>
                </c:pt>
                <c:pt idx="1726">
                  <c:v>15</c:v>
                </c:pt>
                <c:pt idx="1727">
                  <c:v>5</c:v>
                </c:pt>
                <c:pt idx="1728">
                  <c:v>1</c:v>
                </c:pt>
                <c:pt idx="1729">
                  <c:v>10</c:v>
                </c:pt>
                <c:pt idx="1730">
                  <c:v>6</c:v>
                </c:pt>
                <c:pt idx="1731">
                  <c:v>1</c:v>
                </c:pt>
                <c:pt idx="1732">
                  <c:v>6</c:v>
                </c:pt>
                <c:pt idx="1733">
                  <c:v>67</c:v>
                </c:pt>
                <c:pt idx="1734">
                  <c:v>22</c:v>
                </c:pt>
                <c:pt idx="1735">
                  <c:v>5</c:v>
                </c:pt>
                <c:pt idx="1736">
                  <c:v>33</c:v>
                </c:pt>
                <c:pt idx="1737">
                  <c:v>2</c:v>
                </c:pt>
                <c:pt idx="1738">
                  <c:v>20</c:v>
                </c:pt>
                <c:pt idx="1739">
                  <c:v>527</c:v>
                </c:pt>
                <c:pt idx="1740">
                  <c:v>8</c:v>
                </c:pt>
                <c:pt idx="1741">
                  <c:v>719</c:v>
                </c:pt>
                <c:pt idx="1742">
                  <c:v>661</c:v>
                </c:pt>
                <c:pt idx="1743">
                  <c:v>51</c:v>
                </c:pt>
                <c:pt idx="1744">
                  <c:v>4</c:v>
                </c:pt>
                <c:pt idx="1745">
                  <c:v>12</c:v>
                </c:pt>
                <c:pt idx="1746">
                  <c:v>21</c:v>
                </c:pt>
                <c:pt idx="1747">
                  <c:v>32</c:v>
                </c:pt>
                <c:pt idx="1748">
                  <c:v>23</c:v>
                </c:pt>
                <c:pt idx="1749">
                  <c:v>26</c:v>
                </c:pt>
                <c:pt idx="1750">
                  <c:v>6</c:v>
                </c:pt>
                <c:pt idx="1751">
                  <c:v>2</c:v>
                </c:pt>
                <c:pt idx="1752">
                  <c:v>5</c:v>
                </c:pt>
                <c:pt idx="1753">
                  <c:v>17</c:v>
                </c:pt>
                <c:pt idx="1754">
                  <c:v>1</c:v>
                </c:pt>
                <c:pt idx="1755">
                  <c:v>8</c:v>
                </c:pt>
                <c:pt idx="1756">
                  <c:v>4</c:v>
                </c:pt>
                <c:pt idx="1757">
                  <c:v>39</c:v>
                </c:pt>
                <c:pt idx="1758">
                  <c:v>35</c:v>
                </c:pt>
                <c:pt idx="1759">
                  <c:v>29</c:v>
                </c:pt>
                <c:pt idx="1760">
                  <c:v>71</c:v>
                </c:pt>
                <c:pt idx="1761">
                  <c:v>2</c:v>
                </c:pt>
                <c:pt idx="1762">
                  <c:v>4</c:v>
                </c:pt>
                <c:pt idx="1763">
                  <c:v>26</c:v>
                </c:pt>
                <c:pt idx="1764">
                  <c:v>2</c:v>
                </c:pt>
                <c:pt idx="1765">
                  <c:v>48</c:v>
                </c:pt>
                <c:pt idx="1766">
                  <c:v>8</c:v>
                </c:pt>
                <c:pt idx="1767">
                  <c:v>2</c:v>
                </c:pt>
                <c:pt idx="1768">
                  <c:v>1</c:v>
                </c:pt>
                <c:pt idx="1769">
                  <c:v>41</c:v>
                </c:pt>
                <c:pt idx="1770">
                  <c:v>3</c:v>
                </c:pt>
                <c:pt idx="1771">
                  <c:v>5</c:v>
                </c:pt>
                <c:pt idx="1772">
                  <c:v>1</c:v>
                </c:pt>
                <c:pt idx="1773">
                  <c:v>25</c:v>
                </c:pt>
                <c:pt idx="1774">
                  <c:v>11</c:v>
                </c:pt>
                <c:pt idx="1775">
                  <c:v>7</c:v>
                </c:pt>
                <c:pt idx="1776">
                  <c:v>22</c:v>
                </c:pt>
                <c:pt idx="1777">
                  <c:v>36</c:v>
                </c:pt>
                <c:pt idx="1778">
                  <c:v>33</c:v>
                </c:pt>
                <c:pt idx="1779">
                  <c:v>2</c:v>
                </c:pt>
                <c:pt idx="1780">
                  <c:v>22</c:v>
                </c:pt>
                <c:pt idx="1781">
                  <c:v>6</c:v>
                </c:pt>
                <c:pt idx="1782">
                  <c:v>61</c:v>
                </c:pt>
                <c:pt idx="1783">
                  <c:v>45</c:v>
                </c:pt>
                <c:pt idx="1784">
                  <c:v>37</c:v>
                </c:pt>
                <c:pt idx="1785">
                  <c:v>11</c:v>
                </c:pt>
                <c:pt idx="1786">
                  <c:v>77</c:v>
                </c:pt>
                <c:pt idx="1787">
                  <c:v>50</c:v>
                </c:pt>
                <c:pt idx="1788">
                  <c:v>15</c:v>
                </c:pt>
                <c:pt idx="1789">
                  <c:v>16</c:v>
                </c:pt>
                <c:pt idx="1790">
                  <c:v>49</c:v>
                </c:pt>
                <c:pt idx="1791">
                  <c:v>64</c:v>
                </c:pt>
                <c:pt idx="1792">
                  <c:v>33</c:v>
                </c:pt>
                <c:pt idx="1793">
                  <c:v>11</c:v>
                </c:pt>
                <c:pt idx="1794">
                  <c:v>31</c:v>
                </c:pt>
                <c:pt idx="1795">
                  <c:v>39</c:v>
                </c:pt>
                <c:pt idx="1796">
                  <c:v>4</c:v>
                </c:pt>
                <c:pt idx="1797">
                  <c:v>3</c:v>
                </c:pt>
                <c:pt idx="1798">
                  <c:v>14</c:v>
                </c:pt>
                <c:pt idx="1799">
                  <c:v>124</c:v>
                </c:pt>
                <c:pt idx="1800">
                  <c:v>1</c:v>
                </c:pt>
                <c:pt idx="1801">
                  <c:v>25</c:v>
                </c:pt>
                <c:pt idx="1802">
                  <c:v>1</c:v>
                </c:pt>
                <c:pt idx="1803">
                  <c:v>9</c:v>
                </c:pt>
                <c:pt idx="1804">
                  <c:v>3</c:v>
                </c:pt>
                <c:pt idx="1805">
                  <c:v>14</c:v>
                </c:pt>
                <c:pt idx="1806">
                  <c:v>3</c:v>
                </c:pt>
                <c:pt idx="1807">
                  <c:v>44</c:v>
                </c:pt>
                <c:pt idx="1808">
                  <c:v>4</c:v>
                </c:pt>
                <c:pt idx="1809">
                  <c:v>17</c:v>
                </c:pt>
                <c:pt idx="1810">
                  <c:v>5</c:v>
                </c:pt>
                <c:pt idx="1811">
                  <c:v>66</c:v>
                </c:pt>
                <c:pt idx="1812">
                  <c:v>31</c:v>
                </c:pt>
                <c:pt idx="1813">
                  <c:v>6</c:v>
                </c:pt>
                <c:pt idx="1814">
                  <c:v>4</c:v>
                </c:pt>
                <c:pt idx="1815">
                  <c:v>34</c:v>
                </c:pt>
                <c:pt idx="1816">
                  <c:v>59</c:v>
                </c:pt>
                <c:pt idx="1817">
                  <c:v>16</c:v>
                </c:pt>
                <c:pt idx="1818">
                  <c:v>7</c:v>
                </c:pt>
                <c:pt idx="1819">
                  <c:v>21</c:v>
                </c:pt>
                <c:pt idx="1820">
                  <c:v>35</c:v>
                </c:pt>
                <c:pt idx="1821">
                  <c:v>9</c:v>
                </c:pt>
                <c:pt idx="1822">
                  <c:v>9</c:v>
                </c:pt>
                <c:pt idx="1823">
                  <c:v>23</c:v>
                </c:pt>
                <c:pt idx="1824">
                  <c:v>21</c:v>
                </c:pt>
                <c:pt idx="1825">
                  <c:v>11</c:v>
                </c:pt>
                <c:pt idx="1826">
                  <c:v>182</c:v>
                </c:pt>
                <c:pt idx="1827">
                  <c:v>51</c:v>
                </c:pt>
                <c:pt idx="1828">
                  <c:v>15</c:v>
                </c:pt>
                <c:pt idx="1829">
                  <c:v>33</c:v>
                </c:pt>
                <c:pt idx="1830">
                  <c:v>4</c:v>
                </c:pt>
                <c:pt idx="1831">
                  <c:v>4</c:v>
                </c:pt>
                <c:pt idx="1832">
                  <c:v>13</c:v>
                </c:pt>
                <c:pt idx="1833">
                  <c:v>17</c:v>
                </c:pt>
                <c:pt idx="1834">
                  <c:v>19</c:v>
                </c:pt>
                <c:pt idx="1835">
                  <c:v>6</c:v>
                </c:pt>
                <c:pt idx="1836">
                  <c:v>7</c:v>
                </c:pt>
                <c:pt idx="1837">
                  <c:v>26</c:v>
                </c:pt>
                <c:pt idx="1838">
                  <c:v>12</c:v>
                </c:pt>
                <c:pt idx="1839">
                  <c:v>21</c:v>
                </c:pt>
                <c:pt idx="1840">
                  <c:v>1</c:v>
                </c:pt>
                <c:pt idx="1841">
                  <c:v>5</c:v>
                </c:pt>
                <c:pt idx="1842">
                  <c:v>9</c:v>
                </c:pt>
                <c:pt idx="1843">
                  <c:v>29</c:v>
                </c:pt>
                <c:pt idx="1844">
                  <c:v>24</c:v>
                </c:pt>
                <c:pt idx="1845">
                  <c:v>30</c:v>
                </c:pt>
                <c:pt idx="1846">
                  <c:v>60</c:v>
                </c:pt>
                <c:pt idx="1847">
                  <c:v>627</c:v>
                </c:pt>
                <c:pt idx="1848">
                  <c:v>5</c:v>
                </c:pt>
                <c:pt idx="1849">
                  <c:v>17</c:v>
                </c:pt>
                <c:pt idx="1850">
                  <c:v>19</c:v>
                </c:pt>
                <c:pt idx="1851">
                  <c:v>1</c:v>
                </c:pt>
                <c:pt idx="1852">
                  <c:v>10</c:v>
                </c:pt>
                <c:pt idx="1853">
                  <c:v>6</c:v>
                </c:pt>
                <c:pt idx="1854">
                  <c:v>4</c:v>
                </c:pt>
                <c:pt idx="1855">
                  <c:v>24</c:v>
                </c:pt>
                <c:pt idx="1856">
                  <c:v>71</c:v>
                </c:pt>
                <c:pt idx="1857">
                  <c:v>21</c:v>
                </c:pt>
                <c:pt idx="1858">
                  <c:v>46</c:v>
                </c:pt>
                <c:pt idx="1859">
                  <c:v>18</c:v>
                </c:pt>
                <c:pt idx="1860">
                  <c:v>18</c:v>
                </c:pt>
                <c:pt idx="1861">
                  <c:v>14</c:v>
                </c:pt>
                <c:pt idx="1862">
                  <c:v>63</c:v>
                </c:pt>
                <c:pt idx="1863">
                  <c:v>7</c:v>
                </c:pt>
                <c:pt idx="1864">
                  <c:v>5</c:v>
                </c:pt>
                <c:pt idx="1865">
                  <c:v>52</c:v>
                </c:pt>
                <c:pt idx="1866">
                  <c:v>2</c:v>
                </c:pt>
                <c:pt idx="1867">
                  <c:v>2</c:v>
                </c:pt>
                <c:pt idx="1868">
                  <c:v>15</c:v>
                </c:pt>
                <c:pt idx="1869">
                  <c:v>6</c:v>
                </c:pt>
                <c:pt idx="1870">
                  <c:v>13</c:v>
                </c:pt>
                <c:pt idx="1871">
                  <c:v>6</c:v>
                </c:pt>
                <c:pt idx="1872">
                  <c:v>43</c:v>
                </c:pt>
                <c:pt idx="1873">
                  <c:v>10</c:v>
                </c:pt>
                <c:pt idx="1874">
                  <c:v>8</c:v>
                </c:pt>
                <c:pt idx="1875">
                  <c:v>7</c:v>
                </c:pt>
                <c:pt idx="1876">
                  <c:v>13</c:v>
                </c:pt>
                <c:pt idx="1877">
                  <c:v>40</c:v>
                </c:pt>
                <c:pt idx="1878">
                  <c:v>24</c:v>
                </c:pt>
                <c:pt idx="1879">
                  <c:v>6</c:v>
                </c:pt>
                <c:pt idx="1880">
                  <c:v>214</c:v>
                </c:pt>
                <c:pt idx="1881">
                  <c:v>22</c:v>
                </c:pt>
                <c:pt idx="1882">
                  <c:v>20</c:v>
                </c:pt>
                <c:pt idx="1883">
                  <c:v>15</c:v>
                </c:pt>
                <c:pt idx="1884">
                  <c:v>4</c:v>
                </c:pt>
                <c:pt idx="1885">
                  <c:v>15</c:v>
                </c:pt>
                <c:pt idx="1886">
                  <c:v>14</c:v>
                </c:pt>
                <c:pt idx="1887">
                  <c:v>5</c:v>
                </c:pt>
                <c:pt idx="1888">
                  <c:v>17</c:v>
                </c:pt>
                <c:pt idx="1889">
                  <c:v>12</c:v>
                </c:pt>
                <c:pt idx="1890">
                  <c:v>10</c:v>
                </c:pt>
                <c:pt idx="1891">
                  <c:v>1</c:v>
                </c:pt>
                <c:pt idx="1892">
                  <c:v>50</c:v>
                </c:pt>
                <c:pt idx="1893">
                  <c:v>12</c:v>
                </c:pt>
                <c:pt idx="1894">
                  <c:v>19</c:v>
                </c:pt>
                <c:pt idx="1895">
                  <c:v>20</c:v>
                </c:pt>
                <c:pt idx="1896">
                  <c:v>7</c:v>
                </c:pt>
                <c:pt idx="1897">
                  <c:v>1</c:v>
                </c:pt>
                <c:pt idx="1898">
                  <c:v>9</c:v>
                </c:pt>
                <c:pt idx="1899">
                  <c:v>1</c:v>
                </c:pt>
                <c:pt idx="1900">
                  <c:v>14</c:v>
                </c:pt>
                <c:pt idx="1901">
                  <c:v>15</c:v>
                </c:pt>
                <c:pt idx="1902">
                  <c:v>31</c:v>
                </c:pt>
                <c:pt idx="1903">
                  <c:v>1</c:v>
                </c:pt>
                <c:pt idx="1904">
                  <c:v>19</c:v>
                </c:pt>
                <c:pt idx="1905">
                  <c:v>13</c:v>
                </c:pt>
                <c:pt idx="1906">
                  <c:v>3</c:v>
                </c:pt>
                <c:pt idx="1907">
                  <c:v>9</c:v>
                </c:pt>
                <c:pt idx="1908">
                  <c:v>31</c:v>
                </c:pt>
                <c:pt idx="1909">
                  <c:v>19</c:v>
                </c:pt>
                <c:pt idx="1910">
                  <c:v>68</c:v>
                </c:pt>
                <c:pt idx="1911">
                  <c:v>23</c:v>
                </c:pt>
                <c:pt idx="1912">
                  <c:v>36</c:v>
                </c:pt>
                <c:pt idx="1913">
                  <c:v>8</c:v>
                </c:pt>
                <c:pt idx="1914">
                  <c:v>22</c:v>
                </c:pt>
                <c:pt idx="1915">
                  <c:v>15</c:v>
                </c:pt>
                <c:pt idx="1916">
                  <c:v>47</c:v>
                </c:pt>
                <c:pt idx="1917">
                  <c:v>47</c:v>
                </c:pt>
                <c:pt idx="1918">
                  <c:v>7</c:v>
                </c:pt>
                <c:pt idx="1919">
                  <c:v>1</c:v>
                </c:pt>
                <c:pt idx="1920">
                  <c:v>15</c:v>
                </c:pt>
                <c:pt idx="1921">
                  <c:v>4</c:v>
                </c:pt>
                <c:pt idx="1922">
                  <c:v>7</c:v>
                </c:pt>
                <c:pt idx="1923">
                  <c:v>4</c:v>
                </c:pt>
                <c:pt idx="1924">
                  <c:v>20</c:v>
                </c:pt>
                <c:pt idx="1925">
                  <c:v>39</c:v>
                </c:pt>
                <c:pt idx="1926">
                  <c:v>2</c:v>
                </c:pt>
                <c:pt idx="1927">
                  <c:v>15</c:v>
                </c:pt>
                <c:pt idx="1928">
                  <c:v>120</c:v>
                </c:pt>
                <c:pt idx="1929">
                  <c:v>41</c:v>
                </c:pt>
                <c:pt idx="1930">
                  <c:v>73</c:v>
                </c:pt>
                <c:pt idx="1931">
                  <c:v>8</c:v>
                </c:pt>
                <c:pt idx="1932">
                  <c:v>7</c:v>
                </c:pt>
                <c:pt idx="1933">
                  <c:v>57</c:v>
                </c:pt>
                <c:pt idx="1934">
                  <c:v>29</c:v>
                </c:pt>
                <c:pt idx="1935">
                  <c:v>72</c:v>
                </c:pt>
                <c:pt idx="1936">
                  <c:v>14</c:v>
                </c:pt>
                <c:pt idx="1937">
                  <c:v>12</c:v>
                </c:pt>
                <c:pt idx="1938">
                  <c:v>10</c:v>
                </c:pt>
                <c:pt idx="1939">
                  <c:v>9</c:v>
                </c:pt>
                <c:pt idx="1940">
                  <c:v>19</c:v>
                </c:pt>
                <c:pt idx="1941">
                  <c:v>6</c:v>
                </c:pt>
                <c:pt idx="1942">
                  <c:v>49</c:v>
                </c:pt>
                <c:pt idx="1943">
                  <c:v>16</c:v>
                </c:pt>
                <c:pt idx="1944">
                  <c:v>77</c:v>
                </c:pt>
                <c:pt idx="1945">
                  <c:v>8</c:v>
                </c:pt>
                <c:pt idx="1946">
                  <c:v>2</c:v>
                </c:pt>
                <c:pt idx="1947">
                  <c:v>37</c:v>
                </c:pt>
                <c:pt idx="1948">
                  <c:v>11</c:v>
                </c:pt>
                <c:pt idx="1949">
                  <c:v>18</c:v>
                </c:pt>
                <c:pt idx="1950">
                  <c:v>16</c:v>
                </c:pt>
                <c:pt idx="1951">
                  <c:v>9</c:v>
                </c:pt>
                <c:pt idx="1952">
                  <c:v>4</c:v>
                </c:pt>
                <c:pt idx="1953">
                  <c:v>3</c:v>
                </c:pt>
                <c:pt idx="1954">
                  <c:v>8</c:v>
                </c:pt>
                <c:pt idx="1955">
                  <c:v>11</c:v>
                </c:pt>
                <c:pt idx="1956">
                  <c:v>47</c:v>
                </c:pt>
                <c:pt idx="1957">
                  <c:v>58</c:v>
                </c:pt>
                <c:pt idx="1958">
                  <c:v>29</c:v>
                </c:pt>
                <c:pt idx="1959">
                  <c:v>53</c:v>
                </c:pt>
                <c:pt idx="1960">
                  <c:v>18</c:v>
                </c:pt>
                <c:pt idx="1961">
                  <c:v>1</c:v>
                </c:pt>
                <c:pt idx="1962">
                  <c:v>18</c:v>
                </c:pt>
                <c:pt idx="1963">
                  <c:v>8</c:v>
                </c:pt>
                <c:pt idx="1964">
                  <c:v>10</c:v>
                </c:pt>
                <c:pt idx="1965">
                  <c:v>8</c:v>
                </c:pt>
                <c:pt idx="1966">
                  <c:v>24</c:v>
                </c:pt>
                <c:pt idx="1967">
                  <c:v>674</c:v>
                </c:pt>
                <c:pt idx="1968">
                  <c:v>32</c:v>
                </c:pt>
                <c:pt idx="1969">
                  <c:v>747</c:v>
                </c:pt>
                <c:pt idx="1970">
                  <c:v>27</c:v>
                </c:pt>
                <c:pt idx="1971">
                  <c:v>5</c:v>
                </c:pt>
                <c:pt idx="1972">
                  <c:v>3</c:v>
                </c:pt>
                <c:pt idx="1973">
                  <c:v>7</c:v>
                </c:pt>
                <c:pt idx="1974">
                  <c:v>10</c:v>
                </c:pt>
                <c:pt idx="1975">
                  <c:v>19</c:v>
                </c:pt>
                <c:pt idx="1976">
                  <c:v>2</c:v>
                </c:pt>
                <c:pt idx="1977">
                  <c:v>34</c:v>
                </c:pt>
                <c:pt idx="1978">
                  <c:v>1</c:v>
                </c:pt>
                <c:pt idx="1979">
                  <c:v>5</c:v>
                </c:pt>
                <c:pt idx="1980">
                  <c:v>12</c:v>
                </c:pt>
                <c:pt idx="1981">
                  <c:v>9</c:v>
                </c:pt>
                <c:pt idx="1982">
                  <c:v>51</c:v>
                </c:pt>
                <c:pt idx="1983">
                  <c:v>203</c:v>
                </c:pt>
                <c:pt idx="1984">
                  <c:v>18</c:v>
                </c:pt>
                <c:pt idx="1985">
                  <c:v>30</c:v>
                </c:pt>
                <c:pt idx="1986">
                  <c:v>11</c:v>
                </c:pt>
                <c:pt idx="1987">
                  <c:v>8</c:v>
                </c:pt>
                <c:pt idx="1988">
                  <c:v>18</c:v>
                </c:pt>
                <c:pt idx="1989">
                  <c:v>61</c:v>
                </c:pt>
                <c:pt idx="1990">
                  <c:v>56</c:v>
                </c:pt>
                <c:pt idx="1991">
                  <c:v>2</c:v>
                </c:pt>
                <c:pt idx="1992">
                  <c:v>13</c:v>
                </c:pt>
                <c:pt idx="1993">
                  <c:v>12</c:v>
                </c:pt>
                <c:pt idx="1994">
                  <c:v>8</c:v>
                </c:pt>
                <c:pt idx="1995">
                  <c:v>71</c:v>
                </c:pt>
                <c:pt idx="1996">
                  <c:v>6</c:v>
                </c:pt>
                <c:pt idx="1997">
                  <c:v>20</c:v>
                </c:pt>
                <c:pt idx="1998">
                  <c:v>12</c:v>
                </c:pt>
                <c:pt idx="1999">
                  <c:v>5</c:v>
                </c:pt>
                <c:pt idx="2000">
                  <c:v>132</c:v>
                </c:pt>
                <c:pt idx="2001">
                  <c:v>12</c:v>
                </c:pt>
                <c:pt idx="2002">
                  <c:v>16</c:v>
                </c:pt>
                <c:pt idx="2003">
                  <c:v>1</c:v>
                </c:pt>
                <c:pt idx="2004">
                  <c:v>15</c:v>
                </c:pt>
                <c:pt idx="2005">
                  <c:v>43</c:v>
                </c:pt>
                <c:pt idx="2006">
                  <c:v>7</c:v>
                </c:pt>
                <c:pt idx="2007">
                  <c:v>15</c:v>
                </c:pt>
                <c:pt idx="2008">
                  <c:v>5</c:v>
                </c:pt>
                <c:pt idx="2009">
                  <c:v>6</c:v>
                </c:pt>
                <c:pt idx="2010">
                  <c:v>12</c:v>
                </c:pt>
                <c:pt idx="2011">
                  <c:v>54</c:v>
                </c:pt>
                <c:pt idx="2012">
                  <c:v>14</c:v>
                </c:pt>
                <c:pt idx="2013">
                  <c:v>23</c:v>
                </c:pt>
                <c:pt idx="2014">
                  <c:v>12</c:v>
                </c:pt>
                <c:pt idx="2015">
                  <c:v>7</c:v>
                </c:pt>
                <c:pt idx="2016">
                  <c:v>24</c:v>
                </c:pt>
                <c:pt idx="2017">
                  <c:v>20</c:v>
                </c:pt>
                <c:pt idx="2018">
                  <c:v>18</c:v>
                </c:pt>
                <c:pt idx="2019">
                  <c:v>2</c:v>
                </c:pt>
                <c:pt idx="2020">
                  <c:v>1</c:v>
                </c:pt>
                <c:pt idx="2021">
                  <c:v>20</c:v>
                </c:pt>
                <c:pt idx="2022">
                  <c:v>3</c:v>
                </c:pt>
                <c:pt idx="2023">
                  <c:v>7</c:v>
                </c:pt>
                <c:pt idx="2024">
                  <c:v>9</c:v>
                </c:pt>
                <c:pt idx="2025">
                  <c:v>14</c:v>
                </c:pt>
                <c:pt idx="2026">
                  <c:v>52</c:v>
                </c:pt>
                <c:pt idx="2027">
                  <c:v>26</c:v>
                </c:pt>
                <c:pt idx="2028">
                  <c:v>36</c:v>
                </c:pt>
                <c:pt idx="2029">
                  <c:v>21</c:v>
                </c:pt>
                <c:pt idx="2030">
                  <c:v>63</c:v>
                </c:pt>
                <c:pt idx="2031">
                  <c:v>179</c:v>
                </c:pt>
                <c:pt idx="2032">
                  <c:v>48</c:v>
                </c:pt>
                <c:pt idx="2033">
                  <c:v>25</c:v>
                </c:pt>
                <c:pt idx="2034">
                  <c:v>6</c:v>
                </c:pt>
                <c:pt idx="2035">
                  <c:v>113</c:v>
                </c:pt>
                <c:pt idx="2036">
                  <c:v>15</c:v>
                </c:pt>
                <c:pt idx="2037">
                  <c:v>68</c:v>
                </c:pt>
                <c:pt idx="2038">
                  <c:v>12</c:v>
                </c:pt>
                <c:pt idx="2039">
                  <c:v>12</c:v>
                </c:pt>
                <c:pt idx="2040">
                  <c:v>8</c:v>
                </c:pt>
                <c:pt idx="2041">
                  <c:v>13</c:v>
                </c:pt>
                <c:pt idx="2042">
                  <c:v>27</c:v>
                </c:pt>
                <c:pt idx="2043">
                  <c:v>35</c:v>
                </c:pt>
                <c:pt idx="2044">
                  <c:v>12</c:v>
                </c:pt>
                <c:pt idx="2045">
                  <c:v>6</c:v>
                </c:pt>
                <c:pt idx="2046">
                  <c:v>9</c:v>
                </c:pt>
                <c:pt idx="2047">
                  <c:v>85</c:v>
                </c:pt>
                <c:pt idx="2048">
                  <c:v>23</c:v>
                </c:pt>
                <c:pt idx="2049">
                  <c:v>12</c:v>
                </c:pt>
                <c:pt idx="2050">
                  <c:v>2</c:v>
                </c:pt>
                <c:pt idx="2051">
                  <c:v>9</c:v>
                </c:pt>
                <c:pt idx="2052">
                  <c:v>4</c:v>
                </c:pt>
                <c:pt idx="2053">
                  <c:v>7</c:v>
                </c:pt>
                <c:pt idx="2054">
                  <c:v>4</c:v>
                </c:pt>
                <c:pt idx="2055">
                  <c:v>72</c:v>
                </c:pt>
                <c:pt idx="2056">
                  <c:v>6</c:v>
                </c:pt>
                <c:pt idx="2057">
                  <c:v>2</c:v>
                </c:pt>
                <c:pt idx="2058">
                  <c:v>15</c:v>
                </c:pt>
                <c:pt idx="2059">
                  <c:v>16</c:v>
                </c:pt>
                <c:pt idx="2060">
                  <c:v>12</c:v>
                </c:pt>
                <c:pt idx="2061">
                  <c:v>634</c:v>
                </c:pt>
                <c:pt idx="2062">
                  <c:v>9</c:v>
                </c:pt>
                <c:pt idx="2063">
                  <c:v>14</c:v>
                </c:pt>
                <c:pt idx="2064">
                  <c:v>14</c:v>
                </c:pt>
                <c:pt idx="2065">
                  <c:v>9</c:v>
                </c:pt>
                <c:pt idx="2066">
                  <c:v>18</c:v>
                </c:pt>
                <c:pt idx="2067">
                  <c:v>30</c:v>
                </c:pt>
                <c:pt idx="2068">
                  <c:v>25</c:v>
                </c:pt>
                <c:pt idx="2069">
                  <c:v>18</c:v>
                </c:pt>
                <c:pt idx="2070">
                  <c:v>19</c:v>
                </c:pt>
                <c:pt idx="2071">
                  <c:v>10</c:v>
                </c:pt>
                <c:pt idx="2072">
                  <c:v>11</c:v>
                </c:pt>
                <c:pt idx="2073">
                  <c:v>38</c:v>
                </c:pt>
                <c:pt idx="2074">
                  <c:v>11</c:v>
                </c:pt>
                <c:pt idx="2075">
                  <c:v>1</c:v>
                </c:pt>
                <c:pt idx="2076">
                  <c:v>1</c:v>
                </c:pt>
                <c:pt idx="2077">
                  <c:v>4</c:v>
                </c:pt>
                <c:pt idx="2078">
                  <c:v>49</c:v>
                </c:pt>
                <c:pt idx="2079">
                  <c:v>33</c:v>
                </c:pt>
                <c:pt idx="2080">
                  <c:v>26</c:v>
                </c:pt>
                <c:pt idx="2081">
                  <c:v>17</c:v>
                </c:pt>
                <c:pt idx="2082">
                  <c:v>32</c:v>
                </c:pt>
                <c:pt idx="2083">
                  <c:v>24</c:v>
                </c:pt>
                <c:pt idx="2084">
                  <c:v>19</c:v>
                </c:pt>
                <c:pt idx="2085">
                  <c:v>65</c:v>
                </c:pt>
                <c:pt idx="2086">
                  <c:v>10</c:v>
                </c:pt>
                <c:pt idx="2087">
                  <c:v>18</c:v>
                </c:pt>
                <c:pt idx="2088">
                  <c:v>1</c:v>
                </c:pt>
                <c:pt idx="2089">
                  <c:v>9</c:v>
                </c:pt>
                <c:pt idx="2090">
                  <c:v>16</c:v>
                </c:pt>
                <c:pt idx="2091">
                  <c:v>6</c:v>
                </c:pt>
                <c:pt idx="2092">
                  <c:v>1</c:v>
                </c:pt>
                <c:pt idx="2093">
                  <c:v>3</c:v>
                </c:pt>
                <c:pt idx="2094">
                  <c:v>16</c:v>
                </c:pt>
                <c:pt idx="2095">
                  <c:v>1</c:v>
                </c:pt>
                <c:pt idx="2096">
                  <c:v>3</c:v>
                </c:pt>
                <c:pt idx="2097">
                  <c:v>2</c:v>
                </c:pt>
                <c:pt idx="2098">
                  <c:v>1</c:v>
                </c:pt>
                <c:pt idx="2099">
                  <c:v>730</c:v>
                </c:pt>
                <c:pt idx="2100">
                  <c:v>16</c:v>
                </c:pt>
                <c:pt idx="2101">
                  <c:v>17</c:v>
                </c:pt>
                <c:pt idx="2102">
                  <c:v>14</c:v>
                </c:pt>
                <c:pt idx="2103">
                  <c:v>32</c:v>
                </c:pt>
                <c:pt idx="2104">
                  <c:v>58</c:v>
                </c:pt>
                <c:pt idx="2105">
                  <c:v>216</c:v>
                </c:pt>
                <c:pt idx="2106">
                  <c:v>3</c:v>
                </c:pt>
                <c:pt idx="2107">
                  <c:v>24</c:v>
                </c:pt>
                <c:pt idx="2108">
                  <c:v>20</c:v>
                </c:pt>
                <c:pt idx="2109">
                  <c:v>24</c:v>
                </c:pt>
                <c:pt idx="2110">
                  <c:v>15</c:v>
                </c:pt>
                <c:pt idx="2111">
                  <c:v>70</c:v>
                </c:pt>
                <c:pt idx="2112">
                  <c:v>1</c:v>
                </c:pt>
                <c:pt idx="2113">
                  <c:v>12</c:v>
                </c:pt>
                <c:pt idx="2114">
                  <c:v>12</c:v>
                </c:pt>
                <c:pt idx="2115">
                  <c:v>20</c:v>
                </c:pt>
                <c:pt idx="2116">
                  <c:v>4</c:v>
                </c:pt>
                <c:pt idx="2117">
                  <c:v>12</c:v>
                </c:pt>
                <c:pt idx="2118">
                  <c:v>37</c:v>
                </c:pt>
                <c:pt idx="2119">
                  <c:v>30</c:v>
                </c:pt>
                <c:pt idx="2120">
                  <c:v>24</c:v>
                </c:pt>
                <c:pt idx="2121">
                  <c:v>3</c:v>
                </c:pt>
                <c:pt idx="2122">
                  <c:v>2</c:v>
                </c:pt>
                <c:pt idx="2123">
                  <c:v>2</c:v>
                </c:pt>
                <c:pt idx="2124">
                  <c:v>2</c:v>
                </c:pt>
                <c:pt idx="2125">
                  <c:v>21</c:v>
                </c:pt>
                <c:pt idx="2126">
                  <c:v>4</c:v>
                </c:pt>
                <c:pt idx="2127">
                  <c:v>15</c:v>
                </c:pt>
                <c:pt idx="2128">
                  <c:v>1</c:v>
                </c:pt>
                <c:pt idx="2129">
                  <c:v>1</c:v>
                </c:pt>
                <c:pt idx="2130">
                  <c:v>3</c:v>
                </c:pt>
                <c:pt idx="2131">
                  <c:v>2</c:v>
                </c:pt>
                <c:pt idx="2132">
                  <c:v>2</c:v>
                </c:pt>
                <c:pt idx="2133">
                  <c:v>5</c:v>
                </c:pt>
                <c:pt idx="2134">
                  <c:v>1</c:v>
                </c:pt>
                <c:pt idx="2135">
                  <c:v>4</c:v>
                </c:pt>
                <c:pt idx="2136">
                  <c:v>1</c:v>
                </c:pt>
                <c:pt idx="2137">
                  <c:v>6</c:v>
                </c:pt>
                <c:pt idx="2138">
                  <c:v>1</c:v>
                </c:pt>
                <c:pt idx="2139">
                  <c:v>1</c:v>
                </c:pt>
                <c:pt idx="2140">
                  <c:v>1</c:v>
                </c:pt>
                <c:pt idx="2141">
                  <c:v>1</c:v>
                </c:pt>
                <c:pt idx="2142">
                  <c:v>3</c:v>
                </c:pt>
                <c:pt idx="2143">
                  <c:v>3</c:v>
                </c:pt>
                <c:pt idx="2144">
                  <c:v>1</c:v>
                </c:pt>
                <c:pt idx="2145">
                  <c:v>1</c:v>
                </c:pt>
                <c:pt idx="2146">
                  <c:v>1</c:v>
                </c:pt>
                <c:pt idx="2147">
                  <c:v>1</c:v>
                </c:pt>
                <c:pt idx="2148">
                  <c:v>1</c:v>
                </c:pt>
                <c:pt idx="2149">
                  <c:v>1</c:v>
                </c:pt>
                <c:pt idx="2150">
                  <c:v>2</c:v>
                </c:pt>
                <c:pt idx="2151">
                  <c:v>2</c:v>
                </c:pt>
                <c:pt idx="2152">
                  <c:v>3</c:v>
                </c:pt>
                <c:pt idx="2153">
                  <c:v>1</c:v>
                </c:pt>
                <c:pt idx="2154">
                  <c:v>2</c:v>
                </c:pt>
                <c:pt idx="2155">
                  <c:v>1</c:v>
                </c:pt>
                <c:pt idx="2156">
                  <c:v>10</c:v>
                </c:pt>
                <c:pt idx="2157">
                  <c:v>1</c:v>
                </c:pt>
                <c:pt idx="2158">
                  <c:v>1</c:v>
                </c:pt>
                <c:pt idx="2159">
                  <c:v>2</c:v>
                </c:pt>
                <c:pt idx="2160">
                  <c:v>1</c:v>
                </c:pt>
                <c:pt idx="2161">
                  <c:v>4</c:v>
                </c:pt>
                <c:pt idx="2162">
                  <c:v>3</c:v>
                </c:pt>
                <c:pt idx="2163">
                  <c:v>3</c:v>
                </c:pt>
                <c:pt idx="2164">
                  <c:v>2</c:v>
                </c:pt>
                <c:pt idx="2165">
                  <c:v>1</c:v>
                </c:pt>
                <c:pt idx="2166">
                  <c:v>1</c:v>
                </c:pt>
                <c:pt idx="2167">
                  <c:v>1</c:v>
                </c:pt>
                <c:pt idx="2168">
                  <c:v>3</c:v>
                </c:pt>
                <c:pt idx="2169">
                  <c:v>11</c:v>
                </c:pt>
                <c:pt idx="2170">
                  <c:v>1</c:v>
                </c:pt>
                <c:pt idx="2171">
                  <c:v>1</c:v>
                </c:pt>
                <c:pt idx="2172">
                  <c:v>1</c:v>
                </c:pt>
                <c:pt idx="2173">
                  <c:v>3</c:v>
                </c:pt>
                <c:pt idx="2174">
                  <c:v>2</c:v>
                </c:pt>
                <c:pt idx="2175">
                  <c:v>1</c:v>
                </c:pt>
                <c:pt idx="2176">
                  <c:v>1</c:v>
                </c:pt>
                <c:pt idx="2177">
                  <c:v>14</c:v>
                </c:pt>
                <c:pt idx="2178">
                  <c:v>2</c:v>
                </c:pt>
                <c:pt idx="2179">
                  <c:v>3</c:v>
                </c:pt>
                <c:pt idx="2180">
                  <c:v>1</c:v>
                </c:pt>
                <c:pt idx="2181">
                  <c:v>3</c:v>
                </c:pt>
                <c:pt idx="2182">
                  <c:v>1</c:v>
                </c:pt>
                <c:pt idx="2183">
                  <c:v>2</c:v>
                </c:pt>
                <c:pt idx="2184">
                  <c:v>1</c:v>
                </c:pt>
                <c:pt idx="2185">
                  <c:v>1</c:v>
                </c:pt>
                <c:pt idx="2186">
                  <c:v>2</c:v>
                </c:pt>
                <c:pt idx="2187">
                  <c:v>4</c:v>
                </c:pt>
                <c:pt idx="2188">
                  <c:v>2</c:v>
                </c:pt>
                <c:pt idx="2189">
                  <c:v>1</c:v>
                </c:pt>
                <c:pt idx="2190">
                  <c:v>11</c:v>
                </c:pt>
                <c:pt idx="2191">
                  <c:v>1</c:v>
                </c:pt>
                <c:pt idx="2192">
                  <c:v>3</c:v>
                </c:pt>
                <c:pt idx="2193">
                  <c:v>1</c:v>
                </c:pt>
                <c:pt idx="2194">
                  <c:v>1</c:v>
                </c:pt>
                <c:pt idx="2195">
                  <c:v>4</c:v>
                </c:pt>
                <c:pt idx="2196">
                  <c:v>1</c:v>
                </c:pt>
                <c:pt idx="2197">
                  <c:v>1</c:v>
                </c:pt>
                <c:pt idx="2198">
                  <c:v>3</c:v>
                </c:pt>
                <c:pt idx="2199">
                  <c:v>1</c:v>
                </c:pt>
                <c:pt idx="2200">
                  <c:v>3</c:v>
                </c:pt>
                <c:pt idx="2201">
                  <c:v>12</c:v>
                </c:pt>
                <c:pt idx="2202">
                  <c:v>1</c:v>
                </c:pt>
                <c:pt idx="2203">
                  <c:v>1</c:v>
                </c:pt>
                <c:pt idx="2204">
                  <c:v>4</c:v>
                </c:pt>
                <c:pt idx="2205">
                  <c:v>1</c:v>
                </c:pt>
                <c:pt idx="2206">
                  <c:v>4</c:v>
                </c:pt>
                <c:pt idx="2207">
                  <c:v>1</c:v>
                </c:pt>
                <c:pt idx="2208">
                  <c:v>1</c:v>
                </c:pt>
                <c:pt idx="2209">
                  <c:v>1</c:v>
                </c:pt>
                <c:pt idx="2210">
                  <c:v>1</c:v>
                </c:pt>
                <c:pt idx="2211">
                  <c:v>5</c:v>
                </c:pt>
                <c:pt idx="2212">
                  <c:v>8</c:v>
                </c:pt>
                <c:pt idx="2213">
                  <c:v>5</c:v>
                </c:pt>
                <c:pt idx="2214">
                  <c:v>1</c:v>
                </c:pt>
                <c:pt idx="2215">
                  <c:v>1</c:v>
                </c:pt>
                <c:pt idx="2216">
                  <c:v>4</c:v>
                </c:pt>
                <c:pt idx="2217">
                  <c:v>12</c:v>
                </c:pt>
                <c:pt idx="2218">
                  <c:v>4</c:v>
                </c:pt>
                <c:pt idx="2219">
                  <c:v>1</c:v>
                </c:pt>
                <c:pt idx="2220">
                  <c:v>23</c:v>
                </c:pt>
                <c:pt idx="2221">
                  <c:v>3</c:v>
                </c:pt>
                <c:pt idx="2222">
                  <c:v>1</c:v>
                </c:pt>
                <c:pt idx="2223">
                  <c:v>2</c:v>
                </c:pt>
                <c:pt idx="2224">
                  <c:v>1</c:v>
                </c:pt>
                <c:pt idx="2225">
                  <c:v>2</c:v>
                </c:pt>
                <c:pt idx="2226">
                  <c:v>23</c:v>
                </c:pt>
                <c:pt idx="2227">
                  <c:v>2</c:v>
                </c:pt>
                <c:pt idx="2228">
                  <c:v>8</c:v>
                </c:pt>
                <c:pt idx="2229">
                  <c:v>1</c:v>
                </c:pt>
                <c:pt idx="2230">
                  <c:v>1</c:v>
                </c:pt>
                <c:pt idx="2231">
                  <c:v>1</c:v>
                </c:pt>
                <c:pt idx="2232">
                  <c:v>5</c:v>
                </c:pt>
                <c:pt idx="2233">
                  <c:v>1</c:v>
                </c:pt>
                <c:pt idx="2234">
                  <c:v>1</c:v>
                </c:pt>
                <c:pt idx="2235">
                  <c:v>3</c:v>
                </c:pt>
                <c:pt idx="2236">
                  <c:v>1</c:v>
                </c:pt>
                <c:pt idx="2237">
                  <c:v>8</c:v>
                </c:pt>
                <c:pt idx="2238">
                  <c:v>1</c:v>
                </c:pt>
                <c:pt idx="2239">
                  <c:v>1</c:v>
                </c:pt>
                <c:pt idx="2240">
                  <c:v>4</c:v>
                </c:pt>
                <c:pt idx="2241">
                  <c:v>1</c:v>
                </c:pt>
                <c:pt idx="2242">
                  <c:v>1</c:v>
                </c:pt>
                <c:pt idx="2243">
                  <c:v>1</c:v>
                </c:pt>
                <c:pt idx="2244">
                  <c:v>1</c:v>
                </c:pt>
                <c:pt idx="2245">
                  <c:v>1</c:v>
                </c:pt>
                <c:pt idx="2246">
                  <c:v>1</c:v>
                </c:pt>
                <c:pt idx="2247">
                  <c:v>3</c:v>
                </c:pt>
                <c:pt idx="2248">
                  <c:v>1</c:v>
                </c:pt>
                <c:pt idx="2249">
                  <c:v>1</c:v>
                </c:pt>
                <c:pt idx="2250">
                  <c:v>2</c:v>
                </c:pt>
                <c:pt idx="2251">
                  <c:v>2</c:v>
                </c:pt>
                <c:pt idx="2252">
                  <c:v>1</c:v>
                </c:pt>
                <c:pt idx="2253">
                  <c:v>2</c:v>
                </c:pt>
                <c:pt idx="2254">
                  <c:v>1</c:v>
                </c:pt>
                <c:pt idx="2255">
                  <c:v>1</c:v>
                </c:pt>
                <c:pt idx="2256">
                  <c:v>2</c:v>
                </c:pt>
                <c:pt idx="2257">
                  <c:v>1</c:v>
                </c:pt>
                <c:pt idx="2258">
                  <c:v>2</c:v>
                </c:pt>
                <c:pt idx="2259">
                  <c:v>1</c:v>
                </c:pt>
                <c:pt idx="2260">
                  <c:v>1</c:v>
                </c:pt>
                <c:pt idx="2261">
                  <c:v>2</c:v>
                </c:pt>
                <c:pt idx="2262">
                  <c:v>1</c:v>
                </c:pt>
                <c:pt idx="2263">
                  <c:v>1</c:v>
                </c:pt>
                <c:pt idx="2264">
                  <c:v>1</c:v>
                </c:pt>
                <c:pt idx="2265">
                  <c:v>1</c:v>
                </c:pt>
                <c:pt idx="2266">
                  <c:v>2</c:v>
                </c:pt>
                <c:pt idx="2267">
                  <c:v>1</c:v>
                </c:pt>
                <c:pt idx="2268">
                  <c:v>1</c:v>
                </c:pt>
                <c:pt idx="2269">
                  <c:v>5</c:v>
                </c:pt>
                <c:pt idx="2270">
                  <c:v>1</c:v>
                </c:pt>
                <c:pt idx="2271">
                  <c:v>1</c:v>
                </c:pt>
                <c:pt idx="2272">
                  <c:v>1</c:v>
                </c:pt>
                <c:pt idx="2273">
                  <c:v>1</c:v>
                </c:pt>
                <c:pt idx="2274">
                  <c:v>1</c:v>
                </c:pt>
                <c:pt idx="2275">
                  <c:v>2</c:v>
                </c:pt>
                <c:pt idx="2276">
                  <c:v>4</c:v>
                </c:pt>
                <c:pt idx="2277">
                  <c:v>10</c:v>
                </c:pt>
                <c:pt idx="2278">
                  <c:v>2</c:v>
                </c:pt>
                <c:pt idx="2279">
                  <c:v>2</c:v>
                </c:pt>
                <c:pt idx="2280">
                  <c:v>12</c:v>
                </c:pt>
                <c:pt idx="2281">
                  <c:v>3</c:v>
                </c:pt>
                <c:pt idx="2282">
                  <c:v>1</c:v>
                </c:pt>
                <c:pt idx="2283">
                  <c:v>3</c:v>
                </c:pt>
                <c:pt idx="2284">
                  <c:v>2</c:v>
                </c:pt>
                <c:pt idx="2285">
                  <c:v>1</c:v>
                </c:pt>
                <c:pt idx="2286">
                  <c:v>1</c:v>
                </c:pt>
                <c:pt idx="2287">
                  <c:v>3</c:v>
                </c:pt>
                <c:pt idx="2288">
                  <c:v>1</c:v>
                </c:pt>
                <c:pt idx="2289">
                  <c:v>1</c:v>
                </c:pt>
                <c:pt idx="2290">
                  <c:v>4</c:v>
                </c:pt>
                <c:pt idx="2291">
                  <c:v>2</c:v>
                </c:pt>
                <c:pt idx="2292">
                  <c:v>4</c:v>
                </c:pt>
                <c:pt idx="2293">
                  <c:v>1</c:v>
                </c:pt>
                <c:pt idx="2294">
                  <c:v>3</c:v>
                </c:pt>
                <c:pt idx="2295">
                  <c:v>1</c:v>
                </c:pt>
                <c:pt idx="2296">
                  <c:v>1</c:v>
                </c:pt>
                <c:pt idx="2297">
                  <c:v>2</c:v>
                </c:pt>
                <c:pt idx="2298">
                  <c:v>1</c:v>
                </c:pt>
                <c:pt idx="2299">
                  <c:v>1</c:v>
                </c:pt>
                <c:pt idx="2300">
                  <c:v>2</c:v>
                </c:pt>
                <c:pt idx="2301">
                  <c:v>1</c:v>
                </c:pt>
                <c:pt idx="2302">
                  <c:v>1</c:v>
                </c:pt>
                <c:pt idx="2303">
                  <c:v>1</c:v>
                </c:pt>
                <c:pt idx="2304">
                  <c:v>1</c:v>
                </c:pt>
                <c:pt idx="2305">
                  <c:v>1</c:v>
                </c:pt>
                <c:pt idx="2306">
                  <c:v>1</c:v>
                </c:pt>
                <c:pt idx="2307">
                  <c:v>8</c:v>
                </c:pt>
                <c:pt idx="2308">
                  <c:v>1</c:v>
                </c:pt>
                <c:pt idx="2309">
                  <c:v>5</c:v>
                </c:pt>
                <c:pt idx="2310">
                  <c:v>2</c:v>
                </c:pt>
                <c:pt idx="2311">
                  <c:v>1</c:v>
                </c:pt>
                <c:pt idx="2312">
                  <c:v>1</c:v>
                </c:pt>
                <c:pt idx="2313">
                  <c:v>1</c:v>
                </c:pt>
                <c:pt idx="2314">
                  <c:v>1</c:v>
                </c:pt>
                <c:pt idx="2315">
                  <c:v>1</c:v>
                </c:pt>
                <c:pt idx="2316">
                  <c:v>2</c:v>
                </c:pt>
                <c:pt idx="2317">
                  <c:v>4</c:v>
                </c:pt>
                <c:pt idx="2318">
                  <c:v>3</c:v>
                </c:pt>
                <c:pt idx="2319">
                  <c:v>2</c:v>
                </c:pt>
                <c:pt idx="2320">
                  <c:v>3</c:v>
                </c:pt>
                <c:pt idx="2321">
                  <c:v>2</c:v>
                </c:pt>
                <c:pt idx="2322">
                  <c:v>1</c:v>
                </c:pt>
                <c:pt idx="2323">
                  <c:v>1</c:v>
                </c:pt>
                <c:pt idx="2324">
                  <c:v>1</c:v>
                </c:pt>
                <c:pt idx="2325">
                  <c:v>1</c:v>
                </c:pt>
                <c:pt idx="2326">
                  <c:v>3</c:v>
                </c:pt>
                <c:pt idx="2327">
                  <c:v>4</c:v>
                </c:pt>
                <c:pt idx="2328">
                  <c:v>4</c:v>
                </c:pt>
                <c:pt idx="2329">
                  <c:v>1</c:v>
                </c:pt>
                <c:pt idx="2330">
                  <c:v>1</c:v>
                </c:pt>
                <c:pt idx="2331">
                  <c:v>3</c:v>
                </c:pt>
                <c:pt idx="2332">
                  <c:v>3</c:v>
                </c:pt>
                <c:pt idx="2333">
                  <c:v>9</c:v>
                </c:pt>
                <c:pt idx="2334">
                  <c:v>6</c:v>
                </c:pt>
                <c:pt idx="2335">
                  <c:v>5</c:v>
                </c:pt>
                <c:pt idx="2336">
                  <c:v>1</c:v>
                </c:pt>
                <c:pt idx="2337">
                  <c:v>2</c:v>
                </c:pt>
                <c:pt idx="2338">
                  <c:v>1</c:v>
                </c:pt>
                <c:pt idx="2339">
                  <c:v>2</c:v>
                </c:pt>
                <c:pt idx="2340">
                  <c:v>1</c:v>
                </c:pt>
                <c:pt idx="2341">
                  <c:v>1</c:v>
                </c:pt>
                <c:pt idx="2342">
                  <c:v>5</c:v>
                </c:pt>
                <c:pt idx="2343">
                  <c:v>1</c:v>
                </c:pt>
                <c:pt idx="2344">
                  <c:v>1</c:v>
                </c:pt>
                <c:pt idx="2345">
                  <c:v>1</c:v>
                </c:pt>
                <c:pt idx="2346">
                  <c:v>2</c:v>
                </c:pt>
                <c:pt idx="2347">
                  <c:v>1</c:v>
                </c:pt>
                <c:pt idx="2348">
                  <c:v>1</c:v>
                </c:pt>
                <c:pt idx="2349">
                  <c:v>2</c:v>
                </c:pt>
                <c:pt idx="2350">
                  <c:v>3</c:v>
                </c:pt>
                <c:pt idx="2351">
                  <c:v>2</c:v>
                </c:pt>
                <c:pt idx="2352">
                  <c:v>2</c:v>
                </c:pt>
                <c:pt idx="2353">
                  <c:v>2</c:v>
                </c:pt>
                <c:pt idx="2354">
                  <c:v>1</c:v>
                </c:pt>
                <c:pt idx="2355">
                  <c:v>2</c:v>
                </c:pt>
                <c:pt idx="2356">
                  <c:v>2</c:v>
                </c:pt>
                <c:pt idx="2357">
                  <c:v>3</c:v>
                </c:pt>
                <c:pt idx="2358">
                  <c:v>4</c:v>
                </c:pt>
                <c:pt idx="2359">
                  <c:v>1</c:v>
                </c:pt>
                <c:pt idx="2360">
                  <c:v>4</c:v>
                </c:pt>
                <c:pt idx="2361">
                  <c:v>1</c:v>
                </c:pt>
                <c:pt idx="2362">
                  <c:v>1</c:v>
                </c:pt>
                <c:pt idx="2363">
                  <c:v>1</c:v>
                </c:pt>
                <c:pt idx="2364">
                  <c:v>1</c:v>
                </c:pt>
                <c:pt idx="2365">
                  <c:v>1</c:v>
                </c:pt>
                <c:pt idx="2366">
                  <c:v>1</c:v>
                </c:pt>
                <c:pt idx="2367">
                  <c:v>1</c:v>
                </c:pt>
                <c:pt idx="2368">
                  <c:v>2</c:v>
                </c:pt>
                <c:pt idx="2369">
                  <c:v>8</c:v>
                </c:pt>
                <c:pt idx="2370">
                  <c:v>1</c:v>
                </c:pt>
                <c:pt idx="2371">
                  <c:v>1</c:v>
                </c:pt>
                <c:pt idx="2372">
                  <c:v>1</c:v>
                </c:pt>
                <c:pt idx="2373">
                  <c:v>3</c:v>
                </c:pt>
                <c:pt idx="2374">
                  <c:v>1</c:v>
                </c:pt>
                <c:pt idx="2375">
                  <c:v>10</c:v>
                </c:pt>
                <c:pt idx="2376">
                  <c:v>13</c:v>
                </c:pt>
                <c:pt idx="2377">
                  <c:v>10</c:v>
                </c:pt>
                <c:pt idx="2378">
                  <c:v>15</c:v>
                </c:pt>
                <c:pt idx="2379">
                  <c:v>1</c:v>
                </c:pt>
                <c:pt idx="2380">
                  <c:v>3</c:v>
                </c:pt>
                <c:pt idx="2381">
                  <c:v>1</c:v>
                </c:pt>
                <c:pt idx="2382">
                  <c:v>2</c:v>
                </c:pt>
                <c:pt idx="2383">
                  <c:v>1</c:v>
                </c:pt>
                <c:pt idx="2384">
                  <c:v>1</c:v>
                </c:pt>
                <c:pt idx="2385">
                  <c:v>1</c:v>
                </c:pt>
                <c:pt idx="2386">
                  <c:v>7</c:v>
                </c:pt>
                <c:pt idx="2387">
                  <c:v>1</c:v>
                </c:pt>
                <c:pt idx="2388">
                  <c:v>1</c:v>
                </c:pt>
                <c:pt idx="2389">
                  <c:v>1</c:v>
                </c:pt>
                <c:pt idx="2390">
                  <c:v>3</c:v>
                </c:pt>
                <c:pt idx="2391">
                  <c:v>6</c:v>
                </c:pt>
                <c:pt idx="2392">
                  <c:v>1</c:v>
                </c:pt>
                <c:pt idx="2393">
                  <c:v>2</c:v>
                </c:pt>
                <c:pt idx="2394">
                  <c:v>5</c:v>
                </c:pt>
                <c:pt idx="2395">
                  <c:v>11</c:v>
                </c:pt>
                <c:pt idx="2396">
                  <c:v>5</c:v>
                </c:pt>
                <c:pt idx="2397">
                  <c:v>2</c:v>
                </c:pt>
                <c:pt idx="2398">
                  <c:v>3</c:v>
                </c:pt>
                <c:pt idx="2399">
                  <c:v>2</c:v>
                </c:pt>
                <c:pt idx="2400">
                  <c:v>1</c:v>
                </c:pt>
                <c:pt idx="2401">
                  <c:v>2</c:v>
                </c:pt>
                <c:pt idx="2402">
                  <c:v>1</c:v>
                </c:pt>
                <c:pt idx="2403">
                  <c:v>2</c:v>
                </c:pt>
                <c:pt idx="2404">
                  <c:v>1</c:v>
                </c:pt>
                <c:pt idx="2405">
                  <c:v>13</c:v>
                </c:pt>
                <c:pt idx="2406">
                  <c:v>2</c:v>
                </c:pt>
                <c:pt idx="2407">
                  <c:v>2</c:v>
                </c:pt>
                <c:pt idx="2408">
                  <c:v>1</c:v>
                </c:pt>
                <c:pt idx="2409">
                  <c:v>2</c:v>
                </c:pt>
                <c:pt idx="2410">
                  <c:v>4</c:v>
                </c:pt>
                <c:pt idx="2411">
                  <c:v>5</c:v>
                </c:pt>
                <c:pt idx="2412">
                  <c:v>2</c:v>
                </c:pt>
                <c:pt idx="2413">
                  <c:v>1</c:v>
                </c:pt>
                <c:pt idx="2414">
                  <c:v>1</c:v>
                </c:pt>
                <c:pt idx="2415">
                  <c:v>2</c:v>
                </c:pt>
                <c:pt idx="2416">
                  <c:v>1</c:v>
                </c:pt>
                <c:pt idx="2417">
                  <c:v>2</c:v>
                </c:pt>
              </c:numCache>
            </c:numRef>
          </c:val>
          <c:extLst>
            <c:ext xmlns:c16="http://schemas.microsoft.com/office/drawing/2014/chart" uri="{C3380CC4-5D6E-409C-BE32-E72D297353CC}">
              <c16:uniqueId val="{00000001-84FE-4222-B4E6-FD5E7FE05691}"/>
            </c:ext>
          </c:extLst>
        </c:ser>
        <c:dLbls>
          <c:showLegendKey val="0"/>
          <c:showVal val="0"/>
          <c:showCatName val="0"/>
          <c:showSerName val="0"/>
          <c:showPercent val="0"/>
          <c:showBubbleSize val="0"/>
        </c:dLbls>
        <c:gapWidth val="182"/>
        <c:axId val="657521352"/>
        <c:axId val="657510552"/>
      </c:barChart>
      <c:catAx>
        <c:axId val="657521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10552"/>
        <c:crosses val="autoZero"/>
        <c:auto val="1"/>
        <c:lblAlgn val="ctr"/>
        <c:lblOffset val="100"/>
        <c:noMultiLvlLbl val="0"/>
      </c:catAx>
      <c:valAx>
        <c:axId val="6575105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213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[Cleaned_Sales_Transaction.xlsx]Customer Segment!PivotTable1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'Customer Segment'!$B$3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'Customer Segment'!$A$4:$A$24</c:f>
              <c:strCache>
                <c:ptCount val="20"/>
                <c:pt idx="0">
                  <c:v>12358</c:v>
                </c:pt>
                <c:pt idx="1">
                  <c:v>12433</c:v>
                </c:pt>
                <c:pt idx="2">
                  <c:v>12748</c:v>
                </c:pt>
                <c:pt idx="3">
                  <c:v>12753</c:v>
                </c:pt>
                <c:pt idx="4">
                  <c:v>13256</c:v>
                </c:pt>
                <c:pt idx="5">
                  <c:v>14096</c:v>
                </c:pt>
                <c:pt idx="6">
                  <c:v>14150</c:v>
                </c:pt>
                <c:pt idx="7">
                  <c:v>14646</c:v>
                </c:pt>
                <c:pt idx="8">
                  <c:v>14911</c:v>
                </c:pt>
                <c:pt idx="9">
                  <c:v>15061</c:v>
                </c:pt>
                <c:pt idx="10">
                  <c:v>16000</c:v>
                </c:pt>
                <c:pt idx="11">
                  <c:v>16013</c:v>
                </c:pt>
                <c:pt idx="12">
                  <c:v>16446</c:v>
                </c:pt>
                <c:pt idx="13">
                  <c:v>16684</c:v>
                </c:pt>
                <c:pt idx="14">
                  <c:v>17450</c:v>
                </c:pt>
                <c:pt idx="15">
                  <c:v>17511</c:v>
                </c:pt>
                <c:pt idx="16">
                  <c:v>17841</c:v>
                </c:pt>
                <c:pt idx="17">
                  <c:v>17857</c:v>
                </c:pt>
                <c:pt idx="18">
                  <c:v>17949</c:v>
                </c:pt>
                <c:pt idx="19">
                  <c:v>18139</c:v>
                </c:pt>
              </c:strCache>
            </c:strRef>
          </c:cat>
          <c:val>
            <c:numRef>
              <c:f>'Customer Segment'!$B$4:$B$24</c:f>
              <c:numCache>
                <c:formatCode>General</c:formatCode>
                <c:ptCount val="20"/>
                <c:pt idx="0">
                  <c:v>22549.46000000001</c:v>
                </c:pt>
                <c:pt idx="1">
                  <c:v>40427.909999999967</c:v>
                </c:pt>
                <c:pt idx="2">
                  <c:v>30676.329999999987</c:v>
                </c:pt>
                <c:pt idx="3">
                  <c:v>27277.809999999998</c:v>
                </c:pt>
                <c:pt idx="4">
                  <c:v>77622.600000000006</c:v>
                </c:pt>
                <c:pt idx="5">
                  <c:v>39038.049999999806</c:v>
                </c:pt>
                <c:pt idx="6">
                  <c:v>21363.62999999999</c:v>
                </c:pt>
                <c:pt idx="7">
                  <c:v>100097.56000000001</c:v>
                </c:pt>
                <c:pt idx="8">
                  <c:v>72876.049999999959</c:v>
                </c:pt>
                <c:pt idx="9">
                  <c:v>24513.79</c:v>
                </c:pt>
                <c:pt idx="10">
                  <c:v>31630.899999999998</c:v>
                </c:pt>
                <c:pt idx="11">
                  <c:v>22789.119999999999</c:v>
                </c:pt>
                <c:pt idx="12">
                  <c:v>501359.05000000005</c:v>
                </c:pt>
                <c:pt idx="13">
                  <c:v>40682.560000000005</c:v>
                </c:pt>
                <c:pt idx="14">
                  <c:v>42164.709999999985</c:v>
                </c:pt>
                <c:pt idx="15">
                  <c:v>70664.489999999962</c:v>
                </c:pt>
                <c:pt idx="16">
                  <c:v>24405.580000000013</c:v>
                </c:pt>
                <c:pt idx="17">
                  <c:v>26636.02</c:v>
                </c:pt>
                <c:pt idx="18">
                  <c:v>28780.160000000003</c:v>
                </c:pt>
                <c:pt idx="19">
                  <c:v>58913.050000000017</c:v>
                </c:pt>
              </c:numCache>
            </c:numRef>
          </c:val>
          <c:extLst>
            <c:ext xmlns:c16="http://schemas.microsoft.com/office/drawing/2014/chart" uri="{C3380CC4-5D6E-409C-BE32-E72D297353CC}">
              <c16:uniqueId val="{00000000-4269-40AF-BD2A-2D29CE56C837}"/>
            </c:ext>
          </c:extLst>
        </c:ser>
        <c:dLbls>
          <c:dLblPos val="outEnd"/>
          <c:showLegendKey val="0"/>
          <c:showVal val="1"/>
          <c:showCatName val="0"/>
          <c:showSerName val="0"/>
          <c:showPercent val="0"/>
          <c:showBubbleSize val="0"/>
        </c:dLbls>
        <c:gapWidth val="182"/>
        <c:axId val="346047504"/>
        <c:axId val="346041384"/>
      </c:barChart>
      <c:catAx>
        <c:axId val="3460475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041384"/>
        <c:crosses val="autoZero"/>
        <c:auto val="1"/>
        <c:lblAlgn val="ctr"/>
        <c:lblOffset val="100"/>
        <c:noMultiLvlLbl val="0"/>
      </c:catAx>
      <c:valAx>
        <c:axId val="3460413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047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3AD6B6023D04B7AAB5AAB7532AFE3E6"/>
        <w:category>
          <w:name w:val="General"/>
          <w:gallery w:val="placeholder"/>
        </w:category>
        <w:types>
          <w:type w:val="bbPlcHdr"/>
        </w:types>
        <w:behaviors>
          <w:behavior w:val="content"/>
        </w:behaviors>
        <w:guid w:val="{CACAB023-91B9-46E1-9247-720EB4988CBA}"/>
      </w:docPartPr>
      <w:docPartBody>
        <w:p w:rsidR="00587859" w:rsidRDefault="009B58D3" w:rsidP="009B58D3">
          <w:pPr>
            <w:pStyle w:val="93AD6B6023D04B7AAB5AAB7532AFE3E6"/>
          </w:pPr>
          <w:r>
            <w:rPr>
              <w:rFonts w:asciiTheme="majorHAnsi" w:hAnsiTheme="majorHAnsi"/>
              <w:color w:val="FFFFFF" w:themeColor="background1"/>
              <w:sz w:val="96"/>
              <w:szCs w:val="96"/>
            </w:rPr>
            <w:t>[Document title]</w:t>
          </w:r>
        </w:p>
      </w:docPartBody>
    </w:docPart>
    <w:docPart>
      <w:docPartPr>
        <w:name w:val="B712419D01B24D5B8F2399736C855A13"/>
        <w:category>
          <w:name w:val="General"/>
          <w:gallery w:val="placeholder"/>
        </w:category>
        <w:types>
          <w:type w:val="bbPlcHdr"/>
        </w:types>
        <w:behaviors>
          <w:behavior w:val="content"/>
        </w:behaviors>
        <w:guid w:val="{C1D45349-DEDF-422E-B412-E8E728173769}"/>
      </w:docPartPr>
      <w:docPartBody>
        <w:p w:rsidR="00587859" w:rsidRDefault="009B58D3" w:rsidP="009B58D3">
          <w:pPr>
            <w:pStyle w:val="B712419D01B24D5B8F2399736C855A13"/>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D3"/>
    <w:rsid w:val="004D5487"/>
    <w:rsid w:val="00587859"/>
    <w:rsid w:val="009373E7"/>
    <w:rsid w:val="009B58D3"/>
    <w:rsid w:val="00AC7120"/>
    <w:rsid w:val="00B01721"/>
    <w:rsid w:val="00CB6452"/>
    <w:rsid w:val="00D52EC7"/>
    <w:rsid w:val="00E24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AD6B6023D04B7AAB5AAB7532AFE3E6">
    <w:name w:val="93AD6B6023D04B7AAB5AAB7532AFE3E6"/>
    <w:rsid w:val="009B58D3"/>
  </w:style>
  <w:style w:type="paragraph" w:customStyle="1" w:styleId="B712419D01B24D5B8F2399736C855A13">
    <w:name w:val="B712419D01B24D5B8F2399736C855A13"/>
    <w:rsid w:val="009B58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F17B93-6D66-492A-873C-1FD38B41E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4775</Words>
  <Characters>27221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Assignment 2</dc:subject>
  <cp:keywords/>
  <dc:description/>
  <cp:lastModifiedBy>Yanislav Georgiev (2219323)</cp:lastModifiedBy>
  <cp:revision>2</cp:revision>
  <dcterms:created xsi:type="dcterms:W3CDTF">2024-05-03T12:51:00Z</dcterms:created>
  <dcterms:modified xsi:type="dcterms:W3CDTF">2024-05-03T12:51:00Z</dcterms:modified>
</cp:coreProperties>
</file>