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spacing w:before="240" w:after="240" w:line="360" w:lineRule="auto"/>
        <w:jc w:val="center"/>
        <w:rPr>
          <w:rFonts w:ascii="Times New Roman" w:hAnsi="Times New Roman" w:eastAsia="Times New Roman" w:cs="Times New Roman"/>
          <w:b/>
          <w:color w:val="000000" w:themeColor="text1"/>
          <w:sz w:val="32"/>
          <w14:textFill>
            <w14:solidFill>
              <w14:schemeClr w14:val="tx1"/>
            </w14:solidFill>
          </w14:textFill>
        </w:rPr>
      </w:pPr>
      <w:r>
        <w:rPr>
          <w:rFonts w:ascii="Times New Roman" w:hAnsi="Times New Roman" w:eastAsia="Times New Roman" w:cs="Times New Roman"/>
          <w:b/>
          <w:color w:val="000000" w:themeColor="text1"/>
          <w:sz w:val="32"/>
          <w14:textFill>
            <w14:solidFill>
              <w14:schemeClr w14:val="tx1"/>
            </w14:solidFill>
          </w14:textFill>
        </w:rPr>
        <w:t>ASSESSMENT 1</w:t>
      </w:r>
    </w:p>
    <w:p>
      <w:pPr>
        <w:jc w:val="center"/>
        <w:rPr>
          <w:rFonts w:ascii="Times New Roman" w:hAnsi="Times New Roman" w:cs="Times New Roman"/>
          <w:b/>
          <w:color w:val="000000" w:themeColor="text1"/>
          <w:sz w:val="32"/>
          <w14:textFill>
            <w14:solidFill>
              <w14:schemeClr w14:val="tx1"/>
            </w14:solidFill>
          </w14:textFill>
        </w:rPr>
      </w:pPr>
      <w:r>
        <w:rPr>
          <w:rFonts w:ascii="Times New Roman" w:hAnsi="Times New Roman" w:cs="Times New Roman"/>
          <w:b/>
          <w:color w:val="000000" w:themeColor="text1"/>
          <w:sz w:val="72"/>
          <w:szCs w:val="72"/>
          <w14:textFill>
            <w14:solidFill>
              <w14:schemeClr w14:val="tx1"/>
            </w14:solidFill>
          </w14:textFill>
        </w:rPr>
        <w:t>ENTREPRENEURSHIP</w:t>
      </w:r>
    </w:p>
    <w:p>
      <w:pPr>
        <w:jc w:val="center"/>
        <w:rPr>
          <w:rFonts w:ascii="Times New Roman" w:hAnsi="Times New Roman" w:cs="Times New Roman"/>
          <w:b/>
          <w:color w:val="000000" w:themeColor="text1"/>
          <w:sz w:val="32"/>
          <w14:textFill>
            <w14:solidFill>
              <w14:schemeClr w14:val="tx1"/>
            </w14:solidFill>
          </w14:textFill>
        </w:rPr>
      </w:pPr>
      <w:r>
        <w:rPr>
          <w:rFonts w:ascii="Times New Roman" w:hAnsi="Times New Roman" w:cs="Times New Roman"/>
          <w:b/>
          <w:color w:val="000000" w:themeColor="text1"/>
          <w:sz w:val="32"/>
          <w14:textFill>
            <w14:solidFill>
              <w14:schemeClr w14:val="tx1"/>
            </w14:solidFill>
          </w14:textFill>
        </w:rPr>
        <w:t>SIMONA ELENA BECHEANU</w:t>
      </w:r>
    </w:p>
    <w:p>
      <w:pPr>
        <w:jc w:val="center"/>
        <w:rPr>
          <w:rFonts w:ascii="Times New Roman" w:hAnsi="Times New Roman" w:cs="Times New Roman"/>
          <w:b/>
          <w:color w:val="000000" w:themeColor="text1"/>
          <w:sz w:val="32"/>
          <w14:textFill>
            <w14:solidFill>
              <w14:schemeClr w14:val="tx1"/>
            </w14:solidFill>
          </w14:textFill>
        </w:rPr>
      </w:pPr>
      <w:r>
        <w:rPr>
          <w:rFonts w:ascii="Times New Roman" w:hAnsi="Times New Roman" w:cs="Times New Roman"/>
          <w:b/>
          <w:color w:val="000000" w:themeColor="text1"/>
          <w:sz w:val="32"/>
          <w14:textFill>
            <w14:solidFill>
              <w14:schemeClr w14:val="tx1"/>
            </w14:solidFill>
          </w14:textFill>
        </w:rPr>
        <w:t>STUDENT ID:2019936</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bookmarkStart w:id="1" w:name="_GoBack"/>
      <w:bookmarkEnd w:id="1"/>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pStyle w:val="8"/>
        <w:spacing w:after="240" w:line="360" w:lineRule="auto"/>
        <w:jc w:val="center"/>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Cs w:val="24"/>
          <w14:textFill>
            <w14:solidFill>
              <w14:schemeClr w14:val="tx1"/>
            </w14:solidFill>
          </w14:textFill>
        </w:rPr>
        <w:t>Table of Contents</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pStyle w:val="3"/>
        <w:tabs>
          <w:tab w:val="right" w:leader="dot" w:pos="9019"/>
        </w:tabs>
        <w:spacing w:line="360" w:lineRule="auto"/>
        <w:rPr>
          <w:rFonts w:ascii="Times New Roman" w:hAnsi="Times New Roman" w:cs="Times New Roman" w:eastAsiaTheme="minorEastAsia"/>
          <w:sz w:val="24"/>
          <w:szCs w:val="24"/>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"_Toc109428085" </w:instrText>
      </w:r>
      <w:r>
        <w:fldChar w:fldCharType="separate"/>
      </w:r>
      <w:r>
        <w:rPr>
          <w:rStyle w:val="5"/>
          <w:rFonts w:ascii="Times New Roman" w:hAnsi="Times New Roman" w:cs="Times New Roman"/>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_Toc109428085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3"/>
        <w:tabs>
          <w:tab w:val="right" w:leader="dot" w:pos="9019"/>
        </w:tabs>
        <w:spacing w:line="360" w:lineRule="auto"/>
        <w:rPr>
          <w:rFonts w:ascii="Times New Roman" w:hAnsi="Times New Roman" w:cs="Times New Roman" w:eastAsiaTheme="minorEastAsia"/>
          <w:sz w:val="24"/>
          <w:szCs w:val="24"/>
        </w:rPr>
      </w:pPr>
      <w:r>
        <w:fldChar w:fldCharType="begin"/>
      </w:r>
      <w:r>
        <w:instrText xml:space="preserve"> HYPERLINK \l "_Toc109428086" </w:instrText>
      </w:r>
      <w:r>
        <w:fldChar w:fldCharType="separate"/>
      </w:r>
      <w:r>
        <w:rPr>
          <w:rStyle w:val="5"/>
          <w:rFonts w:ascii="Times New Roman" w:hAnsi="Times New Roman" w:cs="Times New Roman"/>
          <w:sz w:val="24"/>
          <w:szCs w:val="24"/>
        </w:rPr>
        <w:t>2. Market research and successful entrepreneurship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_Toc109428086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3"/>
        <w:tabs>
          <w:tab w:val="right" w:leader="dot" w:pos="9019"/>
        </w:tabs>
        <w:spacing w:line="360" w:lineRule="auto"/>
        <w:rPr>
          <w:rFonts w:ascii="Times New Roman" w:hAnsi="Times New Roman" w:cs="Times New Roman" w:eastAsiaTheme="minorEastAsia"/>
          <w:sz w:val="24"/>
          <w:szCs w:val="24"/>
        </w:rPr>
      </w:pPr>
      <w:r>
        <w:fldChar w:fldCharType="begin"/>
      </w:r>
      <w:r>
        <w:instrText xml:space="preserve"> HYPERLINK \l "_Toc109428087" </w:instrText>
      </w:r>
      <w:r>
        <w:fldChar w:fldCharType="separate"/>
      </w:r>
      <w:r>
        <w:rPr>
          <w:rStyle w:val="5"/>
          <w:rFonts w:ascii="Times New Roman" w:hAnsi="Times New Roman" w:cs="Times New Roman"/>
          <w:sz w:val="24"/>
          <w:szCs w:val="24"/>
        </w:rPr>
        <w:t>3. Reflection on personal development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_Toc109428087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3"/>
        <w:tabs>
          <w:tab w:val="right" w:leader="dot" w:pos="9019"/>
        </w:tabs>
        <w:spacing w:line="360" w:lineRule="auto"/>
        <w:rPr>
          <w:rFonts w:ascii="Times New Roman" w:hAnsi="Times New Roman" w:cs="Times New Roman" w:eastAsiaTheme="minorEastAsia"/>
          <w:sz w:val="24"/>
          <w:szCs w:val="24"/>
        </w:rPr>
      </w:pPr>
      <w:r>
        <w:fldChar w:fldCharType="begin"/>
      </w:r>
      <w:r>
        <w:instrText xml:space="preserve"> HYPERLINK \l "_Toc109428088" </w:instrText>
      </w:r>
      <w:r>
        <w:fldChar w:fldCharType="separate"/>
      </w:r>
      <w:r>
        <w:rPr>
          <w:rStyle w:val="5"/>
          <w:rFonts w:ascii="Times New Roman" w:hAnsi="Times New Roman" w:cs="Times New Roman"/>
          <w:sz w:val="24"/>
          <w:szCs w:val="24"/>
        </w:rPr>
        <w:t>4.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_Toc109428088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3"/>
        <w:tabs>
          <w:tab w:val="right" w:leader="dot" w:pos="9019"/>
        </w:tabs>
        <w:spacing w:line="360" w:lineRule="auto"/>
        <w:rPr>
          <w:rFonts w:ascii="Times New Roman" w:hAnsi="Times New Roman" w:cs="Times New Roman" w:eastAsiaTheme="minorEastAsia"/>
          <w:sz w:val="24"/>
          <w:szCs w:val="24"/>
        </w:rPr>
      </w:pPr>
      <w:r>
        <w:fldChar w:fldCharType="begin"/>
      </w:r>
      <w:r>
        <w:instrText xml:space="preserve"> HYPERLINK \l "_Toc109428089" </w:instrText>
      </w:r>
      <w:r>
        <w:fldChar w:fldCharType="separate"/>
      </w:r>
      <w:r>
        <w:rPr>
          <w:rStyle w:val="5"/>
          <w:rFonts w:ascii="Times New Roman" w:hAnsi="Times New Roman" w:cs="Times New Roman"/>
          <w:sz w:val="24"/>
          <w:szCs w:val="24"/>
          <w:shd w:val="clear" w:color="auto" w:fill="FFFFFF"/>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_Toc109428089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before="240" w:after="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fldChar w:fldCharType="end"/>
      </w:r>
    </w:p>
    <w:p>
      <w:pPr>
        <w:spacing w:before="240" w:after="240" w:line="360" w:lineRule="auto"/>
        <w:jc w:val="both"/>
        <w:rPr>
          <w:rFonts w:ascii="Times New Roman" w:hAnsi="Times New Roman" w:eastAsia="Times New Roman" w:cs="Times New Roman"/>
          <w:b/>
          <w:color w:val="000000" w:themeColor="text1"/>
          <w14:textFill>
            <w14:solidFill>
              <w14:schemeClr w14:val="tx1"/>
            </w14:solidFill>
          </w14:textFill>
        </w:rPr>
      </w:pPr>
      <w:r>
        <w:rPr>
          <w:rFonts w:ascii="Times New Roman" w:hAnsi="Times New Roman" w:eastAsia="Times New Roman" w:cs="Times New Roman"/>
          <w:color w:val="000000" w:themeColor="text1"/>
          <w14:textFill>
            <w14:solidFill>
              <w14:schemeClr w14:val="tx1"/>
            </w14:solidFill>
          </w14:textFill>
        </w:rPr>
        <w:br w:type="page"/>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1.</w:t>
      </w:r>
      <w:r>
        <w:rPr>
          <w:rFonts w:ascii="Times New Roman" w:hAnsi="Times New Roman" w:cs="Times New Roman"/>
          <w:b/>
          <w:bCs/>
        </w:rPr>
        <w:t xml:space="preserve"> Introduction</w:t>
      </w:r>
      <w:r>
        <w:rPr>
          <w:rFonts w:ascii="Times New Roman" w:hAnsi="Times New Roman" w:cs="Times New Roman"/>
        </w:rPr>
        <w:t> </w:t>
      </w:r>
    </w:p>
    <w:p>
      <w:pPr>
        <w:rPr>
          <w:rFonts w:ascii="Times New Roman" w:hAnsi="Times New Roman" w:cs="Times New Roman"/>
        </w:rPr>
      </w:pPr>
      <w:r>
        <w:rPr>
          <w:rFonts w:ascii="Times New Roman" w:hAnsi="Times New Roman" w:cs="Times New Roman"/>
        </w:rPr>
        <w:t>The objective of this article is to provide an analysis of current problems and effective solutions to those problems as they relate to entrepreneurial endeavours. In addition to this, it creates a distinct distinction in the accumulation of information and abilities in the modern world for the purpose of achieving a successful business prospect. (Amankwah-Amoah et al. 2019) Market research has been conducted for the purpose of this article, and it is provided with a theoretical explanation. Several characteristics and talents of entrepreneurs have also been explored, in addition to several possibilities that have been recognised. The relevance of entrepreneurship with regard to the economy has also been demonstrated. A personal development module has also been taken into consideration. This module deals with the application of acquired practical knowledge and answers to the challenge of deciding what people's needs are and how to best meet those requirements.</w:t>
      </w:r>
    </w:p>
    <w:p>
      <w:pPr>
        <w:rPr>
          <w:rFonts w:ascii="Times New Roman" w:hAnsi="Times New Roman" w:cs="Times New Roman"/>
        </w:rPr>
      </w:pPr>
      <w:r>
        <w:rPr>
          <w:rFonts w:ascii="Times New Roman" w:hAnsi="Times New Roman" w:cs="Times New Roman"/>
        </w:rPr>
        <w:t xml:space="preserve">2. </w:t>
      </w:r>
      <w:r>
        <w:rPr>
          <w:rFonts w:ascii="Times New Roman" w:hAnsi="Times New Roman" w:cs="Times New Roman"/>
          <w:b/>
          <w:bCs/>
        </w:rPr>
        <w:t>Market research and successful entrepreneurship</w:t>
      </w:r>
      <w:r>
        <w:rPr>
          <w:rFonts w:ascii="Times New Roman" w:hAnsi="Times New Roman" w:cs="Times New Roman"/>
        </w:rPr>
        <w:t>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management of cash flows, the recruiting process for employees, the management of time, the marketing strategy, the budget assumption, and the development of businesses are some of the current difficulties that have arisen as a result of recent entrepreneurial endeavours. In the event that these issues are to be resolved, it is necessary to lay out appropriate solutions (Colombo et al. 2019). There are a lot of different ideas that may be helpful in this situation, but the most important one is a focused and effective marketing approach. To be a great entrepreneur, one must keep their eye on the prize and work toward accomplishing both their long-term and short-term objectives in order to reach their ultimate objective. This ability helps one think clearly and arrive at reasonable conclusions on any kind of company. On the other hand, one of the most crucial things to do in order to address all of the issues that have been addressed so far is to devise an appropriate marketing plan. From the very beginning to the very end, there should be ideal preparation in order to eliminate those problems associated with time management, employing staff, and the establishment of a budget. This is possible via the use of the 4P mix approach (Ferreira et al. 2019). This makes it easier to arrive at the right conclusion about which product should be offered where, at what price, and how the product should be advertised so that it is appealing to buyers.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Price and economic obstacles are often the most significant challenges faced by the border communities. The pricing approach of the 4P mix may be used to address this issue. A pricing that is fair for all of an entrepreneur's items might encourage consumers to make more purchases from them, which in turn can contribute to the expansion of the firm (Colombo et al. 2019). The true benefit that communities provide to entrepreneurs is in the areas of innovation cultivation, economic growth, and job creation. This kind of corporate trend might entice other enterprises to assist community initiatives and charitable organisations in the area. Recent challenges with entrepreneurship and marketing systems lead to the selection of this strategic plan for the purpose of ensuring the successful development of the company in the future. The preliminary market research outlines specific products and services together with their target audiences and the requirements of the market.</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 order to finish a research process, a company will participate in a number of different activities. In this situation, each individual market segment has to be analysed. An examination of the data was carried out on the basis of those reports (Ferreira et al. 2019). It has been shown that certain items have a good demand in the market, some of them are things that are undesirable, and some of the products have a demand that is somewhere in the middle. Therefore, in the beginning, the products that are not wanted should be eliminated, and the company should experiment with something new on the market. In the meantime, the products that have a medium level of demand should either be changed or upgraded with new features in order to draw in more customers (Mehmood et al. 2019). In this approach, market analysis contributes to the shift in market mode and demand that occurs concurrently with the expansion of successful entrepreneurial activity.</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notion of the innovative entrepreneur is one of the most significant theories that may be used to achieve the goal of developing creative solutions. It assists in bringing about a shift in an entrepreneur's viewpoint and propels a stagnant economic scenario to a new level via the ingenuity and comprehension of those involved (Baker and Welter, 2020). This breakthrough was made possible by a decrease in costs and an increase in demand. The economic entrepreneurship theory, on the other hand, explains the significance of economics in business ventures like entrepreneurship and enterprise. According to Richard Cantillon, one of the founders of this idea, the economics is the area of the business that is most influenced. It has an effect on the management of the supply chain for the gathered raw materials, which are the final product for the customers (Guan et al. 2019). It not only helps to generate new employment prospects, but it also makes it possible for those doing jobs that need low levels of expertise to improve their knowledge with the support of more experienced coworkers and managers. It contributes to the introduction of innovation, which helps to boost productivity and makes efficient use of the resources that are already available. Entrepreneurs create new markets by introducing goods and services that are either completely new or significantly upgraded. They do so, so creating wealth and contributing to the national revenue (da Silva Lopes et al. 2019). In this approach, economic development is benefiting from the efforts of business owners, and as a result, the government is providing further advantages to its residents.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need and accomplishment theory of entrepreneurship is concerned with the investigation and promotion of business ventures related to industrial growth. It generates unconventional business ideas and ways of thinking about existing problems. Additionally, it contributes to the development of economic advantages (Baker and Welter, 2020). Establishing a prosperous company that has the necessary forms and concepts may pave the way for the construction of a new business structure that is compatible with economic sustainability. The method of operation that entrepreneurs use has to be unique and include either enhanced versions of current concepts or brand-new ones (Tang, 2020). They should always be prepared with a backup plan in the event that one of their ideas does not work out, since this will ensure the success of their company. In the event that the value of a product on the market drops for any reason, there has to be a major product on the market that can replace the one that has fallen out of favour (da Silva Lopes et al. 2019). In this approach, industrial growth may also be carried out in appropriate ways, and it can also incorporate the actions of entrepreneurs. Motivating people to share their ideas and engaging in new strategic planning are two more ways that this might speed up the process of industrial innovation.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It has the potential to serve as an example for a society or border community, making it possible for all of an entrepreneur's newly developed procedures or actions to be accepted by everyone (Guan et al. 2019). Because of this, we may conclude that the significance of entrepreneurship to the economy is multi-faceted and multi-dimensional. Therefore, an entrepreneur is able to make judgments by cultivating abilities and characteristics that are appropriate and have the potential to make them widely known internationally. It is necessary for a good leader to be able to carry out all of these processes or the implementation of new ideas. At the very beginning of each one of these processes, it is vital to devise an effective budget structure and method of resource management (Mehmood et al. 2019). It is also vital to hire personnel who are both well-efficient and have a grasp of the technology. All of these things are only possible with the help of a competent entrepreneur who is experienced in strategic planning.</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3. </w:t>
      </w:r>
      <w:r>
        <w:rPr>
          <w:rFonts w:ascii="Times New Roman" w:hAnsi="Times New Roman" w:cs="Times New Roman"/>
          <w:b/>
          <w:bCs/>
        </w:rPr>
        <w:t>Reflection on personal development</w:t>
      </w:r>
      <w:r>
        <w:rPr>
          <w:rFonts w:ascii="Times New Roman" w:hAnsi="Times New Roman" w:cs="Times New Roman"/>
        </w:rPr>
        <w:t>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In order to further my professional growth as an entrepreneur, I have acquired a variety of skills and expertise via experience in a wide range of industries. I have acquired the ability to set a target with the correct eyesight, which displays my precise objective. It will be helpful to me in making such strategic plans in order to attain success in achieving my goal (Urban et al. 2019). The next skill that I have acquired is the ability to make judgments and ask inquiries. By inquiring about a strategy for myself, I am able to generate thoughts on the results of those methods and can guarantee that the essential objectives are met. It will enable me to emerge from any difficult circumstance with a sharpened vision and a purpose aimed in the direction of the correct route. The next talent I've earned that's depending on me is energy and passion, and I've gained both of them (Boudreaux et al. 2019). This ability assures that I have the motivation and resolve strength to work for my goal and my job. These are the most important characteristics that must be present in every firm owned by an entrepreneur in order for it to experience growth and sustained success.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My education and experiences have taught me that having a strong work ethic is the single most significant trait that contributes to one's level of success. Work ethic is really important, and I need to make sure that I correctly uphold it in order to win the loyalty of my customers, earn their confidence, and make good decisions for the community. In addition to this, I have developed communication abilities that are both effective and subtle (Urban et al. 2019). Communication that is both appropriate and clear between company management and workers is a crucial component of every successful organisation. So that I may speak correctly and smoothly without any reluctance or lack of openness, so that I can make changes in the strategies for developing solutions against the challenges faced by an entrepreneurial firm.</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Creativity, risk management, professionalism, planning, knowledge, social skills, open-mindedness, and empathy are some of the attributes that are essential to the success of an entrepreneur. I have acquired all of these characteristics in order to generate cutting-edge company ideas for the purpose of resolving the entrepreneur problem that was stated before (Boudreaux et al. 2019). I am able to rescue people, inspire them to be devoted to their job, and instil faith in them that the firm will take care of them if they are injured or get ill as a result of my risk management efforts. I've learnt that resource management is a component of risk management, and as such, I should utilise what I have only when it's necessary, putting any extra resources aside for use at a later time, and avoiding wasting anything. Planning and professionalism are essential components in keeping my working environment efficient and productive. It is clear that the workers have a good connection with one another as well as with their respective hierarchies (Saif and Ghania, 2020). Learning and implementing these characteristics of successful business owners is critical to the growth of a company and the achievement of its goals.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It is possible to say that the distinction between entrepreneurial abilities and attributes lies in the areas of problem-solving, decision-making, training workers, and inspiring other people. I am able to declare that qualities are the domain of a set of specific talents, and that skills are the manner in which one ought to behave and put one's knowledge to use in order to find a solution to a problem in the workplace (Saif and Ghania, 2020). Traits and skills are not the same thing, but they are related to one another in such a way that in order to use a talent, it is needed to know the entrepreneurial feature to which it would be most fit. The business climate in the UK is conducive to entrepreneurial endeavours, making it an ideal place to hone hands-on abilities such as quick decision-making and the production of original works of art. The Opportunity-Based Entrepreneurship theory allows for a great number of practical choices to be made, as well as a great number of employment possibilities, which in turn allows for great chances for workers of companies (Urban et al. 2019). Both the expansion of businesses and the economy as a whole will benefit from this.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Opportunities are discovered by entrepreneurs when it is searched for an existing market, which implies data relating to current market research is used. In general, they keep an eye on how society, the economy, and technology are evolving. The cognitive mechanism that gives humans the capacity to see and connect the dots as well as build patterns is called opportunity recognition (Lindner, 2018). When opportunities are recognised, it is suggested that new actions begin with a clear description and clarification of what is expected of them. When it comes to providing a clear sense of the assumptions associated to construction meaning, theoretical issues come into play. [Case in point:] After that, the researcher conducts a study of a known area for the purpose of entrepreneurship, which incorporates opportunity identification procedures as well as opportunity exploitation (Reis-Marques et al. 2019). I am also able to improve my recognising capacity with this useful information, which I have gained from this, so that the actions and methods that are necessary to solve problems may be developed with ease.</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I have learned that the processes of recognising opportunities and taking advantage of them are regarded to be activity and behaviour dependent notions. Because of these principles, I was able to get a more in-depth understanding on an individual level of certain descriptive features. Innovating, which helps me come up with new ideas, and preparing in such a way that current market prospects are taken into account are some of the crucial measures that I have learnt to do in order to use this correctly (Lindner, 2018). It is also helpful to look for accurate and useful facts about to any certain goods and services. The ability to trigger events is a new talent that I have acquired, and it is useful for starting a company with appropriate planning and decision-making, as well as proper resource acquisition. My expertise in implementation and expansion is helpful in the process of opportunity identification by including new launches of new businesses and the establishment of business plans (Arruti and Panos-Castro, 2020). The effective use of this information opens up opportunities for increasing both the income of capital investments and the expansion of business ventures.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4.</w:t>
      </w:r>
      <w:r>
        <w:rPr>
          <w:rFonts w:ascii="Times New Roman" w:hAnsi="Times New Roman" w:cs="Times New Roman"/>
          <w:b/>
          <w:bCs/>
        </w:rPr>
        <w:t xml:space="preserve"> Conclusion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This article addresses the problems that might occur in an entrepreneurial firm and offers potential solutions to those problems. Following a concise discussion of all of the problems and the factors that led to them, a number of potential solutions are presented. It has been said that the primary two mitigation methods consist of concentrating on the problem at hand and developing appropriate measures. Various theories of entrepreneurship have also been presented along with the benefits that they bring to the table for dealing with those issues. A differentiation between the talents and characteristics of entrepreneurs has been shown using examples drawn from real-life scenarios. In light of this, the economy of the United Kingdom is broken down, and the significance of long-term economic development and stability is outlined for the sake of entrepreneurship (Tang, 2020). In order to comprehend and illustrate the process of opportunity identification, certain instances are shown in a darkened light along with appropriate theories. The purpose of the self-reflection assignment is to illustrate the individual's own knowledge and abilities, which will assist in making the appropriate judgments on the provision of solutions to entrepreneurial difficulties.</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pStyle w:val="2"/>
        <w:spacing w:before="240" w:after="240"/>
        <w:rPr>
          <w:rFonts w:cs="Times New Roman"/>
          <w:color w:val="000000" w:themeColor="text1"/>
          <w:sz w:val="24"/>
          <w:szCs w:val="24"/>
          <w:shd w:val="clear" w:color="auto" w:fill="FFFFFF"/>
          <w14:textFill>
            <w14:solidFill>
              <w14:schemeClr w14:val="tx1"/>
            </w14:solidFill>
          </w14:textFill>
        </w:rPr>
      </w:pPr>
      <w:bookmarkStart w:id="0" w:name="_Toc109428089"/>
      <w:r>
        <w:rPr>
          <w:rFonts w:cs="Times New Roman"/>
          <w:color w:val="000000" w:themeColor="text1"/>
          <w:sz w:val="24"/>
          <w:szCs w:val="24"/>
          <w:shd w:val="clear" w:color="auto" w:fill="FFFFFF"/>
          <w14:textFill>
            <w14:solidFill>
              <w14:schemeClr w14:val="tx1"/>
            </w14:solidFill>
          </w14:textFill>
        </w:rPr>
        <w:t>References</w:t>
      </w:r>
      <w:bookmarkEnd w:id="0"/>
    </w:p>
    <w:p>
      <w:pPr>
        <w:spacing w:before="240" w:after="240" w:line="360" w:lineRule="auto"/>
        <w:jc w:val="both"/>
        <w:rPr>
          <w:rFonts w:ascii="Times New Roman" w:hAnsi="Times New Roman" w:cs="Times New Roman"/>
          <w:b/>
          <w:color w:val="000000" w:themeColor="text1"/>
          <w:shd w:val="clear" w:color="auto" w:fill="FFFFFF"/>
          <w14:textFill>
            <w14:solidFill>
              <w14:schemeClr w14:val="tx1"/>
            </w14:solidFill>
          </w14:textFill>
        </w:rPr>
      </w:pPr>
      <w:r>
        <w:rPr>
          <w:rFonts w:ascii="Times New Roman" w:hAnsi="Times New Roman" w:cs="Times New Roman"/>
          <w:b/>
          <w:color w:val="000000" w:themeColor="text1"/>
          <w:shd w:val="clear" w:color="auto" w:fill="FFFFFF"/>
          <w14:textFill>
            <w14:solidFill>
              <w14:schemeClr w14:val="tx1"/>
            </w14:solidFill>
          </w14:textFill>
        </w:rPr>
        <w:t>Book</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Baker, T. and Welter, F., 2020. </w:t>
      </w:r>
      <w:r>
        <w:rPr>
          <w:rFonts w:ascii="Times New Roman" w:hAnsi="Times New Roman" w:cs="Times New Roman"/>
          <w:i/>
          <w:iCs/>
          <w:color w:val="000000" w:themeColor="text1"/>
          <w:shd w:val="clear" w:color="auto" w:fill="FFFFFF"/>
          <w14:textFill>
            <w14:solidFill>
              <w14:schemeClr w14:val="tx1"/>
            </w14:solidFill>
          </w14:textFill>
        </w:rPr>
        <w:t>Contextualizing entrepreneurship theory</w:t>
      </w:r>
      <w:r>
        <w:rPr>
          <w:rFonts w:ascii="Times New Roman" w:hAnsi="Times New Roman" w:cs="Times New Roman"/>
          <w:color w:val="000000" w:themeColor="text1"/>
          <w:shd w:val="clear" w:color="auto" w:fill="FFFFFF"/>
          <w14:textFill>
            <w14:solidFill>
              <w14:schemeClr w14:val="tx1"/>
            </w14:solidFill>
          </w14:textFill>
        </w:rPr>
        <w:t> (p. 188).</w:t>
      </w:r>
    </w:p>
    <w:p>
      <w:pPr>
        <w:spacing w:before="240" w:after="240" w:line="360" w:lineRule="auto"/>
        <w:jc w:val="both"/>
        <w:rPr>
          <w:rFonts w:ascii="Times New Roman" w:hAnsi="Times New Roman" w:cs="Times New Roman"/>
          <w:b/>
          <w:color w:val="000000" w:themeColor="text1"/>
          <w:shd w:val="clear" w:color="auto" w:fill="FFFFFF"/>
          <w14:textFill>
            <w14:solidFill>
              <w14:schemeClr w14:val="tx1"/>
            </w14:solidFill>
          </w14:textFill>
        </w:rPr>
      </w:pPr>
      <w:r>
        <w:rPr>
          <w:rFonts w:ascii="Times New Roman" w:hAnsi="Times New Roman" w:cs="Times New Roman"/>
          <w:b/>
          <w:color w:val="000000" w:themeColor="text1"/>
          <w:shd w:val="clear" w:color="auto" w:fill="FFFFFF"/>
          <w14:textFill>
            <w14:solidFill>
              <w14:schemeClr w14:val="tx1"/>
            </w14:solidFill>
          </w14:textFill>
        </w:rPr>
        <w:t>journals</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Amankwah</w:t>
      </w:r>
      <w:r>
        <w:rPr>
          <w:rFonts w:ascii="Cambria Math" w:hAnsi="Cambria Math" w:cs="Times New Roman"/>
          <w:color w:val="000000" w:themeColor="text1"/>
          <w:shd w:val="clear" w:color="auto" w:fill="FFFFFF"/>
          <w14:textFill>
            <w14:solidFill>
              <w14:schemeClr w14:val="tx1"/>
            </w14:solidFill>
          </w14:textFill>
        </w:rPr>
        <w:t>‐</w:t>
      </w:r>
      <w:r>
        <w:rPr>
          <w:rFonts w:ascii="Times New Roman" w:hAnsi="Times New Roman" w:cs="Times New Roman"/>
          <w:color w:val="000000" w:themeColor="text1"/>
          <w:shd w:val="clear" w:color="auto" w:fill="FFFFFF"/>
          <w14:textFill>
            <w14:solidFill>
              <w14:schemeClr w14:val="tx1"/>
            </w14:solidFill>
          </w14:textFill>
        </w:rPr>
        <w:t>Amoah, J., Danso, A. and Adomako, S., 2019. Entrepreneurial orientation, environmental sustainability and new venture performance: Does stakeholder integration matter?. </w:t>
      </w:r>
      <w:r>
        <w:rPr>
          <w:rFonts w:ascii="Times New Roman" w:hAnsi="Times New Roman" w:cs="Times New Roman"/>
          <w:i/>
          <w:iCs/>
          <w:color w:val="000000" w:themeColor="text1"/>
          <w:shd w:val="clear" w:color="auto" w:fill="FFFFFF"/>
          <w14:textFill>
            <w14:solidFill>
              <w14:schemeClr w14:val="tx1"/>
            </w14:solidFill>
          </w14:textFill>
        </w:rPr>
        <w:t>Business Strategy and the Environment</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28</w:t>
      </w:r>
      <w:r>
        <w:rPr>
          <w:rFonts w:ascii="Times New Roman" w:hAnsi="Times New Roman" w:cs="Times New Roman"/>
          <w:color w:val="000000" w:themeColor="text1"/>
          <w:shd w:val="clear" w:color="auto" w:fill="FFFFFF"/>
          <w14:textFill>
            <w14:solidFill>
              <w14:schemeClr w14:val="tx1"/>
            </w14:solidFill>
          </w14:textFill>
        </w:rPr>
        <w:t>(1), pp.79-87.</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Colombo, M.G., Dagnino, G.B., Lehmann, E.E. and Salmador, M., 2019. The governance of entrepreneurial ecosystems. </w:t>
      </w:r>
      <w:r>
        <w:rPr>
          <w:rFonts w:ascii="Times New Roman" w:hAnsi="Times New Roman" w:cs="Times New Roman"/>
          <w:i/>
          <w:iCs/>
          <w:color w:val="000000" w:themeColor="text1"/>
          <w:shd w:val="clear" w:color="auto" w:fill="FFFFFF"/>
          <w14:textFill>
            <w14:solidFill>
              <w14:schemeClr w14:val="tx1"/>
            </w14:solidFill>
          </w14:textFill>
        </w:rPr>
        <w:t>Small Business Economics</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52</w:t>
      </w:r>
      <w:r>
        <w:rPr>
          <w:rFonts w:ascii="Times New Roman" w:hAnsi="Times New Roman" w:cs="Times New Roman"/>
          <w:color w:val="000000" w:themeColor="text1"/>
          <w:shd w:val="clear" w:color="auto" w:fill="FFFFFF"/>
          <w14:textFill>
            <w14:solidFill>
              <w14:schemeClr w14:val="tx1"/>
            </w14:solidFill>
          </w14:textFill>
        </w:rPr>
        <w:t>(2), pp.419-428.</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Ferreira, C.C., Lord Ferguson, S. and Pitt, L.F., 2019. Entrepreneurial marketing and hybrid entrepreneurship: the case of JM Reid Bamboo Rods. </w:t>
      </w:r>
      <w:r>
        <w:rPr>
          <w:rFonts w:ascii="Times New Roman" w:hAnsi="Times New Roman" w:cs="Times New Roman"/>
          <w:i/>
          <w:iCs/>
          <w:color w:val="000000" w:themeColor="text1"/>
          <w:shd w:val="clear" w:color="auto" w:fill="FFFFFF"/>
          <w14:textFill>
            <w14:solidFill>
              <w14:schemeClr w14:val="tx1"/>
            </w14:solidFill>
          </w14:textFill>
        </w:rPr>
        <w:t>Journal of Marketing Management</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35</w:t>
      </w:r>
      <w:r>
        <w:rPr>
          <w:rFonts w:ascii="Times New Roman" w:hAnsi="Times New Roman" w:cs="Times New Roman"/>
          <w:color w:val="000000" w:themeColor="text1"/>
          <w:shd w:val="clear" w:color="auto" w:fill="FFFFFF"/>
          <w14:textFill>
            <w14:solidFill>
              <w14:schemeClr w14:val="tx1"/>
            </w14:solidFill>
          </w14:textFill>
        </w:rPr>
        <w:t>(9-10), pp.867-885.</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Guan, H., Zhang, Z., Zhao, A., Jia, J. and Guan, S., 2019. Research on innovation behavior and performance of new generation entrepreneur based on grounded theory. </w:t>
      </w:r>
      <w:r>
        <w:rPr>
          <w:rFonts w:ascii="Times New Roman" w:hAnsi="Times New Roman" w:cs="Times New Roman"/>
          <w:i/>
          <w:iCs/>
          <w:color w:val="000000" w:themeColor="text1"/>
          <w:shd w:val="clear" w:color="auto" w:fill="FFFFFF"/>
          <w14:textFill>
            <w14:solidFill>
              <w14:schemeClr w14:val="tx1"/>
            </w14:solidFill>
          </w14:textFill>
        </w:rPr>
        <w:t>Sustainability</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11</w:t>
      </w:r>
      <w:r>
        <w:rPr>
          <w:rFonts w:ascii="Times New Roman" w:hAnsi="Times New Roman" w:cs="Times New Roman"/>
          <w:color w:val="000000" w:themeColor="text1"/>
          <w:shd w:val="clear" w:color="auto" w:fill="FFFFFF"/>
          <w14:textFill>
            <w14:solidFill>
              <w14:schemeClr w14:val="tx1"/>
            </w14:solidFill>
          </w14:textFill>
        </w:rPr>
        <w:t>(10), p.2883.</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da Silva Lopes, T., Casson, M. and Jones, G., 2019. Organizational innovation in the multinational enterprise: Internalization theory and business history. </w:t>
      </w:r>
      <w:r>
        <w:rPr>
          <w:rFonts w:ascii="Times New Roman" w:hAnsi="Times New Roman" w:cs="Times New Roman"/>
          <w:i/>
          <w:iCs/>
          <w:color w:val="000000" w:themeColor="text1"/>
          <w:shd w:val="clear" w:color="auto" w:fill="FFFFFF"/>
          <w14:textFill>
            <w14:solidFill>
              <w14:schemeClr w14:val="tx1"/>
            </w14:solidFill>
          </w14:textFill>
        </w:rPr>
        <w:t>Journal of International Business Studies</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50</w:t>
      </w:r>
      <w:r>
        <w:rPr>
          <w:rFonts w:ascii="Times New Roman" w:hAnsi="Times New Roman" w:cs="Times New Roman"/>
          <w:color w:val="000000" w:themeColor="text1"/>
          <w:shd w:val="clear" w:color="auto" w:fill="FFFFFF"/>
          <w14:textFill>
            <w14:solidFill>
              <w14:schemeClr w14:val="tx1"/>
            </w14:solidFill>
          </w14:textFill>
        </w:rPr>
        <w:t>(8), pp.1338-1358.</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Mehmood, T., Alzoubi, H.M. and Ahmed, G., 2019. Schumpeterian entrepreneurship theory: evolution and relevance. </w:t>
      </w:r>
      <w:r>
        <w:rPr>
          <w:rFonts w:ascii="Times New Roman" w:hAnsi="Times New Roman" w:cs="Times New Roman"/>
          <w:i/>
          <w:iCs/>
          <w:color w:val="000000" w:themeColor="text1"/>
          <w:shd w:val="clear" w:color="auto" w:fill="FFFFFF"/>
          <w14:textFill>
            <w14:solidFill>
              <w14:schemeClr w14:val="tx1"/>
            </w14:solidFill>
          </w14:textFill>
        </w:rPr>
        <w:t>Academy of Entrepreneurship Journal</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25</w:t>
      </w:r>
      <w:r>
        <w:rPr>
          <w:rFonts w:ascii="Times New Roman" w:hAnsi="Times New Roman" w:cs="Times New Roman"/>
          <w:color w:val="000000" w:themeColor="text1"/>
          <w:shd w:val="clear" w:color="auto" w:fill="FFFFFF"/>
          <w14:textFill>
            <w14:solidFill>
              <w14:schemeClr w14:val="tx1"/>
            </w14:solidFill>
          </w14:textFill>
        </w:rPr>
        <w:t>(4).</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Urbano, D., Aparicio, S. and Audretsch, D., 2019. Twenty-five years of research on institutions, entrepreneurship, and economic growth: what has been learned?. </w:t>
      </w:r>
      <w:r>
        <w:rPr>
          <w:rFonts w:ascii="Times New Roman" w:hAnsi="Times New Roman" w:cs="Times New Roman"/>
          <w:i/>
          <w:iCs/>
          <w:color w:val="000000" w:themeColor="text1"/>
          <w:shd w:val="clear" w:color="auto" w:fill="FFFFFF"/>
          <w14:textFill>
            <w14:solidFill>
              <w14:schemeClr w14:val="tx1"/>
            </w14:solidFill>
          </w14:textFill>
        </w:rPr>
        <w:t>Small Business Economics</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53</w:t>
      </w:r>
      <w:r>
        <w:rPr>
          <w:rFonts w:ascii="Times New Roman" w:hAnsi="Times New Roman" w:cs="Times New Roman"/>
          <w:color w:val="000000" w:themeColor="text1"/>
          <w:shd w:val="clear" w:color="auto" w:fill="FFFFFF"/>
          <w14:textFill>
            <w14:solidFill>
              <w14:schemeClr w14:val="tx1"/>
            </w14:solidFill>
          </w14:textFill>
        </w:rPr>
        <w:t>(1), pp.21-49.</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Boudreaux, C.J., Nikolaev, B.N. and Klein, P., 2019. Socio-cognitive traits and entrepreneurship: The moderating role of economic institutions. </w:t>
      </w:r>
      <w:r>
        <w:rPr>
          <w:rFonts w:ascii="Times New Roman" w:hAnsi="Times New Roman" w:cs="Times New Roman"/>
          <w:i/>
          <w:iCs/>
          <w:color w:val="000000" w:themeColor="text1"/>
          <w:shd w:val="clear" w:color="auto" w:fill="FFFFFF"/>
          <w14:textFill>
            <w14:solidFill>
              <w14:schemeClr w14:val="tx1"/>
            </w14:solidFill>
          </w14:textFill>
        </w:rPr>
        <w:t>Journal of Business Venturing</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34</w:t>
      </w:r>
      <w:r>
        <w:rPr>
          <w:rFonts w:ascii="Times New Roman" w:hAnsi="Times New Roman" w:cs="Times New Roman"/>
          <w:color w:val="000000" w:themeColor="text1"/>
          <w:shd w:val="clear" w:color="auto" w:fill="FFFFFF"/>
          <w14:textFill>
            <w14:solidFill>
              <w14:schemeClr w14:val="tx1"/>
            </w14:solidFill>
          </w14:textFill>
        </w:rPr>
        <w:t>(1), pp.178-196.</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Saif, H.A. and Ghania, U., 2020. Need for achievement as a predictor of entrepreneurial behavior: The mediating role of entrepreneurial passion for founding and entrepreneurial interest. </w:t>
      </w:r>
      <w:r>
        <w:rPr>
          <w:rFonts w:ascii="Times New Roman" w:hAnsi="Times New Roman" w:cs="Times New Roman"/>
          <w:i/>
          <w:iCs/>
          <w:color w:val="000000" w:themeColor="text1"/>
          <w:shd w:val="clear" w:color="auto" w:fill="FFFFFF"/>
          <w14:textFill>
            <w14:solidFill>
              <w14:schemeClr w14:val="tx1"/>
            </w14:solidFill>
          </w14:textFill>
        </w:rPr>
        <w:t>International Review of Management and Marketing</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10</w:t>
      </w:r>
      <w:r>
        <w:rPr>
          <w:rFonts w:ascii="Times New Roman" w:hAnsi="Times New Roman" w:cs="Times New Roman"/>
          <w:color w:val="000000" w:themeColor="text1"/>
          <w:shd w:val="clear" w:color="auto" w:fill="FFFFFF"/>
          <w14:textFill>
            <w14:solidFill>
              <w14:schemeClr w14:val="tx1"/>
            </w14:solidFill>
          </w14:textFill>
        </w:rPr>
        <w:t>(1), p.40.</w:t>
      </w:r>
    </w:p>
    <w:p>
      <w:pPr>
        <w:spacing w:before="240" w:after="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Reis-Marques, C., Lages, L.F. and Caminati, V.V., 2019. VCW for social impact in a developing country: Personal development and entrepreneurship in a leadership academy. In </w:t>
      </w:r>
      <w:r>
        <w:rPr>
          <w:rFonts w:ascii="Times New Roman" w:hAnsi="Times New Roman" w:cs="Times New Roman"/>
          <w:i/>
          <w:iCs/>
          <w:color w:val="000000" w:themeColor="text1"/>
          <w14:textFill>
            <w14:solidFill>
              <w14:schemeClr w14:val="tx1"/>
            </w14:solidFill>
          </w14:textFill>
        </w:rPr>
        <w:t>Social Marketing in Action</w:t>
      </w:r>
      <w:r>
        <w:rPr>
          <w:rFonts w:ascii="Times New Roman" w:hAnsi="Times New Roman" w:cs="Times New Roman"/>
          <w:color w:val="000000" w:themeColor="text1"/>
          <w14:textFill>
            <w14:solidFill>
              <w14:schemeClr w14:val="tx1"/>
            </w14:solidFill>
          </w14:textFill>
        </w:rPr>
        <w:t> (pp. 141-162). Springer, Cham.</w:t>
      </w:r>
    </w:p>
    <w:p>
      <w:pPr>
        <w:spacing w:before="240" w:after="240" w:line="36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Lindner, J., 2018. Entrepreneurship education for a sustainable future. </w:t>
      </w:r>
      <w:r>
        <w:rPr>
          <w:rFonts w:ascii="Times New Roman" w:hAnsi="Times New Roman" w:cs="Times New Roman"/>
          <w:i/>
          <w:iCs/>
          <w:color w:val="000000" w:themeColor="text1"/>
          <w14:textFill>
            <w14:solidFill>
              <w14:schemeClr w14:val="tx1"/>
            </w14:solidFill>
          </w14:textFill>
        </w:rPr>
        <w:t>Discourse and Communication for Sustainable Education</w:t>
      </w:r>
      <w:r>
        <w:rPr>
          <w:rFonts w:ascii="Times New Roman" w:hAnsi="Times New Roman" w:cs="Times New Roman"/>
          <w:color w:val="000000" w:themeColor="text1"/>
          <w14:textFill>
            <w14:solidFill>
              <w14:schemeClr w14:val="tx1"/>
            </w14:solidFill>
          </w14:textFill>
        </w:rPr>
        <w:t>, </w:t>
      </w:r>
      <w:r>
        <w:rPr>
          <w:rFonts w:ascii="Times New Roman" w:hAnsi="Times New Roman" w:cs="Times New Roman"/>
          <w:i/>
          <w:iCs/>
          <w:color w:val="000000" w:themeColor="text1"/>
          <w14:textFill>
            <w14:solidFill>
              <w14:schemeClr w14:val="tx1"/>
            </w14:solidFill>
          </w14:textFill>
        </w:rPr>
        <w:t>9</w:t>
      </w:r>
      <w:r>
        <w:rPr>
          <w:rFonts w:ascii="Times New Roman" w:hAnsi="Times New Roman" w:cs="Times New Roman"/>
          <w:color w:val="000000" w:themeColor="text1"/>
          <w14:textFill>
            <w14:solidFill>
              <w14:schemeClr w14:val="tx1"/>
            </w14:solidFill>
          </w14:textFill>
        </w:rPr>
        <w:t>(1), pp.115-127.</w:t>
      </w:r>
    </w:p>
    <w:p>
      <w:pPr>
        <w:spacing w:before="240" w:after="240" w:line="360" w:lineRule="auto"/>
        <w:jc w:val="both"/>
        <w:rPr>
          <w:rFonts w:ascii="Times New Roman" w:hAnsi="Times New Roman" w:cs="Times New Roman"/>
          <w:b/>
          <w:color w:val="000000" w:themeColor="text1"/>
          <w14:textFill>
            <w14:solidFill>
              <w14:schemeClr w14:val="tx1"/>
            </w14:solidFill>
          </w14:textFill>
        </w:rPr>
      </w:pPr>
      <w:r>
        <w:rPr>
          <w:rFonts w:ascii="Times New Roman" w:hAnsi="Times New Roman" w:cs="Times New Roman"/>
          <w:b/>
          <w:color w:val="000000" w:themeColor="text1"/>
          <w14:textFill>
            <w14:solidFill>
              <w14:schemeClr w14:val="tx1"/>
            </w14:solidFill>
          </w14:textFill>
        </w:rPr>
        <w:t xml:space="preserve">Online articles </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shd w:val="clear" w:color="auto" w:fill="FFFFFF"/>
          <w14:textFill>
            <w14:solidFill>
              <w14:schemeClr w14:val="tx1"/>
            </w14:solidFill>
          </w14:textFill>
        </w:rPr>
        <w:t>Tang, J.J., 2020. Psychological capital and entrepreneurship sustainability. </w:t>
      </w:r>
      <w:r>
        <w:rPr>
          <w:rFonts w:ascii="Times New Roman" w:hAnsi="Times New Roman" w:cs="Times New Roman"/>
          <w:i/>
          <w:iCs/>
          <w:color w:val="000000" w:themeColor="text1"/>
          <w:shd w:val="clear" w:color="auto" w:fill="FFFFFF"/>
          <w14:textFill>
            <w14:solidFill>
              <w14:schemeClr w14:val="tx1"/>
            </w14:solidFill>
          </w14:textFill>
        </w:rPr>
        <w:t>Frontiers in Psychology</w:t>
      </w:r>
      <w:r>
        <w:rPr>
          <w:rFonts w:ascii="Times New Roman" w:hAnsi="Times New Roman" w:cs="Times New Roman"/>
          <w:color w:val="000000" w:themeColor="text1"/>
          <w:shd w:val="clear" w:color="auto" w:fill="FFFFFF"/>
          <w14:textFill>
            <w14:solidFill>
              <w14:schemeClr w14:val="tx1"/>
            </w14:solidFill>
          </w14:textFill>
        </w:rPr>
        <w:t>, </w:t>
      </w:r>
      <w:r>
        <w:rPr>
          <w:rFonts w:ascii="Times New Roman" w:hAnsi="Times New Roman" w:cs="Times New Roman"/>
          <w:i/>
          <w:iCs/>
          <w:color w:val="000000" w:themeColor="text1"/>
          <w:shd w:val="clear" w:color="auto" w:fill="FFFFFF"/>
          <w14:textFill>
            <w14:solidFill>
              <w14:schemeClr w14:val="tx1"/>
            </w14:solidFill>
          </w14:textFill>
        </w:rPr>
        <w:t>11</w:t>
      </w:r>
      <w:r>
        <w:rPr>
          <w:rFonts w:ascii="Times New Roman" w:hAnsi="Times New Roman" w:cs="Times New Roman"/>
          <w:color w:val="000000" w:themeColor="text1"/>
          <w:shd w:val="clear" w:color="auto" w:fill="FFFFFF"/>
          <w14:textFill>
            <w14:solidFill>
              <w14:schemeClr w14:val="tx1"/>
            </w14:solidFill>
          </w14:textFill>
        </w:rPr>
        <w:t xml:space="preserve">, p.866. Available at: </w:t>
      </w:r>
      <w:r>
        <w:fldChar w:fldCharType="begin"/>
      </w:r>
      <w:r>
        <w:instrText xml:space="preserve"> HYPERLINK "https://www.frontiersin.org/articles/10.3389/fpsyg.2020.00866/full" </w:instrText>
      </w:r>
      <w:r>
        <w:fldChar w:fldCharType="separate"/>
      </w:r>
      <w:r>
        <w:rPr>
          <w:rStyle w:val="5"/>
          <w:rFonts w:ascii="Times New Roman" w:hAnsi="Times New Roman" w:cs="Times New Roman"/>
          <w:color w:val="000000" w:themeColor="text1"/>
          <w:shd w:val="clear" w:color="auto" w:fill="FFFFFF"/>
          <w14:textFill>
            <w14:solidFill>
              <w14:schemeClr w14:val="tx1"/>
            </w14:solidFill>
          </w14:textFill>
        </w:rPr>
        <w:t>https://www.frontiersin.org/articles/10.3389/fpsyg.2020.00866/full</w:t>
      </w:r>
      <w:r>
        <w:rPr>
          <w:rStyle w:val="5"/>
          <w:rFonts w:ascii="Times New Roman" w:hAnsi="Times New Roman" w:cs="Times New Roman"/>
          <w:color w:val="000000" w:themeColor="text1"/>
          <w:shd w:val="clear" w:color="auto" w:fill="FFFFFF"/>
          <w14:textFill>
            <w14:solidFill>
              <w14:schemeClr w14:val="tx1"/>
            </w14:solidFill>
          </w14:textFill>
        </w:rPr>
        <w:fldChar w:fldCharType="end"/>
      </w:r>
      <w:r>
        <w:rPr>
          <w:rFonts w:ascii="Times New Roman" w:hAnsi="Times New Roman" w:cs="Times New Roman"/>
          <w:color w:val="000000" w:themeColor="text1"/>
          <w:shd w:val="clear" w:color="auto" w:fill="FFFFFF"/>
          <w14:textFill>
            <w14:solidFill>
              <w14:schemeClr w14:val="tx1"/>
            </w14:solidFill>
          </w14:textFill>
        </w:rPr>
        <w:t xml:space="preserve"> [Accessed on 23</w:t>
      </w:r>
      <w:r>
        <w:rPr>
          <w:rFonts w:ascii="Times New Roman" w:hAnsi="Times New Roman" w:cs="Times New Roman"/>
          <w:color w:val="000000" w:themeColor="text1"/>
          <w:shd w:val="clear" w:color="auto" w:fill="FFFFFF"/>
          <w:vertAlign w:val="superscript"/>
          <w14:textFill>
            <w14:solidFill>
              <w14:schemeClr w14:val="tx1"/>
            </w14:solidFill>
          </w14:textFill>
        </w:rPr>
        <w:t>rd</w:t>
      </w:r>
      <w:r>
        <w:rPr>
          <w:rFonts w:ascii="Times New Roman" w:hAnsi="Times New Roman" w:cs="Times New Roman"/>
          <w:color w:val="000000" w:themeColor="text1"/>
          <w:shd w:val="clear" w:color="auto" w:fill="FFFFFF"/>
          <w14:textFill>
            <w14:solidFill>
              <w14:schemeClr w14:val="tx1"/>
            </w14:solidFill>
          </w14:textFill>
        </w:rPr>
        <w:t xml:space="preserve"> July 2022]</w:t>
      </w:r>
    </w:p>
    <w:p>
      <w:pPr>
        <w:spacing w:before="240" w:after="240" w:line="360" w:lineRule="auto"/>
        <w:jc w:val="both"/>
        <w:rPr>
          <w:rFonts w:ascii="Times New Roman" w:hAnsi="Times New Roman" w:cs="Times New Roman"/>
          <w:color w:val="000000" w:themeColor="text1"/>
          <w:shd w:val="clear" w:color="auto" w:fill="FFFFFF"/>
          <w14:textFill>
            <w14:solidFill>
              <w14:schemeClr w14:val="tx1"/>
            </w14:solidFill>
          </w14:textFill>
        </w:rPr>
      </w:pPr>
      <w:r>
        <w:rPr>
          <w:rFonts w:ascii="Times New Roman" w:hAnsi="Times New Roman" w:cs="Times New Roman"/>
          <w:color w:val="000000" w:themeColor="text1"/>
          <w14:textFill>
            <w14:solidFill>
              <w14:schemeClr w14:val="tx1"/>
            </w14:solidFill>
          </w14:textFill>
        </w:rPr>
        <w:t>Arruti, A. and Panos-Castro, J., 2020. International entrepreneurship education for pre-service teachers: a longitudinal study. </w:t>
      </w:r>
      <w:r>
        <w:rPr>
          <w:rFonts w:ascii="Times New Roman" w:hAnsi="Times New Roman" w:cs="Times New Roman"/>
          <w:i/>
          <w:iCs/>
          <w:color w:val="000000" w:themeColor="text1"/>
          <w14:textFill>
            <w14:solidFill>
              <w14:schemeClr w14:val="tx1"/>
            </w14:solidFill>
          </w14:textFill>
        </w:rPr>
        <w:t>Education+ Training</w:t>
      </w:r>
      <w:r>
        <w:rPr>
          <w:rFonts w:ascii="Times New Roman" w:hAnsi="Times New Roman" w:cs="Times New Roman"/>
          <w:color w:val="000000" w:themeColor="text1"/>
          <w14:textFill>
            <w14:solidFill>
              <w14:schemeClr w14:val="tx1"/>
            </w14:solidFill>
          </w14:textFill>
        </w:rPr>
        <w:t xml:space="preserve">. </w:t>
      </w:r>
      <w:r>
        <w:rPr>
          <w:rFonts w:ascii="Times New Roman" w:hAnsi="Times New Roman" w:cs="Times New Roman"/>
          <w:color w:val="000000" w:themeColor="text1"/>
          <w:shd w:val="clear" w:color="auto" w:fill="FFFFFF"/>
          <w14:textFill>
            <w14:solidFill>
              <w14:schemeClr w14:val="tx1"/>
            </w14:solidFill>
          </w14:textFill>
        </w:rPr>
        <w:t xml:space="preserve">Available at: </w:t>
      </w:r>
      <w:r>
        <w:fldChar w:fldCharType="begin"/>
      </w:r>
      <w:r>
        <w:instrText xml:space="preserve"> HYPERLINK "https://www.emerald.com/insight/content/doi/10.1108/ET-04-2020-0098/full/html" </w:instrText>
      </w:r>
      <w:r>
        <w:fldChar w:fldCharType="separate"/>
      </w:r>
      <w:r>
        <w:rPr>
          <w:rStyle w:val="5"/>
          <w:rFonts w:ascii="Times New Roman" w:hAnsi="Times New Roman" w:cs="Times New Roman"/>
          <w:color w:val="000000" w:themeColor="text1"/>
          <w14:textFill>
            <w14:solidFill>
              <w14:schemeClr w14:val="tx1"/>
            </w14:solidFill>
          </w14:textFill>
        </w:rPr>
        <w:t>https://www.emerald.com/insight/content/doi/10.1108/ET-04-2020-0098/full/html</w:t>
      </w:r>
      <w:r>
        <w:rPr>
          <w:rStyle w:val="5"/>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r>
        <w:rPr>
          <w:rFonts w:ascii="Times New Roman" w:hAnsi="Times New Roman" w:cs="Times New Roman"/>
          <w:color w:val="000000" w:themeColor="text1"/>
          <w:shd w:val="clear" w:color="auto" w:fill="FFFFFF"/>
          <w14:textFill>
            <w14:solidFill>
              <w14:schemeClr w14:val="tx1"/>
            </w14:solidFill>
          </w14:textFill>
        </w:rPr>
        <w:t>[Accessed on 23</w:t>
      </w:r>
      <w:r>
        <w:rPr>
          <w:rFonts w:ascii="Times New Roman" w:hAnsi="Times New Roman" w:cs="Times New Roman"/>
          <w:color w:val="000000" w:themeColor="text1"/>
          <w:shd w:val="clear" w:color="auto" w:fill="FFFFFF"/>
          <w:vertAlign w:val="superscript"/>
          <w14:textFill>
            <w14:solidFill>
              <w14:schemeClr w14:val="tx1"/>
            </w14:solidFill>
          </w14:textFill>
        </w:rPr>
        <w:t>rd</w:t>
      </w:r>
      <w:r>
        <w:rPr>
          <w:rFonts w:ascii="Times New Roman" w:hAnsi="Times New Roman" w:cs="Times New Roman"/>
          <w:color w:val="000000" w:themeColor="text1"/>
          <w:shd w:val="clear" w:color="auto" w:fill="FFFFFF"/>
          <w14:textFill>
            <w14:solidFill>
              <w14:schemeClr w14:val="tx1"/>
            </w14:solidFill>
          </w14:textFill>
        </w:rPr>
        <w:t xml:space="preserve"> July 2022]</w:t>
      </w:r>
    </w:p>
    <w:p>
      <w:pPr>
        <w:spacing w:before="240" w:after="240" w:line="360" w:lineRule="auto"/>
        <w:jc w:val="both"/>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Cambria Math">
    <w:altName w:val="Kingsoft Math"/>
    <w:panose1 w:val="02040503050406030204"/>
    <w:charset w:val="00"/>
    <w:family w:val="roman"/>
    <w:pitch w:val="default"/>
    <w:sig w:usb0="00000000" w:usb1="00000000" w:usb2="00000000"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F65"/>
    <w:rsid w:val="00301F65"/>
    <w:rsid w:val="003A0DD9"/>
    <w:rsid w:val="00472E8B"/>
    <w:rsid w:val="0093593A"/>
    <w:rsid w:val="009F6A8E"/>
    <w:rsid w:val="8A6D4E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GB" w:eastAsia="en-US" w:bidi="ar-SA"/>
    </w:rPr>
  </w:style>
  <w:style w:type="paragraph" w:styleId="2">
    <w:name w:val="heading 1"/>
    <w:basedOn w:val="1"/>
    <w:next w:val="1"/>
    <w:link w:val="7"/>
    <w:qFormat/>
    <w:uiPriority w:val="0"/>
    <w:pPr>
      <w:keepNext/>
      <w:keepLines/>
      <w:spacing w:before="400" w:after="120" w:line="360" w:lineRule="auto"/>
      <w:outlineLvl w:val="0"/>
    </w:pPr>
    <w:rPr>
      <w:rFonts w:ascii="Times New Roman" w:hAnsi="Times New Roman" w:eastAsia="Arial" w:cs="Arial"/>
      <w:b/>
      <w:sz w:val="28"/>
      <w:szCs w:val="40"/>
      <w:lang w:val="en-US"/>
    </w:rPr>
  </w:style>
  <w:style w:type="character" w:default="1" w:styleId="4">
    <w:name w:val="Default Paragraph Font"/>
    <w:unhideWhenUsed/>
    <w:qFormat/>
    <w:uiPriority w:val="1"/>
  </w:style>
  <w:style w:type="table" w:default="1" w:styleId="6">
    <w:name w:val="Normal Table"/>
    <w:unhideWhenUsed/>
    <w:qFormat/>
    <w:uiPriority w:val="99"/>
    <w:tblPr>
      <w:tblCellMar>
        <w:top w:w="0" w:type="dxa"/>
        <w:left w:w="108" w:type="dxa"/>
        <w:bottom w:w="0" w:type="dxa"/>
        <w:right w:w="108" w:type="dxa"/>
      </w:tblCellMar>
    </w:tblPr>
  </w:style>
  <w:style w:type="paragraph" w:styleId="3">
    <w:name w:val="toc 1"/>
    <w:basedOn w:val="1"/>
    <w:next w:val="1"/>
    <w:unhideWhenUsed/>
    <w:qFormat/>
    <w:uiPriority w:val="39"/>
    <w:pPr>
      <w:spacing w:after="100" w:line="276" w:lineRule="auto"/>
    </w:pPr>
    <w:rPr>
      <w:rFonts w:ascii="Arial" w:hAnsi="Arial" w:eastAsia="Arial" w:cs="Arial"/>
      <w:sz w:val="22"/>
      <w:szCs w:val="22"/>
      <w:lang w:val="en-US"/>
    </w:rPr>
  </w:style>
  <w:style w:type="character" w:styleId="5">
    <w:name w:val="Hyperlink"/>
    <w:basedOn w:val="4"/>
    <w:unhideWhenUsed/>
    <w:qFormat/>
    <w:uiPriority w:val="99"/>
    <w:rPr>
      <w:color w:val="0563C1" w:themeColor="hyperlink"/>
      <w:u w:val="single"/>
      <w14:textFill>
        <w14:solidFill>
          <w14:schemeClr w14:val="hlink"/>
        </w14:solidFill>
      </w14:textFill>
    </w:rPr>
  </w:style>
  <w:style w:type="character" w:customStyle="1" w:styleId="7">
    <w:name w:val="Heading 1 Char"/>
    <w:basedOn w:val="4"/>
    <w:link w:val="2"/>
    <w:qFormat/>
    <w:uiPriority w:val="0"/>
    <w:rPr>
      <w:rFonts w:ascii="Times New Roman" w:hAnsi="Times New Roman" w:eastAsia="Arial" w:cs="Arial"/>
      <w:b/>
      <w:sz w:val="28"/>
      <w:szCs w:val="40"/>
      <w:lang w:val="en-US"/>
    </w:rPr>
  </w:style>
  <w:style w:type="paragraph" w:customStyle="1" w:styleId="8">
    <w:name w:val="TOC Heading"/>
    <w:basedOn w:val="2"/>
    <w:next w:val="1"/>
    <w:unhideWhenUsed/>
    <w:qFormat/>
    <w:uiPriority w:val="39"/>
    <w:pPr>
      <w:spacing w:before="240" w:after="0" w:line="240" w:lineRule="auto"/>
      <w:outlineLvl w:val="9"/>
    </w:pPr>
    <w:rPr>
      <w:rFonts w:asciiTheme="majorHAnsi" w:hAnsiTheme="majorHAnsi" w:eastAsiaTheme="majorEastAsia" w:cstheme="majorBidi"/>
      <w:b w:val="0"/>
      <w:color w:val="2F5597" w:themeColor="accent1" w:themeShade="BF"/>
      <w:sz w:val="32"/>
      <w:szCs w:val="32"/>
      <w:lang w:val="en-GB"/>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9</Pages>
  <Words>3016</Words>
  <Characters>17192</Characters>
  <Lines>143</Lines>
  <Paragraphs>40</Paragraphs>
  <TotalTime>0</TotalTime>
  <ScaleCrop>false</ScaleCrop>
  <LinksUpToDate>false</LinksUpToDate>
  <CharactersWithSpaces>20168</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2022-07-26T11:30:00Z</dcterms:created>
  <dc:creator>Alina Craciun</dc:creator>
  <cp:lastModifiedBy>owner</cp:lastModifiedBy>
  <dcterms:modified xsi:type="dcterms:W3CDTF">2022-08-03T13:52:05Z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