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AA223" w14:textId="77777777" w:rsidR="00471697" w:rsidRDefault="00803F87">
      <w:pPr>
        <w:spacing w:after="680" w:line="255" w:lineRule="auto"/>
        <w:ind w:left="0" w:firstLine="0"/>
        <w:jc w:val="center"/>
      </w:pPr>
      <w:r>
        <w:rPr>
          <w:b/>
          <w:sz w:val="36"/>
        </w:rPr>
        <w:t>Adult Development and Wellbeing in Health and Social Care</w:t>
      </w:r>
    </w:p>
    <w:p w14:paraId="21DB15B3" w14:textId="77777777" w:rsidR="00471697" w:rsidRPr="000C5758" w:rsidRDefault="00803F87">
      <w:pPr>
        <w:spacing w:after="529"/>
        <w:ind w:left="-5"/>
        <w:rPr>
          <w:sz w:val="22"/>
          <w:szCs w:val="22"/>
        </w:rPr>
      </w:pPr>
      <w:r w:rsidRPr="000C5758">
        <w:rPr>
          <w:b/>
          <w:sz w:val="22"/>
          <w:szCs w:val="22"/>
        </w:rPr>
        <w:t>Assignment Title:</w:t>
      </w:r>
      <w:r w:rsidRPr="000C5758">
        <w:rPr>
          <w:sz w:val="22"/>
          <w:szCs w:val="22"/>
        </w:rPr>
        <w:t xml:space="preserve"> Psychological Theories Supporting Older Adults in Health and Social Care</w:t>
      </w:r>
    </w:p>
    <w:p w14:paraId="6CDC269A" w14:textId="4A2D6053" w:rsidR="00471697" w:rsidRPr="000C5758" w:rsidRDefault="00803F87">
      <w:pPr>
        <w:spacing w:after="192" w:line="259" w:lineRule="auto"/>
        <w:ind w:left="-5"/>
        <w:rPr>
          <w:sz w:val="22"/>
          <w:szCs w:val="22"/>
        </w:rPr>
      </w:pPr>
      <w:r w:rsidRPr="000C5758">
        <w:rPr>
          <w:b/>
          <w:sz w:val="22"/>
          <w:szCs w:val="22"/>
        </w:rPr>
        <w:t>Student Name:</w:t>
      </w:r>
      <w:r w:rsidRPr="000C5758">
        <w:rPr>
          <w:sz w:val="22"/>
          <w:szCs w:val="22"/>
        </w:rPr>
        <w:t xml:space="preserve"> </w:t>
      </w:r>
      <w:r w:rsidR="0073509D" w:rsidRPr="000C5758">
        <w:rPr>
          <w:sz w:val="22"/>
          <w:szCs w:val="22"/>
        </w:rPr>
        <w:t>Tayyaba Nadeem</w:t>
      </w:r>
    </w:p>
    <w:p w14:paraId="54C1D316" w14:textId="5F16F1A5" w:rsidR="00471697" w:rsidRPr="000C5758" w:rsidRDefault="00803F87">
      <w:pPr>
        <w:spacing w:after="192" w:line="259" w:lineRule="auto"/>
        <w:ind w:left="-5"/>
        <w:rPr>
          <w:sz w:val="22"/>
          <w:szCs w:val="22"/>
        </w:rPr>
      </w:pPr>
      <w:r w:rsidRPr="000C5758">
        <w:rPr>
          <w:b/>
          <w:sz w:val="22"/>
          <w:szCs w:val="22"/>
        </w:rPr>
        <w:t>Student Numbe</w:t>
      </w:r>
      <w:r w:rsidR="0073509D" w:rsidRPr="000C5758">
        <w:rPr>
          <w:b/>
          <w:sz w:val="22"/>
          <w:szCs w:val="22"/>
        </w:rPr>
        <w:t>r:2432012</w:t>
      </w:r>
    </w:p>
    <w:p w14:paraId="2ACBD779" w14:textId="6E4804BB" w:rsidR="00471697" w:rsidRPr="000C5758" w:rsidRDefault="00803F87">
      <w:pPr>
        <w:spacing w:after="192" w:line="259" w:lineRule="auto"/>
        <w:ind w:left="-5"/>
        <w:rPr>
          <w:sz w:val="22"/>
          <w:szCs w:val="22"/>
        </w:rPr>
      </w:pPr>
      <w:r w:rsidRPr="000C5758">
        <w:rPr>
          <w:b/>
          <w:sz w:val="22"/>
          <w:szCs w:val="22"/>
        </w:rPr>
        <w:t>Module Code and Title:</w:t>
      </w:r>
      <w:r w:rsidRPr="000C5758">
        <w:rPr>
          <w:sz w:val="22"/>
          <w:szCs w:val="22"/>
        </w:rPr>
        <w:t xml:space="preserve"> </w:t>
      </w:r>
      <w:r w:rsidR="004B57B3" w:rsidRPr="000C5758">
        <w:rPr>
          <w:sz w:val="22"/>
          <w:szCs w:val="22"/>
        </w:rPr>
        <w:t>LCHS4010</w:t>
      </w:r>
    </w:p>
    <w:p w14:paraId="691606AF" w14:textId="3BF5FD4D" w:rsidR="00471697" w:rsidRPr="000C5758" w:rsidRDefault="00803F87">
      <w:pPr>
        <w:spacing w:after="529"/>
        <w:ind w:left="-5"/>
        <w:rPr>
          <w:sz w:val="22"/>
          <w:szCs w:val="22"/>
        </w:rPr>
      </w:pPr>
      <w:r w:rsidRPr="000C5758">
        <w:rPr>
          <w:b/>
          <w:sz w:val="22"/>
          <w:szCs w:val="22"/>
        </w:rPr>
        <w:t>Lecturer’s Name:</w:t>
      </w:r>
      <w:r w:rsidRPr="000C5758">
        <w:rPr>
          <w:sz w:val="22"/>
          <w:szCs w:val="22"/>
        </w:rPr>
        <w:t xml:space="preserve"> </w:t>
      </w:r>
      <w:r w:rsidR="00CE14EA" w:rsidRPr="000C5758">
        <w:rPr>
          <w:sz w:val="22"/>
          <w:szCs w:val="22"/>
        </w:rPr>
        <w:t>Neale</w:t>
      </w:r>
      <w:r w:rsidR="004B57B3" w:rsidRPr="000C5758">
        <w:rPr>
          <w:sz w:val="22"/>
          <w:szCs w:val="22"/>
        </w:rPr>
        <w:t xml:space="preserve"> </w:t>
      </w:r>
      <w:proofErr w:type="spellStart"/>
      <w:r w:rsidR="004B57B3" w:rsidRPr="000C5758">
        <w:rPr>
          <w:sz w:val="22"/>
          <w:szCs w:val="22"/>
        </w:rPr>
        <w:t>haddon</w:t>
      </w:r>
      <w:proofErr w:type="spellEnd"/>
    </w:p>
    <w:p w14:paraId="0D0B5D97" w14:textId="1A3F228B" w:rsidR="00471697" w:rsidRPr="000C5758" w:rsidRDefault="00803F87">
      <w:pPr>
        <w:spacing w:after="929"/>
        <w:ind w:left="-5"/>
        <w:rPr>
          <w:sz w:val="22"/>
          <w:szCs w:val="22"/>
        </w:rPr>
      </w:pPr>
      <w:r w:rsidRPr="000C5758">
        <w:rPr>
          <w:b/>
          <w:sz w:val="22"/>
          <w:szCs w:val="22"/>
        </w:rPr>
        <w:t>Submission Date:</w:t>
      </w:r>
      <w:r w:rsidRPr="000C5758">
        <w:rPr>
          <w:sz w:val="22"/>
          <w:szCs w:val="22"/>
        </w:rPr>
        <w:t xml:space="preserve"> </w:t>
      </w:r>
      <w:r w:rsidR="00CE14EA" w:rsidRPr="000C5758">
        <w:rPr>
          <w:sz w:val="22"/>
          <w:szCs w:val="22"/>
        </w:rPr>
        <w:t>24</w:t>
      </w:r>
      <w:r w:rsidR="00CE14EA" w:rsidRPr="000C5758">
        <w:rPr>
          <w:sz w:val="22"/>
          <w:szCs w:val="22"/>
          <w:vertAlign w:val="superscript"/>
        </w:rPr>
        <w:t>th</w:t>
      </w:r>
      <w:r w:rsidR="00CE14EA" w:rsidRPr="000C5758">
        <w:rPr>
          <w:sz w:val="22"/>
          <w:szCs w:val="22"/>
        </w:rPr>
        <w:t xml:space="preserve"> </w:t>
      </w:r>
      <w:r w:rsidR="005149CE" w:rsidRPr="000C5758">
        <w:rPr>
          <w:sz w:val="22"/>
          <w:szCs w:val="22"/>
        </w:rPr>
        <w:t>March</w:t>
      </w:r>
      <w:r w:rsidR="00CE14EA" w:rsidRPr="000C5758">
        <w:rPr>
          <w:sz w:val="22"/>
          <w:szCs w:val="22"/>
        </w:rPr>
        <w:t xml:space="preserve"> 2026</w:t>
      </w:r>
    </w:p>
    <w:p w14:paraId="0812208F" w14:textId="65010AA8" w:rsidR="00471697" w:rsidRPr="000C5758" w:rsidRDefault="00803F87">
      <w:pPr>
        <w:spacing w:line="259" w:lineRule="auto"/>
        <w:ind w:left="-5"/>
        <w:rPr>
          <w:sz w:val="22"/>
          <w:szCs w:val="22"/>
        </w:rPr>
      </w:pPr>
      <w:r w:rsidRPr="000C5758">
        <w:rPr>
          <w:sz w:val="22"/>
          <w:szCs w:val="22"/>
        </w:rPr>
        <w:br w:type="page"/>
      </w:r>
    </w:p>
    <w:p w14:paraId="3A77B1FE" w14:textId="77777777" w:rsidR="00471697" w:rsidRPr="000C5758" w:rsidRDefault="00803F87">
      <w:pPr>
        <w:pStyle w:val="Heading1"/>
        <w:ind w:left="-5"/>
        <w:rPr>
          <w:sz w:val="22"/>
          <w:szCs w:val="22"/>
        </w:rPr>
      </w:pPr>
      <w:r w:rsidRPr="000C5758">
        <w:rPr>
          <w:sz w:val="22"/>
          <w:szCs w:val="22"/>
        </w:rPr>
        <w:lastRenderedPageBreak/>
        <w:t>Part A: Annotated Bibliography (Approx. 750 words)</w:t>
      </w:r>
    </w:p>
    <w:p w14:paraId="1CF41EEA" w14:textId="77777777" w:rsidR="00471697" w:rsidRPr="000C5758" w:rsidRDefault="00803F87">
      <w:pPr>
        <w:spacing w:after="192" w:line="259" w:lineRule="auto"/>
        <w:ind w:left="-5"/>
        <w:rPr>
          <w:sz w:val="22"/>
          <w:szCs w:val="22"/>
        </w:rPr>
      </w:pPr>
      <w:proofErr w:type="spellStart"/>
      <w:r w:rsidRPr="000C5758">
        <w:rPr>
          <w:b/>
          <w:sz w:val="22"/>
          <w:szCs w:val="22"/>
        </w:rPr>
        <w:t>Erikson</w:t>
      </w:r>
      <w:proofErr w:type="spellEnd"/>
      <w:r w:rsidRPr="000C5758">
        <w:rPr>
          <w:b/>
          <w:sz w:val="22"/>
          <w:szCs w:val="22"/>
        </w:rPr>
        <w:t xml:space="preserve">, E.H. (1982) </w:t>
      </w:r>
      <w:r w:rsidRPr="000C5758">
        <w:rPr>
          <w:b/>
          <w:i/>
          <w:sz w:val="22"/>
          <w:szCs w:val="22"/>
        </w:rPr>
        <w:t>The Life Cycle Completed</w:t>
      </w:r>
      <w:r w:rsidRPr="000C5758">
        <w:rPr>
          <w:b/>
          <w:sz w:val="22"/>
          <w:szCs w:val="22"/>
        </w:rPr>
        <w:t>. New York: W.W. Norton.</w:t>
      </w:r>
    </w:p>
    <w:p w14:paraId="5C52AEFA" w14:textId="595B3ECD" w:rsidR="00471697" w:rsidRPr="000C5758" w:rsidRDefault="00803F87">
      <w:pPr>
        <w:ind w:left="-5"/>
        <w:rPr>
          <w:sz w:val="22"/>
          <w:szCs w:val="22"/>
        </w:rPr>
      </w:pPr>
      <w:r w:rsidRPr="000C5758">
        <w:rPr>
          <w:sz w:val="22"/>
          <w:szCs w:val="22"/>
        </w:rPr>
        <w:t xml:space="preserve">This book expands </w:t>
      </w:r>
      <w:proofErr w:type="spellStart"/>
      <w:r w:rsidRPr="000C5758">
        <w:rPr>
          <w:sz w:val="22"/>
          <w:szCs w:val="22"/>
        </w:rPr>
        <w:t>Erikson’s</w:t>
      </w:r>
      <w:proofErr w:type="spellEnd"/>
      <w:r w:rsidRPr="000C5758">
        <w:rPr>
          <w:sz w:val="22"/>
          <w:szCs w:val="22"/>
        </w:rPr>
        <w:t xml:space="preserve"> theory of psychosocial development across the lifespan and highlights the final developmental stage of “ego integrity versus despair,” which typically occurs in later adulthood. </w:t>
      </w:r>
      <w:proofErr w:type="spellStart"/>
      <w:r w:rsidRPr="000C5758">
        <w:rPr>
          <w:sz w:val="22"/>
          <w:szCs w:val="22"/>
        </w:rPr>
        <w:t>Erikson</w:t>
      </w:r>
      <w:proofErr w:type="spellEnd"/>
      <w:r w:rsidRPr="000C5758">
        <w:rPr>
          <w:sz w:val="22"/>
          <w:szCs w:val="22"/>
        </w:rPr>
        <w:t xml:space="preserve"> argues that individuals in older age reflect on their lives and evaluate whether they have lived meaningfully. Successful resolution of this stage leads to a sense of integrity, wisdom, and acceptance of life, while unsuccessful resolution may lead to regret and despair. The book emphasises that older adults </w:t>
      </w:r>
      <w:r w:rsidR="004A65DF" w:rsidRPr="000C5758">
        <w:rPr>
          <w:sz w:val="22"/>
          <w:szCs w:val="22"/>
        </w:rPr>
        <w:t>receive help</w:t>
      </w:r>
      <w:r w:rsidRPr="000C5758">
        <w:rPr>
          <w:sz w:val="22"/>
          <w:szCs w:val="22"/>
        </w:rPr>
        <w:t xml:space="preserve"> from opportunities to review their life experiences and share personal stories with others. </w:t>
      </w:r>
      <w:proofErr w:type="spellStart"/>
      <w:r w:rsidRPr="000C5758">
        <w:rPr>
          <w:sz w:val="22"/>
          <w:szCs w:val="22"/>
        </w:rPr>
        <w:t>Erikson</w:t>
      </w:r>
      <w:proofErr w:type="spellEnd"/>
      <w:r w:rsidRPr="000C5758">
        <w:rPr>
          <w:sz w:val="22"/>
          <w:szCs w:val="22"/>
        </w:rPr>
        <w:t xml:space="preserve"> also suggests that supportive social relationships and meaningful engagement with society help individuals achieve a sense of fulfilment during later life.</w:t>
      </w:r>
    </w:p>
    <w:p w14:paraId="5064889D" w14:textId="77777777" w:rsidR="00D61533" w:rsidRPr="000C5758" w:rsidRDefault="00803F87">
      <w:pPr>
        <w:spacing w:after="520"/>
        <w:ind w:left="-5"/>
        <w:rPr>
          <w:sz w:val="22"/>
          <w:szCs w:val="22"/>
        </w:rPr>
      </w:pPr>
      <w:r w:rsidRPr="000C5758">
        <w:rPr>
          <w:sz w:val="22"/>
          <w:szCs w:val="22"/>
        </w:rPr>
        <w:t xml:space="preserve">This theory is highly relevant for health and social care settings because many older adults in residential care homes experience feelings of isolation or loss of identity. Professionals can use </w:t>
      </w:r>
    </w:p>
    <w:p w14:paraId="6B0FA0F5" w14:textId="16E7DEAF" w:rsidR="00471697" w:rsidRPr="000C5758" w:rsidRDefault="00803F87">
      <w:pPr>
        <w:spacing w:after="520"/>
        <w:ind w:left="-5"/>
        <w:rPr>
          <w:sz w:val="22"/>
          <w:szCs w:val="22"/>
        </w:rPr>
      </w:pPr>
      <w:r w:rsidRPr="000C5758">
        <w:rPr>
          <w:sz w:val="22"/>
          <w:szCs w:val="22"/>
        </w:rPr>
        <w:t xml:space="preserve"> theory to design interventions that encourage life review, storytelling, and reminiscence activities. Such approaches allow older adults to reflect on achievements and life experiences, which can strengthen their sense of identity and psychological wellbeing. However, critics argue that </w:t>
      </w:r>
      <w:proofErr w:type="spellStart"/>
      <w:r w:rsidRPr="000C5758">
        <w:rPr>
          <w:sz w:val="22"/>
          <w:szCs w:val="22"/>
        </w:rPr>
        <w:t>Erikson’s</w:t>
      </w:r>
      <w:proofErr w:type="spellEnd"/>
      <w:r w:rsidRPr="000C5758">
        <w:rPr>
          <w:sz w:val="22"/>
          <w:szCs w:val="22"/>
        </w:rPr>
        <w:t xml:space="preserve"> stage model may oversimplify the diversity of experiences in later life, as not all individuals follow the same developmental pattern. Despite this limitation, the theory </w:t>
      </w:r>
      <w:r w:rsidR="004A65DF" w:rsidRPr="000C5758">
        <w:rPr>
          <w:sz w:val="22"/>
          <w:szCs w:val="22"/>
        </w:rPr>
        <w:t>is still</w:t>
      </w:r>
      <w:r w:rsidRPr="000C5758">
        <w:rPr>
          <w:sz w:val="22"/>
          <w:szCs w:val="22"/>
        </w:rPr>
        <w:t xml:space="preserve"> valuable for understanding emotional needs in older adults and guiding person-centred care.</w:t>
      </w:r>
    </w:p>
    <w:p w14:paraId="519EC5AC" w14:textId="77777777" w:rsidR="00471697" w:rsidRPr="000C5758" w:rsidRDefault="00803F87">
      <w:pPr>
        <w:spacing w:after="192" w:line="259" w:lineRule="auto"/>
        <w:ind w:left="-5"/>
        <w:rPr>
          <w:sz w:val="22"/>
          <w:szCs w:val="22"/>
        </w:rPr>
      </w:pPr>
      <w:proofErr w:type="spellStart"/>
      <w:r w:rsidRPr="000C5758">
        <w:rPr>
          <w:b/>
          <w:sz w:val="22"/>
          <w:szCs w:val="22"/>
        </w:rPr>
        <w:t>Havighurst</w:t>
      </w:r>
      <w:proofErr w:type="spellEnd"/>
      <w:r w:rsidRPr="000C5758">
        <w:rPr>
          <w:b/>
          <w:sz w:val="22"/>
          <w:szCs w:val="22"/>
        </w:rPr>
        <w:t xml:space="preserve">, R.J. (1961) ‘Successful aging’, </w:t>
      </w:r>
      <w:r w:rsidRPr="000C5758">
        <w:rPr>
          <w:b/>
          <w:i/>
          <w:sz w:val="22"/>
          <w:szCs w:val="22"/>
        </w:rPr>
        <w:t>The Gerontologist</w:t>
      </w:r>
      <w:r w:rsidRPr="000C5758">
        <w:rPr>
          <w:b/>
          <w:sz w:val="22"/>
          <w:szCs w:val="22"/>
        </w:rPr>
        <w:t>, 1(1), pp. 8–13.</w:t>
      </w:r>
    </w:p>
    <w:p w14:paraId="53123C43" w14:textId="0CF52428" w:rsidR="00471697" w:rsidRPr="000C5758" w:rsidRDefault="00803F87">
      <w:pPr>
        <w:ind w:left="-5"/>
        <w:rPr>
          <w:sz w:val="22"/>
          <w:szCs w:val="22"/>
        </w:rPr>
      </w:pPr>
      <w:proofErr w:type="spellStart"/>
      <w:r w:rsidRPr="000C5758">
        <w:rPr>
          <w:sz w:val="22"/>
          <w:szCs w:val="22"/>
        </w:rPr>
        <w:t>Havighurst’s</w:t>
      </w:r>
      <w:proofErr w:type="spellEnd"/>
      <w:r w:rsidRPr="000C5758">
        <w:rPr>
          <w:sz w:val="22"/>
          <w:szCs w:val="22"/>
        </w:rPr>
        <w:t xml:space="preserve"> Activity Theory proposes that successful ageing occurs when older adults </w:t>
      </w:r>
      <w:r w:rsidR="004A65DF" w:rsidRPr="000C5758">
        <w:rPr>
          <w:sz w:val="22"/>
          <w:szCs w:val="22"/>
        </w:rPr>
        <w:t>stay</w:t>
      </w:r>
      <w:r w:rsidRPr="000C5758">
        <w:rPr>
          <w:sz w:val="22"/>
          <w:szCs w:val="22"/>
        </w:rPr>
        <w:t xml:space="preserve"> socially active and </w:t>
      </w:r>
      <w:r w:rsidR="001362DC" w:rsidRPr="000C5758">
        <w:rPr>
          <w:sz w:val="22"/>
          <w:szCs w:val="22"/>
        </w:rPr>
        <w:t>support</w:t>
      </w:r>
      <w:r w:rsidRPr="000C5758">
        <w:rPr>
          <w:sz w:val="22"/>
          <w:szCs w:val="22"/>
        </w:rPr>
        <w:t xml:space="preserve"> roles that provide meaning and purpose. According to the theory, ageing does not necessarily require withdrawal from society. Instead, individuals who continue to </w:t>
      </w:r>
      <w:r w:rsidR="008211B1" w:rsidRPr="000C5758">
        <w:rPr>
          <w:sz w:val="22"/>
          <w:szCs w:val="22"/>
        </w:rPr>
        <w:t>take part</w:t>
      </w:r>
      <w:r w:rsidRPr="000C5758">
        <w:rPr>
          <w:sz w:val="22"/>
          <w:szCs w:val="22"/>
        </w:rPr>
        <w:t xml:space="preserve"> in social, recreational, or productive activities tend to report higher levels of life satisfaction and wellbeing. </w:t>
      </w:r>
      <w:proofErr w:type="spellStart"/>
      <w:r w:rsidRPr="000C5758">
        <w:rPr>
          <w:sz w:val="22"/>
          <w:szCs w:val="22"/>
        </w:rPr>
        <w:t>Havighurst</w:t>
      </w:r>
      <w:proofErr w:type="spellEnd"/>
      <w:r w:rsidRPr="000C5758">
        <w:rPr>
          <w:sz w:val="22"/>
          <w:szCs w:val="22"/>
        </w:rPr>
        <w:t xml:space="preserve"> argues that maintaining interactions with others and continuing familiar activities helps older adults preserve their identity and sense of independence.</w:t>
      </w:r>
    </w:p>
    <w:p w14:paraId="7D9EBBF0" w14:textId="77777777" w:rsidR="00471697" w:rsidRPr="000C5758" w:rsidRDefault="00803F87">
      <w:pPr>
        <w:spacing w:after="520"/>
        <w:ind w:left="-5"/>
        <w:rPr>
          <w:sz w:val="22"/>
          <w:szCs w:val="22"/>
        </w:rPr>
      </w:pPr>
      <w:r w:rsidRPr="000C5758">
        <w:rPr>
          <w:sz w:val="22"/>
          <w:szCs w:val="22"/>
        </w:rPr>
        <w:t>In health and social care environments, this theory highlights the importance of encouraging participation rather than passive care. Care homes that offer group activities, hobbies, volunteering opportunities, or social events help residents remain engaged with others and maintain a sense of belonging. This is particularly important because loneliness and inactivity are common issues among older adults living in institutional settings. A limitation of Activity Theory is that it may not fully account for ind</w:t>
      </w:r>
      <w:r w:rsidRPr="000C5758">
        <w:rPr>
          <w:sz w:val="22"/>
          <w:szCs w:val="22"/>
        </w:rPr>
        <w:t xml:space="preserve">ividuals with significant health conditions who are unable to remain highly active. Nonetheless, the theory remains influential because it </w:t>
      </w:r>
      <w:r w:rsidRPr="000C5758">
        <w:rPr>
          <w:sz w:val="22"/>
          <w:szCs w:val="22"/>
        </w:rPr>
        <w:lastRenderedPageBreak/>
        <w:t>emphasises empowerment, engagement, and social participation as key factors in healthy ageing.</w:t>
      </w:r>
    </w:p>
    <w:p w14:paraId="4D9CF214" w14:textId="77777777" w:rsidR="00471697" w:rsidRPr="000C5758" w:rsidRDefault="00803F87">
      <w:pPr>
        <w:spacing w:after="192" w:line="259" w:lineRule="auto"/>
        <w:ind w:left="-5"/>
        <w:rPr>
          <w:sz w:val="22"/>
          <w:szCs w:val="22"/>
        </w:rPr>
      </w:pPr>
      <w:proofErr w:type="spellStart"/>
      <w:r w:rsidRPr="000C5758">
        <w:rPr>
          <w:b/>
          <w:sz w:val="22"/>
          <w:szCs w:val="22"/>
        </w:rPr>
        <w:t>Bowlby</w:t>
      </w:r>
      <w:proofErr w:type="spellEnd"/>
      <w:r w:rsidRPr="000C5758">
        <w:rPr>
          <w:b/>
          <w:sz w:val="22"/>
          <w:szCs w:val="22"/>
        </w:rPr>
        <w:t xml:space="preserve">, J. (1969) </w:t>
      </w:r>
      <w:r w:rsidRPr="000C5758">
        <w:rPr>
          <w:b/>
          <w:i/>
          <w:sz w:val="22"/>
          <w:szCs w:val="22"/>
        </w:rPr>
        <w:t>Attachment and Loss: Volume 1 – Attachment</w:t>
      </w:r>
      <w:r w:rsidRPr="000C5758">
        <w:rPr>
          <w:b/>
          <w:sz w:val="22"/>
          <w:szCs w:val="22"/>
        </w:rPr>
        <w:t>. London: Hogarth Press.</w:t>
      </w:r>
    </w:p>
    <w:p w14:paraId="18FFC7E7" w14:textId="248E6B5D" w:rsidR="00471697" w:rsidRPr="000C5758" w:rsidRDefault="00803F87">
      <w:pPr>
        <w:ind w:left="-5"/>
        <w:rPr>
          <w:sz w:val="22"/>
          <w:szCs w:val="22"/>
        </w:rPr>
      </w:pPr>
      <w:proofErr w:type="spellStart"/>
      <w:r w:rsidRPr="000C5758">
        <w:rPr>
          <w:sz w:val="22"/>
          <w:szCs w:val="22"/>
        </w:rPr>
        <w:t>Bowlby’s</w:t>
      </w:r>
      <w:proofErr w:type="spellEnd"/>
      <w:r w:rsidRPr="000C5758">
        <w:rPr>
          <w:sz w:val="22"/>
          <w:szCs w:val="22"/>
        </w:rPr>
        <w:t xml:space="preserve"> Attachment Theory explains how early emotional bonds with </w:t>
      </w:r>
      <w:r w:rsidR="005149CE" w:rsidRPr="000C5758">
        <w:rPr>
          <w:sz w:val="22"/>
          <w:szCs w:val="22"/>
        </w:rPr>
        <w:t>caregiver's</w:t>
      </w:r>
      <w:r w:rsidRPr="000C5758">
        <w:rPr>
          <w:sz w:val="22"/>
          <w:szCs w:val="22"/>
        </w:rPr>
        <w:t xml:space="preserve"> shape individuals’ ability to form relationships and seek support throughout life. Although originally focused on childhood development, later research has demonstrated that attachment needs remain important in adulthood and old age. Older adults may seek emotional security and reassurance from trusted caregivers, particularly when facing health problems, loss of independence, or relocation to residential care. Secure attachments are associated with better emotional regulation, lower anxiety, and stronger </w:t>
      </w:r>
      <w:r w:rsidRPr="000C5758">
        <w:rPr>
          <w:sz w:val="22"/>
          <w:szCs w:val="22"/>
        </w:rPr>
        <w:t>resilience in stressful situations.</w:t>
      </w:r>
    </w:p>
    <w:p w14:paraId="27A4AC35" w14:textId="77777777" w:rsidR="00471697" w:rsidRPr="000C5758" w:rsidRDefault="00803F87">
      <w:pPr>
        <w:spacing w:after="520"/>
        <w:ind w:left="-5"/>
        <w:rPr>
          <w:sz w:val="22"/>
          <w:szCs w:val="22"/>
        </w:rPr>
      </w:pPr>
      <w:r w:rsidRPr="000C5758">
        <w:rPr>
          <w:sz w:val="22"/>
          <w:szCs w:val="22"/>
        </w:rPr>
        <w:t>Within health and social care settings, Attachment Theory emphasises the importance of stable, trusting relationships between staff and residents. Consistent caregiving, emotional warmth, and clear communication can help residents feel safe and supported. For individuals with dementia or cognitive decline, familiar relationships can also reduce distress and confusion. One criticism of applying Attachment Theory in adult care is that it may be difficult to replicate family-like relationships within professio</w:t>
      </w:r>
      <w:r w:rsidRPr="000C5758">
        <w:rPr>
          <w:sz w:val="22"/>
          <w:szCs w:val="22"/>
        </w:rPr>
        <w:t>nal settings where staff rotations occur. However, recognising the emotional importance of attachment can still improve care practices by encouraging continuity, empathy, and relationship-based support.</w:t>
      </w:r>
    </w:p>
    <w:p w14:paraId="736F2513" w14:textId="77777777" w:rsidR="00471697" w:rsidRPr="000C5758" w:rsidRDefault="00803F87">
      <w:pPr>
        <w:spacing w:after="72" w:line="259" w:lineRule="auto"/>
        <w:ind w:left="0" w:firstLine="0"/>
        <w:rPr>
          <w:sz w:val="22"/>
          <w:szCs w:val="22"/>
        </w:rPr>
      </w:pPr>
      <w:proofErr w:type="spellStart"/>
      <w:r w:rsidRPr="000C5758">
        <w:rPr>
          <w:b/>
          <w:sz w:val="22"/>
          <w:szCs w:val="22"/>
        </w:rPr>
        <w:t>Seligman</w:t>
      </w:r>
      <w:proofErr w:type="spellEnd"/>
      <w:r w:rsidRPr="000C5758">
        <w:rPr>
          <w:b/>
          <w:sz w:val="22"/>
          <w:szCs w:val="22"/>
        </w:rPr>
        <w:t xml:space="preserve">, M.E.P. (2011) </w:t>
      </w:r>
      <w:r w:rsidRPr="000C5758">
        <w:rPr>
          <w:b/>
          <w:i/>
          <w:sz w:val="22"/>
          <w:szCs w:val="22"/>
        </w:rPr>
        <w:t>Flourish: A Visionary New Understanding of Happiness and Well-being</w:t>
      </w:r>
      <w:r w:rsidRPr="000C5758">
        <w:rPr>
          <w:b/>
          <w:sz w:val="22"/>
          <w:szCs w:val="22"/>
        </w:rPr>
        <w:t>.</w:t>
      </w:r>
    </w:p>
    <w:p w14:paraId="09EE301C" w14:textId="77777777" w:rsidR="00471697" w:rsidRPr="000C5758" w:rsidRDefault="00803F87">
      <w:pPr>
        <w:spacing w:after="192" w:line="259" w:lineRule="auto"/>
        <w:ind w:left="-5"/>
        <w:rPr>
          <w:sz w:val="22"/>
          <w:szCs w:val="22"/>
        </w:rPr>
      </w:pPr>
      <w:r w:rsidRPr="000C5758">
        <w:rPr>
          <w:b/>
          <w:sz w:val="22"/>
          <w:szCs w:val="22"/>
        </w:rPr>
        <w:t>New York: Free Press.</w:t>
      </w:r>
    </w:p>
    <w:p w14:paraId="11B84C5C" w14:textId="77777777" w:rsidR="00471697" w:rsidRPr="000C5758" w:rsidRDefault="00803F87">
      <w:pPr>
        <w:ind w:left="-5"/>
        <w:rPr>
          <w:sz w:val="22"/>
          <w:szCs w:val="22"/>
        </w:rPr>
      </w:pPr>
      <w:proofErr w:type="spellStart"/>
      <w:r w:rsidRPr="000C5758">
        <w:rPr>
          <w:sz w:val="22"/>
          <w:szCs w:val="22"/>
        </w:rPr>
        <w:t>Seligman’s</w:t>
      </w:r>
      <w:proofErr w:type="spellEnd"/>
      <w:r w:rsidRPr="000C5758">
        <w:rPr>
          <w:sz w:val="22"/>
          <w:szCs w:val="22"/>
        </w:rPr>
        <w:t xml:space="preserve"> work on positive psychology focuses on promoting wellbeing rather than simply treating psychological problems. He introduces the PERMA model, which includes five key elements of wellbeing: positive emotions, engagement, relationships, meaning, and accomplishment. In the context of ageing, positive psychology suggests that older adults can continue to experience growth, satisfaction, and purpose when their strengths and capabilities are recognised. The approach encourages interventions that focus on gratitu</w:t>
      </w:r>
      <w:r w:rsidRPr="000C5758">
        <w:rPr>
          <w:sz w:val="22"/>
          <w:szCs w:val="22"/>
        </w:rPr>
        <w:t>de, optimism, social connection, and meaningful activities.</w:t>
      </w:r>
    </w:p>
    <w:p w14:paraId="66562303" w14:textId="77777777" w:rsidR="00471697" w:rsidRPr="000C5758" w:rsidRDefault="00803F87">
      <w:pPr>
        <w:ind w:left="-5"/>
        <w:rPr>
          <w:sz w:val="22"/>
          <w:szCs w:val="22"/>
        </w:rPr>
      </w:pPr>
      <w:r w:rsidRPr="000C5758">
        <w:rPr>
          <w:sz w:val="22"/>
          <w:szCs w:val="22"/>
        </w:rPr>
        <w:t xml:space="preserve">This perspective is particularly relevant in modern health and social care because it shifts the focus from illness and dependency to strengths and quality of life. Care homes can incorporate positive psychology by offering activities that build residents’ sense of purpose, such as mentoring younger people, creative projects, or community engagement initiatives. A challenge with this approach is that it may overlook structural issues such as limited staffing or resources </w:t>
      </w:r>
      <w:r w:rsidRPr="000C5758">
        <w:rPr>
          <w:sz w:val="22"/>
          <w:szCs w:val="22"/>
        </w:rPr>
        <w:lastRenderedPageBreak/>
        <w:t>that affect residents’ wellbeing. Nevertheless, positive psychology provides a useful framework for promoting holistic care that supports emotional resilience and life satisfaction in older adults.</w:t>
      </w:r>
    </w:p>
    <w:p w14:paraId="118A0FC5" w14:textId="77777777" w:rsidR="00471697" w:rsidRPr="000C5758" w:rsidRDefault="00803F87">
      <w:pPr>
        <w:pStyle w:val="Heading1"/>
        <w:ind w:left="-5"/>
        <w:rPr>
          <w:sz w:val="22"/>
          <w:szCs w:val="22"/>
        </w:rPr>
      </w:pPr>
      <w:r w:rsidRPr="000C5758">
        <w:rPr>
          <w:sz w:val="22"/>
          <w:szCs w:val="22"/>
        </w:rPr>
        <w:t>Part B: Short Report – Applying Activity Theory in Residential Care (Approx. 750 words)</w:t>
      </w:r>
    </w:p>
    <w:p w14:paraId="788BBEB2" w14:textId="77777777" w:rsidR="00471697" w:rsidRPr="000C5758" w:rsidRDefault="00803F87">
      <w:pPr>
        <w:spacing w:after="320"/>
        <w:ind w:left="-5"/>
        <w:rPr>
          <w:sz w:val="22"/>
          <w:szCs w:val="22"/>
        </w:rPr>
      </w:pPr>
      <w:r w:rsidRPr="000C5758">
        <w:rPr>
          <w:sz w:val="22"/>
          <w:szCs w:val="22"/>
        </w:rPr>
        <w:t xml:space="preserve">Health and social care professionals working in residential care homes play a crucial role in supporting the psychological wellbeing of older adults. One theory that is particularly useful in this context is </w:t>
      </w:r>
      <w:proofErr w:type="spellStart"/>
      <w:r w:rsidRPr="000C5758">
        <w:rPr>
          <w:sz w:val="22"/>
          <w:szCs w:val="22"/>
        </w:rPr>
        <w:t>Havighurst’s</w:t>
      </w:r>
      <w:proofErr w:type="spellEnd"/>
      <w:r w:rsidRPr="000C5758">
        <w:rPr>
          <w:sz w:val="22"/>
          <w:szCs w:val="22"/>
        </w:rPr>
        <w:t xml:space="preserve"> Activity Theory. This theory proposes that older adults experience higher levels of life satisfaction when they remain socially active and continue to engage in meaningful roles and activities. Rather than viewing ageing as a period of withdrawal from society, Activity Theory suggests that maintaining participation in social and personal interests can promote a sense of purpose, independence, and emotional wellbeing.</w:t>
      </w:r>
    </w:p>
    <w:p w14:paraId="241FB378" w14:textId="77777777" w:rsidR="00471697" w:rsidRPr="000C5758" w:rsidRDefault="00803F87">
      <w:pPr>
        <w:spacing w:after="320"/>
        <w:ind w:left="-5"/>
        <w:rPr>
          <w:sz w:val="22"/>
          <w:szCs w:val="22"/>
        </w:rPr>
      </w:pPr>
      <w:r w:rsidRPr="000C5758">
        <w:rPr>
          <w:sz w:val="22"/>
          <w:szCs w:val="22"/>
        </w:rPr>
        <w:t>In residential care homes, many older adults experience significant life changes, including the loss of independence, reduced contact with family members, and the transition from their own home to an institutional environment. These changes can contribute to loneliness, depression, and reduced self-esteem. Activity Theory provides a framework for addressing these challenges by encouraging continued engagement in social, recreational, and purposeful activities. By supporting residents to remain active and so</w:t>
      </w:r>
      <w:r w:rsidRPr="000C5758">
        <w:rPr>
          <w:sz w:val="22"/>
          <w:szCs w:val="22"/>
        </w:rPr>
        <w:t>cially connected, care professionals can help maintain their sense of identity and improve overall quality of life.</w:t>
      </w:r>
    </w:p>
    <w:p w14:paraId="6F34BF5C" w14:textId="77777777" w:rsidR="00471697" w:rsidRPr="000C5758" w:rsidRDefault="00803F87">
      <w:pPr>
        <w:spacing w:after="320"/>
        <w:ind w:left="-5"/>
        <w:rPr>
          <w:sz w:val="22"/>
          <w:szCs w:val="22"/>
        </w:rPr>
      </w:pPr>
      <w:r w:rsidRPr="000C5758">
        <w:rPr>
          <w:sz w:val="22"/>
          <w:szCs w:val="22"/>
        </w:rPr>
        <w:t>One practical way to apply Activity Theory in a care home is through structured social programmes. Activities such as art classes, gardening groups, music sessions, reading clubs, or light physical exercise can encourage residents to interact with others and maintain a routine. These activities should be tailored to individual interests and abilities so that residents feel motivated and included. Encouraging participation in decision-making about activities is also important because it allows residents to f</w:t>
      </w:r>
      <w:r w:rsidRPr="000C5758">
        <w:rPr>
          <w:sz w:val="22"/>
          <w:szCs w:val="22"/>
        </w:rPr>
        <w:t>eel valued and respected.</w:t>
      </w:r>
    </w:p>
    <w:p w14:paraId="559E122C" w14:textId="77777777" w:rsidR="00471697" w:rsidRPr="000C5758" w:rsidRDefault="00803F87">
      <w:pPr>
        <w:spacing w:after="320"/>
        <w:ind w:left="-5"/>
        <w:rPr>
          <w:sz w:val="22"/>
          <w:szCs w:val="22"/>
        </w:rPr>
      </w:pPr>
      <w:r w:rsidRPr="000C5758">
        <w:rPr>
          <w:sz w:val="22"/>
          <w:szCs w:val="22"/>
        </w:rPr>
        <w:t>For example, consider the case of Mrs. Ahmed, an 82-year-old resident who recently moved into a residential care home after the death of her husband. Initially, she spent most of her time alone in her room and rarely participated in group activities. Staff members recognised that she previously enjoyed gardening and community events. To support her engagement, the care team invited her to join a small gardening project within the care home courtyard. Over time, Mrs. Ahmed began to interact with other reside</w:t>
      </w:r>
      <w:r w:rsidRPr="000C5758">
        <w:rPr>
          <w:sz w:val="22"/>
          <w:szCs w:val="22"/>
        </w:rPr>
        <w:t>nts who shared the same interest. She started helping staff organise weekly gardening sessions and even shared advice with other residents about plant care. As a result, her mood improved, she became more socially active, and she reported feeling more positive about living in the care home.</w:t>
      </w:r>
    </w:p>
    <w:p w14:paraId="2C2C1573" w14:textId="77777777" w:rsidR="00471697" w:rsidRPr="000C5758" w:rsidRDefault="00803F87">
      <w:pPr>
        <w:spacing w:after="0"/>
        <w:ind w:left="-5"/>
        <w:rPr>
          <w:sz w:val="22"/>
          <w:szCs w:val="22"/>
        </w:rPr>
      </w:pPr>
      <w:r w:rsidRPr="000C5758">
        <w:rPr>
          <w:sz w:val="22"/>
          <w:szCs w:val="22"/>
        </w:rPr>
        <w:t xml:space="preserve">This example illustrates how Activity Theory can enhance psychological wellbeing by providing opportunities for meaningful participation. When residents are involved in activities that reflect </w:t>
      </w:r>
      <w:r w:rsidRPr="000C5758">
        <w:rPr>
          <w:sz w:val="22"/>
          <w:szCs w:val="22"/>
        </w:rPr>
        <w:lastRenderedPageBreak/>
        <w:t>their personal interests and past experiences, they are more likely to feel a sense of purpose and belonging.</w:t>
      </w:r>
    </w:p>
    <w:p w14:paraId="323FB319" w14:textId="77777777" w:rsidR="00471697" w:rsidRPr="000C5758" w:rsidRDefault="00803F87">
      <w:pPr>
        <w:spacing w:after="329"/>
        <w:ind w:left="-5"/>
        <w:rPr>
          <w:sz w:val="22"/>
          <w:szCs w:val="22"/>
        </w:rPr>
      </w:pPr>
      <w:r w:rsidRPr="000C5758">
        <w:rPr>
          <w:sz w:val="22"/>
          <w:szCs w:val="22"/>
        </w:rPr>
        <w:t>Social interaction within these activities also helps reduce loneliness and supports emotional health.</w:t>
      </w:r>
    </w:p>
    <w:p w14:paraId="50C68326" w14:textId="77777777" w:rsidR="00471697" w:rsidRPr="000C5758" w:rsidRDefault="00803F87">
      <w:pPr>
        <w:ind w:left="-5"/>
        <w:rPr>
          <w:sz w:val="22"/>
          <w:szCs w:val="22"/>
        </w:rPr>
      </w:pPr>
      <w:r w:rsidRPr="000C5758">
        <w:rPr>
          <w:sz w:val="22"/>
          <w:szCs w:val="22"/>
        </w:rPr>
        <w:t>Despite its benefits, professionals may face several challenges when applying Activity Theory in care homes. One major challenge is the diversity of residents’ physical and cognitive abilities. Some residents may have mobility limitations, chronic health conditions, or dementia, which can make participation in certain activities difficult. Additionally, limited staffing and resources may restrict the number of programmes that can be offered.</w:t>
      </w:r>
    </w:p>
    <w:p w14:paraId="6AA22411" w14:textId="77777777" w:rsidR="00471697" w:rsidRPr="000C5758" w:rsidRDefault="00803F87">
      <w:pPr>
        <w:spacing w:after="320"/>
        <w:ind w:left="-5"/>
        <w:rPr>
          <w:sz w:val="22"/>
          <w:szCs w:val="22"/>
        </w:rPr>
      </w:pPr>
      <w:r w:rsidRPr="000C5758">
        <w:rPr>
          <w:sz w:val="22"/>
          <w:szCs w:val="22"/>
        </w:rPr>
        <w:t>To overcome these challenges, care professionals can adopt a flexible and person-centred approach. Activities should be adapted to suit different ability levels so that all residents have the opportunity to participate. For example, seated exercise sessions, sensory activities, or small group discussions may be more suitable for individuals with limited mobility. Involving volunteers, family members, or community organisations can also help expand activity programmes and provide additional support. Importan</w:t>
      </w:r>
      <w:r w:rsidRPr="000C5758">
        <w:rPr>
          <w:sz w:val="22"/>
          <w:szCs w:val="22"/>
        </w:rPr>
        <w:t>tly, staff training in person-centred care can help professionals understand residents’ preferences, abilities, and life histories, which allows them to design more meaningful and inclusive activities.</w:t>
      </w:r>
    </w:p>
    <w:p w14:paraId="694E8327" w14:textId="77777777" w:rsidR="00471697" w:rsidRPr="000C5758" w:rsidRDefault="00803F87">
      <w:pPr>
        <w:ind w:left="-5"/>
        <w:rPr>
          <w:sz w:val="22"/>
          <w:szCs w:val="22"/>
        </w:rPr>
      </w:pPr>
      <w:r w:rsidRPr="000C5758">
        <w:rPr>
          <w:sz w:val="22"/>
          <w:szCs w:val="22"/>
        </w:rPr>
        <w:t xml:space="preserve">In conclusion, </w:t>
      </w:r>
      <w:proofErr w:type="spellStart"/>
      <w:r w:rsidRPr="000C5758">
        <w:rPr>
          <w:sz w:val="22"/>
          <w:szCs w:val="22"/>
        </w:rPr>
        <w:t>Havighurst’s</w:t>
      </w:r>
      <w:proofErr w:type="spellEnd"/>
      <w:r w:rsidRPr="000C5758">
        <w:rPr>
          <w:sz w:val="22"/>
          <w:szCs w:val="22"/>
        </w:rPr>
        <w:t xml:space="preserve"> Activity Theory provides a valuable framework for promoting psychological wellbeing among older adults living in residential care homes. By encouraging social engagement, meaningful activities, and continued participation in valued roles, care professionals can help residents maintain a sense of purpose and identity. Although practical challenges such as health limitations and resource constraints may arise, these can be addressed through flexible and person-centred strategies. Applying this th</w:t>
      </w:r>
      <w:r w:rsidRPr="000C5758">
        <w:rPr>
          <w:sz w:val="22"/>
          <w:szCs w:val="22"/>
        </w:rPr>
        <w:t>eory in practice ultimately contributes to a more supportive and enriching environment for older adults in residential care.</w:t>
      </w:r>
      <w:r w:rsidRPr="000C5758">
        <w:rPr>
          <w:sz w:val="22"/>
          <w:szCs w:val="22"/>
        </w:rPr>
        <w:br w:type="page"/>
      </w:r>
    </w:p>
    <w:p w14:paraId="040A6D5A" w14:textId="77777777" w:rsidR="00471697" w:rsidRPr="000C5758" w:rsidRDefault="00803F87">
      <w:pPr>
        <w:pStyle w:val="Heading1"/>
        <w:ind w:left="-5"/>
        <w:rPr>
          <w:sz w:val="22"/>
          <w:szCs w:val="22"/>
        </w:rPr>
      </w:pPr>
      <w:r w:rsidRPr="000C5758">
        <w:rPr>
          <w:sz w:val="22"/>
          <w:szCs w:val="22"/>
        </w:rPr>
        <w:lastRenderedPageBreak/>
        <w:t>Reference List</w:t>
      </w:r>
    </w:p>
    <w:p w14:paraId="1F11C4AD" w14:textId="77777777" w:rsidR="00471697" w:rsidRPr="000C5758" w:rsidRDefault="00803F87">
      <w:pPr>
        <w:spacing w:after="249"/>
        <w:ind w:left="-5"/>
        <w:rPr>
          <w:sz w:val="22"/>
          <w:szCs w:val="22"/>
        </w:rPr>
      </w:pPr>
      <w:proofErr w:type="spellStart"/>
      <w:r w:rsidRPr="000C5758">
        <w:rPr>
          <w:sz w:val="22"/>
          <w:szCs w:val="22"/>
        </w:rPr>
        <w:t>Bowbly</w:t>
      </w:r>
      <w:proofErr w:type="spellEnd"/>
      <w:r w:rsidRPr="000C5758">
        <w:rPr>
          <w:sz w:val="22"/>
          <w:szCs w:val="22"/>
        </w:rPr>
        <w:t>, J. (1969) Attachment and Loss: Volume 1 – Attachment. London: Hogarth Press.</w:t>
      </w:r>
    </w:p>
    <w:p w14:paraId="07B2F66B" w14:textId="77777777" w:rsidR="00471697" w:rsidRPr="000C5758" w:rsidRDefault="00803F87">
      <w:pPr>
        <w:spacing w:after="249"/>
        <w:ind w:left="-5"/>
        <w:rPr>
          <w:sz w:val="22"/>
          <w:szCs w:val="22"/>
        </w:rPr>
      </w:pPr>
      <w:proofErr w:type="spellStart"/>
      <w:r w:rsidRPr="000C5758">
        <w:rPr>
          <w:sz w:val="22"/>
          <w:szCs w:val="22"/>
        </w:rPr>
        <w:t>Erikson</w:t>
      </w:r>
      <w:proofErr w:type="spellEnd"/>
      <w:r w:rsidRPr="000C5758">
        <w:rPr>
          <w:sz w:val="22"/>
          <w:szCs w:val="22"/>
        </w:rPr>
        <w:t>, E.H. (1982) The Life Cycle Completed. New York: W.W. Norton.</w:t>
      </w:r>
    </w:p>
    <w:p w14:paraId="77A42AFA" w14:textId="77777777" w:rsidR="00471697" w:rsidRPr="000C5758" w:rsidRDefault="00803F87">
      <w:pPr>
        <w:spacing w:after="249"/>
        <w:ind w:left="-5"/>
        <w:rPr>
          <w:sz w:val="22"/>
          <w:szCs w:val="22"/>
        </w:rPr>
      </w:pPr>
      <w:proofErr w:type="spellStart"/>
      <w:r w:rsidRPr="000C5758">
        <w:rPr>
          <w:sz w:val="22"/>
          <w:szCs w:val="22"/>
        </w:rPr>
        <w:t>Havighurst</w:t>
      </w:r>
      <w:proofErr w:type="spellEnd"/>
      <w:r w:rsidRPr="000C5758">
        <w:rPr>
          <w:sz w:val="22"/>
          <w:szCs w:val="22"/>
        </w:rPr>
        <w:t>, R.J. (1961) Successful aging. The Gerontologist, 1(1), pp. 8–13.</w:t>
      </w:r>
    </w:p>
    <w:p w14:paraId="7011BD4A" w14:textId="77777777" w:rsidR="00471697" w:rsidRPr="000C5758" w:rsidRDefault="00803F87">
      <w:pPr>
        <w:ind w:left="-5"/>
        <w:rPr>
          <w:sz w:val="22"/>
          <w:szCs w:val="22"/>
        </w:rPr>
      </w:pPr>
      <w:proofErr w:type="spellStart"/>
      <w:r w:rsidRPr="000C5758">
        <w:rPr>
          <w:sz w:val="22"/>
          <w:szCs w:val="22"/>
        </w:rPr>
        <w:t>Seligman</w:t>
      </w:r>
      <w:proofErr w:type="spellEnd"/>
      <w:r w:rsidRPr="000C5758">
        <w:rPr>
          <w:sz w:val="22"/>
          <w:szCs w:val="22"/>
        </w:rPr>
        <w:t>, M.E.P. (2011) Flourish: A Visionary New Understanding of Happiness and Well-being. New York: Free Press.</w:t>
      </w:r>
    </w:p>
    <w:sectPr w:rsidR="00471697" w:rsidRPr="000C5758">
      <w:pgSz w:w="11906" w:h="16838"/>
      <w:pgMar w:top="1310" w:right="1254" w:bottom="1623" w:left="125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697"/>
    <w:rsid w:val="00003827"/>
    <w:rsid w:val="00012308"/>
    <w:rsid w:val="000C5758"/>
    <w:rsid w:val="001362DC"/>
    <w:rsid w:val="00471697"/>
    <w:rsid w:val="004A65DF"/>
    <w:rsid w:val="004B57B3"/>
    <w:rsid w:val="005149CE"/>
    <w:rsid w:val="0073509D"/>
    <w:rsid w:val="00803F87"/>
    <w:rsid w:val="008211B1"/>
    <w:rsid w:val="00CE14EA"/>
    <w:rsid w:val="00D61533"/>
    <w:rsid w:val="00F04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170464"/>
  <w15:docId w15:val="{5FD2B9C3-187D-4144-AFC1-DB914A418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80" w:line="334"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132" w:line="259" w:lineRule="auto"/>
      <w:ind w:left="10" w:hanging="10"/>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1709</Words>
  <Characters>9745</Characters>
  <Application>Microsoft Office Word</Application>
  <DocSecurity>0</DocSecurity>
  <Lines>81</Lines>
  <Paragraphs>22</Paragraphs>
  <ScaleCrop>false</ScaleCrop>
  <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keywords/>
  <cp:lastModifiedBy>Tayyaba Safraz Nadeem (2432012)</cp:lastModifiedBy>
  <cp:revision>13</cp:revision>
  <dcterms:created xsi:type="dcterms:W3CDTF">2026-03-06T10:52:00Z</dcterms:created>
  <dcterms:modified xsi:type="dcterms:W3CDTF">2026-03-06T11:06:00Z</dcterms:modified>
</cp:coreProperties>
</file>