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DA3FD" w14:textId="77777777" w:rsidR="00345F90" w:rsidRPr="001F199A" w:rsidRDefault="00345F90" w:rsidP="001A11EB">
      <w:pPr>
        <w:pStyle w:val="p1"/>
        <w:rPr>
          <w:rStyle w:val="s1"/>
          <w:rFonts w:ascii="Arial" w:hAnsi="Arial" w:cs="Arial"/>
          <w:b w:val="0"/>
          <w:bCs w:val="0"/>
          <w:sz w:val="34"/>
          <w:szCs w:val="34"/>
        </w:rPr>
      </w:pPr>
      <w:r w:rsidRPr="001F199A">
        <w:rPr>
          <w:rStyle w:val="s1"/>
          <w:rFonts w:ascii="Arial" w:hAnsi="Arial" w:cs="Arial"/>
          <w:b w:val="0"/>
          <w:bCs w:val="0"/>
          <w:sz w:val="34"/>
          <w:szCs w:val="34"/>
        </w:rPr>
        <w:t xml:space="preserve">Review of Plant Resource Management </w:t>
      </w:r>
    </w:p>
    <w:p w14:paraId="2F98E5EC" w14:textId="77777777" w:rsidR="00345F90" w:rsidRPr="001F199A" w:rsidRDefault="00345F90" w:rsidP="001A11EB">
      <w:pPr>
        <w:pStyle w:val="p1"/>
        <w:rPr>
          <w:rStyle w:val="s1"/>
          <w:rFonts w:ascii="Arial" w:hAnsi="Arial" w:cs="Arial"/>
          <w:b w:val="0"/>
          <w:bCs w:val="0"/>
          <w:sz w:val="28"/>
          <w:szCs w:val="28"/>
        </w:rPr>
      </w:pPr>
      <w:r w:rsidRPr="001F199A">
        <w:rPr>
          <w:rStyle w:val="s1"/>
          <w:rFonts w:ascii="Arial" w:hAnsi="Arial" w:cs="Arial"/>
          <w:b w:val="0"/>
          <w:bCs w:val="0"/>
          <w:sz w:val="28"/>
          <w:szCs w:val="28"/>
        </w:rPr>
        <w:t>and Evaluation of Current Organisational Approach</w:t>
      </w:r>
    </w:p>
    <w:p w14:paraId="17B94D61" w14:textId="77777777" w:rsidR="00345F90" w:rsidRPr="001F199A" w:rsidRDefault="00345F90" w:rsidP="001A11EB">
      <w:pPr>
        <w:pStyle w:val="p1"/>
        <w:rPr>
          <w:rStyle w:val="s1"/>
          <w:rFonts w:ascii="Arial" w:hAnsi="Arial" w:cs="Arial"/>
          <w:b w:val="0"/>
          <w:bCs w:val="0"/>
          <w:sz w:val="28"/>
          <w:szCs w:val="28"/>
        </w:rPr>
      </w:pPr>
      <w:r w:rsidRPr="001F199A">
        <w:rPr>
          <w:rFonts w:ascii="Arial" w:eastAsia="Times New Roman" w:hAnsi="Arial" w:cs="Arial"/>
          <w:noProof/>
          <w:color w:val="000000" w:themeColor="text1"/>
        </w:rPr>
        <mc:AlternateContent>
          <mc:Choice Requires="wps">
            <w:drawing>
              <wp:inline distT="0" distB="0" distL="0" distR="0" wp14:anchorId="13D83689" wp14:editId="68B0EB60">
                <wp:extent cx="5731510" cy="1270"/>
                <wp:effectExtent l="0" t="31750" r="0" b="36830"/>
                <wp:docPr id="170581881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AF30D2A"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filled="f">
                <o:lock v:ext="edit" aspectratio="t"/>
                <w10:anchorlock/>
              </v:rect>
            </w:pict>
          </mc:Fallback>
        </mc:AlternateContent>
      </w:r>
    </w:p>
    <w:p w14:paraId="3ADA3005" w14:textId="77777777" w:rsidR="00345F90" w:rsidRPr="001F199A" w:rsidRDefault="00345F90" w:rsidP="001A11EB">
      <w:pPr>
        <w:pStyle w:val="p1"/>
        <w:rPr>
          <w:rFonts w:ascii="Arial" w:hAnsi="Arial" w:cs="Arial"/>
          <w:sz w:val="24"/>
          <w:szCs w:val="24"/>
        </w:rPr>
      </w:pPr>
      <w:r w:rsidRPr="001F199A">
        <w:rPr>
          <w:rFonts w:ascii="Arial" w:hAnsi="Arial" w:cs="Arial"/>
          <w:sz w:val="24"/>
          <w:szCs w:val="24"/>
        </w:rPr>
        <w:t xml:space="preserve">Module: Business Management </w:t>
      </w:r>
    </w:p>
    <w:p w14:paraId="5F7108FB" w14:textId="77777777" w:rsidR="00345F90" w:rsidRPr="001F199A" w:rsidRDefault="00345F90" w:rsidP="001A11EB">
      <w:pPr>
        <w:pStyle w:val="p1"/>
        <w:rPr>
          <w:rFonts w:ascii="Arial" w:hAnsi="Arial" w:cs="Arial"/>
          <w:sz w:val="24"/>
          <w:szCs w:val="24"/>
        </w:rPr>
      </w:pPr>
      <w:r w:rsidRPr="001F199A">
        <w:rPr>
          <w:rFonts w:ascii="Arial" w:hAnsi="Arial" w:cs="Arial"/>
          <w:sz w:val="24"/>
          <w:szCs w:val="24"/>
        </w:rPr>
        <w:t xml:space="preserve">Assignment: Plant Resource Management Review </w:t>
      </w:r>
    </w:p>
    <w:p w14:paraId="0E7264DF" w14:textId="77777777" w:rsidR="00345F90" w:rsidRPr="001F199A" w:rsidRDefault="00345F90" w:rsidP="001A11EB">
      <w:pPr>
        <w:pStyle w:val="p1"/>
        <w:rPr>
          <w:rFonts w:ascii="Arial" w:hAnsi="Arial" w:cs="Arial"/>
          <w:sz w:val="24"/>
          <w:szCs w:val="24"/>
        </w:rPr>
      </w:pPr>
      <w:r w:rsidRPr="001F199A">
        <w:rPr>
          <w:rFonts w:ascii="Arial" w:hAnsi="Arial" w:cs="Arial"/>
          <w:sz w:val="24"/>
          <w:szCs w:val="24"/>
        </w:rPr>
        <w:t xml:space="preserve">Author: Robyn Watts </w:t>
      </w:r>
    </w:p>
    <w:p w14:paraId="559470C3" w14:textId="2794F0AB" w:rsidR="00345F90" w:rsidRPr="001F199A" w:rsidRDefault="00345F90" w:rsidP="001A11EB">
      <w:pPr>
        <w:rPr>
          <w:rFonts w:ascii="Arial" w:hAnsi="Arial" w:cs="Arial"/>
        </w:rPr>
      </w:pPr>
      <w:r w:rsidRPr="001F199A">
        <w:rPr>
          <w:rFonts w:ascii="Arial" w:hAnsi="Arial" w:cs="Arial"/>
        </w:rPr>
        <w:t xml:space="preserve">Student ID: </w:t>
      </w:r>
      <w:r w:rsidR="005E475D">
        <w:rPr>
          <w:rFonts w:ascii="Arial" w:hAnsi="Arial" w:cs="Arial"/>
        </w:rPr>
        <w:t>24</w:t>
      </w:r>
      <w:r w:rsidR="00011335">
        <w:rPr>
          <w:rFonts w:ascii="Arial" w:hAnsi="Arial" w:cs="Arial"/>
        </w:rPr>
        <w:t>06776</w:t>
      </w:r>
    </w:p>
    <w:p w14:paraId="5CD3B4B9" w14:textId="3AB6DA0F" w:rsidR="00345F90" w:rsidRPr="001F199A" w:rsidRDefault="00345F90">
      <w:pPr>
        <w:rPr>
          <w:rFonts w:ascii="Arial" w:hAnsi="Arial" w:cs="Arial"/>
        </w:rPr>
      </w:pPr>
      <w:r w:rsidRPr="001F199A">
        <w:rPr>
          <w:rFonts w:ascii="Arial" w:hAnsi="Arial" w:cs="Arial"/>
        </w:rPr>
        <w:t>Date: 6</w:t>
      </w:r>
      <w:r w:rsidRPr="001F199A">
        <w:rPr>
          <w:rFonts w:ascii="Arial" w:hAnsi="Arial" w:cs="Arial"/>
          <w:vertAlign w:val="superscript"/>
        </w:rPr>
        <w:t>th</w:t>
      </w:r>
      <w:r w:rsidRPr="001F199A">
        <w:rPr>
          <w:rFonts w:ascii="Arial" w:hAnsi="Arial" w:cs="Arial"/>
        </w:rPr>
        <w:t xml:space="preserve"> January 2026</w:t>
      </w:r>
    </w:p>
    <w:p w14:paraId="28A3BBE2" w14:textId="411C97B0" w:rsidR="00345F90" w:rsidRPr="001F199A" w:rsidRDefault="00345F90">
      <w:pPr>
        <w:rPr>
          <w:rFonts w:ascii="Arial" w:hAnsi="Arial" w:cs="Arial"/>
        </w:rPr>
      </w:pPr>
    </w:p>
    <w:p w14:paraId="00F414C8" w14:textId="77777777" w:rsidR="00345F90" w:rsidRPr="001F199A" w:rsidRDefault="00345F90">
      <w:pPr>
        <w:rPr>
          <w:rFonts w:ascii="Arial" w:hAnsi="Arial" w:cs="Arial"/>
        </w:rPr>
      </w:pPr>
      <w:r w:rsidRPr="001F199A">
        <w:rPr>
          <w:rFonts w:ascii="Arial" w:hAnsi="Arial" w:cs="Arial"/>
        </w:rPr>
        <w:br w:type="page"/>
      </w:r>
    </w:p>
    <w:sdt>
      <w:sdtPr>
        <w:id w:val="-1385955347"/>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64AE2EC7" w14:textId="0AF0E5F0" w:rsidR="004B05BD" w:rsidRDefault="004B05BD">
          <w:pPr>
            <w:pStyle w:val="TOCHeading"/>
          </w:pPr>
          <w:r>
            <w:t>Table of Contents</w:t>
          </w:r>
        </w:p>
        <w:p w14:paraId="50485EAF" w14:textId="172BA0E5" w:rsidR="00AD0274" w:rsidRDefault="004B05BD">
          <w:pPr>
            <w:pStyle w:val="TOC1"/>
            <w:tabs>
              <w:tab w:val="left" w:pos="480"/>
              <w:tab w:val="right" w:leader="dot" w:pos="9016"/>
            </w:tabs>
            <w:rPr>
              <w:noProof/>
            </w:rPr>
          </w:pPr>
          <w:r>
            <w:fldChar w:fldCharType="begin"/>
          </w:r>
          <w:r>
            <w:instrText xml:space="preserve"> TOC \o "1-3" \h \z \u </w:instrText>
          </w:r>
          <w:r>
            <w:fldChar w:fldCharType="separate"/>
          </w:r>
          <w:hyperlink w:anchor="_Toc218623326" w:history="1">
            <w:r w:rsidR="00AD0274" w:rsidRPr="003E5A59">
              <w:rPr>
                <w:rStyle w:val="Hyperlink"/>
                <w:rFonts w:ascii="Arial" w:hAnsi="Arial" w:cs="Arial"/>
                <w:noProof/>
              </w:rPr>
              <w:t>1.</w:t>
            </w:r>
            <w:r w:rsidR="00AD0274">
              <w:rPr>
                <w:noProof/>
              </w:rPr>
              <w:tab/>
            </w:r>
            <w:r w:rsidR="00AD0274" w:rsidRPr="003E5A59">
              <w:rPr>
                <w:rStyle w:val="Hyperlink"/>
                <w:rFonts w:ascii="Arial" w:hAnsi="Arial" w:cs="Arial"/>
                <w:noProof/>
              </w:rPr>
              <w:t>Introduction</w:t>
            </w:r>
            <w:r w:rsidR="00AD0274">
              <w:rPr>
                <w:noProof/>
                <w:webHidden/>
              </w:rPr>
              <w:tab/>
            </w:r>
            <w:r w:rsidR="00AD0274">
              <w:rPr>
                <w:noProof/>
                <w:webHidden/>
              </w:rPr>
              <w:fldChar w:fldCharType="begin"/>
            </w:r>
            <w:r w:rsidR="00AD0274">
              <w:rPr>
                <w:noProof/>
                <w:webHidden/>
              </w:rPr>
              <w:instrText xml:space="preserve"> PAGEREF _Toc218623326 \h </w:instrText>
            </w:r>
            <w:r w:rsidR="00AD0274">
              <w:rPr>
                <w:noProof/>
                <w:webHidden/>
              </w:rPr>
            </w:r>
            <w:r w:rsidR="00AD0274">
              <w:rPr>
                <w:noProof/>
                <w:webHidden/>
              </w:rPr>
              <w:fldChar w:fldCharType="separate"/>
            </w:r>
            <w:r w:rsidR="00AD0274">
              <w:rPr>
                <w:noProof/>
                <w:webHidden/>
              </w:rPr>
              <w:t>3</w:t>
            </w:r>
            <w:r w:rsidR="00AD0274">
              <w:rPr>
                <w:noProof/>
                <w:webHidden/>
              </w:rPr>
              <w:fldChar w:fldCharType="end"/>
            </w:r>
          </w:hyperlink>
        </w:p>
        <w:p w14:paraId="0365481B" w14:textId="3C16C716" w:rsidR="00AD0274" w:rsidRDefault="00AD0274">
          <w:pPr>
            <w:pStyle w:val="TOC2"/>
            <w:tabs>
              <w:tab w:val="right" w:leader="dot" w:pos="9016"/>
            </w:tabs>
            <w:rPr>
              <w:noProof/>
            </w:rPr>
          </w:pPr>
          <w:hyperlink w:anchor="_Toc218623327" w:history="1">
            <w:r w:rsidRPr="003E5A59">
              <w:rPr>
                <w:rStyle w:val="Hyperlink"/>
                <w:noProof/>
              </w:rPr>
              <w:t>1.1 Scope</w:t>
            </w:r>
            <w:r>
              <w:rPr>
                <w:noProof/>
                <w:webHidden/>
              </w:rPr>
              <w:tab/>
            </w:r>
            <w:r>
              <w:rPr>
                <w:noProof/>
                <w:webHidden/>
              </w:rPr>
              <w:fldChar w:fldCharType="begin"/>
            </w:r>
            <w:r>
              <w:rPr>
                <w:noProof/>
                <w:webHidden/>
              </w:rPr>
              <w:instrText xml:space="preserve"> PAGEREF _Toc218623327 \h </w:instrText>
            </w:r>
            <w:r>
              <w:rPr>
                <w:noProof/>
                <w:webHidden/>
              </w:rPr>
            </w:r>
            <w:r>
              <w:rPr>
                <w:noProof/>
                <w:webHidden/>
              </w:rPr>
              <w:fldChar w:fldCharType="separate"/>
            </w:r>
            <w:r>
              <w:rPr>
                <w:noProof/>
                <w:webHidden/>
              </w:rPr>
              <w:t>3</w:t>
            </w:r>
            <w:r>
              <w:rPr>
                <w:noProof/>
                <w:webHidden/>
              </w:rPr>
              <w:fldChar w:fldCharType="end"/>
            </w:r>
          </w:hyperlink>
        </w:p>
        <w:p w14:paraId="5F8BE6D5" w14:textId="4DB168E9" w:rsidR="00AD0274" w:rsidRDefault="00AD0274">
          <w:pPr>
            <w:pStyle w:val="TOC1"/>
            <w:tabs>
              <w:tab w:val="left" w:pos="480"/>
              <w:tab w:val="right" w:leader="dot" w:pos="9016"/>
            </w:tabs>
            <w:rPr>
              <w:noProof/>
            </w:rPr>
          </w:pPr>
          <w:hyperlink w:anchor="_Toc218623328" w:history="1">
            <w:r w:rsidRPr="003E5A59">
              <w:rPr>
                <w:rStyle w:val="Hyperlink"/>
                <w:rFonts w:ascii="Arial" w:hAnsi="Arial" w:cs="Arial"/>
                <w:noProof/>
              </w:rPr>
              <w:t>2.</w:t>
            </w:r>
            <w:r>
              <w:rPr>
                <w:noProof/>
              </w:rPr>
              <w:tab/>
            </w:r>
            <w:r w:rsidRPr="003E5A59">
              <w:rPr>
                <w:rStyle w:val="Hyperlink"/>
                <w:rFonts w:ascii="Arial" w:hAnsi="Arial" w:cs="Arial"/>
                <w:noProof/>
              </w:rPr>
              <w:t>Organisational Structure and Context</w:t>
            </w:r>
            <w:r>
              <w:rPr>
                <w:noProof/>
                <w:webHidden/>
              </w:rPr>
              <w:tab/>
            </w:r>
            <w:r>
              <w:rPr>
                <w:noProof/>
                <w:webHidden/>
              </w:rPr>
              <w:fldChar w:fldCharType="begin"/>
            </w:r>
            <w:r>
              <w:rPr>
                <w:noProof/>
                <w:webHidden/>
              </w:rPr>
              <w:instrText xml:space="preserve"> PAGEREF _Toc218623328 \h </w:instrText>
            </w:r>
            <w:r>
              <w:rPr>
                <w:noProof/>
                <w:webHidden/>
              </w:rPr>
            </w:r>
            <w:r>
              <w:rPr>
                <w:noProof/>
                <w:webHidden/>
              </w:rPr>
              <w:fldChar w:fldCharType="separate"/>
            </w:r>
            <w:r>
              <w:rPr>
                <w:noProof/>
                <w:webHidden/>
              </w:rPr>
              <w:t>3</w:t>
            </w:r>
            <w:r>
              <w:rPr>
                <w:noProof/>
                <w:webHidden/>
              </w:rPr>
              <w:fldChar w:fldCharType="end"/>
            </w:r>
          </w:hyperlink>
        </w:p>
        <w:p w14:paraId="15236DF8" w14:textId="27CEDE40" w:rsidR="00AD0274" w:rsidRDefault="00AD0274">
          <w:pPr>
            <w:pStyle w:val="TOC1"/>
            <w:tabs>
              <w:tab w:val="left" w:pos="480"/>
              <w:tab w:val="right" w:leader="dot" w:pos="9016"/>
            </w:tabs>
            <w:rPr>
              <w:noProof/>
            </w:rPr>
          </w:pPr>
          <w:hyperlink w:anchor="_Toc218623329" w:history="1">
            <w:r w:rsidRPr="003E5A59">
              <w:rPr>
                <w:rStyle w:val="Hyperlink"/>
                <w:rFonts w:ascii="Arial" w:hAnsi="Arial" w:cs="Arial"/>
                <w:noProof/>
              </w:rPr>
              <w:t>3.</w:t>
            </w:r>
            <w:r>
              <w:rPr>
                <w:noProof/>
              </w:rPr>
              <w:tab/>
            </w:r>
            <w:r w:rsidRPr="003E5A59">
              <w:rPr>
                <w:rStyle w:val="Hyperlink"/>
                <w:rFonts w:ascii="Arial" w:hAnsi="Arial" w:cs="Arial"/>
                <w:noProof/>
              </w:rPr>
              <w:t>Current Plant Practice</w:t>
            </w:r>
            <w:r>
              <w:rPr>
                <w:noProof/>
                <w:webHidden/>
              </w:rPr>
              <w:tab/>
            </w:r>
            <w:r>
              <w:rPr>
                <w:noProof/>
                <w:webHidden/>
              </w:rPr>
              <w:fldChar w:fldCharType="begin"/>
            </w:r>
            <w:r>
              <w:rPr>
                <w:noProof/>
                <w:webHidden/>
              </w:rPr>
              <w:instrText xml:space="preserve"> PAGEREF _Toc218623329 \h </w:instrText>
            </w:r>
            <w:r>
              <w:rPr>
                <w:noProof/>
                <w:webHidden/>
              </w:rPr>
            </w:r>
            <w:r>
              <w:rPr>
                <w:noProof/>
                <w:webHidden/>
              </w:rPr>
              <w:fldChar w:fldCharType="separate"/>
            </w:r>
            <w:r>
              <w:rPr>
                <w:noProof/>
                <w:webHidden/>
              </w:rPr>
              <w:t>4</w:t>
            </w:r>
            <w:r>
              <w:rPr>
                <w:noProof/>
                <w:webHidden/>
              </w:rPr>
              <w:fldChar w:fldCharType="end"/>
            </w:r>
          </w:hyperlink>
        </w:p>
        <w:p w14:paraId="0B3E8EDA" w14:textId="628F3333" w:rsidR="00AD0274" w:rsidRDefault="00AD0274">
          <w:pPr>
            <w:pStyle w:val="TOC2"/>
            <w:tabs>
              <w:tab w:val="right" w:leader="dot" w:pos="9016"/>
            </w:tabs>
            <w:rPr>
              <w:noProof/>
            </w:rPr>
          </w:pPr>
          <w:hyperlink w:anchor="_Toc218623330" w:history="1">
            <w:r w:rsidRPr="003E5A59">
              <w:rPr>
                <w:rStyle w:val="Hyperlink"/>
                <w:rFonts w:ascii="Arial" w:hAnsi="Arial" w:cs="Arial"/>
                <w:noProof/>
              </w:rPr>
              <w:t>3.1 Plant Management in North Wales</w:t>
            </w:r>
            <w:r>
              <w:rPr>
                <w:noProof/>
                <w:webHidden/>
              </w:rPr>
              <w:tab/>
            </w:r>
            <w:r>
              <w:rPr>
                <w:noProof/>
                <w:webHidden/>
              </w:rPr>
              <w:fldChar w:fldCharType="begin"/>
            </w:r>
            <w:r>
              <w:rPr>
                <w:noProof/>
                <w:webHidden/>
              </w:rPr>
              <w:instrText xml:space="preserve"> PAGEREF _Toc218623330 \h </w:instrText>
            </w:r>
            <w:r>
              <w:rPr>
                <w:noProof/>
                <w:webHidden/>
              </w:rPr>
            </w:r>
            <w:r>
              <w:rPr>
                <w:noProof/>
                <w:webHidden/>
              </w:rPr>
              <w:fldChar w:fldCharType="separate"/>
            </w:r>
            <w:r>
              <w:rPr>
                <w:noProof/>
                <w:webHidden/>
              </w:rPr>
              <w:t>4</w:t>
            </w:r>
            <w:r>
              <w:rPr>
                <w:noProof/>
                <w:webHidden/>
              </w:rPr>
              <w:fldChar w:fldCharType="end"/>
            </w:r>
          </w:hyperlink>
        </w:p>
        <w:p w14:paraId="79FAE6CE" w14:textId="28A0C76B" w:rsidR="00AD0274" w:rsidRDefault="00AD0274">
          <w:pPr>
            <w:pStyle w:val="TOC2"/>
            <w:tabs>
              <w:tab w:val="right" w:leader="dot" w:pos="9016"/>
            </w:tabs>
            <w:rPr>
              <w:noProof/>
            </w:rPr>
          </w:pPr>
          <w:hyperlink w:anchor="_Toc218623331" w:history="1">
            <w:r w:rsidRPr="003E5A59">
              <w:rPr>
                <w:rStyle w:val="Hyperlink"/>
                <w:rFonts w:ascii="Arial" w:hAnsi="Arial" w:cs="Arial"/>
                <w:noProof/>
              </w:rPr>
              <w:t>3.2 Plant Management in South Wales</w:t>
            </w:r>
            <w:r>
              <w:rPr>
                <w:noProof/>
                <w:webHidden/>
              </w:rPr>
              <w:tab/>
            </w:r>
            <w:r>
              <w:rPr>
                <w:noProof/>
                <w:webHidden/>
              </w:rPr>
              <w:fldChar w:fldCharType="begin"/>
            </w:r>
            <w:r>
              <w:rPr>
                <w:noProof/>
                <w:webHidden/>
              </w:rPr>
              <w:instrText xml:space="preserve"> PAGEREF _Toc218623331 \h </w:instrText>
            </w:r>
            <w:r>
              <w:rPr>
                <w:noProof/>
                <w:webHidden/>
              </w:rPr>
            </w:r>
            <w:r>
              <w:rPr>
                <w:noProof/>
                <w:webHidden/>
              </w:rPr>
              <w:fldChar w:fldCharType="separate"/>
            </w:r>
            <w:r>
              <w:rPr>
                <w:noProof/>
                <w:webHidden/>
              </w:rPr>
              <w:t>4</w:t>
            </w:r>
            <w:r>
              <w:rPr>
                <w:noProof/>
                <w:webHidden/>
              </w:rPr>
              <w:fldChar w:fldCharType="end"/>
            </w:r>
          </w:hyperlink>
        </w:p>
        <w:p w14:paraId="29757415" w14:textId="501473E4" w:rsidR="00AD0274" w:rsidRDefault="00AD0274">
          <w:pPr>
            <w:pStyle w:val="TOC1"/>
            <w:tabs>
              <w:tab w:val="left" w:pos="480"/>
              <w:tab w:val="right" w:leader="dot" w:pos="9016"/>
            </w:tabs>
            <w:rPr>
              <w:noProof/>
            </w:rPr>
          </w:pPr>
          <w:hyperlink w:anchor="_Toc218623332" w:history="1">
            <w:r w:rsidRPr="003E5A59">
              <w:rPr>
                <w:rStyle w:val="Hyperlink"/>
                <w:rFonts w:ascii="Arial" w:hAnsi="Arial" w:cs="Arial"/>
                <w:noProof/>
              </w:rPr>
              <w:t>4.</w:t>
            </w:r>
            <w:r>
              <w:rPr>
                <w:noProof/>
              </w:rPr>
              <w:tab/>
            </w:r>
            <w:r w:rsidRPr="003E5A59">
              <w:rPr>
                <w:rStyle w:val="Hyperlink"/>
                <w:rFonts w:ascii="Arial" w:hAnsi="Arial" w:cs="Arial"/>
                <w:noProof/>
              </w:rPr>
              <w:t>Evaluation of Current Practice</w:t>
            </w:r>
            <w:r>
              <w:rPr>
                <w:noProof/>
                <w:webHidden/>
              </w:rPr>
              <w:tab/>
            </w:r>
            <w:r>
              <w:rPr>
                <w:noProof/>
                <w:webHidden/>
              </w:rPr>
              <w:fldChar w:fldCharType="begin"/>
            </w:r>
            <w:r>
              <w:rPr>
                <w:noProof/>
                <w:webHidden/>
              </w:rPr>
              <w:instrText xml:space="preserve"> PAGEREF _Toc218623332 \h </w:instrText>
            </w:r>
            <w:r>
              <w:rPr>
                <w:noProof/>
                <w:webHidden/>
              </w:rPr>
            </w:r>
            <w:r>
              <w:rPr>
                <w:noProof/>
                <w:webHidden/>
              </w:rPr>
              <w:fldChar w:fldCharType="separate"/>
            </w:r>
            <w:r>
              <w:rPr>
                <w:noProof/>
                <w:webHidden/>
              </w:rPr>
              <w:t>5</w:t>
            </w:r>
            <w:r>
              <w:rPr>
                <w:noProof/>
                <w:webHidden/>
              </w:rPr>
              <w:fldChar w:fldCharType="end"/>
            </w:r>
          </w:hyperlink>
        </w:p>
        <w:p w14:paraId="19F31E3A" w14:textId="3F09CB4A" w:rsidR="00AD0274" w:rsidRDefault="00AD0274">
          <w:pPr>
            <w:pStyle w:val="TOC2"/>
            <w:tabs>
              <w:tab w:val="right" w:leader="dot" w:pos="9016"/>
            </w:tabs>
            <w:rPr>
              <w:noProof/>
            </w:rPr>
          </w:pPr>
          <w:hyperlink w:anchor="_Toc218623333" w:history="1">
            <w:r w:rsidRPr="003E5A59">
              <w:rPr>
                <w:rStyle w:val="Hyperlink"/>
                <w:rFonts w:ascii="Arial" w:hAnsi="Arial" w:cs="Arial"/>
                <w:noProof/>
              </w:rPr>
              <w:t>4.1 Effectiveness of Hire-based Approach – North Wales</w:t>
            </w:r>
            <w:r>
              <w:rPr>
                <w:noProof/>
                <w:webHidden/>
              </w:rPr>
              <w:tab/>
            </w:r>
            <w:r>
              <w:rPr>
                <w:noProof/>
                <w:webHidden/>
              </w:rPr>
              <w:fldChar w:fldCharType="begin"/>
            </w:r>
            <w:r>
              <w:rPr>
                <w:noProof/>
                <w:webHidden/>
              </w:rPr>
              <w:instrText xml:space="preserve"> PAGEREF _Toc218623333 \h </w:instrText>
            </w:r>
            <w:r>
              <w:rPr>
                <w:noProof/>
                <w:webHidden/>
              </w:rPr>
            </w:r>
            <w:r>
              <w:rPr>
                <w:noProof/>
                <w:webHidden/>
              </w:rPr>
              <w:fldChar w:fldCharType="separate"/>
            </w:r>
            <w:r>
              <w:rPr>
                <w:noProof/>
                <w:webHidden/>
              </w:rPr>
              <w:t>5</w:t>
            </w:r>
            <w:r>
              <w:rPr>
                <w:noProof/>
                <w:webHidden/>
              </w:rPr>
              <w:fldChar w:fldCharType="end"/>
            </w:r>
          </w:hyperlink>
        </w:p>
        <w:p w14:paraId="1EDB4D52" w14:textId="2E18A8BE" w:rsidR="00AD0274" w:rsidRDefault="00AD0274">
          <w:pPr>
            <w:pStyle w:val="TOC2"/>
            <w:tabs>
              <w:tab w:val="right" w:leader="dot" w:pos="9016"/>
            </w:tabs>
            <w:rPr>
              <w:noProof/>
            </w:rPr>
          </w:pPr>
          <w:hyperlink w:anchor="_Toc218623334" w:history="1">
            <w:r w:rsidRPr="003E5A59">
              <w:rPr>
                <w:rStyle w:val="Hyperlink"/>
                <w:rFonts w:ascii="Arial" w:hAnsi="Arial" w:cs="Arial"/>
                <w:noProof/>
              </w:rPr>
              <w:t>4.2 Effectiveness of Ownership-based Approach – South Wales</w:t>
            </w:r>
            <w:r>
              <w:rPr>
                <w:noProof/>
                <w:webHidden/>
              </w:rPr>
              <w:tab/>
            </w:r>
            <w:r>
              <w:rPr>
                <w:noProof/>
                <w:webHidden/>
              </w:rPr>
              <w:fldChar w:fldCharType="begin"/>
            </w:r>
            <w:r>
              <w:rPr>
                <w:noProof/>
                <w:webHidden/>
              </w:rPr>
              <w:instrText xml:space="preserve"> PAGEREF _Toc218623334 \h </w:instrText>
            </w:r>
            <w:r>
              <w:rPr>
                <w:noProof/>
                <w:webHidden/>
              </w:rPr>
            </w:r>
            <w:r>
              <w:rPr>
                <w:noProof/>
                <w:webHidden/>
              </w:rPr>
              <w:fldChar w:fldCharType="separate"/>
            </w:r>
            <w:r>
              <w:rPr>
                <w:noProof/>
                <w:webHidden/>
              </w:rPr>
              <w:t>5</w:t>
            </w:r>
            <w:r>
              <w:rPr>
                <w:noProof/>
                <w:webHidden/>
              </w:rPr>
              <w:fldChar w:fldCharType="end"/>
            </w:r>
          </w:hyperlink>
        </w:p>
        <w:p w14:paraId="5E3209BF" w14:textId="58D1E12E" w:rsidR="00AD0274" w:rsidRDefault="00AD0274">
          <w:pPr>
            <w:pStyle w:val="TOC1"/>
            <w:tabs>
              <w:tab w:val="right" w:leader="dot" w:pos="9016"/>
            </w:tabs>
            <w:rPr>
              <w:noProof/>
            </w:rPr>
          </w:pPr>
          <w:hyperlink w:anchor="_Toc218623335" w:history="1">
            <w:r w:rsidRPr="003E5A59">
              <w:rPr>
                <w:rStyle w:val="Hyperlink"/>
                <w:rFonts w:ascii="Arial" w:hAnsi="Arial" w:cs="Arial"/>
                <w:noProof/>
              </w:rPr>
              <w:t>5.1 Risk Management.</w:t>
            </w:r>
            <w:r>
              <w:rPr>
                <w:noProof/>
                <w:webHidden/>
              </w:rPr>
              <w:tab/>
            </w:r>
            <w:r>
              <w:rPr>
                <w:noProof/>
                <w:webHidden/>
              </w:rPr>
              <w:fldChar w:fldCharType="begin"/>
            </w:r>
            <w:r>
              <w:rPr>
                <w:noProof/>
                <w:webHidden/>
              </w:rPr>
              <w:instrText xml:space="preserve"> PAGEREF _Toc218623335 \h </w:instrText>
            </w:r>
            <w:r>
              <w:rPr>
                <w:noProof/>
                <w:webHidden/>
              </w:rPr>
            </w:r>
            <w:r>
              <w:rPr>
                <w:noProof/>
                <w:webHidden/>
              </w:rPr>
              <w:fldChar w:fldCharType="separate"/>
            </w:r>
            <w:r>
              <w:rPr>
                <w:noProof/>
                <w:webHidden/>
              </w:rPr>
              <w:t>6</w:t>
            </w:r>
            <w:r>
              <w:rPr>
                <w:noProof/>
                <w:webHidden/>
              </w:rPr>
              <w:fldChar w:fldCharType="end"/>
            </w:r>
          </w:hyperlink>
        </w:p>
        <w:p w14:paraId="40ACBEC0" w14:textId="7062A222" w:rsidR="00AD0274" w:rsidRDefault="00AD0274">
          <w:pPr>
            <w:pStyle w:val="TOC2"/>
            <w:tabs>
              <w:tab w:val="right" w:leader="dot" w:pos="9016"/>
            </w:tabs>
            <w:rPr>
              <w:noProof/>
            </w:rPr>
          </w:pPr>
          <w:hyperlink w:anchor="_Toc218623336" w:history="1">
            <w:r w:rsidRPr="003E5A59">
              <w:rPr>
                <w:rStyle w:val="Hyperlink"/>
                <w:rFonts w:ascii="Arial" w:hAnsi="Arial" w:cs="Arial"/>
                <w:noProof/>
              </w:rPr>
              <w:t>6.1 Role of Project Planning Software in Construction Management</w:t>
            </w:r>
            <w:r>
              <w:rPr>
                <w:noProof/>
                <w:webHidden/>
              </w:rPr>
              <w:tab/>
            </w:r>
            <w:r>
              <w:rPr>
                <w:noProof/>
                <w:webHidden/>
              </w:rPr>
              <w:fldChar w:fldCharType="begin"/>
            </w:r>
            <w:r>
              <w:rPr>
                <w:noProof/>
                <w:webHidden/>
              </w:rPr>
              <w:instrText xml:space="preserve"> PAGEREF _Toc218623336 \h </w:instrText>
            </w:r>
            <w:r>
              <w:rPr>
                <w:noProof/>
                <w:webHidden/>
              </w:rPr>
            </w:r>
            <w:r>
              <w:rPr>
                <w:noProof/>
                <w:webHidden/>
              </w:rPr>
              <w:fldChar w:fldCharType="separate"/>
            </w:r>
            <w:r>
              <w:rPr>
                <w:noProof/>
                <w:webHidden/>
              </w:rPr>
              <w:t>7</w:t>
            </w:r>
            <w:r>
              <w:rPr>
                <w:noProof/>
                <w:webHidden/>
              </w:rPr>
              <w:fldChar w:fldCharType="end"/>
            </w:r>
          </w:hyperlink>
        </w:p>
        <w:p w14:paraId="3E1EA7D6" w14:textId="0C6CED7A" w:rsidR="00AD0274" w:rsidRDefault="00AD0274">
          <w:pPr>
            <w:pStyle w:val="TOC2"/>
            <w:tabs>
              <w:tab w:val="right" w:leader="dot" w:pos="9016"/>
            </w:tabs>
            <w:rPr>
              <w:noProof/>
            </w:rPr>
          </w:pPr>
          <w:hyperlink w:anchor="_Toc218623337" w:history="1">
            <w:r w:rsidRPr="003E5A59">
              <w:rPr>
                <w:rStyle w:val="Hyperlink"/>
                <w:rFonts w:ascii="Arial" w:hAnsi="Arial" w:cs="Arial"/>
                <w:noProof/>
              </w:rPr>
              <w:t>6.2 Gantt Charts and Programme Control</w:t>
            </w:r>
            <w:r>
              <w:rPr>
                <w:noProof/>
                <w:webHidden/>
              </w:rPr>
              <w:tab/>
            </w:r>
            <w:r>
              <w:rPr>
                <w:noProof/>
                <w:webHidden/>
              </w:rPr>
              <w:fldChar w:fldCharType="begin"/>
            </w:r>
            <w:r>
              <w:rPr>
                <w:noProof/>
                <w:webHidden/>
              </w:rPr>
              <w:instrText xml:space="preserve"> PAGEREF _Toc218623337 \h </w:instrText>
            </w:r>
            <w:r>
              <w:rPr>
                <w:noProof/>
                <w:webHidden/>
              </w:rPr>
            </w:r>
            <w:r>
              <w:rPr>
                <w:noProof/>
                <w:webHidden/>
              </w:rPr>
              <w:fldChar w:fldCharType="separate"/>
            </w:r>
            <w:r>
              <w:rPr>
                <w:noProof/>
                <w:webHidden/>
              </w:rPr>
              <w:t>8</w:t>
            </w:r>
            <w:r>
              <w:rPr>
                <w:noProof/>
                <w:webHidden/>
              </w:rPr>
              <w:fldChar w:fldCharType="end"/>
            </w:r>
          </w:hyperlink>
        </w:p>
        <w:p w14:paraId="39199FA6" w14:textId="10E8285C" w:rsidR="00AD0274" w:rsidRDefault="00AD0274">
          <w:pPr>
            <w:pStyle w:val="TOC1"/>
            <w:tabs>
              <w:tab w:val="right" w:leader="dot" w:pos="9016"/>
            </w:tabs>
            <w:rPr>
              <w:noProof/>
            </w:rPr>
          </w:pPr>
          <w:hyperlink w:anchor="_Toc218623338" w:history="1">
            <w:r w:rsidRPr="003E5A59">
              <w:rPr>
                <w:rStyle w:val="Hyperlink"/>
                <w:rFonts w:ascii="Arial" w:hAnsi="Arial" w:cs="Arial"/>
                <w:noProof/>
              </w:rPr>
              <w:t>7. Conclusion and Recommendations</w:t>
            </w:r>
            <w:r>
              <w:rPr>
                <w:noProof/>
                <w:webHidden/>
              </w:rPr>
              <w:tab/>
            </w:r>
            <w:r>
              <w:rPr>
                <w:noProof/>
                <w:webHidden/>
              </w:rPr>
              <w:fldChar w:fldCharType="begin"/>
            </w:r>
            <w:r>
              <w:rPr>
                <w:noProof/>
                <w:webHidden/>
              </w:rPr>
              <w:instrText xml:space="preserve"> PAGEREF _Toc218623338 \h </w:instrText>
            </w:r>
            <w:r>
              <w:rPr>
                <w:noProof/>
                <w:webHidden/>
              </w:rPr>
            </w:r>
            <w:r>
              <w:rPr>
                <w:noProof/>
                <w:webHidden/>
              </w:rPr>
              <w:fldChar w:fldCharType="separate"/>
            </w:r>
            <w:r>
              <w:rPr>
                <w:noProof/>
                <w:webHidden/>
              </w:rPr>
              <w:t>8</w:t>
            </w:r>
            <w:r>
              <w:rPr>
                <w:noProof/>
                <w:webHidden/>
              </w:rPr>
              <w:fldChar w:fldCharType="end"/>
            </w:r>
          </w:hyperlink>
        </w:p>
        <w:p w14:paraId="270E7427" w14:textId="655C24DB" w:rsidR="00AD0274" w:rsidRDefault="00AD0274">
          <w:pPr>
            <w:pStyle w:val="TOC2"/>
            <w:tabs>
              <w:tab w:val="right" w:leader="dot" w:pos="9016"/>
            </w:tabs>
            <w:rPr>
              <w:noProof/>
            </w:rPr>
          </w:pPr>
          <w:hyperlink w:anchor="_Toc218623339" w:history="1">
            <w:r w:rsidRPr="003E5A59">
              <w:rPr>
                <w:rStyle w:val="Hyperlink"/>
                <w:rFonts w:ascii="Arial" w:hAnsi="Arial" w:cs="Arial"/>
                <w:noProof/>
              </w:rPr>
              <w:t>7.1 Conclusion</w:t>
            </w:r>
            <w:r>
              <w:rPr>
                <w:noProof/>
                <w:webHidden/>
              </w:rPr>
              <w:tab/>
            </w:r>
            <w:r>
              <w:rPr>
                <w:noProof/>
                <w:webHidden/>
              </w:rPr>
              <w:fldChar w:fldCharType="begin"/>
            </w:r>
            <w:r>
              <w:rPr>
                <w:noProof/>
                <w:webHidden/>
              </w:rPr>
              <w:instrText xml:space="preserve"> PAGEREF _Toc218623339 \h </w:instrText>
            </w:r>
            <w:r>
              <w:rPr>
                <w:noProof/>
                <w:webHidden/>
              </w:rPr>
            </w:r>
            <w:r>
              <w:rPr>
                <w:noProof/>
                <w:webHidden/>
              </w:rPr>
              <w:fldChar w:fldCharType="separate"/>
            </w:r>
            <w:r>
              <w:rPr>
                <w:noProof/>
                <w:webHidden/>
              </w:rPr>
              <w:t>8</w:t>
            </w:r>
            <w:r>
              <w:rPr>
                <w:noProof/>
                <w:webHidden/>
              </w:rPr>
              <w:fldChar w:fldCharType="end"/>
            </w:r>
          </w:hyperlink>
        </w:p>
        <w:p w14:paraId="708AD5A1" w14:textId="3BE18821" w:rsidR="00AD0274" w:rsidRDefault="00AD0274">
          <w:pPr>
            <w:pStyle w:val="TOC2"/>
            <w:tabs>
              <w:tab w:val="right" w:leader="dot" w:pos="9016"/>
            </w:tabs>
            <w:rPr>
              <w:noProof/>
            </w:rPr>
          </w:pPr>
          <w:hyperlink w:anchor="_Toc218623340" w:history="1">
            <w:r w:rsidRPr="003E5A59">
              <w:rPr>
                <w:rStyle w:val="Hyperlink"/>
                <w:rFonts w:ascii="Arial" w:hAnsi="Arial" w:cs="Arial"/>
                <w:noProof/>
              </w:rPr>
              <w:t>7.2 Recommendation</w:t>
            </w:r>
            <w:r>
              <w:rPr>
                <w:noProof/>
                <w:webHidden/>
              </w:rPr>
              <w:tab/>
            </w:r>
            <w:r>
              <w:rPr>
                <w:noProof/>
                <w:webHidden/>
              </w:rPr>
              <w:fldChar w:fldCharType="begin"/>
            </w:r>
            <w:r>
              <w:rPr>
                <w:noProof/>
                <w:webHidden/>
              </w:rPr>
              <w:instrText xml:space="preserve"> PAGEREF _Toc218623340 \h </w:instrText>
            </w:r>
            <w:r>
              <w:rPr>
                <w:noProof/>
                <w:webHidden/>
              </w:rPr>
            </w:r>
            <w:r>
              <w:rPr>
                <w:noProof/>
                <w:webHidden/>
              </w:rPr>
              <w:fldChar w:fldCharType="separate"/>
            </w:r>
            <w:r>
              <w:rPr>
                <w:noProof/>
                <w:webHidden/>
              </w:rPr>
              <w:t>9</w:t>
            </w:r>
            <w:r>
              <w:rPr>
                <w:noProof/>
                <w:webHidden/>
              </w:rPr>
              <w:fldChar w:fldCharType="end"/>
            </w:r>
          </w:hyperlink>
        </w:p>
        <w:p w14:paraId="19327D0C" w14:textId="1288FA75" w:rsidR="00AD0274" w:rsidRDefault="00AD0274">
          <w:pPr>
            <w:pStyle w:val="TOC1"/>
            <w:tabs>
              <w:tab w:val="right" w:leader="dot" w:pos="9016"/>
            </w:tabs>
            <w:rPr>
              <w:noProof/>
            </w:rPr>
          </w:pPr>
          <w:hyperlink w:anchor="_Toc218623341" w:history="1">
            <w:r w:rsidRPr="003E5A59">
              <w:rPr>
                <w:rStyle w:val="Hyperlink"/>
                <w:rFonts w:ascii="Arial" w:hAnsi="Arial" w:cs="Arial"/>
                <w:noProof/>
              </w:rPr>
              <w:t>8. References</w:t>
            </w:r>
            <w:r>
              <w:rPr>
                <w:noProof/>
                <w:webHidden/>
              </w:rPr>
              <w:tab/>
            </w:r>
            <w:r>
              <w:rPr>
                <w:noProof/>
                <w:webHidden/>
              </w:rPr>
              <w:fldChar w:fldCharType="begin"/>
            </w:r>
            <w:r>
              <w:rPr>
                <w:noProof/>
                <w:webHidden/>
              </w:rPr>
              <w:instrText xml:space="preserve"> PAGEREF _Toc218623341 \h </w:instrText>
            </w:r>
            <w:r>
              <w:rPr>
                <w:noProof/>
                <w:webHidden/>
              </w:rPr>
            </w:r>
            <w:r>
              <w:rPr>
                <w:noProof/>
                <w:webHidden/>
              </w:rPr>
              <w:fldChar w:fldCharType="separate"/>
            </w:r>
            <w:r>
              <w:rPr>
                <w:noProof/>
                <w:webHidden/>
              </w:rPr>
              <w:t>11</w:t>
            </w:r>
            <w:r>
              <w:rPr>
                <w:noProof/>
                <w:webHidden/>
              </w:rPr>
              <w:fldChar w:fldCharType="end"/>
            </w:r>
          </w:hyperlink>
        </w:p>
        <w:p w14:paraId="40F3FD11" w14:textId="27CBB3D0" w:rsidR="00AD0274" w:rsidRDefault="00AD0274">
          <w:pPr>
            <w:pStyle w:val="TOC1"/>
            <w:tabs>
              <w:tab w:val="right" w:leader="dot" w:pos="9016"/>
            </w:tabs>
            <w:rPr>
              <w:noProof/>
            </w:rPr>
          </w:pPr>
          <w:hyperlink w:anchor="_Toc218623342" w:history="1">
            <w:r w:rsidRPr="003E5A59">
              <w:rPr>
                <w:rStyle w:val="Hyperlink"/>
                <w:noProof/>
              </w:rPr>
              <w:t>Appendix</w:t>
            </w:r>
            <w:r>
              <w:rPr>
                <w:noProof/>
                <w:webHidden/>
              </w:rPr>
              <w:tab/>
            </w:r>
            <w:r>
              <w:rPr>
                <w:noProof/>
                <w:webHidden/>
              </w:rPr>
              <w:fldChar w:fldCharType="begin"/>
            </w:r>
            <w:r>
              <w:rPr>
                <w:noProof/>
                <w:webHidden/>
              </w:rPr>
              <w:instrText xml:space="preserve"> PAGEREF _Toc218623342 \h </w:instrText>
            </w:r>
            <w:r>
              <w:rPr>
                <w:noProof/>
                <w:webHidden/>
              </w:rPr>
            </w:r>
            <w:r>
              <w:rPr>
                <w:noProof/>
                <w:webHidden/>
              </w:rPr>
              <w:fldChar w:fldCharType="separate"/>
            </w:r>
            <w:r>
              <w:rPr>
                <w:noProof/>
                <w:webHidden/>
              </w:rPr>
              <w:t>12</w:t>
            </w:r>
            <w:r>
              <w:rPr>
                <w:noProof/>
                <w:webHidden/>
              </w:rPr>
              <w:fldChar w:fldCharType="end"/>
            </w:r>
          </w:hyperlink>
        </w:p>
        <w:p w14:paraId="09457F82" w14:textId="6B40487E" w:rsidR="004B05BD" w:rsidRDefault="004B05BD">
          <w:r>
            <w:rPr>
              <w:b/>
              <w:bCs/>
              <w:noProof/>
            </w:rPr>
            <w:fldChar w:fldCharType="end"/>
          </w:r>
        </w:p>
      </w:sdtContent>
    </w:sdt>
    <w:p w14:paraId="33899B6E" w14:textId="4095E786" w:rsidR="00345F90" w:rsidRPr="001F199A" w:rsidRDefault="00345F90">
      <w:pPr>
        <w:rPr>
          <w:rFonts w:ascii="Arial" w:hAnsi="Arial" w:cs="Arial"/>
        </w:rPr>
      </w:pPr>
    </w:p>
    <w:p w14:paraId="51DFDF4A" w14:textId="77777777" w:rsidR="00345F90" w:rsidRPr="001F199A" w:rsidRDefault="00345F90">
      <w:pPr>
        <w:rPr>
          <w:rFonts w:ascii="Arial" w:hAnsi="Arial" w:cs="Arial"/>
        </w:rPr>
      </w:pPr>
      <w:r w:rsidRPr="001F199A">
        <w:rPr>
          <w:rFonts w:ascii="Arial" w:hAnsi="Arial" w:cs="Arial"/>
        </w:rPr>
        <w:br w:type="page"/>
      </w:r>
    </w:p>
    <w:p w14:paraId="461038D3" w14:textId="67B482CE" w:rsidR="00F949FA" w:rsidRPr="001F199A" w:rsidRDefault="00F812BA" w:rsidP="00F812BA">
      <w:pPr>
        <w:pStyle w:val="Heading1"/>
        <w:numPr>
          <w:ilvl w:val="0"/>
          <w:numId w:val="2"/>
        </w:numPr>
        <w:rPr>
          <w:rFonts w:ascii="Arial" w:hAnsi="Arial" w:cs="Arial"/>
        </w:rPr>
      </w:pPr>
      <w:bookmarkStart w:id="0" w:name="_Toc218623326"/>
      <w:r w:rsidRPr="001F199A">
        <w:rPr>
          <w:rFonts w:ascii="Arial" w:hAnsi="Arial" w:cs="Arial"/>
        </w:rPr>
        <w:lastRenderedPageBreak/>
        <w:t>Introduction</w:t>
      </w:r>
      <w:bookmarkEnd w:id="0"/>
      <w:r w:rsidRPr="001F199A">
        <w:rPr>
          <w:rFonts w:ascii="Arial" w:hAnsi="Arial" w:cs="Arial"/>
        </w:rPr>
        <w:t xml:space="preserve"> </w:t>
      </w:r>
    </w:p>
    <w:p w14:paraId="663AAA64" w14:textId="5C1C55B0" w:rsidR="00F949FA" w:rsidRPr="001F199A" w:rsidRDefault="00F949FA" w:rsidP="001A11EB">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The construction industry is highly resource-intensive, with plant and equipment accounting for a significant share of project costs and operational risk. Effective management of plant resources is critical to the successful delivery of projects in terms of price, time, quality, and safety. Inefficient plant management can lead to under-utilisation, excessive hire costs, duplication of assets, programme delays, and reduced profitability.</w:t>
      </w:r>
    </w:p>
    <w:p w14:paraId="73A7A68D" w14:textId="77777777" w:rsidR="00F949FA" w:rsidRDefault="00F949FA" w:rsidP="001A11EB">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This report has been prepared to recommend senior management on the effectiveness of the current plant management approaches adopted by a construction company running throughout Wales. The organisation utilises a management structure divided by both project type and geography, with two regional headquarters found in Wrexham (North Wales) and Swansea (South Wales). The company undertakes projects across three main sectors: commercial, housing, and infrastructure.</w:t>
      </w:r>
    </w:p>
    <w:p w14:paraId="31B66131" w14:textId="0FE81BEB" w:rsidR="00542535" w:rsidRPr="00542535" w:rsidRDefault="00542535" w:rsidP="006D2A89">
      <w:pPr>
        <w:pStyle w:val="Heading2"/>
      </w:pPr>
      <w:bookmarkStart w:id="1" w:name="_Toc218623327"/>
      <w:r w:rsidRPr="00542535">
        <w:t>1.1 Scope</w:t>
      </w:r>
      <w:bookmarkEnd w:id="1"/>
      <w:r w:rsidRPr="00542535">
        <w:t> </w:t>
      </w:r>
    </w:p>
    <w:p w14:paraId="79C1E717" w14:textId="0293B684" w:rsidR="00542535" w:rsidRPr="00542535" w:rsidRDefault="00542535" w:rsidP="00542535">
      <w:pPr>
        <w:spacing w:after="255" w:line="240" w:lineRule="auto"/>
        <w:rPr>
          <w:rFonts w:ascii="Arial" w:hAnsi="Arial" w:cs="Arial"/>
          <w:color w:val="000000"/>
          <w:kern w:val="0"/>
          <w14:ligatures w14:val="none"/>
        </w:rPr>
      </w:pPr>
      <w:r w:rsidRPr="00542535">
        <w:rPr>
          <w:rFonts w:ascii="Arial" w:hAnsi="Arial" w:cs="Arial"/>
          <w:color w:val="000000"/>
          <w:kern w:val="0"/>
          <w14:ligatures w14:val="none"/>
        </w:rPr>
        <w:t>This report adopts a qualitative, evaluative approach to reviewing plant resource management within the organisation. The analysis is based on a review of current organisational practices across North and South Wales, supported by relevant industry guidance relating to construction management, plant utilisation, and project planning.</w:t>
      </w:r>
    </w:p>
    <w:p w14:paraId="1ECB46B5" w14:textId="69F53AF2" w:rsidR="00542535" w:rsidRPr="00542535" w:rsidRDefault="00542535" w:rsidP="00542535">
      <w:pPr>
        <w:spacing w:after="255" w:line="240" w:lineRule="auto"/>
        <w:rPr>
          <w:rFonts w:ascii="Arial" w:hAnsi="Arial" w:cs="Arial"/>
          <w:color w:val="000000"/>
          <w:kern w:val="0"/>
          <w14:ligatures w14:val="none"/>
        </w:rPr>
      </w:pPr>
      <w:r w:rsidRPr="00542535">
        <w:rPr>
          <w:rFonts w:ascii="Arial" w:hAnsi="Arial" w:cs="Arial"/>
          <w:color w:val="000000"/>
          <w:kern w:val="0"/>
          <w14:ligatures w14:val="none"/>
        </w:rPr>
        <w:t xml:space="preserve">The report does not include primary data collection or detailed financial modelling; instead, it focuses on assessing the strategic and operational effectiveness of existing approaches and </w:t>
      </w:r>
      <w:r w:rsidR="00720CBC" w:rsidRPr="00542535">
        <w:rPr>
          <w:rFonts w:ascii="Arial" w:hAnsi="Arial" w:cs="Arial"/>
          <w:color w:val="000000"/>
          <w:kern w:val="0"/>
          <w14:ligatures w14:val="none"/>
        </w:rPr>
        <w:t>finding</w:t>
      </w:r>
      <w:r w:rsidRPr="00542535">
        <w:rPr>
          <w:rFonts w:ascii="Arial" w:hAnsi="Arial" w:cs="Arial"/>
          <w:color w:val="000000"/>
          <w:kern w:val="0"/>
          <w14:ligatures w14:val="none"/>
        </w:rPr>
        <w:t xml:space="preserve"> opportunities for improvement from a business management perspective.</w:t>
      </w:r>
    </w:p>
    <w:p w14:paraId="25FAB367" w14:textId="77777777" w:rsidR="00DF05B8" w:rsidRPr="001F199A" w:rsidRDefault="00DF05B8" w:rsidP="001A11EB">
      <w:pPr>
        <w:spacing w:after="255" w:line="240" w:lineRule="auto"/>
        <w:rPr>
          <w:rFonts w:ascii="Arial" w:hAnsi="Arial" w:cs="Arial"/>
          <w:color w:val="000000"/>
          <w:kern w:val="0"/>
          <w14:ligatures w14:val="none"/>
        </w:rPr>
      </w:pPr>
    </w:p>
    <w:p w14:paraId="3380969E" w14:textId="6F1A4E3F" w:rsidR="000E2017" w:rsidRPr="001F199A" w:rsidRDefault="001101E6" w:rsidP="000E2017">
      <w:pPr>
        <w:pStyle w:val="Heading1"/>
        <w:numPr>
          <w:ilvl w:val="0"/>
          <w:numId w:val="2"/>
        </w:numPr>
        <w:rPr>
          <w:rFonts w:ascii="Arial" w:hAnsi="Arial" w:cs="Arial"/>
        </w:rPr>
      </w:pPr>
      <w:bookmarkStart w:id="2" w:name="_Toc218623328"/>
      <w:r w:rsidRPr="001F199A">
        <w:rPr>
          <w:rFonts w:ascii="Arial" w:hAnsi="Arial" w:cs="Arial"/>
        </w:rPr>
        <w:t>Organisation</w:t>
      </w:r>
      <w:r w:rsidR="0097785D" w:rsidRPr="001F199A">
        <w:rPr>
          <w:rFonts w:ascii="Arial" w:hAnsi="Arial" w:cs="Arial"/>
        </w:rPr>
        <w:t>al Structure and C</w:t>
      </w:r>
      <w:r w:rsidR="00FA1B04" w:rsidRPr="001F199A">
        <w:rPr>
          <w:rFonts w:ascii="Arial" w:hAnsi="Arial" w:cs="Arial"/>
        </w:rPr>
        <w:t>ontext</w:t>
      </w:r>
      <w:bookmarkEnd w:id="2"/>
      <w:r w:rsidR="00FA1B04" w:rsidRPr="001F199A">
        <w:rPr>
          <w:rFonts w:ascii="Arial" w:hAnsi="Arial" w:cs="Arial"/>
        </w:rPr>
        <w:t xml:space="preserve"> </w:t>
      </w:r>
    </w:p>
    <w:p w14:paraId="49D40F29" w14:textId="5213544B" w:rsidR="00E255B0" w:rsidRPr="001F199A" w:rsidRDefault="00E255B0" w:rsidP="00AC4A24">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 xml:space="preserve">The company runs under a hybrid organisational structure. This form of structure is common within medium to large construction organisations, as it enables projects to be managed at a local level while </w:t>
      </w:r>
      <w:bookmarkStart w:id="3" w:name="_Int_Sb3CQ1vC"/>
      <w:r w:rsidRPr="001F199A">
        <w:rPr>
          <w:rFonts w:ascii="Arial" w:hAnsi="Arial" w:cs="Arial"/>
          <w:color w:val="000000"/>
          <w:kern w:val="0"/>
          <w14:ligatures w14:val="none"/>
        </w:rPr>
        <w:t>maintaining</w:t>
      </w:r>
      <w:bookmarkEnd w:id="3"/>
      <w:r w:rsidRPr="001F199A">
        <w:rPr>
          <w:rFonts w:ascii="Arial" w:hAnsi="Arial" w:cs="Arial"/>
          <w:color w:val="000000"/>
          <w:kern w:val="0"/>
          <w14:ligatures w14:val="none"/>
        </w:rPr>
        <w:t xml:space="preserve"> specialist </w:t>
      </w:r>
      <w:r w:rsidR="00720CBC" w:rsidRPr="001F199A">
        <w:rPr>
          <w:rFonts w:ascii="Arial" w:hAnsi="Arial" w:cs="Arial"/>
          <w:color w:val="000000"/>
          <w:kern w:val="0"/>
          <w14:ligatures w14:val="none"/>
        </w:rPr>
        <w:t>ability</w:t>
      </w:r>
      <w:r w:rsidRPr="001F199A">
        <w:rPr>
          <w:rFonts w:ascii="Arial" w:hAnsi="Arial" w:cs="Arial"/>
          <w:color w:val="000000"/>
          <w:kern w:val="0"/>
          <w14:ligatures w14:val="none"/>
        </w:rPr>
        <w:t xml:space="preserve"> across multiple project sectors.</w:t>
      </w:r>
    </w:p>
    <w:p w14:paraId="54DA041F" w14:textId="67A4462E" w:rsidR="0052506A" w:rsidRPr="001F199A" w:rsidRDefault="0052506A" w:rsidP="00B06814">
      <w:pPr>
        <w:rPr>
          <w:rStyle w:val="s2"/>
          <w:rFonts w:ascii="Arial" w:hAnsi="Arial" w:cs="Arial"/>
          <w:sz w:val="24"/>
          <w:szCs w:val="24"/>
        </w:rPr>
      </w:pPr>
      <w:r w:rsidRPr="001F199A">
        <w:rPr>
          <w:rStyle w:val="s2"/>
          <w:rFonts w:ascii="Arial" w:hAnsi="Arial" w:cs="Arial"/>
          <w:sz w:val="24"/>
          <w:szCs w:val="24"/>
        </w:rPr>
        <w:t xml:space="preserve">Key elements of the further: </w:t>
      </w:r>
    </w:p>
    <w:p w14:paraId="433EB6F8" w14:textId="2FD1E978" w:rsidR="0052506A" w:rsidRPr="001F199A" w:rsidRDefault="0052506A" w:rsidP="00EB14AC">
      <w:pPr>
        <w:rPr>
          <w:rFonts w:ascii="Arial" w:hAnsi="Arial" w:cs="Arial"/>
        </w:rPr>
      </w:pPr>
      <w:r w:rsidRPr="001F199A">
        <w:rPr>
          <w:rFonts w:ascii="Arial" w:hAnsi="Arial" w:cs="Arial"/>
        </w:rPr>
        <w:t>Geographical di</w:t>
      </w:r>
      <w:r w:rsidR="00421005" w:rsidRPr="001F199A">
        <w:rPr>
          <w:rFonts w:ascii="Arial" w:hAnsi="Arial" w:cs="Arial"/>
        </w:rPr>
        <w:t xml:space="preserve">vision </w:t>
      </w:r>
    </w:p>
    <w:p w14:paraId="61822B80" w14:textId="76121E15" w:rsidR="00421005" w:rsidRDefault="00421005" w:rsidP="00421005">
      <w:pPr>
        <w:pStyle w:val="ListParagraph"/>
        <w:numPr>
          <w:ilvl w:val="0"/>
          <w:numId w:val="8"/>
        </w:numPr>
        <w:rPr>
          <w:rFonts w:ascii="Arial" w:hAnsi="Arial" w:cs="Arial"/>
        </w:rPr>
      </w:pPr>
      <w:r w:rsidRPr="001F199A">
        <w:rPr>
          <w:rFonts w:ascii="Arial" w:hAnsi="Arial" w:cs="Arial"/>
        </w:rPr>
        <w:t xml:space="preserve">North </w:t>
      </w:r>
      <w:r w:rsidR="0074105A">
        <w:rPr>
          <w:rFonts w:ascii="Arial" w:hAnsi="Arial" w:cs="Arial"/>
        </w:rPr>
        <w:t>W</w:t>
      </w:r>
      <w:r w:rsidR="007A185B" w:rsidRPr="001F199A">
        <w:rPr>
          <w:rFonts w:ascii="Arial" w:hAnsi="Arial" w:cs="Arial"/>
        </w:rPr>
        <w:t xml:space="preserve">ales – Wrexham </w:t>
      </w:r>
    </w:p>
    <w:p w14:paraId="306422C3" w14:textId="77777777" w:rsidR="00FE488D" w:rsidRPr="001F199A" w:rsidRDefault="00FE488D" w:rsidP="00FE488D">
      <w:pPr>
        <w:pStyle w:val="ListParagraph"/>
        <w:ind w:left="1440"/>
        <w:rPr>
          <w:rFonts w:ascii="Arial" w:hAnsi="Arial" w:cs="Arial"/>
        </w:rPr>
      </w:pPr>
    </w:p>
    <w:p w14:paraId="54C87C49" w14:textId="4AC5691D" w:rsidR="007A185B" w:rsidRPr="001F199A" w:rsidRDefault="007A185B" w:rsidP="00421005">
      <w:pPr>
        <w:pStyle w:val="ListParagraph"/>
        <w:numPr>
          <w:ilvl w:val="0"/>
          <w:numId w:val="8"/>
        </w:numPr>
        <w:rPr>
          <w:rFonts w:ascii="Arial" w:hAnsi="Arial" w:cs="Arial"/>
        </w:rPr>
      </w:pPr>
      <w:r w:rsidRPr="001F199A">
        <w:rPr>
          <w:rFonts w:ascii="Arial" w:hAnsi="Arial" w:cs="Arial"/>
        </w:rPr>
        <w:t xml:space="preserve">South </w:t>
      </w:r>
      <w:r w:rsidR="0074105A">
        <w:rPr>
          <w:rFonts w:ascii="Arial" w:hAnsi="Arial" w:cs="Arial"/>
        </w:rPr>
        <w:t>W</w:t>
      </w:r>
      <w:r w:rsidRPr="001F199A">
        <w:rPr>
          <w:rFonts w:ascii="Arial" w:hAnsi="Arial" w:cs="Arial"/>
        </w:rPr>
        <w:t xml:space="preserve">ales – </w:t>
      </w:r>
      <w:r w:rsidR="00A208CC" w:rsidRPr="001F199A">
        <w:rPr>
          <w:rFonts w:ascii="Arial" w:hAnsi="Arial" w:cs="Arial"/>
        </w:rPr>
        <w:t>S</w:t>
      </w:r>
      <w:r w:rsidRPr="001F199A">
        <w:rPr>
          <w:rFonts w:ascii="Arial" w:hAnsi="Arial" w:cs="Arial"/>
        </w:rPr>
        <w:t xml:space="preserve">wansea </w:t>
      </w:r>
    </w:p>
    <w:p w14:paraId="0825CEB9" w14:textId="77777777" w:rsidR="007A185B" w:rsidRPr="001F199A" w:rsidRDefault="007A185B" w:rsidP="007A185B">
      <w:pPr>
        <w:pStyle w:val="ListParagraph"/>
        <w:ind w:left="1440"/>
        <w:rPr>
          <w:rFonts w:ascii="Arial" w:hAnsi="Arial" w:cs="Arial"/>
        </w:rPr>
      </w:pPr>
    </w:p>
    <w:p w14:paraId="3BFB5C48" w14:textId="77777777" w:rsidR="00FE488D" w:rsidRDefault="00FE488D" w:rsidP="00EB14AC">
      <w:pPr>
        <w:rPr>
          <w:rFonts w:ascii="Arial" w:hAnsi="Arial" w:cs="Arial"/>
        </w:rPr>
      </w:pPr>
    </w:p>
    <w:p w14:paraId="5E06B885" w14:textId="1DD97F75" w:rsidR="0052506A" w:rsidRPr="001F199A" w:rsidRDefault="00421005" w:rsidP="00EB14AC">
      <w:pPr>
        <w:rPr>
          <w:rFonts w:ascii="Arial" w:hAnsi="Arial" w:cs="Arial"/>
        </w:rPr>
      </w:pPr>
      <w:r w:rsidRPr="001F199A">
        <w:rPr>
          <w:rFonts w:ascii="Arial" w:hAnsi="Arial" w:cs="Arial"/>
        </w:rPr>
        <w:lastRenderedPageBreak/>
        <w:t xml:space="preserve">Project type division </w:t>
      </w:r>
    </w:p>
    <w:p w14:paraId="45AF8AE2" w14:textId="5206873F" w:rsidR="00FE488D" w:rsidRPr="00FE488D" w:rsidRDefault="007A185B" w:rsidP="00FE488D">
      <w:pPr>
        <w:pStyle w:val="ListParagraph"/>
        <w:numPr>
          <w:ilvl w:val="0"/>
          <w:numId w:val="9"/>
        </w:numPr>
        <w:rPr>
          <w:rFonts w:ascii="Arial" w:hAnsi="Arial" w:cs="Arial"/>
        </w:rPr>
      </w:pPr>
      <w:r w:rsidRPr="001F199A">
        <w:rPr>
          <w:rFonts w:ascii="Arial" w:hAnsi="Arial" w:cs="Arial"/>
        </w:rPr>
        <w:t xml:space="preserve">Commercial </w:t>
      </w:r>
    </w:p>
    <w:p w14:paraId="651DB51C" w14:textId="4D276F7A" w:rsidR="00FE488D" w:rsidRPr="00FE488D" w:rsidRDefault="007A185B" w:rsidP="00FE488D">
      <w:pPr>
        <w:pStyle w:val="ListParagraph"/>
        <w:numPr>
          <w:ilvl w:val="0"/>
          <w:numId w:val="9"/>
        </w:numPr>
        <w:rPr>
          <w:rFonts w:ascii="Arial" w:hAnsi="Arial" w:cs="Arial"/>
        </w:rPr>
      </w:pPr>
      <w:r w:rsidRPr="001F199A">
        <w:rPr>
          <w:rFonts w:ascii="Arial" w:hAnsi="Arial" w:cs="Arial"/>
        </w:rPr>
        <w:t>Housi</w:t>
      </w:r>
      <w:r w:rsidR="004B2993" w:rsidRPr="001F199A">
        <w:rPr>
          <w:rFonts w:ascii="Arial" w:hAnsi="Arial" w:cs="Arial"/>
        </w:rPr>
        <w:t>ng</w:t>
      </w:r>
    </w:p>
    <w:p w14:paraId="64C15907" w14:textId="630AA9A9" w:rsidR="004B2993" w:rsidRPr="001F199A" w:rsidRDefault="004B2993" w:rsidP="007A185B">
      <w:pPr>
        <w:pStyle w:val="ListParagraph"/>
        <w:numPr>
          <w:ilvl w:val="0"/>
          <w:numId w:val="9"/>
        </w:numPr>
        <w:rPr>
          <w:rFonts w:ascii="Arial" w:hAnsi="Arial" w:cs="Arial"/>
        </w:rPr>
      </w:pPr>
      <w:r w:rsidRPr="001F199A">
        <w:rPr>
          <w:rFonts w:ascii="Arial" w:hAnsi="Arial" w:cs="Arial"/>
        </w:rPr>
        <w:t xml:space="preserve">Infrastructure </w:t>
      </w:r>
    </w:p>
    <w:p w14:paraId="612C7B43" w14:textId="2F8B8204" w:rsidR="004B2993" w:rsidRPr="001F199A" w:rsidRDefault="004B2993" w:rsidP="004B2993">
      <w:pPr>
        <w:rPr>
          <w:rFonts w:ascii="Arial" w:hAnsi="Arial" w:cs="Arial"/>
        </w:rPr>
      </w:pPr>
      <w:r w:rsidRPr="001F199A">
        <w:rPr>
          <w:rFonts w:ascii="Arial" w:hAnsi="Arial" w:cs="Arial"/>
        </w:rPr>
        <w:t xml:space="preserve">This structure provides flexibility and enables local management teams to respond to regional </w:t>
      </w:r>
      <w:r w:rsidR="00300455" w:rsidRPr="001F199A">
        <w:rPr>
          <w:rFonts w:ascii="Arial" w:hAnsi="Arial" w:cs="Arial"/>
        </w:rPr>
        <w:t xml:space="preserve">market vocations and project demands. </w:t>
      </w:r>
    </w:p>
    <w:p w14:paraId="10966513" w14:textId="77777777" w:rsidR="00300455" w:rsidRPr="001F199A" w:rsidRDefault="00300455" w:rsidP="004B2993">
      <w:pPr>
        <w:rPr>
          <w:rFonts w:ascii="Arial" w:hAnsi="Arial" w:cs="Arial"/>
        </w:rPr>
      </w:pPr>
    </w:p>
    <w:p w14:paraId="16FE37BF" w14:textId="2104F05B" w:rsidR="00FA1B04" w:rsidRPr="001F199A" w:rsidRDefault="00D52C91" w:rsidP="00FA1B04">
      <w:pPr>
        <w:pStyle w:val="Heading1"/>
        <w:numPr>
          <w:ilvl w:val="0"/>
          <w:numId w:val="2"/>
        </w:numPr>
        <w:rPr>
          <w:rFonts w:ascii="Arial" w:hAnsi="Arial" w:cs="Arial"/>
        </w:rPr>
      </w:pPr>
      <w:bookmarkStart w:id="4" w:name="_Toc218623329"/>
      <w:r w:rsidRPr="001F199A">
        <w:rPr>
          <w:rFonts w:ascii="Arial" w:hAnsi="Arial" w:cs="Arial"/>
        </w:rPr>
        <w:t xml:space="preserve">Current </w:t>
      </w:r>
      <w:r w:rsidR="00113AE3" w:rsidRPr="001F199A">
        <w:rPr>
          <w:rFonts w:ascii="Arial" w:hAnsi="Arial" w:cs="Arial"/>
        </w:rPr>
        <w:t>Pl</w:t>
      </w:r>
      <w:r w:rsidRPr="001F199A">
        <w:rPr>
          <w:rFonts w:ascii="Arial" w:hAnsi="Arial" w:cs="Arial"/>
        </w:rPr>
        <w:t xml:space="preserve">ant </w:t>
      </w:r>
      <w:r w:rsidR="00113AE3" w:rsidRPr="001F199A">
        <w:rPr>
          <w:rFonts w:ascii="Arial" w:hAnsi="Arial" w:cs="Arial"/>
        </w:rPr>
        <w:t>P</w:t>
      </w:r>
      <w:r w:rsidRPr="001F199A">
        <w:rPr>
          <w:rFonts w:ascii="Arial" w:hAnsi="Arial" w:cs="Arial"/>
        </w:rPr>
        <w:t>racti</w:t>
      </w:r>
      <w:r w:rsidR="00245083">
        <w:rPr>
          <w:rFonts w:ascii="Arial" w:hAnsi="Arial" w:cs="Arial"/>
        </w:rPr>
        <w:t>ce</w:t>
      </w:r>
      <w:bookmarkEnd w:id="4"/>
      <w:r w:rsidR="00245083">
        <w:rPr>
          <w:rFonts w:ascii="Arial" w:hAnsi="Arial" w:cs="Arial"/>
        </w:rPr>
        <w:t xml:space="preserve"> </w:t>
      </w:r>
    </w:p>
    <w:p w14:paraId="621385DE" w14:textId="3AF29ACB" w:rsidR="00300455" w:rsidRPr="001F199A" w:rsidRDefault="00544815" w:rsidP="00544815">
      <w:pPr>
        <w:pStyle w:val="Heading2"/>
        <w:rPr>
          <w:rFonts w:ascii="Arial" w:hAnsi="Arial" w:cs="Arial"/>
        </w:rPr>
      </w:pPr>
      <w:bookmarkStart w:id="5" w:name="_Toc218623330"/>
      <w:r w:rsidRPr="001F199A">
        <w:rPr>
          <w:rFonts w:ascii="Arial" w:hAnsi="Arial" w:cs="Arial"/>
        </w:rPr>
        <w:t xml:space="preserve">3.1 </w:t>
      </w:r>
      <w:r w:rsidR="00032C97" w:rsidRPr="001F199A">
        <w:rPr>
          <w:rFonts w:ascii="Arial" w:hAnsi="Arial" w:cs="Arial"/>
        </w:rPr>
        <w:t>P</w:t>
      </w:r>
      <w:r w:rsidR="00300455" w:rsidRPr="001F199A">
        <w:rPr>
          <w:rFonts w:ascii="Arial" w:hAnsi="Arial" w:cs="Arial"/>
        </w:rPr>
        <w:t xml:space="preserve">lant </w:t>
      </w:r>
      <w:r w:rsidR="004F2EFA" w:rsidRPr="001F199A">
        <w:rPr>
          <w:rFonts w:ascii="Arial" w:hAnsi="Arial" w:cs="Arial"/>
        </w:rPr>
        <w:t>M</w:t>
      </w:r>
      <w:r w:rsidR="00300455" w:rsidRPr="001F199A">
        <w:rPr>
          <w:rFonts w:ascii="Arial" w:hAnsi="Arial" w:cs="Arial"/>
        </w:rPr>
        <w:t xml:space="preserve">anagement </w:t>
      </w:r>
      <w:r w:rsidR="006D5B75" w:rsidRPr="001F199A">
        <w:rPr>
          <w:rFonts w:ascii="Arial" w:hAnsi="Arial" w:cs="Arial"/>
        </w:rPr>
        <w:t xml:space="preserve">in </w:t>
      </w:r>
      <w:r w:rsidR="004F2EFA" w:rsidRPr="001F199A">
        <w:rPr>
          <w:rFonts w:ascii="Arial" w:hAnsi="Arial" w:cs="Arial"/>
        </w:rPr>
        <w:t>N</w:t>
      </w:r>
      <w:r w:rsidR="006D5B75" w:rsidRPr="001F199A">
        <w:rPr>
          <w:rFonts w:ascii="Arial" w:hAnsi="Arial" w:cs="Arial"/>
        </w:rPr>
        <w:t xml:space="preserve">orth </w:t>
      </w:r>
      <w:r w:rsidR="004E7264" w:rsidRPr="001F199A">
        <w:rPr>
          <w:rFonts w:ascii="Arial" w:hAnsi="Arial" w:cs="Arial"/>
        </w:rPr>
        <w:t>W</w:t>
      </w:r>
      <w:r w:rsidR="006D5B75" w:rsidRPr="001F199A">
        <w:rPr>
          <w:rFonts w:ascii="Arial" w:hAnsi="Arial" w:cs="Arial"/>
        </w:rPr>
        <w:t>ales</w:t>
      </w:r>
      <w:bookmarkEnd w:id="5"/>
      <w:r w:rsidR="006D5B75" w:rsidRPr="001F199A">
        <w:rPr>
          <w:rFonts w:ascii="Arial" w:hAnsi="Arial" w:cs="Arial"/>
        </w:rPr>
        <w:t xml:space="preserve"> </w:t>
      </w:r>
    </w:p>
    <w:p w14:paraId="2F16B653" w14:textId="1DD5444A" w:rsidR="007A3390" w:rsidRPr="001F199A" w:rsidRDefault="00C73F06" w:rsidP="007A3390">
      <w:pPr>
        <w:pStyle w:val="p1"/>
        <w:rPr>
          <w:rFonts w:ascii="Arial" w:hAnsi="Arial" w:cs="Arial"/>
          <w:sz w:val="24"/>
          <w:szCs w:val="24"/>
        </w:rPr>
      </w:pPr>
      <w:r w:rsidRPr="001F199A">
        <w:rPr>
          <w:rFonts w:ascii="Arial" w:hAnsi="Arial" w:cs="Arial"/>
          <w:sz w:val="24"/>
          <w:szCs w:val="24"/>
        </w:rPr>
        <w:t xml:space="preserve"> </w:t>
      </w:r>
      <w:r w:rsidR="007A3390" w:rsidRPr="001F199A">
        <w:rPr>
          <w:rFonts w:ascii="Arial" w:hAnsi="Arial" w:cs="Arial"/>
          <w:sz w:val="24"/>
          <w:szCs w:val="24"/>
        </w:rPr>
        <w:t xml:space="preserve">In North Wales, the company owns a limited range of basic plant, primarily standard excavators. </w:t>
      </w:r>
      <w:r w:rsidR="008E3E72" w:rsidRPr="001F199A">
        <w:rPr>
          <w:rFonts w:ascii="Arial" w:hAnsi="Arial" w:cs="Arial"/>
          <w:sz w:val="24"/>
          <w:szCs w:val="24"/>
        </w:rPr>
        <w:t>Most of the</w:t>
      </w:r>
      <w:r w:rsidR="007A3390" w:rsidRPr="001F199A">
        <w:rPr>
          <w:rFonts w:ascii="Arial" w:hAnsi="Arial" w:cs="Arial"/>
          <w:sz w:val="24"/>
          <w:szCs w:val="24"/>
        </w:rPr>
        <w:t xml:space="preserve"> </w:t>
      </w:r>
      <w:r w:rsidR="00266297" w:rsidRPr="001F199A">
        <w:rPr>
          <w:rFonts w:ascii="Arial" w:hAnsi="Arial" w:cs="Arial"/>
          <w:sz w:val="24"/>
          <w:szCs w:val="24"/>
        </w:rPr>
        <w:t>other</w:t>
      </w:r>
      <w:r w:rsidR="007A3390" w:rsidRPr="001F199A">
        <w:rPr>
          <w:rFonts w:ascii="Arial" w:hAnsi="Arial" w:cs="Arial"/>
          <w:sz w:val="24"/>
          <w:szCs w:val="24"/>
        </w:rPr>
        <w:t xml:space="preserve"> plant </w:t>
      </w:r>
      <w:r w:rsidR="00A80085">
        <w:rPr>
          <w:rFonts w:ascii="Arial" w:hAnsi="Arial" w:cs="Arial"/>
          <w:sz w:val="24"/>
          <w:szCs w:val="24"/>
        </w:rPr>
        <w:t xml:space="preserve">are hired </w:t>
      </w:r>
      <w:r w:rsidR="007A3390" w:rsidRPr="001F199A">
        <w:rPr>
          <w:rFonts w:ascii="Arial" w:hAnsi="Arial" w:cs="Arial"/>
          <w:sz w:val="24"/>
          <w:szCs w:val="24"/>
        </w:rPr>
        <w:t>from external suppliers as needed for specific projects.</w:t>
      </w:r>
    </w:p>
    <w:p w14:paraId="51607933" w14:textId="0E5D62CC" w:rsidR="00C73F06" w:rsidRPr="001F199A" w:rsidRDefault="007A3390" w:rsidP="007A3390">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This approach reflects a preference for flexibility and reduced capital investment, particularly where plant requirements vary between commercial and infrastructure projects.</w:t>
      </w:r>
    </w:p>
    <w:p w14:paraId="71F8727F" w14:textId="29C7981F" w:rsidR="00D52C91" w:rsidRPr="001F199A" w:rsidRDefault="00544815" w:rsidP="00544815">
      <w:pPr>
        <w:pStyle w:val="Heading2"/>
        <w:rPr>
          <w:rFonts w:ascii="Arial" w:hAnsi="Arial" w:cs="Arial"/>
        </w:rPr>
      </w:pPr>
      <w:bookmarkStart w:id="6" w:name="_Toc218623331"/>
      <w:r w:rsidRPr="001F199A">
        <w:rPr>
          <w:rFonts w:ascii="Arial" w:hAnsi="Arial" w:cs="Arial"/>
        </w:rPr>
        <w:t xml:space="preserve">3.2 </w:t>
      </w:r>
      <w:r w:rsidR="006D5B75" w:rsidRPr="001F199A">
        <w:rPr>
          <w:rFonts w:ascii="Arial" w:hAnsi="Arial" w:cs="Arial"/>
        </w:rPr>
        <w:t xml:space="preserve">Plant </w:t>
      </w:r>
      <w:r w:rsidR="00D905EB" w:rsidRPr="001F199A">
        <w:rPr>
          <w:rFonts w:ascii="Arial" w:hAnsi="Arial" w:cs="Arial"/>
        </w:rPr>
        <w:t>M</w:t>
      </w:r>
      <w:r w:rsidR="006D5B75" w:rsidRPr="001F199A">
        <w:rPr>
          <w:rFonts w:ascii="Arial" w:hAnsi="Arial" w:cs="Arial"/>
        </w:rPr>
        <w:t xml:space="preserve">anagement in </w:t>
      </w:r>
      <w:r w:rsidR="00D905EB" w:rsidRPr="001F199A">
        <w:rPr>
          <w:rFonts w:ascii="Arial" w:hAnsi="Arial" w:cs="Arial"/>
        </w:rPr>
        <w:t>S</w:t>
      </w:r>
      <w:r w:rsidR="006D5B75" w:rsidRPr="001F199A">
        <w:rPr>
          <w:rFonts w:ascii="Arial" w:hAnsi="Arial" w:cs="Arial"/>
        </w:rPr>
        <w:t xml:space="preserve">outh </w:t>
      </w:r>
      <w:r w:rsidR="00D905EB" w:rsidRPr="001F199A">
        <w:rPr>
          <w:rFonts w:ascii="Arial" w:hAnsi="Arial" w:cs="Arial"/>
        </w:rPr>
        <w:t>W</w:t>
      </w:r>
      <w:r w:rsidR="006D5B75" w:rsidRPr="001F199A">
        <w:rPr>
          <w:rFonts w:ascii="Arial" w:hAnsi="Arial" w:cs="Arial"/>
        </w:rPr>
        <w:t>ales</w:t>
      </w:r>
      <w:bookmarkEnd w:id="6"/>
      <w:r w:rsidR="006D5B75" w:rsidRPr="001F199A">
        <w:rPr>
          <w:rFonts w:ascii="Arial" w:hAnsi="Arial" w:cs="Arial"/>
        </w:rPr>
        <w:t xml:space="preserve"> </w:t>
      </w:r>
    </w:p>
    <w:p w14:paraId="2CCEEB23" w14:textId="4C2E8186" w:rsidR="000E6938" w:rsidRPr="001F199A" w:rsidRDefault="000E6938" w:rsidP="00C94993">
      <w:pPr>
        <w:pStyle w:val="p1"/>
        <w:rPr>
          <w:rFonts w:ascii="Arial" w:hAnsi="Arial" w:cs="Arial"/>
          <w:color w:val="auto"/>
          <w:sz w:val="24"/>
          <w:szCs w:val="24"/>
        </w:rPr>
      </w:pPr>
      <w:r w:rsidRPr="001F199A">
        <w:rPr>
          <w:rFonts w:ascii="Arial" w:hAnsi="Arial" w:cs="Arial"/>
          <w:sz w:val="24"/>
          <w:szCs w:val="24"/>
        </w:rPr>
        <w:t xml:space="preserve">In </w:t>
      </w:r>
      <w:r w:rsidR="00A24169" w:rsidRPr="001F199A">
        <w:rPr>
          <w:rFonts w:ascii="Arial" w:hAnsi="Arial" w:cs="Arial"/>
          <w:sz w:val="24"/>
          <w:szCs w:val="24"/>
        </w:rPr>
        <w:t>S</w:t>
      </w:r>
      <w:r w:rsidRPr="001F199A">
        <w:rPr>
          <w:rFonts w:ascii="Arial" w:hAnsi="Arial" w:cs="Arial"/>
          <w:sz w:val="24"/>
          <w:szCs w:val="24"/>
        </w:rPr>
        <w:t xml:space="preserve">outh </w:t>
      </w:r>
      <w:r w:rsidR="00A24169" w:rsidRPr="001F199A">
        <w:rPr>
          <w:rFonts w:ascii="Arial" w:hAnsi="Arial" w:cs="Arial"/>
          <w:sz w:val="24"/>
          <w:szCs w:val="24"/>
        </w:rPr>
        <w:t>W</w:t>
      </w:r>
      <w:r w:rsidRPr="001F199A">
        <w:rPr>
          <w:rFonts w:ascii="Arial" w:hAnsi="Arial" w:cs="Arial"/>
          <w:sz w:val="24"/>
          <w:szCs w:val="24"/>
        </w:rPr>
        <w:t>ales, th</w:t>
      </w:r>
      <w:r w:rsidR="00405169" w:rsidRPr="001F199A">
        <w:rPr>
          <w:rFonts w:ascii="Arial" w:hAnsi="Arial" w:cs="Arial"/>
          <w:sz w:val="24"/>
          <w:szCs w:val="24"/>
        </w:rPr>
        <w:t xml:space="preserve">ey adopt </w:t>
      </w:r>
      <w:r w:rsidR="00C94993" w:rsidRPr="001F199A">
        <w:rPr>
          <w:rFonts w:ascii="Arial" w:hAnsi="Arial" w:cs="Arial"/>
          <w:sz w:val="24"/>
          <w:szCs w:val="24"/>
        </w:rPr>
        <w:t>an</w:t>
      </w:r>
      <w:r w:rsidR="00757E9A" w:rsidRPr="001F199A">
        <w:rPr>
          <w:rFonts w:ascii="Arial" w:hAnsi="Arial" w:cs="Arial"/>
          <w:sz w:val="24"/>
          <w:szCs w:val="24"/>
        </w:rPr>
        <w:t xml:space="preserve"> </w:t>
      </w:r>
      <w:r w:rsidR="00757E9A" w:rsidRPr="001F199A">
        <w:rPr>
          <w:rFonts w:ascii="Arial" w:hAnsi="Arial" w:cs="Arial"/>
          <w:color w:val="auto"/>
          <w:sz w:val="24"/>
          <w:szCs w:val="24"/>
        </w:rPr>
        <w:t>ownership</w:t>
      </w:r>
      <w:r w:rsidR="00845A6F" w:rsidRPr="001F199A">
        <w:rPr>
          <w:rFonts w:ascii="Arial" w:hAnsi="Arial" w:cs="Arial"/>
          <w:color w:val="auto"/>
          <w:sz w:val="24"/>
          <w:szCs w:val="24"/>
        </w:rPr>
        <w:t xml:space="preserve">, with individual project teams </w:t>
      </w:r>
      <w:r w:rsidR="00757E9A" w:rsidRPr="001F199A">
        <w:rPr>
          <w:rFonts w:ascii="Arial" w:hAnsi="Arial" w:cs="Arial"/>
          <w:color w:val="auto"/>
          <w:sz w:val="24"/>
          <w:szCs w:val="24"/>
        </w:rPr>
        <w:t>buying</w:t>
      </w:r>
      <w:r w:rsidR="00845A6F" w:rsidRPr="001F199A">
        <w:rPr>
          <w:rFonts w:ascii="Arial" w:hAnsi="Arial" w:cs="Arial"/>
          <w:color w:val="auto"/>
          <w:sz w:val="24"/>
          <w:szCs w:val="24"/>
        </w:rPr>
        <w:t xml:space="preserve"> and </w:t>
      </w:r>
      <w:r w:rsidR="00C94993" w:rsidRPr="001F199A">
        <w:rPr>
          <w:rFonts w:ascii="Arial" w:hAnsi="Arial" w:cs="Arial"/>
          <w:color w:val="auto"/>
          <w:sz w:val="24"/>
          <w:szCs w:val="24"/>
        </w:rPr>
        <w:t>keeping</w:t>
      </w:r>
      <w:r w:rsidR="00845A6F" w:rsidRPr="001F199A">
        <w:rPr>
          <w:rFonts w:ascii="Arial" w:hAnsi="Arial" w:cs="Arial"/>
          <w:color w:val="auto"/>
          <w:sz w:val="24"/>
          <w:szCs w:val="24"/>
        </w:rPr>
        <w:t xml:space="preserve"> their own plant and equipment. Only highly specialised plant </w:t>
      </w:r>
      <w:r w:rsidR="00A80085">
        <w:rPr>
          <w:rFonts w:ascii="Arial" w:hAnsi="Arial" w:cs="Arial"/>
          <w:color w:val="auto"/>
          <w:sz w:val="24"/>
          <w:szCs w:val="24"/>
        </w:rPr>
        <w:t>are</w:t>
      </w:r>
      <w:r w:rsidR="00845A6F" w:rsidRPr="001F199A">
        <w:rPr>
          <w:rFonts w:ascii="Arial" w:hAnsi="Arial" w:cs="Arial"/>
          <w:color w:val="auto"/>
          <w:sz w:val="24"/>
          <w:szCs w:val="24"/>
        </w:rPr>
        <w:t xml:space="preserve"> hired when </w:t>
      </w:r>
      <w:r w:rsidR="00C94993" w:rsidRPr="001F199A">
        <w:rPr>
          <w:rFonts w:ascii="Arial" w:hAnsi="Arial" w:cs="Arial"/>
          <w:color w:val="auto"/>
          <w:sz w:val="24"/>
          <w:szCs w:val="24"/>
        </w:rPr>
        <w:t>needed</w:t>
      </w:r>
      <w:r w:rsidR="00845A6F" w:rsidRPr="001F199A">
        <w:rPr>
          <w:rFonts w:ascii="Arial" w:hAnsi="Arial" w:cs="Arial"/>
          <w:color w:val="auto"/>
          <w:sz w:val="24"/>
          <w:szCs w:val="24"/>
        </w:rPr>
        <w:t>.</w:t>
      </w:r>
      <w:r w:rsidR="00C94993" w:rsidRPr="001F199A">
        <w:rPr>
          <w:rFonts w:ascii="Arial" w:hAnsi="Arial" w:cs="Arial"/>
          <w:color w:val="auto"/>
          <w:sz w:val="24"/>
          <w:szCs w:val="24"/>
        </w:rPr>
        <w:t xml:space="preserve"> </w:t>
      </w:r>
    </w:p>
    <w:p w14:paraId="4297C4E6" w14:textId="6B097AAE" w:rsidR="00405169" w:rsidRPr="001F199A" w:rsidRDefault="00405169" w:rsidP="000E6938">
      <w:pPr>
        <w:rPr>
          <w:rFonts w:ascii="Arial" w:hAnsi="Arial" w:cs="Arial"/>
        </w:rPr>
      </w:pPr>
      <w:r w:rsidRPr="001F199A">
        <w:rPr>
          <w:rFonts w:ascii="Arial" w:hAnsi="Arial" w:cs="Arial"/>
        </w:rPr>
        <w:t>Key characteristics</w:t>
      </w:r>
    </w:p>
    <w:p w14:paraId="06B6BA0B" w14:textId="73055723" w:rsidR="009B7F76" w:rsidRDefault="00405169" w:rsidP="008F1D97">
      <w:pPr>
        <w:pStyle w:val="ListParagraph"/>
        <w:numPr>
          <w:ilvl w:val="0"/>
          <w:numId w:val="10"/>
        </w:numPr>
        <w:rPr>
          <w:rFonts w:ascii="Arial" w:hAnsi="Arial" w:cs="Arial"/>
        </w:rPr>
      </w:pPr>
      <w:r w:rsidRPr="001F199A">
        <w:rPr>
          <w:rFonts w:ascii="Arial" w:hAnsi="Arial" w:cs="Arial"/>
        </w:rPr>
        <w:t>H</w:t>
      </w:r>
      <w:r w:rsidR="004008C8" w:rsidRPr="001F199A">
        <w:rPr>
          <w:rFonts w:ascii="Arial" w:hAnsi="Arial" w:cs="Arial"/>
        </w:rPr>
        <w:t>igh capital expenditure at project level</w:t>
      </w:r>
    </w:p>
    <w:p w14:paraId="760FD569" w14:textId="77777777" w:rsidR="008F1D97" w:rsidRDefault="008F1D97" w:rsidP="008F1D97">
      <w:pPr>
        <w:rPr>
          <w:rFonts w:ascii="Arial" w:hAnsi="Arial" w:cs="Arial"/>
        </w:rPr>
      </w:pPr>
    </w:p>
    <w:p w14:paraId="53FB39A9" w14:textId="5330DF72" w:rsidR="008F1D97" w:rsidRDefault="004008C8" w:rsidP="008F1D97">
      <w:pPr>
        <w:pStyle w:val="ListParagraph"/>
        <w:numPr>
          <w:ilvl w:val="0"/>
          <w:numId w:val="10"/>
        </w:numPr>
        <w:rPr>
          <w:rFonts w:ascii="Arial" w:hAnsi="Arial" w:cs="Arial"/>
        </w:rPr>
      </w:pPr>
      <w:r w:rsidRPr="008F1D97">
        <w:rPr>
          <w:rFonts w:ascii="Arial" w:hAnsi="Arial" w:cs="Arial"/>
        </w:rPr>
        <w:t xml:space="preserve">Greater control over scheduling </w:t>
      </w:r>
    </w:p>
    <w:p w14:paraId="2E0AD26F" w14:textId="77777777" w:rsidR="008F1D97" w:rsidRPr="008F1D97" w:rsidRDefault="008F1D97" w:rsidP="008F1D97">
      <w:pPr>
        <w:rPr>
          <w:rFonts w:ascii="Arial" w:hAnsi="Arial" w:cs="Arial"/>
        </w:rPr>
      </w:pPr>
    </w:p>
    <w:p w14:paraId="3ABFD141" w14:textId="24299091" w:rsidR="004008C8" w:rsidRDefault="003107A9" w:rsidP="00405169">
      <w:pPr>
        <w:pStyle w:val="ListParagraph"/>
        <w:numPr>
          <w:ilvl w:val="0"/>
          <w:numId w:val="10"/>
        </w:numPr>
        <w:rPr>
          <w:rFonts w:ascii="Arial" w:hAnsi="Arial" w:cs="Arial"/>
        </w:rPr>
      </w:pPr>
      <w:r w:rsidRPr="001F199A">
        <w:rPr>
          <w:rFonts w:ascii="Arial" w:hAnsi="Arial" w:cs="Arial"/>
        </w:rPr>
        <w:t xml:space="preserve">Reduced dependents on hire </w:t>
      </w:r>
    </w:p>
    <w:p w14:paraId="3EBFA5F3" w14:textId="77777777" w:rsidR="008F1D97" w:rsidRPr="008F1D97" w:rsidRDefault="008F1D97" w:rsidP="008F1D97">
      <w:pPr>
        <w:rPr>
          <w:rFonts w:ascii="Arial" w:hAnsi="Arial" w:cs="Arial"/>
        </w:rPr>
      </w:pPr>
    </w:p>
    <w:p w14:paraId="1BB757D8" w14:textId="7830B922" w:rsidR="003107A9" w:rsidRPr="001F199A" w:rsidRDefault="00DC7BB2" w:rsidP="00405169">
      <w:pPr>
        <w:pStyle w:val="ListParagraph"/>
        <w:numPr>
          <w:ilvl w:val="0"/>
          <w:numId w:val="10"/>
        </w:numPr>
        <w:rPr>
          <w:rFonts w:ascii="Arial" w:hAnsi="Arial" w:cs="Arial"/>
        </w:rPr>
      </w:pPr>
      <w:r w:rsidRPr="001F199A">
        <w:rPr>
          <w:rFonts w:ascii="Arial" w:hAnsi="Arial" w:cs="Arial"/>
        </w:rPr>
        <w:t xml:space="preserve">Responsibility </w:t>
      </w:r>
      <w:r w:rsidR="003107A9" w:rsidRPr="001F199A">
        <w:rPr>
          <w:rFonts w:ascii="Arial" w:hAnsi="Arial" w:cs="Arial"/>
        </w:rPr>
        <w:t xml:space="preserve">for maintenance, fencing and compliance </w:t>
      </w:r>
    </w:p>
    <w:p w14:paraId="33591C22" w14:textId="77777777" w:rsidR="00284D08" w:rsidRDefault="00284D08" w:rsidP="00284D08">
      <w:pPr>
        <w:rPr>
          <w:rFonts w:ascii="Arial" w:hAnsi="Arial" w:cs="Arial"/>
        </w:rPr>
      </w:pPr>
    </w:p>
    <w:p w14:paraId="0D03D197" w14:textId="77777777" w:rsidR="00FE488D" w:rsidRPr="001F199A" w:rsidRDefault="00FE488D" w:rsidP="00284D08">
      <w:pPr>
        <w:rPr>
          <w:rFonts w:ascii="Arial" w:hAnsi="Arial" w:cs="Arial"/>
        </w:rPr>
      </w:pPr>
    </w:p>
    <w:p w14:paraId="39636BD0" w14:textId="1D64F6F2" w:rsidR="00284D08" w:rsidRPr="001F199A" w:rsidRDefault="001227D4" w:rsidP="001026FB">
      <w:pPr>
        <w:pStyle w:val="Heading1"/>
        <w:numPr>
          <w:ilvl w:val="0"/>
          <w:numId w:val="2"/>
        </w:numPr>
        <w:rPr>
          <w:rFonts w:ascii="Arial" w:hAnsi="Arial" w:cs="Arial"/>
        </w:rPr>
      </w:pPr>
      <w:bookmarkStart w:id="7" w:name="_Toc218623332"/>
      <w:r w:rsidRPr="001F199A">
        <w:rPr>
          <w:rFonts w:ascii="Arial" w:hAnsi="Arial" w:cs="Arial"/>
        </w:rPr>
        <w:lastRenderedPageBreak/>
        <w:t xml:space="preserve">Evaluation </w:t>
      </w:r>
      <w:r w:rsidR="00284D08" w:rsidRPr="001F199A">
        <w:rPr>
          <w:rFonts w:ascii="Arial" w:hAnsi="Arial" w:cs="Arial"/>
        </w:rPr>
        <w:t xml:space="preserve">of </w:t>
      </w:r>
      <w:r w:rsidR="00B261F1" w:rsidRPr="001F199A">
        <w:rPr>
          <w:rFonts w:ascii="Arial" w:hAnsi="Arial" w:cs="Arial"/>
        </w:rPr>
        <w:t>C</w:t>
      </w:r>
      <w:r w:rsidR="00284D08" w:rsidRPr="001F199A">
        <w:rPr>
          <w:rFonts w:ascii="Arial" w:hAnsi="Arial" w:cs="Arial"/>
        </w:rPr>
        <w:t xml:space="preserve">urrent </w:t>
      </w:r>
      <w:r w:rsidR="00B261F1" w:rsidRPr="001F199A">
        <w:rPr>
          <w:rFonts w:ascii="Arial" w:hAnsi="Arial" w:cs="Arial"/>
        </w:rPr>
        <w:t>P</w:t>
      </w:r>
      <w:r w:rsidR="00284D08" w:rsidRPr="001F199A">
        <w:rPr>
          <w:rFonts w:ascii="Arial" w:hAnsi="Arial" w:cs="Arial"/>
        </w:rPr>
        <w:t>racti</w:t>
      </w:r>
      <w:r w:rsidR="00797BA4">
        <w:rPr>
          <w:rFonts w:ascii="Arial" w:hAnsi="Arial" w:cs="Arial"/>
        </w:rPr>
        <w:t>c</w:t>
      </w:r>
      <w:r w:rsidR="00284D08" w:rsidRPr="001F199A">
        <w:rPr>
          <w:rFonts w:ascii="Arial" w:hAnsi="Arial" w:cs="Arial"/>
        </w:rPr>
        <w:t>e</w:t>
      </w:r>
      <w:bookmarkEnd w:id="7"/>
      <w:r w:rsidR="00284D08" w:rsidRPr="001F199A">
        <w:rPr>
          <w:rFonts w:ascii="Arial" w:hAnsi="Arial" w:cs="Arial"/>
        </w:rPr>
        <w:t xml:space="preserve"> </w:t>
      </w:r>
    </w:p>
    <w:p w14:paraId="2A215BBB" w14:textId="27580FF7" w:rsidR="00813AC9" w:rsidRDefault="001026FB" w:rsidP="00A57C75">
      <w:pPr>
        <w:pStyle w:val="Heading2"/>
        <w:rPr>
          <w:rFonts w:ascii="Arial" w:hAnsi="Arial" w:cs="Arial"/>
        </w:rPr>
      </w:pPr>
      <w:bookmarkStart w:id="8" w:name="_Toc218623333"/>
      <w:r w:rsidRPr="001F199A">
        <w:rPr>
          <w:rFonts w:ascii="Arial" w:hAnsi="Arial" w:cs="Arial"/>
        </w:rPr>
        <w:t xml:space="preserve">4.1 </w:t>
      </w:r>
      <w:r w:rsidR="00225DCA" w:rsidRPr="001F199A">
        <w:rPr>
          <w:rFonts w:ascii="Arial" w:hAnsi="Arial" w:cs="Arial"/>
        </w:rPr>
        <w:t>E</w:t>
      </w:r>
      <w:r w:rsidR="00D80865" w:rsidRPr="001F199A">
        <w:rPr>
          <w:rFonts w:ascii="Arial" w:hAnsi="Arial" w:cs="Arial"/>
        </w:rPr>
        <w:t xml:space="preserve">ffectiveness of </w:t>
      </w:r>
      <w:r w:rsidR="00FC1D67" w:rsidRPr="001F199A">
        <w:rPr>
          <w:rFonts w:ascii="Arial" w:hAnsi="Arial" w:cs="Arial"/>
        </w:rPr>
        <w:t>H</w:t>
      </w:r>
      <w:r w:rsidR="001227D4" w:rsidRPr="001F199A">
        <w:rPr>
          <w:rFonts w:ascii="Arial" w:hAnsi="Arial" w:cs="Arial"/>
        </w:rPr>
        <w:t>ire-based</w:t>
      </w:r>
      <w:r w:rsidR="00D80865" w:rsidRPr="001F199A">
        <w:rPr>
          <w:rFonts w:ascii="Arial" w:hAnsi="Arial" w:cs="Arial"/>
        </w:rPr>
        <w:t xml:space="preserve"> </w:t>
      </w:r>
      <w:r w:rsidR="00FC1D67" w:rsidRPr="001F199A">
        <w:rPr>
          <w:rFonts w:ascii="Arial" w:hAnsi="Arial" w:cs="Arial"/>
        </w:rPr>
        <w:t>A</w:t>
      </w:r>
      <w:r w:rsidR="001227D4" w:rsidRPr="001F199A">
        <w:rPr>
          <w:rFonts w:ascii="Arial" w:hAnsi="Arial" w:cs="Arial"/>
        </w:rPr>
        <w:t>pproach</w:t>
      </w:r>
      <w:r w:rsidR="00D80865" w:rsidRPr="001F199A">
        <w:rPr>
          <w:rFonts w:ascii="Arial" w:hAnsi="Arial" w:cs="Arial"/>
        </w:rPr>
        <w:t xml:space="preserve"> – </w:t>
      </w:r>
      <w:r w:rsidR="00FC1D67" w:rsidRPr="001F199A">
        <w:rPr>
          <w:rFonts w:ascii="Arial" w:hAnsi="Arial" w:cs="Arial"/>
        </w:rPr>
        <w:t>N</w:t>
      </w:r>
      <w:r w:rsidR="00D80865" w:rsidRPr="001F199A">
        <w:rPr>
          <w:rFonts w:ascii="Arial" w:hAnsi="Arial" w:cs="Arial"/>
        </w:rPr>
        <w:t xml:space="preserve">orth </w:t>
      </w:r>
      <w:r w:rsidR="00FC1D67" w:rsidRPr="001F199A">
        <w:rPr>
          <w:rFonts w:ascii="Arial" w:hAnsi="Arial" w:cs="Arial"/>
        </w:rPr>
        <w:t>W</w:t>
      </w:r>
      <w:r w:rsidR="00D80865" w:rsidRPr="001F199A">
        <w:rPr>
          <w:rFonts w:ascii="Arial" w:hAnsi="Arial" w:cs="Arial"/>
        </w:rPr>
        <w:t>ales</w:t>
      </w:r>
      <w:bookmarkEnd w:id="8"/>
      <w:r w:rsidR="00D80865" w:rsidRPr="001F199A">
        <w:rPr>
          <w:rFonts w:ascii="Arial" w:hAnsi="Arial" w:cs="Arial"/>
        </w:rPr>
        <w:t xml:space="preserve"> </w:t>
      </w:r>
    </w:p>
    <w:p w14:paraId="431D08C4" w14:textId="4E90398E" w:rsidR="00BF3301" w:rsidRPr="00D767E9" w:rsidRDefault="00BF3301" w:rsidP="00BF3301">
      <w:pPr>
        <w:spacing w:after="255" w:line="240" w:lineRule="auto"/>
        <w:rPr>
          <w:rFonts w:ascii="Arial" w:hAnsi="Arial" w:cs="Arial"/>
          <w:color w:val="000000"/>
          <w:kern w:val="0"/>
          <w14:ligatures w14:val="none"/>
        </w:rPr>
      </w:pPr>
      <w:r w:rsidRPr="00D767E9">
        <w:rPr>
          <w:rFonts w:ascii="Arial" w:hAnsi="Arial" w:cs="Arial"/>
          <w:color w:val="000000"/>
          <w:kern w:val="0"/>
          <w14:ligatures w14:val="none"/>
        </w:rPr>
        <w:t xml:space="preserve">One of the primary advantages of the hire-based approach adopted in North Wales is flexibility. Plant </w:t>
      </w:r>
      <w:r w:rsidR="00B17F47">
        <w:rPr>
          <w:rFonts w:ascii="Arial" w:hAnsi="Arial" w:cs="Arial"/>
          <w:color w:val="000000"/>
          <w:kern w:val="0"/>
          <w14:ligatures w14:val="none"/>
        </w:rPr>
        <w:t xml:space="preserve">is sourced </w:t>
      </w:r>
      <w:r w:rsidRPr="00D767E9">
        <w:rPr>
          <w:rFonts w:ascii="Arial" w:hAnsi="Arial" w:cs="Arial"/>
          <w:color w:val="000000"/>
          <w:kern w:val="0"/>
          <w14:ligatures w14:val="none"/>
        </w:rPr>
        <w:t xml:space="preserve">to meet specific project requirements without the need for long-term capital investment, which is particularly beneficial where workloads are variable, and specialist plant </w:t>
      </w:r>
      <w:r w:rsidR="00A80085">
        <w:rPr>
          <w:rFonts w:ascii="Arial" w:hAnsi="Arial" w:cs="Arial"/>
          <w:color w:val="000000"/>
          <w:kern w:val="0"/>
          <w14:ligatures w14:val="none"/>
        </w:rPr>
        <w:t>are</w:t>
      </w:r>
      <w:r w:rsidRPr="00D767E9">
        <w:rPr>
          <w:rFonts w:ascii="Arial" w:hAnsi="Arial" w:cs="Arial"/>
          <w:color w:val="000000"/>
          <w:kern w:val="0"/>
          <w14:ligatures w14:val="none"/>
        </w:rPr>
        <w:t xml:space="preserve"> </w:t>
      </w:r>
      <w:r w:rsidR="00A80085" w:rsidRPr="00D767E9">
        <w:rPr>
          <w:rFonts w:ascii="Arial" w:hAnsi="Arial" w:cs="Arial"/>
          <w:color w:val="000000"/>
          <w:kern w:val="0"/>
          <w14:ligatures w14:val="none"/>
        </w:rPr>
        <w:t>needed</w:t>
      </w:r>
      <w:r w:rsidRPr="00D767E9">
        <w:rPr>
          <w:rFonts w:ascii="Arial" w:hAnsi="Arial" w:cs="Arial"/>
          <w:color w:val="000000"/>
          <w:kern w:val="0"/>
          <w14:ligatures w14:val="none"/>
        </w:rPr>
        <w:t xml:space="preserve"> for limited durations. From a business management perspective, this approach reduces financial exposure and supports cash-flow management by converting capital expenditure into operational expenditure.</w:t>
      </w:r>
    </w:p>
    <w:p w14:paraId="7EA3A746" w14:textId="05A5100E" w:rsidR="004208F8" w:rsidRPr="00E71CEC" w:rsidRDefault="00BF3301" w:rsidP="00E71CEC">
      <w:pPr>
        <w:spacing w:after="255" w:line="240" w:lineRule="auto"/>
        <w:rPr>
          <w:rFonts w:ascii="Arial" w:hAnsi="Arial" w:cs="Arial"/>
          <w:color w:val="000000"/>
          <w:kern w:val="0"/>
          <w14:ligatures w14:val="none"/>
        </w:rPr>
      </w:pPr>
      <w:r w:rsidRPr="00D767E9">
        <w:rPr>
          <w:rFonts w:ascii="Arial" w:hAnsi="Arial" w:cs="Arial"/>
          <w:color w:val="000000"/>
          <w:kern w:val="0"/>
          <w14:ligatures w14:val="none"/>
        </w:rPr>
        <w:t>However, while the hire-based approach is effective in the short term, its long-term efficiency is highly dependent on market conditions, supplier availability, and stable hire rates. Over-reliance on external suppliers may expose the organisation to increased cost volatility and programme risk during periods of high industry demand.</w:t>
      </w:r>
    </w:p>
    <w:p w14:paraId="0F656E1D" w14:textId="67CBAB7E" w:rsidR="0029595E" w:rsidRPr="005C079D" w:rsidRDefault="00E46D1F" w:rsidP="0029595E">
      <w:pPr>
        <w:spacing w:before="100" w:beforeAutospacing="1" w:after="100" w:afterAutospacing="1" w:line="240" w:lineRule="auto"/>
        <w:rPr>
          <w:rFonts w:ascii="Arial" w:hAnsi="Arial" w:cs="Arial"/>
          <w:kern w:val="0"/>
          <w14:ligatures w14:val="none"/>
        </w:rPr>
      </w:pPr>
      <w:r w:rsidRPr="005C079D">
        <w:rPr>
          <w:rFonts w:ascii="Arial" w:hAnsi="Arial" w:cs="Arial"/>
          <w:kern w:val="0"/>
          <w14:ligatures w14:val="none"/>
        </w:rPr>
        <w:t>Other</w:t>
      </w:r>
      <w:r w:rsidR="0029595E" w:rsidRPr="005C079D">
        <w:rPr>
          <w:rFonts w:ascii="Arial" w:hAnsi="Arial" w:cs="Arial"/>
          <w:kern w:val="0"/>
          <w14:ligatures w14:val="none"/>
        </w:rPr>
        <w:t xml:space="preserve"> advantages include:</w:t>
      </w:r>
    </w:p>
    <w:p w14:paraId="0D26DA8C" w14:textId="77777777" w:rsidR="00653A94" w:rsidRPr="005C079D" w:rsidRDefault="0029595E" w:rsidP="00653A94">
      <w:pPr>
        <w:pStyle w:val="p1"/>
        <w:numPr>
          <w:ilvl w:val="0"/>
          <w:numId w:val="24"/>
        </w:numPr>
        <w:rPr>
          <w:rFonts w:ascii="Arial" w:hAnsi="Arial" w:cs="Arial"/>
          <w:sz w:val="24"/>
          <w:szCs w:val="24"/>
        </w:rPr>
      </w:pPr>
      <w:r w:rsidRPr="005C079D">
        <w:rPr>
          <w:rFonts w:ascii="Arial" w:hAnsi="Arial" w:cs="Arial"/>
          <w:sz w:val="24"/>
          <w:szCs w:val="24"/>
        </w:rPr>
        <w:t>Reduced capital expenditure and financial risk</w:t>
      </w:r>
      <w:r w:rsidR="00CB2B04" w:rsidRPr="005C079D">
        <w:rPr>
          <w:rFonts w:ascii="Arial" w:hAnsi="Arial" w:cs="Arial"/>
          <w:sz w:val="24"/>
          <w:szCs w:val="24"/>
        </w:rPr>
        <w:t xml:space="preserve"> </w:t>
      </w:r>
      <w:r w:rsidR="00417C67" w:rsidRPr="005C079D">
        <w:rPr>
          <w:rFonts w:ascii="Arial" w:hAnsi="Arial" w:cs="Arial"/>
          <w:sz w:val="24"/>
          <w:szCs w:val="24"/>
        </w:rPr>
        <w:t>–</w:t>
      </w:r>
      <w:r w:rsidR="0054480E" w:rsidRPr="005C079D">
        <w:rPr>
          <w:rFonts w:ascii="Arial" w:hAnsi="Arial" w:cs="Arial"/>
          <w:sz w:val="24"/>
          <w:szCs w:val="24"/>
        </w:rPr>
        <w:t xml:space="preserve"> </w:t>
      </w:r>
      <w:r w:rsidR="00417C67" w:rsidRPr="005C079D">
        <w:rPr>
          <w:rFonts w:ascii="Arial" w:hAnsi="Arial" w:cs="Arial"/>
          <w:sz w:val="24"/>
          <w:szCs w:val="24"/>
        </w:rPr>
        <w:t>“</w:t>
      </w:r>
      <w:r w:rsidR="00460F12" w:rsidRPr="005C079D">
        <w:rPr>
          <w:rFonts w:ascii="Arial" w:hAnsi="Arial" w:cs="Arial"/>
          <w:sz w:val="24"/>
          <w:szCs w:val="24"/>
        </w:rPr>
        <w:t xml:space="preserve">Hiring plant and machinery enables construction companies to avoid large upfront capital expenditure, limiting financial risk and improving cash flow by paying only for equipment when </w:t>
      </w:r>
      <w:r w:rsidR="00417C67" w:rsidRPr="005C079D">
        <w:rPr>
          <w:rFonts w:ascii="Arial" w:hAnsi="Arial" w:cs="Arial"/>
          <w:sz w:val="24"/>
          <w:szCs w:val="24"/>
        </w:rPr>
        <w:t>it is</w:t>
      </w:r>
      <w:r w:rsidR="00460F12" w:rsidRPr="005C079D">
        <w:rPr>
          <w:rFonts w:ascii="Arial" w:hAnsi="Arial" w:cs="Arial"/>
          <w:sz w:val="24"/>
          <w:szCs w:val="24"/>
        </w:rPr>
        <w:t xml:space="preserve"> needed.” (ACE Plant, 2025) </w:t>
      </w:r>
    </w:p>
    <w:p w14:paraId="5EC90226" w14:textId="77777777" w:rsidR="00653A94" w:rsidRPr="005C079D" w:rsidRDefault="0029595E" w:rsidP="00653A94">
      <w:pPr>
        <w:pStyle w:val="p1"/>
        <w:numPr>
          <w:ilvl w:val="0"/>
          <w:numId w:val="24"/>
        </w:numPr>
        <w:rPr>
          <w:rFonts w:ascii="Arial" w:hAnsi="Arial" w:cs="Arial"/>
          <w:sz w:val="24"/>
          <w:szCs w:val="24"/>
        </w:rPr>
      </w:pPr>
      <w:r w:rsidRPr="005C079D">
        <w:rPr>
          <w:rFonts w:ascii="Arial" w:hAnsi="Arial" w:cs="Arial"/>
          <w:sz w:val="24"/>
          <w:szCs w:val="24"/>
        </w:rPr>
        <w:t>No long-term maintenance or storage responsibilities</w:t>
      </w:r>
    </w:p>
    <w:p w14:paraId="2305AAD1" w14:textId="590CE564" w:rsidR="0029595E" w:rsidRPr="005C079D" w:rsidRDefault="0029595E" w:rsidP="00653A94">
      <w:pPr>
        <w:pStyle w:val="p1"/>
        <w:numPr>
          <w:ilvl w:val="0"/>
          <w:numId w:val="24"/>
        </w:numPr>
        <w:rPr>
          <w:rFonts w:ascii="Arial" w:hAnsi="Arial" w:cs="Arial"/>
          <w:sz w:val="24"/>
          <w:szCs w:val="24"/>
        </w:rPr>
      </w:pPr>
      <w:r w:rsidRPr="005C079D">
        <w:rPr>
          <w:rFonts w:ascii="Arial" w:hAnsi="Arial" w:cs="Arial"/>
          <w:sz w:val="24"/>
          <w:szCs w:val="24"/>
        </w:rPr>
        <w:t>Access to modern and compliant equipment</w:t>
      </w:r>
    </w:p>
    <w:p w14:paraId="24DA2E99" w14:textId="51AC1B35" w:rsidR="0029595E" w:rsidRPr="005C079D" w:rsidRDefault="0029595E" w:rsidP="0081063B">
      <w:pPr>
        <w:numPr>
          <w:ilvl w:val="0"/>
          <w:numId w:val="18"/>
        </w:numPr>
        <w:spacing w:before="100" w:beforeAutospacing="1" w:after="100" w:afterAutospacing="1" w:line="240" w:lineRule="auto"/>
        <w:rPr>
          <w:rFonts w:ascii="Arial" w:hAnsi="Arial" w:cs="Arial"/>
          <w:kern w:val="0"/>
          <w14:ligatures w14:val="none"/>
        </w:rPr>
      </w:pPr>
      <w:r w:rsidRPr="005C079D">
        <w:rPr>
          <w:rFonts w:ascii="Arial" w:hAnsi="Arial" w:cs="Arial"/>
          <w:kern w:val="0"/>
          <w14:ligatures w14:val="none"/>
        </w:rPr>
        <w:t>Ability to scale plant use up or down based on workload</w:t>
      </w:r>
    </w:p>
    <w:p w14:paraId="44BB5728" w14:textId="257760DE" w:rsidR="009E0F7A" w:rsidRPr="001F199A" w:rsidRDefault="00813AC9" w:rsidP="00813AC9">
      <w:pPr>
        <w:rPr>
          <w:rFonts w:ascii="Arial" w:hAnsi="Arial" w:cs="Arial"/>
        </w:rPr>
      </w:pPr>
      <w:r w:rsidRPr="001F199A">
        <w:rPr>
          <w:rFonts w:ascii="Arial" w:hAnsi="Arial" w:cs="Arial"/>
        </w:rPr>
        <w:t xml:space="preserve">Disadvantages </w:t>
      </w:r>
    </w:p>
    <w:p w14:paraId="25D1C15A" w14:textId="0914065C" w:rsidR="00BE39B8" w:rsidRPr="001F199A" w:rsidRDefault="00BE39B8" w:rsidP="00BE39B8">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Despite its flexibility, the hire-based approach also presents several challenges:</w:t>
      </w:r>
    </w:p>
    <w:p w14:paraId="7AF3739B" w14:textId="77777777" w:rsidR="00BE39B8" w:rsidRDefault="00BE39B8" w:rsidP="00BE39B8">
      <w:pPr>
        <w:numPr>
          <w:ilvl w:val="0"/>
          <w:numId w:val="16"/>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Higher long-term costs when plant is hired for extended periods</w:t>
      </w:r>
    </w:p>
    <w:p w14:paraId="4794C1AF" w14:textId="77777777" w:rsidR="00653A94" w:rsidRPr="001F199A" w:rsidRDefault="00653A94" w:rsidP="00653A94">
      <w:pPr>
        <w:spacing w:after="0" w:line="240" w:lineRule="auto"/>
        <w:ind w:left="360"/>
        <w:rPr>
          <w:rFonts w:ascii="Arial" w:eastAsia="Times New Roman" w:hAnsi="Arial" w:cs="Arial"/>
          <w:color w:val="000000"/>
          <w:kern w:val="0"/>
          <w14:ligatures w14:val="none"/>
        </w:rPr>
      </w:pPr>
    </w:p>
    <w:p w14:paraId="68A7004F" w14:textId="77777777" w:rsidR="00BE39B8" w:rsidRDefault="00BE39B8" w:rsidP="00BE39B8">
      <w:pPr>
        <w:numPr>
          <w:ilvl w:val="0"/>
          <w:numId w:val="16"/>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Dependence on external suppliers, which may result in availability issues</w:t>
      </w:r>
    </w:p>
    <w:p w14:paraId="6CC9205D" w14:textId="77777777" w:rsidR="005C7489" w:rsidRPr="001F199A" w:rsidRDefault="005C7489" w:rsidP="005C7489">
      <w:pPr>
        <w:spacing w:after="0" w:line="240" w:lineRule="auto"/>
        <w:rPr>
          <w:rFonts w:ascii="Arial" w:eastAsia="Times New Roman" w:hAnsi="Arial" w:cs="Arial"/>
          <w:color w:val="000000"/>
          <w:kern w:val="0"/>
          <w14:ligatures w14:val="none"/>
        </w:rPr>
      </w:pPr>
    </w:p>
    <w:p w14:paraId="69C3D267" w14:textId="77777777" w:rsidR="00BE39B8" w:rsidRDefault="00BE39B8" w:rsidP="00BE39B8">
      <w:pPr>
        <w:numPr>
          <w:ilvl w:val="0"/>
          <w:numId w:val="16"/>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Increased risk of programme delays during peak demand</w:t>
      </w:r>
    </w:p>
    <w:p w14:paraId="16A6B91B" w14:textId="77777777" w:rsidR="005C7489" w:rsidRPr="001F199A" w:rsidRDefault="005C7489" w:rsidP="005C7489">
      <w:pPr>
        <w:spacing w:after="0" w:line="240" w:lineRule="auto"/>
        <w:rPr>
          <w:rFonts w:ascii="Arial" w:eastAsia="Times New Roman" w:hAnsi="Arial" w:cs="Arial"/>
          <w:color w:val="000000"/>
          <w:kern w:val="0"/>
          <w14:ligatures w14:val="none"/>
        </w:rPr>
      </w:pPr>
    </w:p>
    <w:p w14:paraId="186BB55A" w14:textId="77777777" w:rsidR="00BE39B8" w:rsidRPr="001F199A" w:rsidRDefault="00BE39B8" w:rsidP="00BE39B8">
      <w:pPr>
        <w:pStyle w:val="ListParagraph"/>
        <w:numPr>
          <w:ilvl w:val="0"/>
          <w:numId w:val="16"/>
        </w:num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Limited control over equipment condition and delivery times</w:t>
      </w:r>
    </w:p>
    <w:p w14:paraId="64795FE1" w14:textId="77777777" w:rsidR="00BE39B8" w:rsidRPr="001F199A" w:rsidRDefault="00BE39B8" w:rsidP="00813AC9">
      <w:pPr>
        <w:rPr>
          <w:rFonts w:ascii="Arial" w:hAnsi="Arial" w:cs="Arial"/>
        </w:rPr>
      </w:pPr>
    </w:p>
    <w:p w14:paraId="1A17E461" w14:textId="01727351" w:rsidR="00D80865" w:rsidRPr="001F199A" w:rsidRDefault="00544815" w:rsidP="00544815">
      <w:pPr>
        <w:pStyle w:val="Heading2"/>
        <w:rPr>
          <w:rFonts w:ascii="Arial" w:hAnsi="Arial" w:cs="Arial"/>
        </w:rPr>
      </w:pPr>
      <w:bookmarkStart w:id="9" w:name="_Toc218623334"/>
      <w:r w:rsidRPr="001F199A">
        <w:rPr>
          <w:rFonts w:ascii="Arial" w:hAnsi="Arial" w:cs="Arial"/>
        </w:rPr>
        <w:t xml:space="preserve">4.2 </w:t>
      </w:r>
      <w:r w:rsidR="00D80865" w:rsidRPr="001F199A">
        <w:rPr>
          <w:rFonts w:ascii="Arial" w:hAnsi="Arial" w:cs="Arial"/>
        </w:rPr>
        <w:t xml:space="preserve">Effectiveness of </w:t>
      </w:r>
      <w:r w:rsidR="00FC1D67" w:rsidRPr="001F199A">
        <w:rPr>
          <w:rFonts w:ascii="Arial" w:hAnsi="Arial" w:cs="Arial"/>
        </w:rPr>
        <w:t>O</w:t>
      </w:r>
      <w:r w:rsidR="001227D4" w:rsidRPr="001F199A">
        <w:rPr>
          <w:rFonts w:ascii="Arial" w:hAnsi="Arial" w:cs="Arial"/>
        </w:rPr>
        <w:t xml:space="preserve">wnership-based </w:t>
      </w:r>
      <w:r w:rsidR="00FC1D67" w:rsidRPr="001F199A">
        <w:rPr>
          <w:rFonts w:ascii="Arial" w:hAnsi="Arial" w:cs="Arial"/>
        </w:rPr>
        <w:t>A</w:t>
      </w:r>
      <w:r w:rsidR="001227D4" w:rsidRPr="001F199A">
        <w:rPr>
          <w:rFonts w:ascii="Arial" w:hAnsi="Arial" w:cs="Arial"/>
        </w:rPr>
        <w:t xml:space="preserve">pproach – </w:t>
      </w:r>
      <w:r w:rsidR="00FC1D67" w:rsidRPr="001F199A">
        <w:rPr>
          <w:rFonts w:ascii="Arial" w:hAnsi="Arial" w:cs="Arial"/>
        </w:rPr>
        <w:t>S</w:t>
      </w:r>
      <w:r w:rsidR="001227D4" w:rsidRPr="001F199A">
        <w:rPr>
          <w:rFonts w:ascii="Arial" w:hAnsi="Arial" w:cs="Arial"/>
        </w:rPr>
        <w:t xml:space="preserve">outh </w:t>
      </w:r>
      <w:r w:rsidR="00FC1D67" w:rsidRPr="001F199A">
        <w:rPr>
          <w:rFonts w:ascii="Arial" w:hAnsi="Arial" w:cs="Arial"/>
        </w:rPr>
        <w:t>W</w:t>
      </w:r>
      <w:r w:rsidR="001227D4" w:rsidRPr="001F199A">
        <w:rPr>
          <w:rFonts w:ascii="Arial" w:hAnsi="Arial" w:cs="Arial"/>
        </w:rPr>
        <w:t>ales</w:t>
      </w:r>
      <w:bookmarkEnd w:id="9"/>
      <w:r w:rsidR="001227D4" w:rsidRPr="001F199A">
        <w:rPr>
          <w:rFonts w:ascii="Arial" w:hAnsi="Arial" w:cs="Arial"/>
        </w:rPr>
        <w:t xml:space="preserve"> </w:t>
      </w:r>
    </w:p>
    <w:p w14:paraId="463C6911" w14:textId="4560C0C3" w:rsidR="00813AC9" w:rsidRPr="001F199A" w:rsidRDefault="00813AC9" w:rsidP="00813AC9">
      <w:pPr>
        <w:rPr>
          <w:rFonts w:ascii="Arial" w:hAnsi="Arial" w:cs="Arial"/>
        </w:rPr>
      </w:pPr>
      <w:r w:rsidRPr="001F199A">
        <w:rPr>
          <w:rFonts w:ascii="Arial" w:hAnsi="Arial" w:cs="Arial"/>
        </w:rPr>
        <w:t xml:space="preserve">Advantages </w:t>
      </w:r>
    </w:p>
    <w:p w14:paraId="1D0170E1" w14:textId="53C29881" w:rsidR="006D4498" w:rsidRPr="001F199A" w:rsidRDefault="006D4498" w:rsidP="006D4498">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 xml:space="preserve">The ownership-based approach adopted in South Wales offers greater control and certainty over plant resources. The owned plant is </w:t>
      </w:r>
      <w:r w:rsidR="002A15AA" w:rsidRPr="001F199A">
        <w:rPr>
          <w:rFonts w:ascii="Arial" w:hAnsi="Arial" w:cs="Arial"/>
          <w:color w:val="000000"/>
          <w:kern w:val="0"/>
          <w14:ligatures w14:val="none"/>
        </w:rPr>
        <w:t>at once</w:t>
      </w:r>
      <w:r w:rsidRPr="001F199A">
        <w:rPr>
          <w:rFonts w:ascii="Arial" w:hAnsi="Arial" w:cs="Arial"/>
          <w:color w:val="000000"/>
          <w:kern w:val="0"/>
          <w14:ligatures w14:val="none"/>
        </w:rPr>
        <w:t xml:space="preserve"> available when </w:t>
      </w:r>
      <w:r w:rsidR="002A15AA" w:rsidRPr="001F199A">
        <w:rPr>
          <w:rFonts w:ascii="Arial" w:hAnsi="Arial" w:cs="Arial"/>
          <w:color w:val="000000"/>
          <w:kern w:val="0"/>
          <w14:ligatures w14:val="none"/>
        </w:rPr>
        <w:t>needed</w:t>
      </w:r>
      <w:r w:rsidRPr="001F199A">
        <w:rPr>
          <w:rFonts w:ascii="Arial" w:hAnsi="Arial" w:cs="Arial"/>
          <w:color w:val="000000"/>
          <w:kern w:val="0"/>
          <w14:ligatures w14:val="none"/>
        </w:rPr>
        <w:t>, reducing reliance on external hire companies and improving programme reliability.</w:t>
      </w:r>
    </w:p>
    <w:p w14:paraId="5B5420E8" w14:textId="77777777" w:rsidR="006D4498" w:rsidRDefault="006D4498" w:rsidP="007526BA">
      <w:pPr>
        <w:numPr>
          <w:ilvl w:val="0"/>
          <w:numId w:val="22"/>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lastRenderedPageBreak/>
        <w:t>Lower cost per operating hour when utilisation is high</w:t>
      </w:r>
    </w:p>
    <w:p w14:paraId="69C98F35" w14:textId="77777777" w:rsidR="005C7489" w:rsidRPr="001F199A" w:rsidRDefault="005C7489" w:rsidP="005C7489">
      <w:pPr>
        <w:spacing w:after="0" w:line="240" w:lineRule="auto"/>
        <w:ind w:left="720"/>
        <w:rPr>
          <w:rFonts w:ascii="Arial" w:eastAsia="Times New Roman" w:hAnsi="Arial" w:cs="Arial"/>
          <w:color w:val="000000"/>
          <w:kern w:val="0"/>
          <w14:ligatures w14:val="none"/>
        </w:rPr>
      </w:pPr>
    </w:p>
    <w:p w14:paraId="457F54D3" w14:textId="77777777" w:rsidR="006D4498" w:rsidRDefault="006D4498" w:rsidP="007526BA">
      <w:pPr>
        <w:numPr>
          <w:ilvl w:val="0"/>
          <w:numId w:val="22"/>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Improved planning certainty and productivity</w:t>
      </w:r>
    </w:p>
    <w:p w14:paraId="1B6878C8" w14:textId="77777777" w:rsidR="005C7489" w:rsidRPr="001F199A" w:rsidRDefault="005C7489" w:rsidP="005C7489">
      <w:pPr>
        <w:spacing w:after="0" w:line="240" w:lineRule="auto"/>
        <w:rPr>
          <w:rFonts w:ascii="Arial" w:eastAsia="Times New Roman" w:hAnsi="Arial" w:cs="Arial"/>
          <w:color w:val="000000"/>
          <w:kern w:val="0"/>
          <w14:ligatures w14:val="none"/>
        </w:rPr>
      </w:pPr>
    </w:p>
    <w:p w14:paraId="40E5F5C0" w14:textId="77777777" w:rsidR="006D4498" w:rsidRDefault="006D4498" w:rsidP="007526BA">
      <w:pPr>
        <w:numPr>
          <w:ilvl w:val="0"/>
          <w:numId w:val="22"/>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Greater control over maintenance standards and safety compliance</w:t>
      </w:r>
    </w:p>
    <w:p w14:paraId="76DAE681" w14:textId="77777777" w:rsidR="005C7489" w:rsidRPr="001F199A" w:rsidRDefault="005C7489" w:rsidP="005C7489">
      <w:pPr>
        <w:spacing w:after="0" w:line="240" w:lineRule="auto"/>
        <w:rPr>
          <w:rFonts w:ascii="Arial" w:eastAsia="Times New Roman" w:hAnsi="Arial" w:cs="Arial"/>
          <w:color w:val="000000"/>
          <w:kern w:val="0"/>
          <w14:ligatures w14:val="none"/>
        </w:rPr>
      </w:pPr>
    </w:p>
    <w:p w14:paraId="51118B15" w14:textId="77777777" w:rsidR="006D4498" w:rsidRPr="001F199A" w:rsidRDefault="006D4498" w:rsidP="007526BA">
      <w:pPr>
        <w:numPr>
          <w:ilvl w:val="0"/>
          <w:numId w:val="22"/>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Reduced the risk of delays caused by plant availability</w:t>
      </w:r>
    </w:p>
    <w:p w14:paraId="5B11560B" w14:textId="77777777" w:rsidR="006D4498" w:rsidRPr="001F199A" w:rsidRDefault="006D4498" w:rsidP="00813AC9">
      <w:pPr>
        <w:rPr>
          <w:rFonts w:ascii="Arial" w:hAnsi="Arial" w:cs="Arial"/>
        </w:rPr>
      </w:pPr>
    </w:p>
    <w:p w14:paraId="5E08F7EF" w14:textId="2C6FC8B7" w:rsidR="00813AC9" w:rsidRPr="001F199A" w:rsidRDefault="00813AC9" w:rsidP="00813AC9">
      <w:pPr>
        <w:rPr>
          <w:rFonts w:ascii="Arial" w:hAnsi="Arial" w:cs="Arial"/>
        </w:rPr>
      </w:pPr>
      <w:r w:rsidRPr="001F199A">
        <w:rPr>
          <w:rFonts w:ascii="Arial" w:hAnsi="Arial" w:cs="Arial"/>
        </w:rPr>
        <w:t xml:space="preserve">Disadvantages </w:t>
      </w:r>
    </w:p>
    <w:p w14:paraId="05125C8F" w14:textId="7183A5CC" w:rsidR="007A27FA" w:rsidRPr="001F199A" w:rsidRDefault="007A27FA" w:rsidP="007A27FA">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However, plant ownership also introduces several disadvantages:</w:t>
      </w:r>
    </w:p>
    <w:p w14:paraId="2C759658" w14:textId="77777777" w:rsidR="007A27FA" w:rsidRDefault="007A27FA" w:rsidP="007A27FA">
      <w:pPr>
        <w:numPr>
          <w:ilvl w:val="0"/>
          <w:numId w:val="21"/>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 xml:space="preserve">High </w:t>
      </w:r>
      <w:bookmarkStart w:id="10" w:name="_Int_YIxpdsgG"/>
      <w:r w:rsidRPr="001F199A">
        <w:rPr>
          <w:rFonts w:ascii="Arial" w:eastAsia="Times New Roman" w:hAnsi="Arial" w:cs="Arial"/>
          <w:color w:val="000000"/>
          <w:kern w:val="0"/>
          <w14:ligatures w14:val="none"/>
        </w:rPr>
        <w:t>initial</w:t>
      </w:r>
      <w:bookmarkEnd w:id="10"/>
      <w:r w:rsidRPr="001F199A">
        <w:rPr>
          <w:rFonts w:ascii="Arial" w:eastAsia="Times New Roman" w:hAnsi="Arial" w:cs="Arial"/>
          <w:color w:val="000000"/>
          <w:kern w:val="0"/>
          <w14:ligatures w14:val="none"/>
        </w:rPr>
        <w:t xml:space="preserve"> capital investment</w:t>
      </w:r>
    </w:p>
    <w:p w14:paraId="13CF3525" w14:textId="77777777" w:rsidR="005C7489" w:rsidRPr="001F199A" w:rsidRDefault="005C7489" w:rsidP="00C26DCF">
      <w:pPr>
        <w:spacing w:after="0" w:line="240" w:lineRule="auto"/>
        <w:rPr>
          <w:rFonts w:ascii="Arial" w:eastAsia="Times New Roman" w:hAnsi="Arial" w:cs="Arial"/>
          <w:color w:val="000000"/>
          <w:kern w:val="0"/>
          <w14:ligatures w14:val="none"/>
        </w:rPr>
      </w:pPr>
    </w:p>
    <w:p w14:paraId="361570E1" w14:textId="77777777" w:rsidR="007A27FA" w:rsidRDefault="007A27FA" w:rsidP="007A27FA">
      <w:pPr>
        <w:numPr>
          <w:ilvl w:val="0"/>
          <w:numId w:val="21"/>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Ongoing maintenance, repair, and inspection costs</w:t>
      </w:r>
    </w:p>
    <w:p w14:paraId="4A37F1FB" w14:textId="77777777" w:rsidR="00C26DCF" w:rsidRPr="001F199A" w:rsidRDefault="00C26DCF" w:rsidP="00C26DCF">
      <w:pPr>
        <w:spacing w:after="0" w:line="240" w:lineRule="auto"/>
        <w:rPr>
          <w:rFonts w:ascii="Arial" w:eastAsia="Times New Roman" w:hAnsi="Arial" w:cs="Arial"/>
          <w:color w:val="000000"/>
          <w:kern w:val="0"/>
          <w14:ligatures w14:val="none"/>
        </w:rPr>
      </w:pPr>
    </w:p>
    <w:p w14:paraId="6F984971" w14:textId="77777777" w:rsidR="007A27FA" w:rsidRDefault="007A27FA" w:rsidP="007A27FA">
      <w:pPr>
        <w:numPr>
          <w:ilvl w:val="0"/>
          <w:numId w:val="21"/>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Risk of under-utilisation during periods of low workload</w:t>
      </w:r>
    </w:p>
    <w:p w14:paraId="0C2D942B" w14:textId="77777777" w:rsidR="00C26DCF" w:rsidRPr="001F199A" w:rsidRDefault="00C26DCF" w:rsidP="00C26DCF">
      <w:pPr>
        <w:spacing w:after="0" w:line="240" w:lineRule="auto"/>
        <w:rPr>
          <w:rFonts w:ascii="Arial" w:eastAsia="Times New Roman" w:hAnsi="Arial" w:cs="Arial"/>
          <w:color w:val="000000"/>
          <w:kern w:val="0"/>
          <w14:ligatures w14:val="none"/>
        </w:rPr>
      </w:pPr>
    </w:p>
    <w:p w14:paraId="40466EDC" w14:textId="77777777" w:rsidR="007A27FA" w:rsidRDefault="007A27FA" w:rsidP="007A27FA">
      <w:pPr>
        <w:numPr>
          <w:ilvl w:val="0"/>
          <w:numId w:val="21"/>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Storage, transport, and asset management responsibilities</w:t>
      </w:r>
    </w:p>
    <w:p w14:paraId="5CB65DD5" w14:textId="77777777" w:rsidR="00C26DCF" w:rsidRPr="001F199A" w:rsidRDefault="00C26DCF" w:rsidP="00C26DCF">
      <w:pPr>
        <w:spacing w:after="0" w:line="240" w:lineRule="auto"/>
        <w:rPr>
          <w:rFonts w:ascii="Arial" w:eastAsia="Times New Roman" w:hAnsi="Arial" w:cs="Arial"/>
          <w:color w:val="000000"/>
          <w:kern w:val="0"/>
          <w14:ligatures w14:val="none"/>
        </w:rPr>
      </w:pPr>
    </w:p>
    <w:p w14:paraId="0945F98E" w14:textId="73299EA7" w:rsidR="007A27FA" w:rsidRPr="001F199A" w:rsidRDefault="007A27FA" w:rsidP="00813AC9">
      <w:pPr>
        <w:pStyle w:val="ListParagraph"/>
        <w:numPr>
          <w:ilvl w:val="0"/>
          <w:numId w:val="21"/>
        </w:num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Exposure to plant obsolescence and depreciation</w:t>
      </w:r>
    </w:p>
    <w:p w14:paraId="5EFDFA21" w14:textId="77777777" w:rsidR="003002C3" w:rsidRDefault="003002C3" w:rsidP="003002C3">
      <w:pPr>
        <w:pStyle w:val="p1"/>
        <w:ind w:left="360"/>
        <w:rPr>
          <w:rStyle w:val="s1"/>
        </w:rPr>
      </w:pPr>
    </w:p>
    <w:p w14:paraId="07CD20BB" w14:textId="6587CD55" w:rsidR="00836336" w:rsidRPr="009745DC" w:rsidRDefault="00BF443A" w:rsidP="009745DC">
      <w:pPr>
        <w:pStyle w:val="Heading1"/>
        <w:rPr>
          <w:b/>
          <w:bCs/>
        </w:rPr>
      </w:pPr>
      <w:bookmarkStart w:id="11" w:name="_Toc218623335"/>
      <w:r>
        <w:rPr>
          <w:rStyle w:val="s1"/>
          <w:rFonts w:ascii="Arial" w:hAnsi="Arial" w:cs="Arial"/>
          <w:b w:val="0"/>
          <w:bCs w:val="0"/>
          <w:sz w:val="40"/>
          <w:szCs w:val="40"/>
        </w:rPr>
        <w:t>5</w:t>
      </w:r>
      <w:r w:rsidR="00972A25">
        <w:rPr>
          <w:rStyle w:val="s1"/>
          <w:rFonts w:ascii="Arial" w:hAnsi="Arial" w:cs="Arial"/>
          <w:b w:val="0"/>
          <w:bCs w:val="0"/>
          <w:sz w:val="40"/>
          <w:szCs w:val="40"/>
        </w:rPr>
        <w:t>.</w:t>
      </w:r>
      <w:r>
        <w:rPr>
          <w:rStyle w:val="s1"/>
          <w:rFonts w:ascii="Arial" w:hAnsi="Arial" w:cs="Arial"/>
          <w:b w:val="0"/>
          <w:bCs w:val="0"/>
          <w:sz w:val="40"/>
          <w:szCs w:val="40"/>
        </w:rPr>
        <w:t xml:space="preserve"> </w:t>
      </w:r>
      <w:r w:rsidR="002F6641">
        <w:rPr>
          <w:rStyle w:val="s1"/>
          <w:rFonts w:ascii="Arial" w:hAnsi="Arial" w:cs="Arial"/>
          <w:b w:val="0"/>
          <w:bCs w:val="0"/>
          <w:sz w:val="40"/>
          <w:szCs w:val="40"/>
        </w:rPr>
        <w:t>R</w:t>
      </w:r>
      <w:r w:rsidR="008A15F3">
        <w:rPr>
          <w:rStyle w:val="s1"/>
          <w:rFonts w:ascii="Arial" w:hAnsi="Arial" w:cs="Arial"/>
          <w:b w:val="0"/>
          <w:bCs w:val="0"/>
          <w:sz w:val="40"/>
          <w:szCs w:val="40"/>
        </w:rPr>
        <w:t>isk</w:t>
      </w:r>
      <w:r w:rsidR="002F6641">
        <w:rPr>
          <w:rStyle w:val="s1"/>
          <w:rFonts w:ascii="Arial" w:hAnsi="Arial" w:cs="Arial"/>
          <w:b w:val="0"/>
          <w:bCs w:val="0"/>
          <w:sz w:val="40"/>
          <w:szCs w:val="40"/>
        </w:rPr>
        <w:t xml:space="preserve"> </w:t>
      </w:r>
      <w:r w:rsidR="00EF1A7D" w:rsidRPr="009745DC">
        <w:rPr>
          <w:rStyle w:val="s1"/>
          <w:rFonts w:ascii="Arial" w:hAnsi="Arial" w:cs="Arial"/>
          <w:b w:val="0"/>
          <w:bCs w:val="0"/>
          <w:sz w:val="40"/>
          <w:szCs w:val="40"/>
        </w:rPr>
        <w:t>Management.</w:t>
      </w:r>
      <w:bookmarkEnd w:id="11"/>
    </w:p>
    <w:p w14:paraId="77FFE0CD" w14:textId="4D2132F7" w:rsidR="00836336" w:rsidRPr="00CA7240" w:rsidRDefault="00836336" w:rsidP="003002C3">
      <w:pPr>
        <w:pStyle w:val="p1"/>
        <w:rPr>
          <w:rFonts w:ascii="Arial" w:hAnsi="Arial" w:cs="Arial"/>
          <w:sz w:val="24"/>
          <w:szCs w:val="24"/>
        </w:rPr>
      </w:pPr>
      <w:r w:rsidRPr="00CA7240">
        <w:rPr>
          <w:rStyle w:val="s2"/>
          <w:rFonts w:ascii="Arial" w:hAnsi="Arial" w:cs="Arial"/>
          <w:sz w:val="24"/>
          <w:szCs w:val="24"/>
        </w:rPr>
        <w:t xml:space="preserve">Effective plant resource management </w:t>
      </w:r>
      <w:r w:rsidR="00EF510B">
        <w:rPr>
          <w:rStyle w:val="s2"/>
          <w:rFonts w:ascii="Arial" w:hAnsi="Arial" w:cs="Arial"/>
          <w:sz w:val="24"/>
          <w:szCs w:val="24"/>
        </w:rPr>
        <w:t xml:space="preserve">are </w:t>
      </w:r>
      <w:r w:rsidR="00CA7240" w:rsidRPr="00CA7240">
        <w:rPr>
          <w:rStyle w:val="s2"/>
          <w:rFonts w:ascii="Arial" w:hAnsi="Arial" w:cs="Arial"/>
          <w:sz w:val="24"/>
          <w:szCs w:val="24"/>
        </w:rPr>
        <w:t>linked</w:t>
      </w:r>
      <w:r w:rsidRPr="00CA7240">
        <w:rPr>
          <w:rStyle w:val="s2"/>
          <w:rFonts w:ascii="Arial" w:hAnsi="Arial" w:cs="Arial"/>
          <w:sz w:val="24"/>
          <w:szCs w:val="24"/>
        </w:rPr>
        <w:t xml:space="preserve"> to the identification and control of operational, financial, and programme risks within construction projects. The differing plant strategies adopted across North and South Wales expose the organisation to distinct risk profiles that must be managed to ensure resilient and reliable project delivery.</w:t>
      </w:r>
    </w:p>
    <w:p w14:paraId="2E600E90" w14:textId="37EFEF43" w:rsidR="00836336" w:rsidRPr="00CA7240" w:rsidRDefault="00836336" w:rsidP="003002C3">
      <w:pPr>
        <w:pStyle w:val="p1"/>
        <w:rPr>
          <w:rFonts w:ascii="Arial" w:hAnsi="Arial" w:cs="Arial"/>
          <w:sz w:val="24"/>
          <w:szCs w:val="24"/>
        </w:rPr>
      </w:pPr>
      <w:r w:rsidRPr="00CA7240">
        <w:rPr>
          <w:rStyle w:val="s2"/>
          <w:rFonts w:ascii="Arial" w:hAnsi="Arial" w:cs="Arial"/>
          <w:sz w:val="24"/>
          <w:szCs w:val="24"/>
        </w:rPr>
        <w:t xml:space="preserve">In North Wales, the </w:t>
      </w:r>
      <w:r w:rsidR="00CA7240" w:rsidRPr="00CA7240">
        <w:rPr>
          <w:rStyle w:val="s2"/>
          <w:rFonts w:ascii="Arial" w:hAnsi="Arial" w:cs="Arial"/>
          <w:sz w:val="24"/>
          <w:szCs w:val="24"/>
        </w:rPr>
        <w:t>hire-based</w:t>
      </w:r>
      <w:r w:rsidRPr="00CA7240">
        <w:rPr>
          <w:rStyle w:val="s2"/>
          <w:rFonts w:ascii="Arial" w:hAnsi="Arial" w:cs="Arial"/>
          <w:sz w:val="24"/>
          <w:szCs w:val="24"/>
        </w:rPr>
        <w:t xml:space="preserve"> plant strategy reduces financial risk by limiting capital expenditure and avoiding long-term asset ownership. However, this approach increases dependency on external plant hire suppliers, introducing risks related to availability, lead times, and fluctuating hire costs. During periods of high industry demand, restricted access to hired plant may result in programme delays, increased costs, and disruption to critical path activities. This reliance on third-party suppliers can therefore increase programme risk if plant requirements are not accurately forecast and secured in advance.</w:t>
      </w:r>
    </w:p>
    <w:p w14:paraId="5470CE77" w14:textId="77777777" w:rsidR="00836336" w:rsidRPr="00CA7240" w:rsidRDefault="00836336" w:rsidP="003002C3">
      <w:pPr>
        <w:pStyle w:val="p2"/>
        <w:rPr>
          <w:rFonts w:ascii="Arial" w:hAnsi="Arial" w:cs="Arial"/>
          <w:sz w:val="24"/>
          <w:szCs w:val="24"/>
        </w:rPr>
      </w:pPr>
      <w:r w:rsidRPr="00CA7240">
        <w:rPr>
          <w:rStyle w:val="s2"/>
          <w:rFonts w:ascii="Arial" w:hAnsi="Arial" w:cs="Arial"/>
          <w:sz w:val="24"/>
          <w:szCs w:val="24"/>
        </w:rPr>
        <w:t xml:space="preserve">In contrast, the ownership-based approach adopted in South Wales reduces availability risk by ensuring the plant is </w:t>
      </w:r>
      <w:bookmarkStart w:id="12" w:name="_Int_g877Mxlv"/>
      <w:r w:rsidRPr="00CA7240">
        <w:rPr>
          <w:rStyle w:val="s2"/>
          <w:rFonts w:ascii="Arial" w:hAnsi="Arial" w:cs="Arial"/>
          <w:sz w:val="24"/>
          <w:szCs w:val="24"/>
        </w:rPr>
        <w:t>immediately</w:t>
      </w:r>
      <w:bookmarkEnd w:id="12"/>
      <w:r w:rsidRPr="00CA7240">
        <w:rPr>
          <w:rStyle w:val="s2"/>
          <w:rFonts w:ascii="Arial" w:hAnsi="Arial" w:cs="Arial"/>
          <w:sz w:val="24"/>
          <w:szCs w:val="24"/>
        </w:rPr>
        <w:t xml:space="preserve"> accessible to project teams, improving programme certainty and productivity. However, ownership introduces alternative risks, including high capital exposure, ongoing maintenance responsibilities, and the potential for under-utilisation during periods of reduced workload.</w:t>
      </w:r>
      <w:r w:rsidRPr="00CA7240">
        <w:rPr>
          <w:rStyle w:val="apple-converted-space"/>
          <w:rFonts w:ascii="Arial" w:hAnsi="Arial" w:cs="Arial"/>
          <w:sz w:val="24"/>
          <w:szCs w:val="24"/>
        </w:rPr>
        <w:t> </w:t>
      </w:r>
    </w:p>
    <w:p w14:paraId="252F8D6F" w14:textId="6C3F5D36" w:rsidR="002A15AA" w:rsidRPr="002746AF" w:rsidRDefault="00D71AC1" w:rsidP="009C0403">
      <w:pPr>
        <w:rPr>
          <w:rFonts w:ascii="Arial" w:hAnsi="Arial" w:cs="Arial"/>
          <w:color w:val="000000" w:themeColor="text1"/>
        </w:rPr>
      </w:pPr>
      <w:r w:rsidRPr="009C0403">
        <w:rPr>
          <w:rFonts w:ascii="Arial" w:hAnsi="Arial" w:cs="Arial"/>
        </w:rPr>
        <w:lastRenderedPageBreak/>
        <w:t xml:space="preserve">Across both regions, plant resource management </w:t>
      </w:r>
      <w:r w:rsidR="00682E9A">
        <w:rPr>
          <w:rFonts w:ascii="Arial" w:hAnsi="Arial" w:cs="Arial"/>
        </w:rPr>
        <w:t xml:space="preserve">is linked </w:t>
      </w:r>
      <w:r w:rsidRPr="009C0403">
        <w:rPr>
          <w:rFonts w:ascii="Arial" w:hAnsi="Arial" w:cs="Arial"/>
        </w:rPr>
        <w:t xml:space="preserve">to health and safety risk. Inadequately </w:t>
      </w:r>
      <w:bookmarkStart w:id="13" w:name="_Int_Wk751Y1Q"/>
      <w:r w:rsidRPr="009C0403">
        <w:rPr>
          <w:rFonts w:ascii="Arial" w:hAnsi="Arial" w:cs="Arial"/>
        </w:rPr>
        <w:t>maintained</w:t>
      </w:r>
      <w:bookmarkEnd w:id="13"/>
      <w:r w:rsidRPr="009C0403">
        <w:rPr>
          <w:rFonts w:ascii="Arial" w:hAnsi="Arial" w:cs="Arial"/>
        </w:rPr>
        <w:t xml:space="preserve"> equipment or insufficiently trained operators increase the likelihood of accidents, downtime, and regulatory non-compliance. The Construction Industry Training Board (CITB) highlights the importance of nationally recognised plant standards and competence-based training to ensure safe and effective plant operation. Aligning plant strategies with CITB-approved training and </w:t>
      </w:r>
      <w:r w:rsidRPr="002746AF">
        <w:rPr>
          <w:rFonts w:ascii="Arial" w:hAnsi="Arial" w:cs="Arial"/>
          <w:color w:val="000000" w:themeColor="text1"/>
        </w:rPr>
        <w:t>competence standards can reduce operational risk, improve productivity, and enhance compliance across projects.</w:t>
      </w:r>
    </w:p>
    <w:p w14:paraId="57782326" w14:textId="77777777" w:rsidR="002746AF" w:rsidRPr="002746AF" w:rsidRDefault="002746AF" w:rsidP="002746AF">
      <w:pPr>
        <w:spacing w:after="0" w:line="240" w:lineRule="auto"/>
        <w:rPr>
          <w:rFonts w:ascii="Arial" w:eastAsia="Times New Roman" w:hAnsi="Arial" w:cs="Arial"/>
          <w:color w:val="000000" w:themeColor="text1"/>
          <w:kern w:val="0"/>
          <w14:ligatures w14:val="none"/>
        </w:rPr>
      </w:pPr>
      <w:r w:rsidRPr="002746AF">
        <w:rPr>
          <w:rFonts w:ascii="Arial" w:eastAsia="Times New Roman" w:hAnsi="Arial" w:cs="Arial"/>
          <w:color w:val="000000" w:themeColor="text1"/>
          <w:kern w:val="0"/>
          <w14:ligatures w14:val="none"/>
        </w:rPr>
        <w:t>An example plant risk assessment template is provided in Appendix A, illustrating how plant-related hazards and control measures may be formally assessed and documented in practice.</w:t>
      </w:r>
    </w:p>
    <w:p w14:paraId="29B9C51B" w14:textId="77777777" w:rsidR="007A0F8F" w:rsidRPr="002746AF" w:rsidRDefault="007A0F8F" w:rsidP="00813AC9">
      <w:pPr>
        <w:rPr>
          <w:rFonts w:ascii="Arial" w:hAnsi="Arial" w:cs="Arial"/>
          <w:color w:val="000000" w:themeColor="text1"/>
        </w:rPr>
      </w:pPr>
    </w:p>
    <w:p w14:paraId="0063C54E" w14:textId="008A83C4" w:rsidR="007A0F8F" w:rsidRDefault="007A0F8F" w:rsidP="00972A25">
      <w:pPr>
        <w:pStyle w:val="Heading1"/>
        <w:numPr>
          <w:ilvl w:val="0"/>
          <w:numId w:val="26"/>
        </w:numPr>
        <w:rPr>
          <w:rStyle w:val="s1"/>
          <w:rFonts w:ascii="Arial" w:hAnsi="Arial" w:cs="Arial"/>
          <w:b w:val="0"/>
          <w:bCs w:val="0"/>
          <w:sz w:val="32"/>
          <w:szCs w:val="32"/>
        </w:rPr>
      </w:pPr>
      <w:bookmarkStart w:id="14" w:name="_Toc218623336"/>
      <w:r w:rsidRPr="001F199A">
        <w:rPr>
          <w:rStyle w:val="s1"/>
          <w:rFonts w:ascii="Arial" w:hAnsi="Arial" w:cs="Arial"/>
          <w:b w:val="0"/>
          <w:bCs w:val="0"/>
          <w:sz w:val="32"/>
          <w:szCs w:val="32"/>
        </w:rPr>
        <w:t>Role of Project Planning Software in Construction Management</w:t>
      </w:r>
      <w:bookmarkEnd w:id="14"/>
    </w:p>
    <w:p w14:paraId="264D9ACD" w14:textId="43C86BFF" w:rsidR="00E02DB8" w:rsidRPr="00E02DB8" w:rsidRDefault="00E02DB8" w:rsidP="00972A25">
      <w:pPr>
        <w:pStyle w:val="Heading2"/>
      </w:pPr>
      <w:bookmarkStart w:id="15" w:name="_Toc218623337"/>
      <w:r w:rsidRPr="00972A25">
        <w:t>6.1 Gantt Charts and Programme Control</w:t>
      </w:r>
      <w:bookmarkEnd w:id="15"/>
    </w:p>
    <w:p w14:paraId="6E0637CE" w14:textId="59CC7836" w:rsidR="00A7104D" w:rsidRPr="001F199A" w:rsidRDefault="00A7104D" w:rsidP="001045D9">
      <w:pPr>
        <w:spacing w:after="255" w:line="240" w:lineRule="auto"/>
        <w:rPr>
          <w:rFonts w:ascii="Arial" w:hAnsi="Arial" w:cs="Arial"/>
          <w:color w:val="000000"/>
          <w:kern w:val="0"/>
          <w14:ligatures w14:val="none"/>
        </w:rPr>
      </w:pPr>
      <w:r w:rsidRPr="001F199A">
        <w:rPr>
          <w:rFonts w:ascii="Arial" w:hAnsi="Arial" w:cs="Arial"/>
          <w:noProof/>
          <w:color w:val="000000"/>
          <w:kern w:val="0"/>
        </w:rPr>
        <w:drawing>
          <wp:anchor distT="0" distB="0" distL="114300" distR="114300" simplePos="0" relativeHeight="251659264" behindDoc="0" locked="0" layoutInCell="1" allowOverlap="1" wp14:anchorId="018AFD5E" wp14:editId="2DD7AC36">
            <wp:simplePos x="0" y="0"/>
            <wp:positionH relativeFrom="column">
              <wp:posOffset>0</wp:posOffset>
            </wp:positionH>
            <wp:positionV relativeFrom="paragraph">
              <wp:posOffset>1160780</wp:posOffset>
            </wp:positionV>
            <wp:extent cx="3448050" cy="2103120"/>
            <wp:effectExtent l="0" t="0" r="6350" b="5080"/>
            <wp:wrapThrough wrapText="bothSides">
              <wp:wrapPolygon edited="0">
                <wp:start x="0" y="0"/>
                <wp:lineTo x="0" y="21522"/>
                <wp:lineTo x="21560" y="21522"/>
                <wp:lineTo x="21560" y="0"/>
                <wp:lineTo x="0" y="0"/>
              </wp:wrapPolygon>
            </wp:wrapThrough>
            <wp:docPr id="1492936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936703" name="Picture 1492936703"/>
                    <pic:cNvPicPr/>
                  </pic:nvPicPr>
                  <pic:blipFill rotWithShape="1">
                    <a:blip r:embed="rId7" cstate="print">
                      <a:extLst>
                        <a:ext uri="{28A0092B-C50C-407E-A947-70E740481C1C}">
                          <a14:useLocalDpi xmlns:a14="http://schemas.microsoft.com/office/drawing/2010/main" val="0"/>
                        </a:ext>
                      </a:extLst>
                    </a:blip>
                    <a:srcRect r="10190" b="17034"/>
                    <a:stretch>
                      <a:fillRect/>
                    </a:stretch>
                  </pic:blipFill>
                  <pic:spPr bwMode="auto">
                    <a:xfrm>
                      <a:off x="0" y="0"/>
                      <a:ext cx="3448050" cy="2103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045D9" w:rsidRPr="001F199A">
        <w:rPr>
          <w:rFonts w:ascii="Arial" w:hAnsi="Arial" w:cs="Arial"/>
          <w:color w:val="000000"/>
          <w:kern w:val="0"/>
          <w14:ligatures w14:val="none"/>
        </w:rPr>
        <w:t xml:space="preserve">A Gantt chart provides a clear graphical representation of a project programme, illustrating task sequences, interdependencies, and critical path activities. It defines planned start and finish dates, </w:t>
      </w:r>
      <w:r w:rsidR="00C242EB" w:rsidRPr="001F199A">
        <w:rPr>
          <w:rFonts w:ascii="Arial" w:hAnsi="Arial" w:cs="Arial"/>
          <w:color w:val="000000"/>
          <w:kern w:val="0"/>
          <w14:ligatures w14:val="none"/>
        </w:rPr>
        <w:t>shows</w:t>
      </w:r>
      <w:r w:rsidR="001045D9" w:rsidRPr="001F199A">
        <w:rPr>
          <w:rFonts w:ascii="Arial" w:hAnsi="Arial" w:cs="Arial"/>
          <w:color w:val="000000"/>
          <w:kern w:val="0"/>
          <w14:ligatures w14:val="none"/>
        </w:rPr>
        <w:t xml:space="preserve"> key milestones, and supports the allocation of resources and plant to individual activities. In addition, Gantt charts enable progress to be </w:t>
      </w:r>
      <w:r w:rsidR="001D71AC" w:rsidRPr="001F199A">
        <w:rPr>
          <w:rFonts w:ascii="Arial" w:hAnsi="Arial" w:cs="Arial"/>
          <w:color w:val="000000"/>
          <w:kern w:val="0"/>
          <w14:ligatures w14:val="none"/>
        </w:rPr>
        <w:t>checked</w:t>
      </w:r>
      <w:r w:rsidR="001045D9" w:rsidRPr="001F199A">
        <w:rPr>
          <w:rFonts w:ascii="Arial" w:hAnsi="Arial" w:cs="Arial"/>
          <w:color w:val="000000"/>
          <w:kern w:val="0"/>
          <w14:ligatures w14:val="none"/>
        </w:rPr>
        <w:t xml:space="preserve"> against baseline programmes, allowing deviations from the planned schedule </w:t>
      </w:r>
      <w:r w:rsidR="001D71AC" w:rsidRPr="001F199A">
        <w:rPr>
          <w:rFonts w:ascii="Arial" w:hAnsi="Arial" w:cs="Arial"/>
          <w:color w:val="000000"/>
          <w:kern w:val="0"/>
          <w14:ligatures w14:val="none"/>
        </w:rPr>
        <w:t>shown</w:t>
      </w:r>
      <w:r w:rsidR="001045D9" w:rsidRPr="001F199A">
        <w:rPr>
          <w:rFonts w:ascii="Arial" w:hAnsi="Arial" w:cs="Arial"/>
          <w:color w:val="000000"/>
          <w:kern w:val="0"/>
          <w14:ligatures w14:val="none"/>
        </w:rPr>
        <w:t xml:space="preserve"> and managed.</w:t>
      </w:r>
    </w:p>
    <w:p w14:paraId="4A925D67" w14:textId="5678D7F5" w:rsidR="00A7104D" w:rsidRPr="001F199A" w:rsidRDefault="00A7104D" w:rsidP="00A7104D">
      <w:pPr>
        <w:spacing w:before="100" w:beforeAutospacing="1" w:after="100" w:afterAutospacing="1" w:line="240" w:lineRule="auto"/>
        <w:rPr>
          <w:rFonts w:ascii="Arial" w:hAnsi="Arial" w:cs="Arial"/>
          <w:kern w:val="0"/>
          <w14:ligatures w14:val="none"/>
        </w:rPr>
      </w:pPr>
      <w:r w:rsidRPr="001F199A">
        <w:rPr>
          <w:rFonts w:ascii="Arial" w:hAnsi="Arial" w:cs="Arial"/>
          <w:kern w:val="0"/>
          <w14:ligatures w14:val="none"/>
        </w:rPr>
        <w:t xml:space="preserve">Figure </w:t>
      </w:r>
      <w:r w:rsidR="0000311B">
        <w:rPr>
          <w:rFonts w:ascii="Arial" w:hAnsi="Arial" w:cs="Arial"/>
          <w:kern w:val="0"/>
          <w14:ligatures w14:val="none"/>
        </w:rPr>
        <w:t>1</w:t>
      </w:r>
      <w:r w:rsidRPr="001F199A">
        <w:rPr>
          <w:rFonts w:ascii="Arial" w:hAnsi="Arial" w:cs="Arial"/>
          <w:kern w:val="0"/>
          <w14:ligatures w14:val="none"/>
        </w:rPr>
        <w:t>: Example of a Gantt chart illustrating task sequencing, durations, and dependencies plotted against time.</w:t>
      </w:r>
    </w:p>
    <w:p w14:paraId="6C161D0B" w14:textId="5C1D0C06" w:rsidR="00A7104D" w:rsidRPr="001F199A" w:rsidRDefault="00A7104D" w:rsidP="00A7104D">
      <w:pPr>
        <w:spacing w:before="100" w:beforeAutospacing="1" w:after="100" w:afterAutospacing="1" w:line="240" w:lineRule="auto"/>
        <w:rPr>
          <w:rFonts w:ascii="Arial" w:hAnsi="Arial" w:cs="Arial"/>
          <w:kern w:val="0"/>
          <w14:ligatures w14:val="none"/>
        </w:rPr>
      </w:pPr>
      <w:r w:rsidRPr="001F199A">
        <w:rPr>
          <w:rFonts w:ascii="Arial" w:hAnsi="Arial" w:cs="Arial"/>
          <w:kern w:val="0"/>
          <w14:ligatures w14:val="none"/>
        </w:rPr>
        <w:t>(Source: Adapted from Association for Project Management, 2023)</w:t>
      </w:r>
    </w:p>
    <w:p w14:paraId="76562BB9" w14:textId="77777777" w:rsidR="00D21DE7" w:rsidRPr="001F199A" w:rsidRDefault="00D21DE7" w:rsidP="001045D9">
      <w:pPr>
        <w:spacing w:after="255" w:line="240" w:lineRule="auto"/>
        <w:rPr>
          <w:rFonts w:ascii="Arial" w:hAnsi="Arial" w:cs="Arial"/>
          <w:color w:val="000000"/>
          <w:kern w:val="0"/>
          <w14:ligatures w14:val="none"/>
        </w:rPr>
      </w:pPr>
    </w:p>
    <w:p w14:paraId="3D5E9AA1" w14:textId="62D84706" w:rsidR="001045D9" w:rsidRPr="001F199A" w:rsidRDefault="001045D9" w:rsidP="001045D9">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Within the company’s current organisational structure, Gantt charts can be used to improve coordination and communication between regional headquarters (Wrexham and Swansea), project-specific teams (commercial, housing, and infrastructure), and plant procurement and site operations. By providing a unified programme framework, Gantt charts help align activities across multiple departments and locations.</w:t>
      </w:r>
    </w:p>
    <w:p w14:paraId="715EFA43" w14:textId="3B6B0D75" w:rsidR="001045D9" w:rsidRPr="00FC0847" w:rsidRDefault="001045D9" w:rsidP="001045D9">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 xml:space="preserve">By linking programme activities to specific plant resources, project managers can </w:t>
      </w:r>
      <w:r w:rsidR="001D71AC" w:rsidRPr="001F199A">
        <w:rPr>
          <w:rFonts w:ascii="Arial" w:hAnsi="Arial" w:cs="Arial"/>
          <w:color w:val="000000"/>
          <w:kern w:val="0"/>
          <w14:ligatures w14:val="none"/>
        </w:rPr>
        <w:t>find</w:t>
      </w:r>
      <w:r w:rsidRPr="001F199A">
        <w:rPr>
          <w:rFonts w:ascii="Arial" w:hAnsi="Arial" w:cs="Arial"/>
          <w:color w:val="000000"/>
          <w:kern w:val="0"/>
          <w14:ligatures w14:val="none"/>
        </w:rPr>
        <w:t xml:space="preserve"> periods of high plant demand, </w:t>
      </w:r>
      <w:r w:rsidR="001D71AC" w:rsidRPr="001F199A">
        <w:rPr>
          <w:rFonts w:ascii="Arial" w:hAnsi="Arial" w:cs="Arial"/>
          <w:color w:val="000000"/>
          <w:kern w:val="0"/>
          <w14:ligatures w14:val="none"/>
        </w:rPr>
        <w:t>predict</w:t>
      </w:r>
      <w:r w:rsidRPr="001F199A">
        <w:rPr>
          <w:rFonts w:ascii="Arial" w:hAnsi="Arial" w:cs="Arial"/>
          <w:color w:val="000000"/>
          <w:kern w:val="0"/>
          <w14:ligatures w14:val="none"/>
        </w:rPr>
        <w:t xml:space="preserve"> potential resource constraints, and reduce conflicts between concurrent projects. Modern project management software, such as Microsoft Project, enhances the effectiveness of Gantt charts by integrating </w:t>
      </w:r>
      <w:r w:rsidRPr="001F199A">
        <w:rPr>
          <w:rFonts w:ascii="Arial" w:hAnsi="Arial" w:cs="Arial"/>
          <w:color w:val="000000"/>
          <w:kern w:val="0"/>
          <w14:ligatures w14:val="none"/>
        </w:rPr>
        <w:lastRenderedPageBreak/>
        <w:t xml:space="preserve">scheduling with resource and workload data. This integration enables project managers to assess team availability, optimise resource allocation, and forecast </w:t>
      </w:r>
      <w:r w:rsidRPr="00FC0847">
        <w:rPr>
          <w:rFonts w:ascii="Arial" w:hAnsi="Arial" w:cs="Arial"/>
          <w:color w:val="000000"/>
          <w:kern w:val="0"/>
          <w14:ligatures w14:val="none"/>
        </w:rPr>
        <w:t xml:space="preserve">future capacity, resulting in more </w:t>
      </w:r>
      <w:r w:rsidR="00914922" w:rsidRPr="00FC0847">
        <w:rPr>
          <w:rFonts w:ascii="Arial" w:hAnsi="Arial" w:cs="Arial"/>
          <w:color w:val="000000"/>
          <w:kern w:val="0"/>
          <w14:ligatures w14:val="none"/>
        </w:rPr>
        <w:t>exact</w:t>
      </w:r>
      <w:r w:rsidRPr="00FC0847">
        <w:rPr>
          <w:rFonts w:ascii="Arial" w:hAnsi="Arial" w:cs="Arial"/>
          <w:color w:val="000000"/>
          <w:kern w:val="0"/>
          <w14:ligatures w14:val="none"/>
        </w:rPr>
        <w:t xml:space="preserve"> scheduling and improved decision-making.</w:t>
      </w:r>
    </w:p>
    <w:p w14:paraId="555219D5" w14:textId="591E6EC4" w:rsidR="00FC0847" w:rsidRPr="00FC0847" w:rsidRDefault="00FC0847" w:rsidP="00FC0847">
      <w:pPr>
        <w:pStyle w:val="Heading2"/>
        <w:rPr>
          <w:rFonts w:ascii="Arial" w:eastAsia="Times New Roman" w:hAnsi="Arial" w:cs="Arial"/>
        </w:rPr>
      </w:pPr>
      <w:r w:rsidRPr="00FC0847">
        <w:rPr>
          <w:rFonts w:ascii="Arial" w:eastAsia="Times New Roman" w:hAnsi="Arial" w:cs="Arial"/>
        </w:rPr>
        <w:t>6.2 Use of Microsoft Project for Plant Resource Management</w:t>
      </w:r>
    </w:p>
    <w:p w14:paraId="60450ABB" w14:textId="2A273D80" w:rsidR="00FC0847" w:rsidRPr="00FC0847" w:rsidRDefault="00646376" w:rsidP="00FC0847">
      <w:pPr>
        <w:spacing w:before="100" w:beforeAutospacing="1" w:after="100" w:afterAutospacing="1" w:line="240" w:lineRule="auto"/>
        <w:rPr>
          <w:rFonts w:ascii="Arial" w:hAnsi="Arial" w:cs="Arial"/>
          <w:kern w:val="0"/>
          <w14:ligatures w14:val="none"/>
        </w:rPr>
      </w:pPr>
      <w:r>
        <w:rPr>
          <w:rFonts w:ascii="Arial" w:hAnsi="Arial" w:cs="Arial"/>
          <w:noProof/>
          <w:kern w:val="0"/>
        </w:rPr>
        <w:drawing>
          <wp:anchor distT="0" distB="0" distL="114300" distR="114300" simplePos="0" relativeHeight="251664384" behindDoc="0" locked="0" layoutInCell="1" allowOverlap="1" wp14:anchorId="68EA4B97" wp14:editId="6ABC019F">
            <wp:simplePos x="0" y="0"/>
            <wp:positionH relativeFrom="column">
              <wp:posOffset>-35193</wp:posOffset>
            </wp:positionH>
            <wp:positionV relativeFrom="paragraph">
              <wp:posOffset>933450</wp:posOffset>
            </wp:positionV>
            <wp:extent cx="4745990" cy="2625725"/>
            <wp:effectExtent l="0" t="0" r="3810" b="3175"/>
            <wp:wrapThrough wrapText="bothSides">
              <wp:wrapPolygon edited="0">
                <wp:start x="0" y="0"/>
                <wp:lineTo x="0" y="21522"/>
                <wp:lineTo x="21560" y="21522"/>
                <wp:lineTo x="21560" y="0"/>
                <wp:lineTo x="0" y="0"/>
              </wp:wrapPolygon>
            </wp:wrapThrough>
            <wp:docPr id="10612177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17797" name="Picture 1061217797"/>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45990" cy="2625725"/>
                    </a:xfrm>
                    <a:prstGeom prst="rect">
                      <a:avLst/>
                    </a:prstGeom>
                  </pic:spPr>
                </pic:pic>
              </a:graphicData>
            </a:graphic>
            <wp14:sizeRelH relativeFrom="margin">
              <wp14:pctWidth>0</wp14:pctWidth>
            </wp14:sizeRelH>
            <wp14:sizeRelV relativeFrom="margin">
              <wp14:pctHeight>0</wp14:pctHeight>
            </wp14:sizeRelV>
          </wp:anchor>
        </w:drawing>
      </w:r>
      <w:r w:rsidR="00FC0847" w:rsidRPr="00FC0847">
        <w:rPr>
          <w:rFonts w:ascii="Arial" w:hAnsi="Arial" w:cs="Arial"/>
          <w:kern w:val="0"/>
          <w14:ligatures w14:val="none"/>
        </w:rPr>
        <w:t>Effective planning and control are critical to the success of construction projects, particularly within organisations operating across multiple locations and project types. Project management software such as Microsoft Project is widely used within the construction industry to plan, monitor, and control project delivery.</w:t>
      </w:r>
    </w:p>
    <w:p w14:paraId="53B98B23" w14:textId="2A4EBFF7" w:rsidR="00FC0847" w:rsidRPr="00FC0847" w:rsidRDefault="00FC0847" w:rsidP="00FC0847">
      <w:pPr>
        <w:spacing w:before="100" w:beforeAutospacing="1" w:after="100" w:afterAutospacing="1" w:line="240" w:lineRule="auto"/>
        <w:rPr>
          <w:rFonts w:ascii="Arial" w:hAnsi="Arial" w:cs="Arial"/>
          <w:kern w:val="0"/>
          <w14:ligatures w14:val="none"/>
        </w:rPr>
      </w:pPr>
      <w:r w:rsidRPr="00FC0847">
        <w:rPr>
          <w:rFonts w:ascii="Arial" w:hAnsi="Arial" w:cs="Arial"/>
          <w:kern w:val="0"/>
          <w14:ligatures w14:val="none"/>
        </w:rPr>
        <w:t>Figure 2: Example of a Gantt chart created using Microsoft Project, illustrating task sequencing, durations, and dependencies within a construction project programme.</w:t>
      </w:r>
    </w:p>
    <w:p w14:paraId="106653AC" w14:textId="6C456250" w:rsidR="00FC0847" w:rsidRPr="00FC0847" w:rsidRDefault="00FC0847" w:rsidP="00FC0847">
      <w:pPr>
        <w:spacing w:before="100" w:beforeAutospacing="1" w:after="100" w:afterAutospacing="1" w:line="240" w:lineRule="auto"/>
        <w:rPr>
          <w:rFonts w:ascii="Arial" w:hAnsi="Arial" w:cs="Arial"/>
          <w:kern w:val="0"/>
          <w14:ligatures w14:val="none"/>
        </w:rPr>
      </w:pPr>
      <w:r w:rsidRPr="00FC0847">
        <w:rPr>
          <w:rFonts w:ascii="Arial" w:hAnsi="Arial" w:cs="Arial"/>
          <w:kern w:val="0"/>
          <w14:ligatures w14:val="none"/>
        </w:rPr>
        <w:t>(Source: Adapted from GanttPRO, 2025)</w:t>
      </w:r>
    </w:p>
    <w:p w14:paraId="06471479" w14:textId="1BFACF1E" w:rsidR="00FC0847" w:rsidRPr="00FC0847" w:rsidRDefault="00FC0847" w:rsidP="00FC0847">
      <w:pPr>
        <w:spacing w:before="100" w:beforeAutospacing="1" w:after="100" w:afterAutospacing="1" w:line="240" w:lineRule="auto"/>
        <w:rPr>
          <w:rFonts w:ascii="Arial" w:hAnsi="Arial" w:cs="Arial"/>
          <w:kern w:val="0"/>
          <w14:ligatures w14:val="none"/>
        </w:rPr>
      </w:pPr>
      <w:r w:rsidRPr="00FC0847">
        <w:rPr>
          <w:rFonts w:ascii="Arial" w:hAnsi="Arial" w:cs="Arial"/>
          <w:kern w:val="0"/>
          <w14:ligatures w14:val="none"/>
        </w:rPr>
        <w:t>Microsoft Project enables project teams to develop detailed programmes using Gantt charts that visually represent activities, durations, dependencies, and resource allocation. These tools are especially valuable in organisations with complex management structures, such as the company under review, which operates across both geographic regions and multiple project sectors.</w:t>
      </w:r>
    </w:p>
    <w:p w14:paraId="6FE92C9D" w14:textId="77777777" w:rsidR="00FC0847" w:rsidRPr="00FC0847" w:rsidRDefault="00FC0847" w:rsidP="00FC0847">
      <w:pPr>
        <w:spacing w:before="100" w:beforeAutospacing="1" w:after="100" w:afterAutospacing="1" w:line="240" w:lineRule="auto"/>
        <w:rPr>
          <w:rFonts w:ascii="Arial" w:hAnsi="Arial" w:cs="Arial"/>
          <w:kern w:val="0"/>
          <w14:ligatures w14:val="none"/>
        </w:rPr>
      </w:pPr>
      <w:r w:rsidRPr="00FC0847">
        <w:rPr>
          <w:rFonts w:ascii="Arial" w:hAnsi="Arial" w:cs="Arial"/>
          <w:kern w:val="0"/>
          <w14:ligatures w14:val="none"/>
        </w:rPr>
        <w:t>By allocating owned plant resources within the project programme, Microsoft Project allows periods of under-utilisation and potential resource clashes to be identified. This supports more effective management of company-owned plant assets and provides a clear basis for assessing whether current plant allocation practices represent the most efficient approach.</w:t>
      </w:r>
    </w:p>
    <w:p w14:paraId="40B5AB29" w14:textId="77777777" w:rsidR="00CA72C7" w:rsidRPr="00FC0847" w:rsidRDefault="00CA72C7" w:rsidP="001045D9">
      <w:pPr>
        <w:spacing w:after="255" w:line="240" w:lineRule="auto"/>
        <w:rPr>
          <w:rFonts w:ascii="Arial" w:hAnsi="Arial" w:cs="Arial"/>
          <w:color w:val="000000"/>
          <w:kern w:val="0"/>
          <w14:ligatures w14:val="none"/>
        </w:rPr>
      </w:pPr>
    </w:p>
    <w:p w14:paraId="53D62F88" w14:textId="3D3957BD" w:rsidR="007A0F8F" w:rsidRPr="001F199A" w:rsidRDefault="00BF443A" w:rsidP="005101BB">
      <w:pPr>
        <w:pStyle w:val="Heading1"/>
        <w:rPr>
          <w:rFonts w:ascii="Arial" w:hAnsi="Arial" w:cs="Arial"/>
        </w:rPr>
      </w:pPr>
      <w:bookmarkStart w:id="16" w:name="_Toc218623338"/>
      <w:r>
        <w:rPr>
          <w:rFonts w:ascii="Arial" w:hAnsi="Arial" w:cs="Arial"/>
        </w:rPr>
        <w:lastRenderedPageBreak/>
        <w:t xml:space="preserve">7. </w:t>
      </w:r>
      <w:r w:rsidR="000D3911" w:rsidRPr="001F199A">
        <w:rPr>
          <w:rFonts w:ascii="Arial" w:hAnsi="Arial" w:cs="Arial"/>
        </w:rPr>
        <w:t>Co</w:t>
      </w:r>
      <w:r w:rsidR="005101BB" w:rsidRPr="001F199A">
        <w:rPr>
          <w:rFonts w:ascii="Arial" w:hAnsi="Arial" w:cs="Arial"/>
        </w:rPr>
        <w:t>nclusion and Recommendations</w:t>
      </w:r>
      <w:bookmarkEnd w:id="16"/>
      <w:r w:rsidR="005101BB" w:rsidRPr="001F199A">
        <w:rPr>
          <w:rFonts w:ascii="Arial" w:hAnsi="Arial" w:cs="Arial"/>
        </w:rPr>
        <w:t xml:space="preserve"> </w:t>
      </w:r>
    </w:p>
    <w:p w14:paraId="7640A735" w14:textId="783DC4DD" w:rsidR="00B66937" w:rsidRPr="001F199A" w:rsidRDefault="00BF443A" w:rsidP="001F199A">
      <w:pPr>
        <w:pStyle w:val="Heading2"/>
        <w:rPr>
          <w:rFonts w:ascii="Arial" w:hAnsi="Arial" w:cs="Arial"/>
        </w:rPr>
      </w:pPr>
      <w:bookmarkStart w:id="17" w:name="_Toc218623339"/>
      <w:r>
        <w:rPr>
          <w:rFonts w:ascii="Arial" w:hAnsi="Arial" w:cs="Arial"/>
        </w:rPr>
        <w:t>7</w:t>
      </w:r>
      <w:r w:rsidR="00B66937" w:rsidRPr="001F199A">
        <w:rPr>
          <w:rFonts w:ascii="Arial" w:hAnsi="Arial" w:cs="Arial"/>
        </w:rPr>
        <w:t xml:space="preserve">.1 </w:t>
      </w:r>
      <w:r w:rsidR="002E46E9">
        <w:rPr>
          <w:rFonts w:ascii="Arial" w:hAnsi="Arial" w:cs="Arial"/>
        </w:rPr>
        <w:t>C</w:t>
      </w:r>
      <w:r w:rsidR="00B66937" w:rsidRPr="001F199A">
        <w:rPr>
          <w:rFonts w:ascii="Arial" w:hAnsi="Arial" w:cs="Arial"/>
        </w:rPr>
        <w:t>onclusion</w:t>
      </w:r>
      <w:bookmarkEnd w:id="17"/>
      <w:r w:rsidR="00B66937" w:rsidRPr="001F199A">
        <w:rPr>
          <w:rFonts w:ascii="Arial" w:hAnsi="Arial" w:cs="Arial"/>
        </w:rPr>
        <w:t xml:space="preserve"> </w:t>
      </w:r>
    </w:p>
    <w:p w14:paraId="16FA9B54" w14:textId="7658A7B2" w:rsidR="00712188" w:rsidRPr="008D3416" w:rsidRDefault="00712188" w:rsidP="00712188">
      <w:pPr>
        <w:spacing w:after="255" w:line="240" w:lineRule="auto"/>
        <w:rPr>
          <w:rFonts w:ascii="Arial" w:hAnsi="Arial" w:cs="Arial"/>
          <w:color w:val="000000"/>
          <w:kern w:val="0"/>
          <w14:ligatures w14:val="none"/>
        </w:rPr>
      </w:pPr>
      <w:r w:rsidRPr="008D3416">
        <w:rPr>
          <w:rFonts w:ascii="Arial" w:hAnsi="Arial" w:cs="Arial"/>
          <w:color w:val="000000"/>
          <w:kern w:val="0"/>
          <w14:ligatures w14:val="none"/>
        </w:rPr>
        <w:t xml:space="preserve">This report has reviewed the effectiveness of the company's current plant resource management approaches, </w:t>
      </w:r>
      <w:r w:rsidR="004473BF" w:rsidRPr="008D3416">
        <w:rPr>
          <w:rFonts w:ascii="Arial" w:hAnsi="Arial" w:cs="Arial"/>
          <w:color w:val="000000"/>
          <w:kern w:val="0"/>
          <w14:ligatures w14:val="none"/>
        </w:rPr>
        <w:t>running</w:t>
      </w:r>
      <w:r w:rsidRPr="008D3416">
        <w:rPr>
          <w:rFonts w:ascii="Arial" w:hAnsi="Arial" w:cs="Arial"/>
          <w:color w:val="000000"/>
          <w:kern w:val="0"/>
          <w14:ligatures w14:val="none"/>
        </w:rPr>
        <w:t xml:space="preserve"> across North and South Wales under a hybrid organisational structure</w:t>
      </w:r>
      <w:r w:rsidR="008D3416" w:rsidRPr="008D3416">
        <w:rPr>
          <w:rFonts w:ascii="Arial" w:hAnsi="Arial" w:cs="Arial"/>
          <w:color w:val="000000"/>
          <w:kern w:val="0"/>
          <w14:ligatures w14:val="none"/>
        </w:rPr>
        <w:t xml:space="preserve">. </w:t>
      </w:r>
      <w:r w:rsidRPr="008D3416">
        <w:rPr>
          <w:rFonts w:ascii="Arial" w:hAnsi="Arial" w:cs="Arial"/>
          <w:color w:val="000000"/>
          <w:kern w:val="0"/>
          <w14:ligatures w14:val="none"/>
        </w:rPr>
        <w:t xml:space="preserve">The findings </w:t>
      </w:r>
      <w:r w:rsidR="00E120E7" w:rsidRPr="008D3416">
        <w:rPr>
          <w:rFonts w:ascii="Arial" w:hAnsi="Arial" w:cs="Arial"/>
          <w:color w:val="000000"/>
          <w:kern w:val="0"/>
          <w14:ligatures w14:val="none"/>
        </w:rPr>
        <w:t>show</w:t>
      </w:r>
      <w:r w:rsidRPr="008D3416">
        <w:rPr>
          <w:rFonts w:ascii="Arial" w:hAnsi="Arial" w:cs="Arial"/>
          <w:color w:val="000000"/>
          <w:kern w:val="0"/>
          <w14:ligatures w14:val="none"/>
        </w:rPr>
        <w:t xml:space="preserve"> that the company’s plant management strategies </w:t>
      </w:r>
      <w:r w:rsidR="002C6916" w:rsidRPr="008D3416">
        <w:rPr>
          <w:rFonts w:ascii="Arial" w:hAnsi="Arial" w:cs="Arial"/>
          <w:color w:val="000000"/>
          <w:kern w:val="0"/>
          <w14:ligatures w14:val="none"/>
        </w:rPr>
        <w:t>aligned</w:t>
      </w:r>
      <w:r w:rsidRPr="008D3416">
        <w:rPr>
          <w:rFonts w:ascii="Arial" w:hAnsi="Arial" w:cs="Arial"/>
          <w:color w:val="000000"/>
          <w:kern w:val="0"/>
          <w14:ligatures w14:val="none"/>
        </w:rPr>
        <w:t xml:space="preserve"> with regional operational demands but present opportunities for improved efficiency and strategic control.</w:t>
      </w:r>
    </w:p>
    <w:p w14:paraId="6C422DB7" w14:textId="0C746D96" w:rsidR="00712188" w:rsidRPr="008D3416" w:rsidRDefault="00712188" w:rsidP="00712188">
      <w:pPr>
        <w:spacing w:after="255" w:line="240" w:lineRule="auto"/>
        <w:rPr>
          <w:rFonts w:ascii="Arial" w:hAnsi="Arial" w:cs="Arial"/>
          <w:color w:val="000000"/>
          <w:kern w:val="0"/>
          <w14:ligatures w14:val="none"/>
        </w:rPr>
      </w:pPr>
      <w:r w:rsidRPr="008D3416">
        <w:rPr>
          <w:rFonts w:ascii="Arial" w:hAnsi="Arial" w:cs="Arial"/>
          <w:color w:val="000000"/>
          <w:kern w:val="0"/>
          <w14:ligatures w14:val="none"/>
        </w:rPr>
        <w:t xml:space="preserve">In North Wales, the </w:t>
      </w:r>
      <w:r w:rsidR="00E120E7" w:rsidRPr="008D3416">
        <w:rPr>
          <w:rFonts w:ascii="Arial" w:hAnsi="Arial" w:cs="Arial"/>
          <w:color w:val="000000"/>
          <w:kern w:val="0"/>
          <w14:ligatures w14:val="none"/>
        </w:rPr>
        <w:t>hire-based</w:t>
      </w:r>
      <w:r w:rsidRPr="008D3416">
        <w:rPr>
          <w:rFonts w:ascii="Arial" w:hAnsi="Arial" w:cs="Arial"/>
          <w:color w:val="000000"/>
          <w:kern w:val="0"/>
          <w14:ligatures w14:val="none"/>
        </w:rPr>
        <w:t xml:space="preserve"> plant strategy provides </w:t>
      </w:r>
      <w:r w:rsidR="00E120E7" w:rsidRPr="008D3416">
        <w:rPr>
          <w:rFonts w:ascii="Arial" w:hAnsi="Arial" w:cs="Arial"/>
          <w:color w:val="000000"/>
          <w:kern w:val="0"/>
          <w14:ligatures w14:val="none"/>
        </w:rPr>
        <w:t>an important level</w:t>
      </w:r>
      <w:r w:rsidRPr="008D3416">
        <w:rPr>
          <w:rFonts w:ascii="Arial" w:hAnsi="Arial" w:cs="Arial"/>
          <w:color w:val="000000"/>
          <w:kern w:val="0"/>
          <w14:ligatures w14:val="none"/>
        </w:rPr>
        <w:t xml:space="preserve"> of flexibility and reduces financial risk by limiting capital expenditure. This approach is well-suited to a region where workloads are </w:t>
      </w:r>
      <w:r w:rsidR="00E120E7" w:rsidRPr="008D3416">
        <w:rPr>
          <w:rFonts w:ascii="Arial" w:hAnsi="Arial" w:cs="Arial"/>
          <w:color w:val="000000"/>
          <w:kern w:val="0"/>
          <w14:ligatures w14:val="none"/>
        </w:rPr>
        <w:t>variable,</w:t>
      </w:r>
      <w:r w:rsidRPr="008D3416">
        <w:rPr>
          <w:rFonts w:ascii="Arial" w:hAnsi="Arial" w:cs="Arial"/>
          <w:color w:val="000000"/>
          <w:kern w:val="0"/>
          <w14:ligatures w14:val="none"/>
        </w:rPr>
        <w:t xml:space="preserve"> and project requirements often involve short-term or specialist plant. However, reliance on external hire suppliers increases exposure to availability risks, higher long-term costs, and potential programme delays, particularly during periods of peak demand.</w:t>
      </w:r>
    </w:p>
    <w:p w14:paraId="62BCCDFB" w14:textId="5D9373B3" w:rsidR="00712188" w:rsidRPr="008D3416" w:rsidRDefault="00712188" w:rsidP="00712188">
      <w:pPr>
        <w:spacing w:after="255" w:line="240" w:lineRule="auto"/>
        <w:rPr>
          <w:rFonts w:ascii="Arial" w:hAnsi="Arial" w:cs="Arial"/>
          <w:color w:val="000000"/>
          <w:kern w:val="0"/>
          <w14:ligatures w14:val="none"/>
        </w:rPr>
      </w:pPr>
      <w:r w:rsidRPr="008D3416">
        <w:rPr>
          <w:rFonts w:ascii="Arial" w:hAnsi="Arial" w:cs="Arial"/>
          <w:color w:val="000000"/>
          <w:kern w:val="0"/>
          <w14:ligatures w14:val="none"/>
        </w:rPr>
        <w:t>In contrast, the ownership-based plant strategy adopted in South Wales offers greater certainty of plant availability and improved programme reliability. Where workloads are consistent and utilisation rates are high, plant ownership can be cost-effective and support increased productivity. However, this approach requires significant capital investment and introduces risks associated with under-utilisation, maintenance responsibilities, and asset depreciation.</w:t>
      </w:r>
    </w:p>
    <w:p w14:paraId="590CEC0C" w14:textId="1AA33A9A" w:rsidR="00712188" w:rsidRPr="008D3416" w:rsidRDefault="00712188" w:rsidP="00712188">
      <w:pPr>
        <w:spacing w:after="255" w:line="240" w:lineRule="auto"/>
        <w:rPr>
          <w:rFonts w:ascii="Arial" w:hAnsi="Arial" w:cs="Arial"/>
          <w:color w:val="000000"/>
          <w:kern w:val="0"/>
          <w14:ligatures w14:val="none"/>
        </w:rPr>
      </w:pPr>
      <w:r w:rsidRPr="008D3416">
        <w:rPr>
          <w:rFonts w:ascii="Arial" w:hAnsi="Arial" w:cs="Arial"/>
          <w:color w:val="000000"/>
          <w:kern w:val="0"/>
          <w14:ligatures w14:val="none"/>
        </w:rPr>
        <w:t>The evaluation highlights that while both regional approaches have clear advantages, the lack of a coordinated, company-wide plant management strategy may result in duplication of assets, inconsistent practices, and missed opportunities to optimise plant utilisation across the organisation.</w:t>
      </w:r>
    </w:p>
    <w:p w14:paraId="5FC85E14" w14:textId="244DCA18" w:rsidR="00712188" w:rsidRPr="008D3416" w:rsidRDefault="00712188" w:rsidP="00712188">
      <w:pPr>
        <w:spacing w:after="255" w:line="240" w:lineRule="auto"/>
        <w:rPr>
          <w:rFonts w:ascii="Arial" w:hAnsi="Arial" w:cs="Arial"/>
          <w:color w:val="000000"/>
          <w:kern w:val="0"/>
          <w14:ligatures w14:val="none"/>
        </w:rPr>
      </w:pPr>
      <w:r w:rsidRPr="008D3416">
        <w:rPr>
          <w:rFonts w:ascii="Arial" w:hAnsi="Arial" w:cs="Arial"/>
          <w:color w:val="000000"/>
          <w:kern w:val="0"/>
          <w14:ligatures w14:val="none"/>
        </w:rPr>
        <w:t>The inclusion of digital project planning tools, such as Microsoft Project and Gantt charts</w:t>
      </w:r>
      <w:r w:rsidR="00703494" w:rsidRPr="008D3416">
        <w:rPr>
          <w:rFonts w:ascii="Arial" w:hAnsi="Arial" w:cs="Arial"/>
          <w:color w:val="000000"/>
          <w:kern w:val="0"/>
          <w14:ligatures w14:val="none"/>
        </w:rPr>
        <w:t xml:space="preserve"> are</w:t>
      </w:r>
      <w:r w:rsidRPr="008D3416">
        <w:rPr>
          <w:rFonts w:ascii="Arial" w:hAnsi="Arial" w:cs="Arial"/>
          <w:color w:val="000000"/>
          <w:kern w:val="0"/>
          <w14:ligatures w14:val="none"/>
        </w:rPr>
        <w:t xml:space="preserve"> identified as a critical enabler for improved plant resource management. When used effectively, these tools provide enhanced visibility of programme activities, plant demand, and resource constraints, supporting better decision-making and improved coordination across regions and project sectors.</w:t>
      </w:r>
    </w:p>
    <w:p w14:paraId="2ABF5BE1" w14:textId="5BE7C6D3" w:rsidR="005101BB" w:rsidRDefault="00BF443A" w:rsidP="001F199A">
      <w:pPr>
        <w:pStyle w:val="Heading2"/>
        <w:rPr>
          <w:rFonts w:ascii="Arial" w:hAnsi="Arial" w:cs="Arial"/>
        </w:rPr>
      </w:pPr>
      <w:bookmarkStart w:id="18" w:name="_Toc218623340"/>
      <w:r>
        <w:rPr>
          <w:rFonts w:ascii="Arial" w:hAnsi="Arial" w:cs="Arial"/>
        </w:rPr>
        <w:t>7</w:t>
      </w:r>
      <w:r w:rsidR="001F199A" w:rsidRPr="000F480A">
        <w:rPr>
          <w:rFonts w:ascii="Arial" w:hAnsi="Arial" w:cs="Arial"/>
        </w:rPr>
        <w:t xml:space="preserve">.2 </w:t>
      </w:r>
      <w:r w:rsidR="007B715A" w:rsidRPr="000F480A">
        <w:rPr>
          <w:rFonts w:ascii="Arial" w:hAnsi="Arial" w:cs="Arial"/>
        </w:rPr>
        <w:t>R</w:t>
      </w:r>
      <w:r w:rsidR="001F199A" w:rsidRPr="000F480A">
        <w:rPr>
          <w:rFonts w:ascii="Arial" w:hAnsi="Arial" w:cs="Arial"/>
        </w:rPr>
        <w:t>ecommendation</w:t>
      </w:r>
      <w:bookmarkEnd w:id="18"/>
      <w:r w:rsidR="001F199A" w:rsidRPr="000F480A">
        <w:rPr>
          <w:rFonts w:ascii="Arial" w:hAnsi="Arial" w:cs="Arial"/>
        </w:rPr>
        <w:t xml:space="preserve"> </w:t>
      </w:r>
    </w:p>
    <w:p w14:paraId="08E984AB" w14:textId="049CB561" w:rsidR="001D3333" w:rsidRDefault="001D3333" w:rsidP="00D1001E">
      <w:pPr>
        <w:spacing w:after="255" w:line="240" w:lineRule="auto"/>
        <w:rPr>
          <w:rFonts w:ascii="Arial" w:hAnsi="Arial" w:cs="Arial"/>
          <w:color w:val="000000"/>
          <w:kern w:val="0"/>
          <w14:ligatures w14:val="none"/>
        </w:rPr>
      </w:pPr>
      <w:r w:rsidRPr="001D3333">
        <w:rPr>
          <w:rFonts w:ascii="Arial" w:hAnsi="Arial" w:cs="Arial"/>
          <w:color w:val="000000"/>
          <w:kern w:val="0"/>
          <w14:ligatures w14:val="none"/>
        </w:rPr>
        <w:t xml:space="preserve">From a strategic business management perspective, the following recommendations </w:t>
      </w:r>
      <w:r w:rsidR="00BA0786">
        <w:rPr>
          <w:rFonts w:ascii="Arial" w:hAnsi="Arial" w:cs="Arial"/>
          <w:color w:val="000000"/>
          <w:kern w:val="0"/>
          <w14:ligatures w14:val="none"/>
        </w:rPr>
        <w:t xml:space="preserve">proposed are </w:t>
      </w:r>
      <w:r w:rsidRPr="001D3333">
        <w:rPr>
          <w:rFonts w:ascii="Arial" w:hAnsi="Arial" w:cs="Arial"/>
          <w:color w:val="000000"/>
          <w:kern w:val="0"/>
          <w14:ligatures w14:val="none"/>
        </w:rPr>
        <w:t>to improve plant resource efficiency, reduce long-term costs, and enhance programme reliability across the organisation.</w:t>
      </w:r>
    </w:p>
    <w:p w14:paraId="4BEA05A4" w14:textId="77777777" w:rsidR="00D1001E" w:rsidRPr="00D1001E" w:rsidRDefault="00D1001E" w:rsidP="00D1001E">
      <w:pPr>
        <w:spacing w:after="255" w:line="240" w:lineRule="auto"/>
        <w:rPr>
          <w:rFonts w:ascii="Arial" w:hAnsi="Arial" w:cs="Arial"/>
          <w:color w:val="000000"/>
          <w:kern w:val="0"/>
          <w14:ligatures w14:val="none"/>
        </w:rPr>
      </w:pPr>
    </w:p>
    <w:p w14:paraId="6DA322D8" w14:textId="740283D2" w:rsidR="001404F2" w:rsidRPr="002E46E9" w:rsidRDefault="001404F2" w:rsidP="006023F8">
      <w:pPr>
        <w:pStyle w:val="ListParagraph"/>
        <w:numPr>
          <w:ilvl w:val="0"/>
          <w:numId w:val="23"/>
        </w:num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Adopt a Hybrid, Centrally Coordinated Plant Strategy</w:t>
      </w:r>
    </w:p>
    <w:p w14:paraId="356DA074" w14:textId="718642B3" w:rsidR="001404F2" w:rsidRPr="002E46E9" w:rsidRDefault="001404F2" w:rsidP="001404F2">
      <w:p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 xml:space="preserve">It is recommended that the company </w:t>
      </w:r>
      <w:r w:rsidR="00876F6B" w:rsidRPr="002E46E9">
        <w:rPr>
          <w:rFonts w:ascii="Arial" w:hAnsi="Arial" w:cs="Arial"/>
          <w:color w:val="000000"/>
          <w:kern w:val="0"/>
          <w14:ligatures w14:val="none"/>
        </w:rPr>
        <w:t>keep</w:t>
      </w:r>
      <w:r w:rsidRPr="002E46E9">
        <w:rPr>
          <w:rFonts w:ascii="Arial" w:hAnsi="Arial" w:cs="Arial"/>
          <w:color w:val="000000"/>
          <w:kern w:val="0"/>
          <w14:ligatures w14:val="none"/>
        </w:rPr>
        <w:t xml:space="preserve"> the existing regional flexibility while introducing a centrally coordinated plant management function. Core plant assets should be managed at a central level, allowing plant to be shared across regions where </w:t>
      </w:r>
      <w:r w:rsidR="00876F6B" w:rsidRPr="002E46E9">
        <w:rPr>
          <w:rFonts w:ascii="Arial" w:hAnsi="Arial" w:cs="Arial"/>
          <w:color w:val="000000"/>
          <w:kern w:val="0"/>
          <w14:ligatures w14:val="none"/>
        </w:rPr>
        <w:t>proper</w:t>
      </w:r>
      <w:r w:rsidRPr="002E46E9">
        <w:rPr>
          <w:rFonts w:ascii="Arial" w:hAnsi="Arial" w:cs="Arial"/>
          <w:color w:val="000000"/>
          <w:kern w:val="0"/>
          <w14:ligatures w14:val="none"/>
        </w:rPr>
        <w:t xml:space="preserve">, while specialist plant continues to be hired as </w:t>
      </w:r>
      <w:r w:rsidR="00876F6B" w:rsidRPr="002E46E9">
        <w:rPr>
          <w:rFonts w:ascii="Arial" w:hAnsi="Arial" w:cs="Arial"/>
          <w:color w:val="000000"/>
          <w:kern w:val="0"/>
          <w14:ligatures w14:val="none"/>
        </w:rPr>
        <w:t>needed</w:t>
      </w:r>
      <w:r w:rsidRPr="002E46E9">
        <w:rPr>
          <w:rFonts w:ascii="Arial" w:hAnsi="Arial" w:cs="Arial"/>
          <w:color w:val="000000"/>
          <w:kern w:val="0"/>
          <w14:ligatures w14:val="none"/>
        </w:rPr>
        <w:t>. This approach would reduce duplication of owned plant, improve utilisation rates, and provide greater strategic control over capital investment.</w:t>
      </w:r>
    </w:p>
    <w:p w14:paraId="3BB40593" w14:textId="51FFAC43" w:rsidR="0078618F" w:rsidRPr="002E46E9" w:rsidRDefault="00243D09" w:rsidP="006023F8">
      <w:pPr>
        <w:pStyle w:val="ListParagraph"/>
        <w:numPr>
          <w:ilvl w:val="0"/>
          <w:numId w:val="23"/>
        </w:num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lastRenderedPageBreak/>
        <w:t>I</w:t>
      </w:r>
      <w:r w:rsidR="001404F2" w:rsidRPr="002E46E9">
        <w:rPr>
          <w:rFonts w:ascii="Arial" w:hAnsi="Arial" w:cs="Arial"/>
          <w:color w:val="000000"/>
          <w:kern w:val="0"/>
          <w14:ligatures w14:val="none"/>
        </w:rPr>
        <w:t>mprove Visibility of Plant Utilisation Across the Organisation</w:t>
      </w:r>
    </w:p>
    <w:p w14:paraId="5256A46D" w14:textId="536F5D1E" w:rsidR="001404F2" w:rsidRPr="002E46E9" w:rsidRDefault="001404F2" w:rsidP="001404F2">
      <w:p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 xml:space="preserve">The company should implement consistent processes for monitoring plant utilisation across all projects and regions. This would enable management to </w:t>
      </w:r>
      <w:r w:rsidR="00BF194A" w:rsidRPr="002E46E9">
        <w:rPr>
          <w:rFonts w:ascii="Arial" w:hAnsi="Arial" w:cs="Arial"/>
          <w:color w:val="000000"/>
          <w:kern w:val="0"/>
          <w14:ligatures w14:val="none"/>
        </w:rPr>
        <w:t>show</w:t>
      </w:r>
      <w:r w:rsidRPr="002E46E9">
        <w:rPr>
          <w:rFonts w:ascii="Arial" w:hAnsi="Arial" w:cs="Arial"/>
          <w:color w:val="000000"/>
          <w:kern w:val="0"/>
          <w14:ligatures w14:val="none"/>
        </w:rPr>
        <w:t xml:space="preserve"> underused assets, reallocate plant between projects, and make informed decisions on whether to hire or </w:t>
      </w:r>
      <w:r w:rsidR="00BF194A" w:rsidRPr="002E46E9">
        <w:rPr>
          <w:rFonts w:ascii="Arial" w:hAnsi="Arial" w:cs="Arial"/>
          <w:color w:val="000000"/>
          <w:kern w:val="0"/>
          <w14:ligatures w14:val="none"/>
        </w:rPr>
        <w:t>buy</w:t>
      </w:r>
      <w:r w:rsidRPr="002E46E9">
        <w:rPr>
          <w:rFonts w:ascii="Arial" w:hAnsi="Arial" w:cs="Arial"/>
          <w:color w:val="000000"/>
          <w:kern w:val="0"/>
          <w14:ligatures w14:val="none"/>
        </w:rPr>
        <w:t xml:space="preserve"> equipment in the future.</w:t>
      </w:r>
    </w:p>
    <w:p w14:paraId="4610EBBA" w14:textId="672EFA2A" w:rsidR="001404F2" w:rsidRPr="002E46E9" w:rsidRDefault="001404F2" w:rsidP="006023F8">
      <w:pPr>
        <w:pStyle w:val="ListParagraph"/>
        <w:numPr>
          <w:ilvl w:val="0"/>
          <w:numId w:val="23"/>
        </w:num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Standardise the Use of Project Planning Software</w:t>
      </w:r>
    </w:p>
    <w:p w14:paraId="02B8BD84" w14:textId="7AA7E403" w:rsidR="001404F2" w:rsidRPr="002E46E9" w:rsidRDefault="001404F2" w:rsidP="001404F2">
      <w:p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 xml:space="preserve">Microsoft Project should be adopted as a standard planning tool across the organisation. Standardised programme templates for commercial, housing, and infrastructure projects would improve consistency, support resource levelling, and enable more </w:t>
      </w:r>
      <w:r w:rsidR="0070269F" w:rsidRPr="002E46E9">
        <w:rPr>
          <w:rFonts w:ascii="Arial" w:hAnsi="Arial" w:cs="Arial"/>
          <w:color w:val="000000"/>
          <w:kern w:val="0"/>
          <w14:ligatures w14:val="none"/>
        </w:rPr>
        <w:t>exact</w:t>
      </w:r>
      <w:r w:rsidRPr="002E46E9">
        <w:rPr>
          <w:rFonts w:ascii="Arial" w:hAnsi="Arial" w:cs="Arial"/>
          <w:color w:val="000000"/>
          <w:kern w:val="0"/>
          <w14:ligatures w14:val="none"/>
        </w:rPr>
        <w:t xml:space="preserve"> forecasting of plant requirements.</w:t>
      </w:r>
    </w:p>
    <w:p w14:paraId="044B3178" w14:textId="78DC8895" w:rsidR="001404F2" w:rsidRPr="002E46E9" w:rsidRDefault="001404F2" w:rsidP="006023F8">
      <w:pPr>
        <w:pStyle w:val="ListParagraph"/>
        <w:numPr>
          <w:ilvl w:val="0"/>
          <w:numId w:val="23"/>
        </w:num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Integrate Plant Resources into Gantt Chart Programming</w:t>
      </w:r>
    </w:p>
    <w:p w14:paraId="2AF3BCA0" w14:textId="344E93BF" w:rsidR="001404F2" w:rsidRDefault="001404F2" w:rsidP="001404F2">
      <w:p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 xml:space="preserve">Project programmes should explicitly link activities to specific plant resources within Gantt charts. This would allow project managers to </w:t>
      </w:r>
      <w:r w:rsidR="00045F47" w:rsidRPr="002E46E9">
        <w:rPr>
          <w:rFonts w:ascii="Arial" w:hAnsi="Arial" w:cs="Arial"/>
          <w:color w:val="000000"/>
          <w:kern w:val="0"/>
          <w14:ligatures w14:val="none"/>
        </w:rPr>
        <w:t>show</w:t>
      </w:r>
      <w:r w:rsidRPr="002E46E9">
        <w:rPr>
          <w:rFonts w:ascii="Arial" w:hAnsi="Arial" w:cs="Arial"/>
          <w:color w:val="000000"/>
          <w:kern w:val="0"/>
          <w14:ligatures w14:val="none"/>
        </w:rPr>
        <w:t xml:space="preserve"> periods of peak demand, reduce resource conflicts between concurrent projects, and mitigate the risk of delays caused by plant shortages or availability issues.</w:t>
      </w:r>
    </w:p>
    <w:p w14:paraId="57E0BC8C" w14:textId="3888D532" w:rsidR="007171AC" w:rsidRPr="006C6C68" w:rsidRDefault="007171AC" w:rsidP="007171AC">
      <w:pPr>
        <w:pStyle w:val="ListParagraph"/>
        <w:numPr>
          <w:ilvl w:val="0"/>
          <w:numId w:val="23"/>
        </w:numPr>
        <w:spacing w:after="255" w:line="240" w:lineRule="auto"/>
        <w:rPr>
          <w:rFonts w:ascii="Arial" w:hAnsi="Arial" w:cs="Arial"/>
          <w:color w:val="000000"/>
          <w:kern w:val="0"/>
          <w14:ligatures w14:val="none"/>
        </w:rPr>
      </w:pPr>
      <w:r w:rsidRPr="006C6C68">
        <w:rPr>
          <w:rFonts w:ascii="Arial" w:hAnsi="Arial" w:cs="Arial"/>
          <w:color w:val="000000"/>
          <w:kern w:val="0"/>
          <w14:ligatures w14:val="none"/>
        </w:rPr>
        <w:t>Incorporate Training and Competence Standards into Plant Strategy</w:t>
      </w:r>
    </w:p>
    <w:p w14:paraId="63AE269E" w14:textId="77777777" w:rsidR="007171AC" w:rsidRPr="006C6C68" w:rsidRDefault="007171AC" w:rsidP="007171AC">
      <w:pPr>
        <w:spacing w:after="255" w:line="240" w:lineRule="auto"/>
        <w:rPr>
          <w:rFonts w:ascii="Arial" w:hAnsi="Arial" w:cs="Arial"/>
          <w:color w:val="000000"/>
          <w:kern w:val="0"/>
          <w14:ligatures w14:val="none"/>
        </w:rPr>
      </w:pPr>
      <w:r w:rsidRPr="006C6C68">
        <w:rPr>
          <w:rFonts w:ascii="Arial" w:hAnsi="Arial" w:cs="Arial"/>
          <w:color w:val="000000"/>
          <w:kern w:val="0"/>
          <w14:ligatures w14:val="none"/>
        </w:rPr>
        <w:t>The organisation should ensure that plant management decisions are aligned with recognised industry training and competence standards, such as those promoted by the Construction Industry Training Board (CITB). Investing in operator competence can reduce breakdowns, improve productivity, and maximise the value derived from both hired and owned plant assets.</w:t>
      </w:r>
    </w:p>
    <w:p w14:paraId="3C602B0E" w14:textId="77777777" w:rsidR="00341882" w:rsidRDefault="00341882" w:rsidP="001404F2"/>
    <w:p w14:paraId="6E779945" w14:textId="77777777" w:rsidR="00C217BE" w:rsidRDefault="00C217BE" w:rsidP="001404F2"/>
    <w:p w14:paraId="147DF11A" w14:textId="77777777" w:rsidR="00C217BE" w:rsidRDefault="00C217BE" w:rsidP="001404F2"/>
    <w:p w14:paraId="3FFD6C59" w14:textId="77777777" w:rsidR="00C217BE" w:rsidRDefault="00C217BE" w:rsidP="001404F2"/>
    <w:p w14:paraId="3E2963CF" w14:textId="77777777" w:rsidR="00C217BE" w:rsidRDefault="00C217BE" w:rsidP="001404F2"/>
    <w:p w14:paraId="70FAD108" w14:textId="77777777" w:rsidR="00C217BE" w:rsidRDefault="00C217BE" w:rsidP="001404F2"/>
    <w:p w14:paraId="56CAD63C" w14:textId="77777777" w:rsidR="00C217BE" w:rsidRDefault="00C217BE" w:rsidP="001404F2"/>
    <w:p w14:paraId="0835E44B" w14:textId="77777777" w:rsidR="00C217BE" w:rsidRDefault="00C217BE" w:rsidP="001404F2"/>
    <w:p w14:paraId="5BB0644C" w14:textId="77777777" w:rsidR="00C217BE" w:rsidRDefault="00C217BE" w:rsidP="001404F2"/>
    <w:p w14:paraId="393F15B3" w14:textId="77777777" w:rsidR="00C217BE" w:rsidRDefault="00C217BE" w:rsidP="001404F2"/>
    <w:p w14:paraId="26F23668" w14:textId="77777777" w:rsidR="00C217BE" w:rsidRDefault="00C217BE" w:rsidP="001404F2"/>
    <w:p w14:paraId="5E1E7E3F" w14:textId="77777777" w:rsidR="00C217BE" w:rsidRDefault="00C217BE" w:rsidP="001404F2"/>
    <w:p w14:paraId="15A4A644" w14:textId="77777777" w:rsidR="00C217BE" w:rsidRDefault="00C217BE" w:rsidP="001404F2"/>
    <w:p w14:paraId="71C11967" w14:textId="77777777" w:rsidR="00C217BE" w:rsidRDefault="00C217BE" w:rsidP="001404F2"/>
    <w:p w14:paraId="4587BA82" w14:textId="77777777" w:rsidR="00C217BE" w:rsidRDefault="00C217BE" w:rsidP="001404F2"/>
    <w:p w14:paraId="578BA8DE" w14:textId="77777777" w:rsidR="00C217BE" w:rsidRPr="001404F2" w:rsidRDefault="00C217BE" w:rsidP="001404F2"/>
    <w:p w14:paraId="17422756" w14:textId="06614F47" w:rsidR="00402959" w:rsidRDefault="00BF443A" w:rsidP="007D58FE">
      <w:pPr>
        <w:pStyle w:val="Heading1"/>
        <w:rPr>
          <w:rFonts w:ascii="Arial" w:hAnsi="Arial" w:cs="Arial"/>
        </w:rPr>
      </w:pPr>
      <w:bookmarkStart w:id="19" w:name="_Toc218623341"/>
      <w:r>
        <w:rPr>
          <w:rFonts w:ascii="Arial" w:hAnsi="Arial" w:cs="Arial"/>
        </w:rPr>
        <w:t xml:space="preserve">8. </w:t>
      </w:r>
      <w:r w:rsidR="00402959" w:rsidRPr="001F199A">
        <w:rPr>
          <w:rFonts w:ascii="Arial" w:hAnsi="Arial" w:cs="Arial"/>
        </w:rPr>
        <w:t>References</w:t>
      </w:r>
      <w:bookmarkEnd w:id="19"/>
      <w:r w:rsidR="00402959" w:rsidRPr="001F199A">
        <w:rPr>
          <w:rFonts w:ascii="Arial" w:hAnsi="Arial" w:cs="Arial"/>
        </w:rPr>
        <w:t xml:space="preserve"> </w:t>
      </w:r>
    </w:p>
    <w:p w14:paraId="1940EB0E" w14:textId="77777777" w:rsidR="009355DF" w:rsidRDefault="009355DF" w:rsidP="009355DF"/>
    <w:p w14:paraId="6F753E7E" w14:textId="2D024704" w:rsidR="0074105A" w:rsidRPr="00F1244F" w:rsidRDefault="009355DF" w:rsidP="001F7AE7">
      <w:pPr>
        <w:spacing w:before="100" w:beforeAutospacing="1" w:after="100" w:afterAutospacing="1" w:line="240" w:lineRule="auto"/>
        <w:rPr>
          <w:rFonts w:ascii="Arial" w:hAnsi="Arial" w:cs="Arial"/>
        </w:rPr>
      </w:pPr>
      <w:r w:rsidRPr="00F1244F">
        <w:rPr>
          <w:rFonts w:ascii="Arial" w:hAnsi="Arial" w:cs="Arial"/>
          <w:kern w:val="0"/>
          <w14:ligatures w14:val="none"/>
        </w:rPr>
        <w:t>ACE Plant (2025) 6 benefits of plant and machinery hire for construction companies. Available at:</w:t>
      </w:r>
      <w:r w:rsidR="001F7AE7" w:rsidRPr="00F1244F">
        <w:rPr>
          <w:rFonts w:ascii="Arial" w:hAnsi="Arial" w:cs="Arial"/>
          <w:kern w:val="0"/>
          <w14:ligatures w14:val="none"/>
        </w:rPr>
        <w:t xml:space="preserve"> </w:t>
      </w:r>
      <w:hyperlink r:id="rId9" w:history="1">
        <w:r w:rsidR="001F7AE7" w:rsidRPr="00F1244F">
          <w:rPr>
            <w:rStyle w:val="Hyperlink"/>
            <w:rFonts w:ascii="Arial" w:hAnsi="Arial" w:cs="Arial"/>
          </w:rPr>
          <w:t>https://www.aceplant.co.uk/news-media/6-benefits-of-plant-and-machinery-hire-for-construction-companies-</w:t>
        </w:r>
      </w:hyperlink>
      <w:r w:rsidR="001F7AE7" w:rsidRPr="00F1244F">
        <w:rPr>
          <w:rFonts w:ascii="Arial" w:hAnsi="Arial" w:cs="Arial"/>
        </w:rPr>
        <w:t xml:space="preserve"> (Accessed 23rd </w:t>
      </w:r>
      <w:r w:rsidR="00B67AD1" w:rsidRPr="00F1244F">
        <w:rPr>
          <w:rFonts w:ascii="Arial" w:hAnsi="Arial" w:cs="Arial"/>
        </w:rPr>
        <w:t>December</w:t>
      </w:r>
      <w:r w:rsidR="00FF3860" w:rsidRPr="00F1244F">
        <w:rPr>
          <w:rFonts w:ascii="Arial" w:hAnsi="Arial" w:cs="Arial"/>
        </w:rPr>
        <w:t xml:space="preserve"> 2025</w:t>
      </w:r>
      <w:r w:rsidR="00B67AD1" w:rsidRPr="00F1244F">
        <w:rPr>
          <w:rFonts w:ascii="Arial" w:hAnsi="Arial" w:cs="Arial"/>
        </w:rPr>
        <w:t xml:space="preserve">) </w:t>
      </w:r>
    </w:p>
    <w:p w14:paraId="01AB6776" w14:textId="36724702" w:rsidR="00402959" w:rsidRPr="00F1244F" w:rsidRDefault="00861059" w:rsidP="00861059">
      <w:pPr>
        <w:spacing w:before="100" w:beforeAutospacing="1" w:after="100" w:afterAutospacing="1" w:line="240" w:lineRule="auto"/>
        <w:rPr>
          <w:rFonts w:ascii="Arial" w:hAnsi="Arial" w:cs="Arial"/>
        </w:rPr>
      </w:pPr>
      <w:r w:rsidRPr="00F1244F">
        <w:rPr>
          <w:rFonts w:ascii="Arial" w:hAnsi="Arial" w:cs="Arial"/>
          <w:kern w:val="0"/>
          <w14:ligatures w14:val="none"/>
        </w:rPr>
        <w:t xml:space="preserve">Association for Project Management (2023) Gantt charts. Available at: </w:t>
      </w:r>
      <w:hyperlink r:id="rId10" w:history="1">
        <w:r w:rsidR="0081063B" w:rsidRPr="00F1244F">
          <w:rPr>
            <w:rStyle w:val="Hyperlink"/>
            <w:rFonts w:ascii="Arial" w:hAnsi="Arial" w:cs="Arial"/>
          </w:rPr>
          <w:t>https://www.apm.org.uk/resources/find-a-resource/gantt-chart</w:t>
        </w:r>
      </w:hyperlink>
      <w:r w:rsidRPr="00F1244F">
        <w:rPr>
          <w:rFonts w:ascii="Arial" w:hAnsi="Arial" w:cs="Arial"/>
        </w:rPr>
        <w:t xml:space="preserve"> (A</w:t>
      </w:r>
      <w:r w:rsidR="00FF3860" w:rsidRPr="00F1244F">
        <w:rPr>
          <w:rFonts w:ascii="Arial" w:hAnsi="Arial" w:cs="Arial"/>
        </w:rPr>
        <w:t>ccessed 1st January 2026)</w:t>
      </w:r>
    </w:p>
    <w:p w14:paraId="7530C94B" w14:textId="530F4B21" w:rsidR="007F0FB5" w:rsidRPr="00F1244F" w:rsidRDefault="005C3EB8" w:rsidP="005C3EB8">
      <w:pPr>
        <w:spacing w:before="100" w:beforeAutospacing="1" w:after="100" w:afterAutospacing="1" w:line="240" w:lineRule="auto"/>
        <w:rPr>
          <w:rFonts w:ascii="Arial" w:hAnsi="Arial" w:cs="Arial"/>
        </w:rPr>
      </w:pPr>
      <w:r w:rsidRPr="00F1244F">
        <w:rPr>
          <w:rFonts w:ascii="Arial" w:hAnsi="Arial" w:cs="Arial"/>
          <w:kern w:val="0"/>
          <w14:ligatures w14:val="none"/>
        </w:rPr>
        <w:t>Construction Industry Training Board (2025) Plant standards and grants. Available at: </w:t>
      </w:r>
      <w:hyperlink r:id="rId11" w:history="1">
        <w:r w:rsidR="009B729E" w:rsidRPr="00F1244F">
          <w:rPr>
            <w:rStyle w:val="Hyperlink"/>
            <w:rFonts w:ascii="Arial" w:hAnsi="Arial" w:cs="Arial"/>
          </w:rPr>
          <w:t>https://www.citb.co.uk/levy-grants-and-funding/grants-and-funding/plant-standards-and-grants/</w:t>
        </w:r>
      </w:hyperlink>
      <w:r w:rsidRPr="00F1244F">
        <w:rPr>
          <w:rFonts w:ascii="Arial" w:hAnsi="Arial" w:cs="Arial"/>
        </w:rPr>
        <w:t xml:space="preserve"> </w:t>
      </w:r>
      <w:r w:rsidR="000D3592" w:rsidRPr="00F1244F">
        <w:rPr>
          <w:rFonts w:ascii="Arial" w:hAnsi="Arial" w:cs="Arial"/>
        </w:rPr>
        <w:t>(Accessed 2</w:t>
      </w:r>
      <w:r w:rsidR="000D3592" w:rsidRPr="00F1244F">
        <w:rPr>
          <w:rFonts w:ascii="Arial" w:hAnsi="Arial" w:cs="Arial"/>
          <w:vertAlign w:val="superscript"/>
        </w:rPr>
        <w:t>nd</w:t>
      </w:r>
      <w:r w:rsidR="000D3592" w:rsidRPr="00F1244F">
        <w:rPr>
          <w:rFonts w:ascii="Arial" w:hAnsi="Arial" w:cs="Arial"/>
        </w:rPr>
        <w:t xml:space="preserve"> January 2026) </w:t>
      </w:r>
    </w:p>
    <w:p w14:paraId="6F95159C" w14:textId="1D1F28B0" w:rsidR="00BA415F" w:rsidRPr="00700090" w:rsidRDefault="00B043E2" w:rsidP="005C3EB8">
      <w:pPr>
        <w:spacing w:before="100" w:beforeAutospacing="1" w:after="100" w:afterAutospacing="1" w:line="240" w:lineRule="auto"/>
        <w:rPr>
          <w:rFonts w:ascii="Arial" w:hAnsi="Arial" w:cs="Arial"/>
          <w:kern w:val="0"/>
          <w14:ligatures w14:val="none"/>
        </w:rPr>
      </w:pPr>
      <w:r w:rsidRPr="00F1244F">
        <w:rPr>
          <w:rFonts w:ascii="Arial" w:hAnsi="Arial" w:cs="Arial"/>
          <w:kern w:val="0"/>
          <w14:ligatures w14:val="none"/>
        </w:rPr>
        <w:t>Spire Safety (2024) Plant Risk Assessment Template. Available at: </w:t>
      </w:r>
      <w:hyperlink r:id="rId12" w:history="1">
        <w:r w:rsidR="00383808" w:rsidRPr="00700090">
          <w:rPr>
            <w:rStyle w:val="Hyperlink"/>
            <w:rFonts w:ascii="Arial" w:hAnsi="Arial" w:cs="Arial"/>
          </w:rPr>
          <w:t>https://spiresafety.com.au/wp-content/uploads/2024/01/SS-WHS-SAF-000-Plant-Risk-Assessment-Template.pdf</w:t>
        </w:r>
      </w:hyperlink>
      <w:r w:rsidRPr="00700090">
        <w:rPr>
          <w:rFonts w:ascii="Arial" w:hAnsi="Arial" w:cs="Arial"/>
        </w:rPr>
        <w:t xml:space="preserve"> (Accessed 2nd January </w:t>
      </w:r>
      <w:r w:rsidR="00F1244F" w:rsidRPr="00700090">
        <w:rPr>
          <w:rFonts w:ascii="Arial" w:hAnsi="Arial" w:cs="Arial"/>
        </w:rPr>
        <w:t xml:space="preserve">2026) </w:t>
      </w:r>
    </w:p>
    <w:p w14:paraId="7BDBC465" w14:textId="0F84E3F5" w:rsidR="0074762B" w:rsidRDefault="0074762B" w:rsidP="0074762B">
      <w:pPr>
        <w:spacing w:before="100" w:beforeAutospacing="1" w:after="100" w:afterAutospacing="1" w:line="240" w:lineRule="auto"/>
        <w:rPr>
          <w:rFonts w:ascii="Arial" w:hAnsi="Arial" w:cs="Arial"/>
          <w:kern w:val="0"/>
          <w14:ligatures w14:val="none"/>
        </w:rPr>
      </w:pPr>
      <w:r w:rsidRPr="00700090">
        <w:rPr>
          <w:rFonts w:ascii="Arial" w:hAnsi="Arial" w:cs="Arial"/>
          <w:kern w:val="0"/>
          <w14:ligatures w14:val="none"/>
        </w:rPr>
        <w:t>GanttPRO (2025) How to make a Gantt chart in MS Project. Available at:</w:t>
      </w:r>
      <w:r w:rsidR="00700090" w:rsidRPr="00700090">
        <w:rPr>
          <w:rFonts w:ascii="Arial" w:hAnsi="Arial" w:cs="Arial"/>
          <w:kern w:val="0"/>
          <w14:ligatures w14:val="none"/>
        </w:rPr>
        <w:t xml:space="preserve"> </w:t>
      </w:r>
      <w:hyperlink r:id="rId13" w:history="1">
        <w:r w:rsidR="00700090" w:rsidRPr="00BA7FA9">
          <w:rPr>
            <w:rStyle w:val="Hyperlink"/>
            <w:rFonts w:ascii="Arial" w:hAnsi="Arial" w:cs="Arial"/>
            <w:kern w:val="0"/>
            <w14:ligatures w14:val="none"/>
          </w:rPr>
          <w:t>https://blog.ganttpro.com/en/how-to-make-a-gantt-chart-in-ms-project/</w:t>
        </w:r>
      </w:hyperlink>
      <w:r w:rsidR="00700090">
        <w:rPr>
          <w:rFonts w:ascii="Arial" w:hAnsi="Arial" w:cs="Arial"/>
          <w:kern w:val="0"/>
          <w14:ligatures w14:val="none"/>
        </w:rPr>
        <w:t xml:space="preserve"> (Accessed </w:t>
      </w:r>
      <w:r w:rsidR="007547C8">
        <w:rPr>
          <w:rFonts w:ascii="Arial" w:hAnsi="Arial" w:cs="Arial"/>
          <w:kern w:val="0"/>
          <w14:ligatures w14:val="none"/>
        </w:rPr>
        <w:t>5</w:t>
      </w:r>
      <w:r w:rsidR="007547C8" w:rsidRPr="007547C8">
        <w:rPr>
          <w:rFonts w:ascii="Arial" w:hAnsi="Arial" w:cs="Arial"/>
          <w:kern w:val="0"/>
          <w:vertAlign w:val="superscript"/>
          <w14:ligatures w14:val="none"/>
        </w:rPr>
        <w:t>th</w:t>
      </w:r>
      <w:r w:rsidR="007547C8">
        <w:rPr>
          <w:rFonts w:ascii="Arial" w:hAnsi="Arial" w:cs="Arial"/>
          <w:kern w:val="0"/>
          <w14:ligatures w14:val="none"/>
        </w:rPr>
        <w:t xml:space="preserve"> January 2026) </w:t>
      </w:r>
    </w:p>
    <w:p w14:paraId="6DF86EAB" w14:textId="77777777" w:rsidR="00700090" w:rsidRPr="00700090" w:rsidRDefault="00700090" w:rsidP="0074762B">
      <w:pPr>
        <w:spacing w:before="100" w:beforeAutospacing="1" w:after="100" w:afterAutospacing="1" w:line="240" w:lineRule="auto"/>
        <w:rPr>
          <w:rFonts w:ascii="Arial" w:hAnsi="Arial" w:cs="Arial"/>
          <w:kern w:val="0"/>
          <w14:ligatures w14:val="none"/>
        </w:rPr>
      </w:pPr>
    </w:p>
    <w:p w14:paraId="0F21335F" w14:textId="77777777" w:rsidR="00700090" w:rsidRPr="0074762B" w:rsidRDefault="00700090" w:rsidP="0074762B">
      <w:pPr>
        <w:spacing w:before="100" w:beforeAutospacing="1" w:after="100" w:afterAutospacing="1" w:line="240" w:lineRule="auto"/>
        <w:rPr>
          <w:rFonts w:ascii="Times New Roman" w:hAnsi="Times New Roman" w:cs="Times New Roman"/>
          <w:kern w:val="0"/>
          <w14:ligatures w14:val="none"/>
        </w:rPr>
      </w:pPr>
    </w:p>
    <w:p w14:paraId="26A047D8" w14:textId="77777777" w:rsidR="00383808" w:rsidRPr="00CB1106" w:rsidRDefault="00383808" w:rsidP="005C3EB8">
      <w:pPr>
        <w:spacing w:before="100" w:beforeAutospacing="1" w:after="100" w:afterAutospacing="1" w:line="240" w:lineRule="auto"/>
        <w:rPr>
          <w:rFonts w:ascii="Arial" w:hAnsi="Arial" w:cs="Arial"/>
          <w:kern w:val="0"/>
          <w14:ligatures w14:val="none"/>
        </w:rPr>
      </w:pPr>
    </w:p>
    <w:p w14:paraId="588199A6" w14:textId="77777777" w:rsidR="009B729E" w:rsidRPr="00CB1106" w:rsidRDefault="009B729E" w:rsidP="00813AC9">
      <w:pPr>
        <w:rPr>
          <w:rFonts w:ascii="Arial" w:hAnsi="Arial" w:cs="Arial"/>
        </w:rPr>
      </w:pPr>
    </w:p>
    <w:p w14:paraId="2FA2807D" w14:textId="77777777" w:rsidR="00D04A01" w:rsidRDefault="00D04A01" w:rsidP="00813AC9">
      <w:pPr>
        <w:rPr>
          <w:rFonts w:ascii="Arial" w:hAnsi="Arial" w:cs="Arial"/>
        </w:rPr>
      </w:pPr>
    </w:p>
    <w:p w14:paraId="241E1486" w14:textId="77777777" w:rsidR="00D04A01" w:rsidRDefault="00D04A01" w:rsidP="00813AC9">
      <w:pPr>
        <w:rPr>
          <w:rFonts w:ascii="Arial" w:hAnsi="Arial" w:cs="Arial"/>
        </w:rPr>
      </w:pPr>
    </w:p>
    <w:p w14:paraId="54F8338F" w14:textId="77777777" w:rsidR="00D04A01" w:rsidRDefault="00D04A01" w:rsidP="00813AC9">
      <w:pPr>
        <w:rPr>
          <w:rFonts w:ascii="Arial" w:hAnsi="Arial" w:cs="Arial"/>
        </w:rPr>
      </w:pPr>
    </w:p>
    <w:p w14:paraId="0E53F132" w14:textId="77777777" w:rsidR="00D04A01" w:rsidRDefault="00D04A01" w:rsidP="00813AC9">
      <w:pPr>
        <w:rPr>
          <w:rFonts w:ascii="Arial" w:hAnsi="Arial" w:cs="Arial"/>
        </w:rPr>
      </w:pPr>
    </w:p>
    <w:p w14:paraId="7B090F0E" w14:textId="77777777" w:rsidR="00D04A01" w:rsidRDefault="00D04A01" w:rsidP="00813AC9">
      <w:pPr>
        <w:rPr>
          <w:rFonts w:ascii="Arial" w:hAnsi="Arial" w:cs="Arial"/>
        </w:rPr>
      </w:pPr>
    </w:p>
    <w:p w14:paraId="26016115" w14:textId="77777777" w:rsidR="00D04A01" w:rsidRDefault="00D04A01" w:rsidP="00813AC9">
      <w:pPr>
        <w:rPr>
          <w:rFonts w:ascii="Arial" w:hAnsi="Arial" w:cs="Arial"/>
        </w:rPr>
      </w:pPr>
    </w:p>
    <w:p w14:paraId="09584655" w14:textId="77777777" w:rsidR="00D04A01" w:rsidRDefault="00D04A01" w:rsidP="00813AC9">
      <w:pPr>
        <w:rPr>
          <w:rFonts w:ascii="Arial" w:hAnsi="Arial" w:cs="Arial"/>
        </w:rPr>
      </w:pPr>
    </w:p>
    <w:p w14:paraId="419F4C6E" w14:textId="1C70738F" w:rsidR="00203CA9" w:rsidRDefault="00CF087F" w:rsidP="00203CA9">
      <w:pPr>
        <w:pStyle w:val="Heading1"/>
      </w:pPr>
      <w:bookmarkStart w:id="20" w:name="_Toc218623342"/>
      <w:r w:rsidRPr="004064BA">
        <w:t>Append</w:t>
      </w:r>
      <w:r w:rsidR="000527A6" w:rsidRPr="004064BA">
        <w:t>ix</w:t>
      </w:r>
      <w:bookmarkEnd w:id="20"/>
      <w:r w:rsidR="000527A6" w:rsidRPr="004064BA">
        <w:t xml:space="preserve"> </w:t>
      </w:r>
    </w:p>
    <w:p w14:paraId="31B00719" w14:textId="2C27FF63" w:rsidR="004064BA" w:rsidRPr="00045F47" w:rsidRDefault="00203CA9" w:rsidP="00AE2700">
      <w:pPr>
        <w:rPr>
          <w:rFonts w:ascii="Arial" w:hAnsi="Arial" w:cs="Arial"/>
        </w:rPr>
      </w:pPr>
      <w:r w:rsidRPr="00045F47">
        <w:rPr>
          <w:rFonts w:ascii="Arial" w:hAnsi="Arial" w:cs="Arial"/>
          <w:noProof/>
          <w:color w:val="000000" w:themeColor="text1"/>
        </w:rPr>
        <w:drawing>
          <wp:anchor distT="0" distB="0" distL="114300" distR="114300" simplePos="0" relativeHeight="251660288" behindDoc="0" locked="0" layoutInCell="1" allowOverlap="1" wp14:anchorId="77C8E39D" wp14:editId="634EDA2F">
            <wp:simplePos x="0" y="0"/>
            <wp:positionH relativeFrom="column">
              <wp:posOffset>-491344</wp:posOffset>
            </wp:positionH>
            <wp:positionV relativeFrom="paragraph">
              <wp:posOffset>583321</wp:posOffset>
            </wp:positionV>
            <wp:extent cx="6575077" cy="4413738"/>
            <wp:effectExtent l="0" t="0" r="3810" b="6350"/>
            <wp:wrapThrough wrapText="bothSides">
              <wp:wrapPolygon edited="0">
                <wp:start x="0" y="0"/>
                <wp:lineTo x="0" y="21569"/>
                <wp:lineTo x="21571" y="21569"/>
                <wp:lineTo x="21571" y="0"/>
                <wp:lineTo x="0" y="0"/>
              </wp:wrapPolygon>
            </wp:wrapThrough>
            <wp:docPr id="1469112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112314" name="Picture 1469112314"/>
                    <pic:cNvPicPr/>
                  </pic:nvPicPr>
                  <pic:blipFill rotWithShape="1">
                    <a:blip r:embed="rId14" cstate="print">
                      <a:extLst>
                        <a:ext uri="{28A0092B-C50C-407E-A947-70E740481C1C}">
                          <a14:useLocalDpi xmlns:a14="http://schemas.microsoft.com/office/drawing/2010/main" val="0"/>
                        </a:ext>
                      </a:extLst>
                    </a:blip>
                    <a:srcRect t="10441"/>
                    <a:stretch>
                      <a:fillRect/>
                    </a:stretch>
                  </pic:blipFill>
                  <pic:spPr bwMode="auto">
                    <a:xfrm>
                      <a:off x="0" y="0"/>
                      <a:ext cx="6575077" cy="44137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64BA" w:rsidRPr="00045F47">
        <w:rPr>
          <w:rFonts w:ascii="Arial" w:eastAsia="Times New Roman" w:hAnsi="Arial" w:cs="Arial"/>
          <w:color w:val="000000" w:themeColor="text1"/>
          <w:kern w:val="0"/>
          <w14:ligatures w14:val="none"/>
        </w:rPr>
        <w:t>A</w:t>
      </w:r>
      <w:r w:rsidR="004064BA" w:rsidRPr="00045F47">
        <w:rPr>
          <w:rFonts w:ascii="Arial" w:hAnsi="Arial" w:cs="Arial"/>
        </w:rPr>
        <w:t>ppendix A: Example Plant Risk Assessment Template</w:t>
      </w:r>
    </w:p>
    <w:p w14:paraId="769A32B1" w14:textId="790ABE00" w:rsidR="000527A6" w:rsidRDefault="000527A6" w:rsidP="00813AC9">
      <w:pPr>
        <w:rPr>
          <w:rFonts w:ascii="Arial" w:hAnsi="Arial" w:cs="Arial"/>
        </w:rPr>
      </w:pPr>
    </w:p>
    <w:p w14:paraId="22E71ADF" w14:textId="5D36B721" w:rsidR="009F0A96" w:rsidRPr="00C41112" w:rsidRDefault="00AD4726" w:rsidP="00C41112">
      <w:pPr>
        <w:pStyle w:val="p1"/>
        <w:spacing w:before="100" w:beforeAutospacing="1" w:after="100" w:afterAutospacing="1"/>
        <w:rPr>
          <w:rFonts w:ascii="Arial" w:hAnsi="Arial" w:cs="Arial"/>
          <w:color w:val="auto"/>
          <w:sz w:val="24"/>
          <w:szCs w:val="24"/>
        </w:rPr>
      </w:pPr>
      <w:r>
        <w:rPr>
          <w:rFonts w:ascii="Arial" w:hAnsi="Arial" w:cs="Arial"/>
          <w:noProof/>
        </w:rPr>
        <w:lastRenderedPageBreak/>
        <w:drawing>
          <wp:anchor distT="0" distB="0" distL="114300" distR="114300" simplePos="0" relativeHeight="251663360" behindDoc="0" locked="0" layoutInCell="1" allowOverlap="1" wp14:anchorId="2EB52A42" wp14:editId="6F7CA8E9">
            <wp:simplePos x="0" y="0"/>
            <wp:positionH relativeFrom="column">
              <wp:posOffset>-334157</wp:posOffset>
            </wp:positionH>
            <wp:positionV relativeFrom="paragraph">
              <wp:posOffset>5007854</wp:posOffset>
            </wp:positionV>
            <wp:extent cx="6294120" cy="3482340"/>
            <wp:effectExtent l="0" t="0" r="5080" b="0"/>
            <wp:wrapTopAndBottom/>
            <wp:docPr id="10829391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939155" name="Picture 1082939155"/>
                    <pic:cNvPicPr/>
                  </pic:nvPicPr>
                  <pic:blipFill>
                    <a:blip r:embed="rId15">
                      <a:extLst>
                        <a:ext uri="{28A0092B-C50C-407E-A947-70E740481C1C}">
                          <a14:useLocalDpi xmlns:a14="http://schemas.microsoft.com/office/drawing/2010/main" val="0"/>
                        </a:ext>
                      </a:extLst>
                    </a:blip>
                    <a:stretch>
                      <a:fillRect/>
                    </a:stretch>
                  </pic:blipFill>
                  <pic:spPr>
                    <a:xfrm>
                      <a:off x="0" y="0"/>
                      <a:ext cx="6294120" cy="3482340"/>
                    </a:xfrm>
                    <a:prstGeom prst="rect">
                      <a:avLst/>
                    </a:prstGeom>
                  </pic:spPr>
                </pic:pic>
              </a:graphicData>
            </a:graphic>
            <wp14:sizeRelH relativeFrom="margin">
              <wp14:pctWidth>0</wp14:pctWidth>
            </wp14:sizeRelH>
            <wp14:sizeRelV relativeFrom="margin">
              <wp14:pctHeight>0</wp14:pctHeight>
            </wp14:sizeRelV>
          </wp:anchor>
        </w:drawing>
      </w:r>
      <w:r w:rsidR="00203CA9">
        <w:rPr>
          <w:rFonts w:ascii="Arial" w:hAnsi="Arial" w:cs="Arial"/>
          <w:noProof/>
        </w:rPr>
        <w:drawing>
          <wp:anchor distT="0" distB="0" distL="114300" distR="114300" simplePos="0" relativeHeight="251661312" behindDoc="0" locked="0" layoutInCell="1" allowOverlap="1" wp14:anchorId="4190BE2B" wp14:editId="6564B07C">
            <wp:simplePos x="0" y="0"/>
            <wp:positionH relativeFrom="column">
              <wp:posOffset>-237538</wp:posOffset>
            </wp:positionH>
            <wp:positionV relativeFrom="paragraph">
              <wp:posOffset>293</wp:posOffset>
            </wp:positionV>
            <wp:extent cx="6556375" cy="4492625"/>
            <wp:effectExtent l="0" t="0" r="0" b="3175"/>
            <wp:wrapThrough wrapText="bothSides">
              <wp:wrapPolygon edited="0">
                <wp:start x="0" y="0"/>
                <wp:lineTo x="0" y="21554"/>
                <wp:lineTo x="21548" y="21554"/>
                <wp:lineTo x="21548" y="0"/>
                <wp:lineTo x="0" y="0"/>
              </wp:wrapPolygon>
            </wp:wrapThrough>
            <wp:docPr id="18233657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65758" name="Picture 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556375" cy="4492625"/>
                    </a:xfrm>
                    <a:prstGeom prst="rect">
                      <a:avLst/>
                    </a:prstGeom>
                  </pic:spPr>
                </pic:pic>
              </a:graphicData>
            </a:graphic>
            <wp14:sizeRelH relativeFrom="margin">
              <wp14:pctWidth>0</wp14:pctWidth>
            </wp14:sizeRelH>
            <wp14:sizeRelV relativeFrom="margin">
              <wp14:pctHeight>0</wp14:pctHeight>
            </wp14:sizeRelV>
          </wp:anchor>
        </w:drawing>
      </w:r>
      <w:r w:rsidR="009F0A96" w:rsidRPr="009F0A96">
        <w:rPr>
          <w:rFonts w:ascii="Times New Roman" w:hAnsi="Times New Roman"/>
          <w:color w:val="auto"/>
          <w:sz w:val="24"/>
          <w:szCs w:val="24"/>
        </w:rPr>
        <w:t xml:space="preserve"> </w:t>
      </w:r>
      <w:r w:rsidR="009F0A96" w:rsidRPr="00C41112">
        <w:rPr>
          <w:rFonts w:ascii="Arial" w:hAnsi="Arial" w:cs="Arial"/>
          <w:color w:val="auto"/>
          <w:sz w:val="24"/>
          <w:szCs w:val="24"/>
        </w:rPr>
        <w:t>Appendix B</w:t>
      </w:r>
      <w:r w:rsidR="00045F47">
        <w:rPr>
          <w:rFonts w:ascii="Arial" w:hAnsi="Arial" w:cs="Arial"/>
          <w:color w:val="auto"/>
          <w:sz w:val="24"/>
          <w:szCs w:val="24"/>
        </w:rPr>
        <w:t xml:space="preserve">: </w:t>
      </w:r>
      <w:r w:rsidR="009F0A96" w:rsidRPr="00C41112">
        <w:rPr>
          <w:rFonts w:ascii="Arial" w:hAnsi="Arial" w:cs="Arial"/>
          <w:color w:val="auto"/>
          <w:sz w:val="24"/>
          <w:szCs w:val="24"/>
        </w:rPr>
        <w:t>Project programme / Gantt chart</w:t>
      </w:r>
    </w:p>
    <w:p w14:paraId="2A2CC177" w14:textId="16FE9FED" w:rsidR="000527A6" w:rsidRDefault="000527A6" w:rsidP="00813AC9">
      <w:pPr>
        <w:rPr>
          <w:rFonts w:ascii="Arial" w:hAnsi="Arial" w:cs="Arial"/>
        </w:rPr>
      </w:pPr>
    </w:p>
    <w:p w14:paraId="174D2413" w14:textId="20A04DD8" w:rsidR="00C217BE" w:rsidRPr="001F199A" w:rsidRDefault="00C217BE" w:rsidP="00813AC9">
      <w:pPr>
        <w:rPr>
          <w:rFonts w:ascii="Arial" w:hAnsi="Arial" w:cs="Arial"/>
        </w:rPr>
      </w:pPr>
    </w:p>
    <w:sectPr w:rsidR="00C217BE" w:rsidRPr="001F19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E3370" w14:textId="77777777" w:rsidR="00C45153" w:rsidRDefault="00C45153" w:rsidP="008E3E72">
      <w:pPr>
        <w:spacing w:after="0" w:line="240" w:lineRule="auto"/>
      </w:pPr>
      <w:r>
        <w:separator/>
      </w:r>
    </w:p>
  </w:endnote>
  <w:endnote w:type="continuationSeparator" w:id="0">
    <w:p w14:paraId="13FB8E3A" w14:textId="77777777" w:rsidR="00C45153" w:rsidRDefault="00C45153" w:rsidP="008E3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Bold">
    <w:altName w:val="Cambria"/>
    <w:panose1 w:val="020B0604020202020204"/>
    <w:charset w:val="00"/>
    <w:family w:val="roman"/>
    <w:pitch w:val="default"/>
  </w:font>
  <w:font w:name=".SFUI-Regular">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6F4CC" w14:textId="77777777" w:rsidR="00C45153" w:rsidRDefault="00C45153" w:rsidP="008E3E72">
      <w:pPr>
        <w:spacing w:after="0" w:line="240" w:lineRule="auto"/>
      </w:pPr>
      <w:r>
        <w:separator/>
      </w:r>
    </w:p>
  </w:footnote>
  <w:footnote w:type="continuationSeparator" w:id="0">
    <w:p w14:paraId="4E230C1F" w14:textId="77777777" w:rsidR="00C45153" w:rsidRDefault="00C45153" w:rsidP="008E3E7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b3CQ1vC" int2:invalidationBookmarkName="" int2:hashCode="051uur3qTsy1Ie" int2:id="TwFn5z8J">
      <int2:state int2:value="Rejected" int2:type="style"/>
    </int2:bookmark>
    <int2:bookmark int2:bookmarkName="_Int_YIxpdsgG" int2:invalidationBookmarkName="" int2:hashCode="itfSHHGwSbcAO6" int2:id="1gbQT1XV">
      <int2:state int2:value="Rejected" int2:type="style"/>
    </int2:bookmark>
    <int2:bookmark int2:bookmarkName="_Int_g877Mxlv" int2:invalidationBookmarkName="" int2:hashCode="PnzlC+gY9xrDTS" int2:id="PixaAQQI">
      <int2:state int2:value="Rejected" int2:type="style"/>
    </int2:bookmark>
    <int2:bookmark int2:bookmarkName="_Int_Wk751Y1Q" int2:invalidationBookmarkName="" int2:hashCode="tnsYK9K0bgIv58" int2:id="6repVyqF">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33C72"/>
    <w:multiLevelType w:val="multilevel"/>
    <w:tmpl w:val="647A3282"/>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2A400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346E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DB6660"/>
    <w:multiLevelType w:val="hybridMultilevel"/>
    <w:tmpl w:val="71DA3B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A269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4272AD"/>
    <w:multiLevelType w:val="hybridMultilevel"/>
    <w:tmpl w:val="C19E4C6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AB047A"/>
    <w:multiLevelType w:val="hybridMultilevel"/>
    <w:tmpl w:val="F9CE11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45546C"/>
    <w:multiLevelType w:val="multilevel"/>
    <w:tmpl w:val="B5948F6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DF6E98"/>
    <w:multiLevelType w:val="hybridMultilevel"/>
    <w:tmpl w:val="641283B0"/>
    <w:lvl w:ilvl="0" w:tplc="FFFFFFF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B119E8"/>
    <w:multiLevelType w:val="hybridMultilevel"/>
    <w:tmpl w:val="03341B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BF1B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6D009DC"/>
    <w:multiLevelType w:val="hybridMultilevel"/>
    <w:tmpl w:val="C1DED88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82B115E"/>
    <w:multiLevelType w:val="hybridMultilevel"/>
    <w:tmpl w:val="0E4E30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C901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E3405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D9B67CA"/>
    <w:multiLevelType w:val="hybridMultilevel"/>
    <w:tmpl w:val="157CB5EE"/>
    <w:lvl w:ilvl="0" w:tplc="FFFFFFFF">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82371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EB6497D"/>
    <w:multiLevelType w:val="hybridMultilevel"/>
    <w:tmpl w:val="2F0419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91AF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D45BDA"/>
    <w:multiLevelType w:val="multilevel"/>
    <w:tmpl w:val="E0DC18D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7D364C"/>
    <w:multiLevelType w:val="multilevel"/>
    <w:tmpl w:val="189EAB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8375425"/>
    <w:multiLevelType w:val="hybridMultilevel"/>
    <w:tmpl w:val="CF3CBA7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5977EC"/>
    <w:multiLevelType w:val="hybridMultilevel"/>
    <w:tmpl w:val="58845BE8"/>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23" w15:restartNumberingAfterBreak="0">
    <w:nsid w:val="69F241D6"/>
    <w:multiLevelType w:val="hybridMultilevel"/>
    <w:tmpl w:val="398E68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2224DA"/>
    <w:multiLevelType w:val="multilevel"/>
    <w:tmpl w:val="F984F9E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97A14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83879313">
    <w:abstractNumId w:val="5"/>
  </w:num>
  <w:num w:numId="2" w16cid:durableId="820078482">
    <w:abstractNumId w:val="0"/>
  </w:num>
  <w:num w:numId="3" w16cid:durableId="1694183474">
    <w:abstractNumId w:val="4"/>
  </w:num>
  <w:num w:numId="4" w16cid:durableId="596405320">
    <w:abstractNumId w:val="10"/>
  </w:num>
  <w:num w:numId="5" w16cid:durableId="1780489031">
    <w:abstractNumId w:val="12"/>
  </w:num>
  <w:num w:numId="6" w16cid:durableId="1829202859">
    <w:abstractNumId w:val="17"/>
  </w:num>
  <w:num w:numId="7" w16cid:durableId="1846742626">
    <w:abstractNumId w:val="15"/>
  </w:num>
  <w:num w:numId="8" w16cid:durableId="992371771">
    <w:abstractNumId w:val="21"/>
  </w:num>
  <w:num w:numId="9" w16cid:durableId="217518885">
    <w:abstractNumId w:val="11"/>
  </w:num>
  <w:num w:numId="10" w16cid:durableId="1254784377">
    <w:abstractNumId w:val="23"/>
  </w:num>
  <w:num w:numId="11" w16cid:durableId="1056970657">
    <w:abstractNumId w:val="1"/>
  </w:num>
  <w:num w:numId="12" w16cid:durableId="1206602358">
    <w:abstractNumId w:val="13"/>
  </w:num>
  <w:num w:numId="13" w16cid:durableId="1974559049">
    <w:abstractNumId w:val="19"/>
  </w:num>
  <w:num w:numId="14" w16cid:durableId="891576543">
    <w:abstractNumId w:val="20"/>
  </w:num>
  <w:num w:numId="15" w16cid:durableId="771121580">
    <w:abstractNumId w:val="25"/>
  </w:num>
  <w:num w:numId="16" w16cid:durableId="1846630503">
    <w:abstractNumId w:val="9"/>
  </w:num>
  <w:num w:numId="17" w16cid:durableId="2135245486">
    <w:abstractNumId w:val="18"/>
  </w:num>
  <w:num w:numId="18" w16cid:durableId="6762601">
    <w:abstractNumId w:val="7"/>
  </w:num>
  <w:num w:numId="19" w16cid:durableId="1173034971">
    <w:abstractNumId w:val="14"/>
  </w:num>
  <w:num w:numId="20" w16cid:durableId="2028944608">
    <w:abstractNumId w:val="16"/>
  </w:num>
  <w:num w:numId="21" w16cid:durableId="206532615">
    <w:abstractNumId w:val="6"/>
  </w:num>
  <w:num w:numId="22" w16cid:durableId="1862084503">
    <w:abstractNumId w:val="24"/>
  </w:num>
  <w:num w:numId="23" w16cid:durableId="1703167132">
    <w:abstractNumId w:val="22"/>
  </w:num>
  <w:num w:numId="24" w16cid:durableId="448664129">
    <w:abstractNumId w:val="3"/>
  </w:num>
  <w:num w:numId="25" w16cid:durableId="1772891999">
    <w:abstractNumId w:val="2"/>
  </w:num>
  <w:num w:numId="26" w16cid:durableId="2465044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F90"/>
    <w:rsid w:val="0000311B"/>
    <w:rsid w:val="00011335"/>
    <w:rsid w:val="00032C97"/>
    <w:rsid w:val="00045F47"/>
    <w:rsid w:val="000527A6"/>
    <w:rsid w:val="000D3592"/>
    <w:rsid w:val="000D3911"/>
    <w:rsid w:val="000E2017"/>
    <w:rsid w:val="000E6938"/>
    <w:rsid w:val="000F480A"/>
    <w:rsid w:val="001026FB"/>
    <w:rsid w:val="001045D9"/>
    <w:rsid w:val="00104B4A"/>
    <w:rsid w:val="001101E6"/>
    <w:rsid w:val="00113AE3"/>
    <w:rsid w:val="001227D4"/>
    <w:rsid w:val="001404F2"/>
    <w:rsid w:val="001508A3"/>
    <w:rsid w:val="00194BC1"/>
    <w:rsid w:val="001D3333"/>
    <w:rsid w:val="001D71AC"/>
    <w:rsid w:val="001E11FA"/>
    <w:rsid w:val="001F199A"/>
    <w:rsid w:val="001F7AE7"/>
    <w:rsid w:val="00203CA9"/>
    <w:rsid w:val="00225DCA"/>
    <w:rsid w:val="00243D09"/>
    <w:rsid w:val="00245083"/>
    <w:rsid w:val="00266297"/>
    <w:rsid w:val="00271FEB"/>
    <w:rsid w:val="002746AF"/>
    <w:rsid w:val="00275C95"/>
    <w:rsid w:val="00284D08"/>
    <w:rsid w:val="0029515D"/>
    <w:rsid w:val="0029595E"/>
    <w:rsid w:val="002A15AA"/>
    <w:rsid w:val="002A7758"/>
    <w:rsid w:val="002C6916"/>
    <w:rsid w:val="002D15C2"/>
    <w:rsid w:val="002D2D91"/>
    <w:rsid w:val="002D4D6B"/>
    <w:rsid w:val="002E46E9"/>
    <w:rsid w:val="002F6641"/>
    <w:rsid w:val="003002C3"/>
    <w:rsid w:val="00300455"/>
    <w:rsid w:val="003107A9"/>
    <w:rsid w:val="00341882"/>
    <w:rsid w:val="00345F90"/>
    <w:rsid w:val="00352A44"/>
    <w:rsid w:val="00383808"/>
    <w:rsid w:val="00384916"/>
    <w:rsid w:val="003D4DE4"/>
    <w:rsid w:val="004008C8"/>
    <w:rsid w:val="00402959"/>
    <w:rsid w:val="00405169"/>
    <w:rsid w:val="004064BA"/>
    <w:rsid w:val="00417C67"/>
    <w:rsid w:val="004208F8"/>
    <w:rsid w:val="00421005"/>
    <w:rsid w:val="004473BF"/>
    <w:rsid w:val="00460F12"/>
    <w:rsid w:val="004778B5"/>
    <w:rsid w:val="00487DAD"/>
    <w:rsid w:val="004B05BD"/>
    <w:rsid w:val="004B2993"/>
    <w:rsid w:val="004B4F5B"/>
    <w:rsid w:val="004E7264"/>
    <w:rsid w:val="004F2EFA"/>
    <w:rsid w:val="00502F0A"/>
    <w:rsid w:val="005101BB"/>
    <w:rsid w:val="0052506A"/>
    <w:rsid w:val="00542535"/>
    <w:rsid w:val="0054480E"/>
    <w:rsid w:val="00544815"/>
    <w:rsid w:val="00597D8E"/>
    <w:rsid w:val="005C079D"/>
    <w:rsid w:val="005C3EB8"/>
    <w:rsid w:val="005C7489"/>
    <w:rsid w:val="005E475D"/>
    <w:rsid w:val="005F0588"/>
    <w:rsid w:val="006023F8"/>
    <w:rsid w:val="00646376"/>
    <w:rsid w:val="00653A94"/>
    <w:rsid w:val="00654094"/>
    <w:rsid w:val="00674FA1"/>
    <w:rsid w:val="006771B4"/>
    <w:rsid w:val="00682E9A"/>
    <w:rsid w:val="006C6C68"/>
    <w:rsid w:val="006D2A89"/>
    <w:rsid w:val="006D4498"/>
    <w:rsid w:val="006D4A04"/>
    <w:rsid w:val="006D5B75"/>
    <w:rsid w:val="00700090"/>
    <w:rsid w:val="0070269F"/>
    <w:rsid w:val="00703494"/>
    <w:rsid w:val="00712188"/>
    <w:rsid w:val="007171AC"/>
    <w:rsid w:val="007174C4"/>
    <w:rsid w:val="00720CBC"/>
    <w:rsid w:val="00730432"/>
    <w:rsid w:val="0074105A"/>
    <w:rsid w:val="0074762B"/>
    <w:rsid w:val="007526BA"/>
    <w:rsid w:val="007547C8"/>
    <w:rsid w:val="00757E9A"/>
    <w:rsid w:val="0078618F"/>
    <w:rsid w:val="00797BA4"/>
    <w:rsid w:val="007A0F8F"/>
    <w:rsid w:val="007A185B"/>
    <w:rsid w:val="007A27FA"/>
    <w:rsid w:val="007A3390"/>
    <w:rsid w:val="007B06B6"/>
    <w:rsid w:val="007B715A"/>
    <w:rsid w:val="007D58FE"/>
    <w:rsid w:val="007F0FB5"/>
    <w:rsid w:val="007F527B"/>
    <w:rsid w:val="0081063B"/>
    <w:rsid w:val="00813AC9"/>
    <w:rsid w:val="00836336"/>
    <w:rsid w:val="00845A6F"/>
    <w:rsid w:val="00861059"/>
    <w:rsid w:val="00876F6B"/>
    <w:rsid w:val="008A15F3"/>
    <w:rsid w:val="008C31B7"/>
    <w:rsid w:val="008C7A35"/>
    <w:rsid w:val="008D3416"/>
    <w:rsid w:val="008E2FAF"/>
    <w:rsid w:val="008E3E72"/>
    <w:rsid w:val="008F1D97"/>
    <w:rsid w:val="00910D39"/>
    <w:rsid w:val="00914922"/>
    <w:rsid w:val="009355DF"/>
    <w:rsid w:val="00953889"/>
    <w:rsid w:val="00972A25"/>
    <w:rsid w:val="009745DC"/>
    <w:rsid w:val="0097785D"/>
    <w:rsid w:val="009B729E"/>
    <w:rsid w:val="009B7F76"/>
    <w:rsid w:val="009C010B"/>
    <w:rsid w:val="009C0403"/>
    <w:rsid w:val="009E0F7A"/>
    <w:rsid w:val="009E4A98"/>
    <w:rsid w:val="009F0A96"/>
    <w:rsid w:val="00A208CC"/>
    <w:rsid w:val="00A24169"/>
    <w:rsid w:val="00A41662"/>
    <w:rsid w:val="00A57C75"/>
    <w:rsid w:val="00A7104D"/>
    <w:rsid w:val="00A75891"/>
    <w:rsid w:val="00A80085"/>
    <w:rsid w:val="00AA3F5B"/>
    <w:rsid w:val="00AC4A24"/>
    <w:rsid w:val="00AD0274"/>
    <w:rsid w:val="00AD4726"/>
    <w:rsid w:val="00AE2700"/>
    <w:rsid w:val="00B043E2"/>
    <w:rsid w:val="00B06814"/>
    <w:rsid w:val="00B17F47"/>
    <w:rsid w:val="00B261F1"/>
    <w:rsid w:val="00B66937"/>
    <w:rsid w:val="00B67AD1"/>
    <w:rsid w:val="00B84BE4"/>
    <w:rsid w:val="00BA0786"/>
    <w:rsid w:val="00BA415F"/>
    <w:rsid w:val="00BE39B8"/>
    <w:rsid w:val="00BF194A"/>
    <w:rsid w:val="00BF3301"/>
    <w:rsid w:val="00BF443A"/>
    <w:rsid w:val="00C04524"/>
    <w:rsid w:val="00C217BE"/>
    <w:rsid w:val="00C242EB"/>
    <w:rsid w:val="00C26DCF"/>
    <w:rsid w:val="00C3017C"/>
    <w:rsid w:val="00C41112"/>
    <w:rsid w:val="00C45153"/>
    <w:rsid w:val="00C73F06"/>
    <w:rsid w:val="00C772A8"/>
    <w:rsid w:val="00C94993"/>
    <w:rsid w:val="00CA7240"/>
    <w:rsid w:val="00CA72C7"/>
    <w:rsid w:val="00CB1106"/>
    <w:rsid w:val="00CB2B04"/>
    <w:rsid w:val="00CC0FA5"/>
    <w:rsid w:val="00CF087F"/>
    <w:rsid w:val="00D04A01"/>
    <w:rsid w:val="00D1001E"/>
    <w:rsid w:val="00D13F12"/>
    <w:rsid w:val="00D21DE7"/>
    <w:rsid w:val="00D52C91"/>
    <w:rsid w:val="00D71AC1"/>
    <w:rsid w:val="00D767E9"/>
    <w:rsid w:val="00D80865"/>
    <w:rsid w:val="00D82983"/>
    <w:rsid w:val="00D82D49"/>
    <w:rsid w:val="00D905EB"/>
    <w:rsid w:val="00D91521"/>
    <w:rsid w:val="00DC7BB2"/>
    <w:rsid w:val="00DF05B8"/>
    <w:rsid w:val="00E009D4"/>
    <w:rsid w:val="00E0159F"/>
    <w:rsid w:val="00E02DB8"/>
    <w:rsid w:val="00E120E7"/>
    <w:rsid w:val="00E20E94"/>
    <w:rsid w:val="00E214C1"/>
    <w:rsid w:val="00E21E2F"/>
    <w:rsid w:val="00E255B0"/>
    <w:rsid w:val="00E46D1F"/>
    <w:rsid w:val="00E66327"/>
    <w:rsid w:val="00E71CEC"/>
    <w:rsid w:val="00EA0D1A"/>
    <w:rsid w:val="00EB14AC"/>
    <w:rsid w:val="00EF1A7D"/>
    <w:rsid w:val="00EF510B"/>
    <w:rsid w:val="00F02B4E"/>
    <w:rsid w:val="00F036E3"/>
    <w:rsid w:val="00F04AD5"/>
    <w:rsid w:val="00F0687E"/>
    <w:rsid w:val="00F1244F"/>
    <w:rsid w:val="00F35246"/>
    <w:rsid w:val="00F51553"/>
    <w:rsid w:val="00F56316"/>
    <w:rsid w:val="00F812BA"/>
    <w:rsid w:val="00F949FA"/>
    <w:rsid w:val="00FA1B04"/>
    <w:rsid w:val="00FC0847"/>
    <w:rsid w:val="00FC1D67"/>
    <w:rsid w:val="00FD4E28"/>
    <w:rsid w:val="00FE3B54"/>
    <w:rsid w:val="00FE488D"/>
    <w:rsid w:val="00FE5BF2"/>
    <w:rsid w:val="00FF3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17C4C6"/>
  <w15:chartTrackingRefBased/>
  <w15:docId w15:val="{9E362B5C-F7CA-A54E-BFEB-ECFE30F02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5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45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5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5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5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5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5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5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5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5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5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5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5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5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5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5F90"/>
    <w:rPr>
      <w:rFonts w:eastAsiaTheme="majorEastAsia" w:cstheme="majorBidi"/>
      <w:color w:val="272727" w:themeColor="text1" w:themeTint="D8"/>
    </w:rPr>
  </w:style>
  <w:style w:type="paragraph" w:styleId="Title">
    <w:name w:val="Title"/>
    <w:basedOn w:val="Normal"/>
    <w:next w:val="Normal"/>
    <w:link w:val="TitleChar"/>
    <w:uiPriority w:val="10"/>
    <w:qFormat/>
    <w:rsid w:val="00345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5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5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5F90"/>
    <w:pPr>
      <w:spacing w:before="160"/>
      <w:jc w:val="center"/>
    </w:pPr>
    <w:rPr>
      <w:i/>
      <w:iCs/>
      <w:color w:val="404040" w:themeColor="text1" w:themeTint="BF"/>
    </w:rPr>
  </w:style>
  <w:style w:type="character" w:customStyle="1" w:styleId="QuoteChar">
    <w:name w:val="Quote Char"/>
    <w:basedOn w:val="DefaultParagraphFont"/>
    <w:link w:val="Quote"/>
    <w:uiPriority w:val="29"/>
    <w:rsid w:val="00345F90"/>
    <w:rPr>
      <w:i/>
      <w:iCs/>
      <w:color w:val="404040" w:themeColor="text1" w:themeTint="BF"/>
    </w:rPr>
  </w:style>
  <w:style w:type="paragraph" w:styleId="ListParagraph">
    <w:name w:val="List Paragraph"/>
    <w:basedOn w:val="Normal"/>
    <w:uiPriority w:val="34"/>
    <w:qFormat/>
    <w:rsid w:val="00345F90"/>
    <w:pPr>
      <w:ind w:left="720"/>
      <w:contextualSpacing/>
    </w:pPr>
  </w:style>
  <w:style w:type="character" w:styleId="IntenseEmphasis">
    <w:name w:val="Intense Emphasis"/>
    <w:basedOn w:val="DefaultParagraphFont"/>
    <w:uiPriority w:val="21"/>
    <w:qFormat/>
    <w:rsid w:val="00345F90"/>
    <w:rPr>
      <w:i/>
      <w:iCs/>
      <w:color w:val="0F4761" w:themeColor="accent1" w:themeShade="BF"/>
    </w:rPr>
  </w:style>
  <w:style w:type="paragraph" w:styleId="IntenseQuote">
    <w:name w:val="Intense Quote"/>
    <w:basedOn w:val="Normal"/>
    <w:next w:val="Normal"/>
    <w:link w:val="IntenseQuoteChar"/>
    <w:uiPriority w:val="30"/>
    <w:qFormat/>
    <w:rsid w:val="00345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5F90"/>
    <w:rPr>
      <w:i/>
      <w:iCs/>
      <w:color w:val="0F4761" w:themeColor="accent1" w:themeShade="BF"/>
    </w:rPr>
  </w:style>
  <w:style w:type="character" w:styleId="IntenseReference">
    <w:name w:val="Intense Reference"/>
    <w:basedOn w:val="DefaultParagraphFont"/>
    <w:uiPriority w:val="32"/>
    <w:qFormat/>
    <w:rsid w:val="00345F90"/>
    <w:rPr>
      <w:b/>
      <w:bCs/>
      <w:smallCaps/>
      <w:color w:val="0F4761" w:themeColor="accent1" w:themeShade="BF"/>
      <w:spacing w:val="5"/>
    </w:rPr>
  </w:style>
  <w:style w:type="paragraph" w:customStyle="1" w:styleId="p1">
    <w:name w:val="p1"/>
    <w:basedOn w:val="Normal"/>
    <w:rsid w:val="00345F90"/>
    <w:pPr>
      <w:spacing w:after="255" w:line="240" w:lineRule="auto"/>
    </w:pPr>
    <w:rPr>
      <w:rFonts w:ascii=".AppleSystemUIFont" w:hAnsi=".AppleSystemUIFont" w:cs="Times New Roman"/>
      <w:color w:val="000000"/>
      <w:kern w:val="0"/>
      <w:sz w:val="26"/>
      <w:szCs w:val="26"/>
      <w14:ligatures w14:val="none"/>
    </w:rPr>
  </w:style>
  <w:style w:type="character" w:customStyle="1" w:styleId="s1">
    <w:name w:val="s1"/>
    <w:basedOn w:val="DefaultParagraphFont"/>
    <w:rsid w:val="00345F90"/>
    <w:rPr>
      <w:rFonts w:ascii=".SFUI-Bold" w:hAnsi=".SFUI-Bold" w:hint="default"/>
      <w:b/>
      <w:bCs/>
      <w:i w:val="0"/>
      <w:iCs w:val="0"/>
      <w:sz w:val="26"/>
      <w:szCs w:val="26"/>
    </w:rPr>
  </w:style>
  <w:style w:type="paragraph" w:styleId="TOCHeading">
    <w:name w:val="TOC Heading"/>
    <w:basedOn w:val="Heading1"/>
    <w:next w:val="Normal"/>
    <w:uiPriority w:val="39"/>
    <w:unhideWhenUsed/>
    <w:qFormat/>
    <w:rsid w:val="00345F90"/>
    <w:pPr>
      <w:spacing w:before="480" w:after="0" w:line="276" w:lineRule="auto"/>
      <w:outlineLvl w:val="9"/>
    </w:pPr>
    <w:rPr>
      <w:b/>
      <w:bCs/>
      <w:kern w:val="0"/>
      <w:sz w:val="28"/>
      <w:szCs w:val="28"/>
      <w:lang w:val="en-US" w:eastAsia="en-US"/>
      <w14:ligatures w14:val="none"/>
    </w:rPr>
  </w:style>
  <w:style w:type="character" w:customStyle="1" w:styleId="s2">
    <w:name w:val="s2"/>
    <w:basedOn w:val="DefaultParagraphFont"/>
    <w:rsid w:val="00B06814"/>
    <w:rPr>
      <w:rFonts w:ascii=".SFUI-Regular" w:hAnsi=".SFUI-Regular" w:hint="default"/>
      <w:b w:val="0"/>
      <w:bCs w:val="0"/>
      <w:i w:val="0"/>
      <w:iCs w:val="0"/>
      <w:sz w:val="26"/>
      <w:szCs w:val="26"/>
    </w:rPr>
  </w:style>
  <w:style w:type="paragraph" w:customStyle="1" w:styleId="li3">
    <w:name w:val="li3"/>
    <w:basedOn w:val="Normal"/>
    <w:rsid w:val="00B06814"/>
    <w:pPr>
      <w:spacing w:after="0" w:line="240" w:lineRule="auto"/>
    </w:pPr>
    <w:rPr>
      <w:rFonts w:ascii=".AppleSystemUIFont" w:hAnsi=".AppleSystemUIFont" w:cs="Times New Roman"/>
      <w:color w:val="000000"/>
      <w:kern w:val="0"/>
      <w:sz w:val="26"/>
      <w:szCs w:val="26"/>
      <w14:ligatures w14:val="none"/>
    </w:rPr>
  </w:style>
  <w:style w:type="paragraph" w:styleId="TOC1">
    <w:name w:val="toc 1"/>
    <w:basedOn w:val="Normal"/>
    <w:next w:val="Normal"/>
    <w:autoRedefine/>
    <w:uiPriority w:val="39"/>
    <w:unhideWhenUsed/>
    <w:rsid w:val="00DC7BB2"/>
    <w:pPr>
      <w:spacing w:after="100"/>
    </w:pPr>
  </w:style>
  <w:style w:type="character" w:styleId="Hyperlink">
    <w:name w:val="Hyperlink"/>
    <w:basedOn w:val="DefaultParagraphFont"/>
    <w:uiPriority w:val="99"/>
    <w:unhideWhenUsed/>
    <w:rsid w:val="00DC7BB2"/>
    <w:rPr>
      <w:color w:val="467886" w:themeColor="hyperlink"/>
      <w:u w:val="single"/>
    </w:rPr>
  </w:style>
  <w:style w:type="paragraph" w:styleId="TOC2">
    <w:name w:val="toc 2"/>
    <w:basedOn w:val="Normal"/>
    <w:next w:val="Normal"/>
    <w:autoRedefine/>
    <w:uiPriority w:val="39"/>
    <w:unhideWhenUsed/>
    <w:rsid w:val="0029515D"/>
    <w:pPr>
      <w:spacing w:after="100"/>
      <w:ind w:left="240"/>
    </w:pPr>
  </w:style>
  <w:style w:type="paragraph" w:customStyle="1" w:styleId="p2">
    <w:name w:val="p2"/>
    <w:basedOn w:val="Normal"/>
    <w:rsid w:val="007A3390"/>
    <w:pPr>
      <w:spacing w:after="255" w:line="240" w:lineRule="auto"/>
    </w:pPr>
    <w:rPr>
      <w:rFonts w:ascii=".AppleSystemUIFont" w:hAnsi=".AppleSystemUIFont" w:cs="Times New Roman"/>
      <w:color w:val="000000"/>
      <w:kern w:val="0"/>
      <w:sz w:val="26"/>
      <w:szCs w:val="26"/>
      <w14:ligatures w14:val="none"/>
    </w:rPr>
  </w:style>
  <w:style w:type="character" w:styleId="UnresolvedMention">
    <w:name w:val="Unresolved Mention"/>
    <w:basedOn w:val="DefaultParagraphFont"/>
    <w:uiPriority w:val="99"/>
    <w:semiHidden/>
    <w:unhideWhenUsed/>
    <w:rsid w:val="0081063B"/>
    <w:rPr>
      <w:color w:val="605E5C"/>
      <w:shd w:val="clear" w:color="auto" w:fill="E1DFDD"/>
    </w:rPr>
  </w:style>
  <w:style w:type="paragraph" w:styleId="Header">
    <w:name w:val="header"/>
    <w:basedOn w:val="Normal"/>
    <w:link w:val="HeaderChar"/>
    <w:uiPriority w:val="99"/>
    <w:unhideWhenUsed/>
    <w:rsid w:val="008E3E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E72"/>
  </w:style>
  <w:style w:type="paragraph" w:styleId="Footer">
    <w:name w:val="footer"/>
    <w:basedOn w:val="Normal"/>
    <w:link w:val="FooterChar"/>
    <w:uiPriority w:val="99"/>
    <w:unhideWhenUsed/>
    <w:rsid w:val="008E3E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E72"/>
  </w:style>
  <w:style w:type="character" w:customStyle="1" w:styleId="apple-converted-space">
    <w:name w:val="apple-converted-space"/>
    <w:basedOn w:val="DefaultParagraphFont"/>
    <w:rsid w:val="00460F12"/>
  </w:style>
  <w:style w:type="character" w:customStyle="1" w:styleId="s3">
    <w:name w:val="s3"/>
    <w:basedOn w:val="DefaultParagraphFont"/>
    <w:rsid w:val="00B043E2"/>
  </w:style>
  <w:style w:type="paragraph" w:customStyle="1" w:styleId="p3">
    <w:name w:val="p3"/>
    <w:basedOn w:val="Normal"/>
    <w:rsid w:val="00FC0847"/>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FC0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log.ganttpro.com/en/how-to-make-a-gantt-chart-in-ms-projec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piresafety.com.au/wp-content/uploads/2024/01/SS-WHS-SAF-000-Plant-Risk-Assessment-Template.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tb.co.uk/levy-grants-and-funding/grants-and-funding/plant-standards-and-grant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https://www.apm.org.uk/resources/find-a-resource/gantt-chart"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aceplant.co.uk/news-media/6-benefits-of-plant-and-machinery-hire-for-construction-companies-"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378</TotalTime>
  <Pages>14</Pages>
  <Words>2771</Words>
  <Characters>15797</Characters>
  <Application>Microsoft Office Word</Application>
  <DocSecurity>0</DocSecurity>
  <Lines>131</Lines>
  <Paragraphs>37</Paragraphs>
  <ScaleCrop>false</ScaleCrop>
  <Company/>
  <LinksUpToDate>false</LinksUpToDate>
  <CharactersWithSpaces>18531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226</cp:revision>
  <dcterms:created xsi:type="dcterms:W3CDTF">2026-01-03T21:49:00Z</dcterms:created>
  <dcterms:modified xsi:type="dcterms:W3CDTF">2026-01-06T20:36:00Z</dcterms:modified>
</cp:coreProperties>
</file>