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975773" w14:textId="7D4815F4" w:rsidR="00726965" w:rsidRDefault="00726965" w:rsidP="00726965">
      <w:pPr>
        <w:tabs>
          <w:tab w:val="left" w:pos="3628"/>
        </w:tabs>
        <w:spacing w:after="400"/>
        <w:jc w:val="center"/>
        <w:rPr>
          <w:rFonts w:ascii="Arial" w:hAnsi="Arial" w:cs="Arial"/>
          <w:sz w:val="32"/>
          <w:szCs w:val="32"/>
        </w:rPr>
      </w:pPr>
      <w:r>
        <w:rPr>
          <w:rFonts w:ascii="Arial" w:hAnsi="Arial" w:cs="Arial"/>
          <w:noProof/>
          <w:sz w:val="32"/>
          <w:szCs w:val="32"/>
        </w:rPr>
        <w:drawing>
          <wp:anchor distT="0" distB="0" distL="114300" distR="114300" simplePos="0" relativeHeight="251658240" behindDoc="0" locked="0" layoutInCell="1" allowOverlap="1" wp14:anchorId="517F24F4" wp14:editId="4153F281">
            <wp:simplePos x="0" y="0"/>
            <wp:positionH relativeFrom="margin">
              <wp:posOffset>3665855</wp:posOffset>
            </wp:positionH>
            <wp:positionV relativeFrom="margin">
              <wp:posOffset>-589280</wp:posOffset>
            </wp:positionV>
            <wp:extent cx="2660650" cy="1069975"/>
            <wp:effectExtent l="0" t="0" r="6350" b="0"/>
            <wp:wrapSquare wrapText="bothSides"/>
            <wp:docPr id="293722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722956" name="Picture 2937229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0650" cy="1069975"/>
                    </a:xfrm>
                    <a:prstGeom prst="rect">
                      <a:avLst/>
                    </a:prstGeom>
                  </pic:spPr>
                </pic:pic>
              </a:graphicData>
            </a:graphic>
            <wp14:sizeRelH relativeFrom="margin">
              <wp14:pctWidth>0</wp14:pctWidth>
            </wp14:sizeRelH>
            <wp14:sizeRelV relativeFrom="margin">
              <wp14:pctHeight>0</wp14:pctHeight>
            </wp14:sizeRelV>
          </wp:anchor>
        </w:drawing>
      </w:r>
    </w:p>
    <w:p w14:paraId="540BCD8F" w14:textId="77777777" w:rsidR="00BD64E2" w:rsidRDefault="00BD64E2" w:rsidP="00BD64E2">
      <w:pPr>
        <w:tabs>
          <w:tab w:val="left" w:pos="3628"/>
        </w:tabs>
        <w:spacing w:after="400"/>
        <w:jc w:val="center"/>
        <w:rPr>
          <w:b/>
          <w:bCs/>
          <w:color w:val="153D63" w:themeColor="text2" w:themeTint="E6"/>
          <w:sz w:val="52"/>
          <w:szCs w:val="52"/>
        </w:rPr>
      </w:pPr>
    </w:p>
    <w:p w14:paraId="14380BBC" w14:textId="3BDE23AF" w:rsidR="00BD64E2" w:rsidRPr="00BD64E2" w:rsidRDefault="00BD64E2" w:rsidP="00BD64E2">
      <w:pPr>
        <w:tabs>
          <w:tab w:val="left" w:pos="3628"/>
        </w:tabs>
        <w:spacing w:after="400"/>
        <w:jc w:val="center"/>
        <w:rPr>
          <w:b/>
          <w:bCs/>
          <w:color w:val="153D63" w:themeColor="text2" w:themeTint="E6"/>
          <w:sz w:val="52"/>
          <w:szCs w:val="52"/>
          <w14:reflection w14:blurRad="6350" w14:stA="60000" w14:stPos="0" w14:endA="900" w14:endPos="58000" w14:dist="0" w14:dir="5400000" w14:fadeDir="5400000" w14:sx="100000" w14:sy="-100000" w14:kx="0" w14:ky="0" w14:algn="bl"/>
        </w:rPr>
      </w:pPr>
      <w:r w:rsidRPr="00BD64E2">
        <w:rPr>
          <w:b/>
          <w:bCs/>
          <w:color w:val="153D63" w:themeColor="text2" w:themeTint="E6"/>
          <w:sz w:val="52"/>
          <w:szCs w:val="52"/>
        </w:rPr>
        <w:t>(Study 1)</w:t>
      </w:r>
    </w:p>
    <w:p w14:paraId="5B925DB7" w14:textId="3D3348D1" w:rsidR="00B25D74" w:rsidRPr="00BD64E2" w:rsidRDefault="00B25D74" w:rsidP="00BD64E2">
      <w:pPr>
        <w:tabs>
          <w:tab w:val="left" w:pos="3628"/>
        </w:tabs>
        <w:spacing w:after="400"/>
        <w:rPr>
          <w:b/>
          <w:bCs/>
          <w:color w:val="153D63" w:themeColor="text2" w:themeTint="E6"/>
          <w:sz w:val="72"/>
          <w:szCs w:val="72"/>
          <w14:reflection w14:blurRad="6350" w14:stA="60000" w14:stPos="0" w14:endA="900" w14:endPos="58000" w14:dist="0" w14:dir="5400000" w14:fadeDir="5400000" w14:sx="100000" w14:sy="-100000" w14:kx="0" w14:ky="0" w14:algn="bl"/>
        </w:rPr>
      </w:pPr>
      <w:r w:rsidRPr="00BD64E2">
        <w:rPr>
          <w:b/>
          <w:bCs/>
          <w:color w:val="153D63" w:themeColor="text2" w:themeTint="E6"/>
          <w:sz w:val="72"/>
          <w:szCs w:val="72"/>
          <w14:reflection w14:blurRad="6350" w14:stA="60000" w14:stPos="0" w14:endA="900" w14:endPos="58000" w14:dist="0" w14:dir="5400000" w14:fadeDir="5400000" w14:sx="100000" w14:sy="-100000" w14:kx="0" w14:ky="0" w14:algn="bl"/>
        </w:rPr>
        <w:t xml:space="preserve">The Case Study of Lewis Blackman </w:t>
      </w:r>
    </w:p>
    <w:tbl>
      <w:tblPr>
        <w:tblStyle w:val="TableGrid"/>
        <w:tblpPr w:leftFromText="180" w:rightFromText="180" w:vertAnchor="text" w:horzAnchor="margin" w:tblpY="314"/>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97"/>
        <w:gridCol w:w="4499"/>
      </w:tblGrid>
      <w:tr w:rsidR="002A431A" w:rsidRPr="00B25D74" w14:paraId="2329A9EF" w14:textId="77777777" w:rsidTr="00B25D74">
        <w:trPr>
          <w:trHeight w:val="65"/>
        </w:trPr>
        <w:tc>
          <w:tcPr>
            <w:tcW w:w="4508" w:type="dxa"/>
          </w:tcPr>
          <w:p w14:paraId="3E7C8A25" w14:textId="77777777" w:rsidR="002A431A" w:rsidRPr="00B25D74" w:rsidRDefault="002A431A" w:rsidP="002A431A">
            <w:pPr>
              <w:tabs>
                <w:tab w:val="left" w:pos="3628"/>
              </w:tabs>
              <w:spacing w:after="400"/>
              <w:jc w:val="both"/>
              <w:rPr>
                <w:b/>
                <w:bCs/>
                <w:sz w:val="32"/>
                <w:szCs w:val="32"/>
              </w:rPr>
            </w:pPr>
            <w:r w:rsidRPr="00B25D74">
              <w:rPr>
                <w:b/>
                <w:bCs/>
                <w:sz w:val="32"/>
                <w:szCs w:val="32"/>
              </w:rPr>
              <w:t>Student Name</w:t>
            </w:r>
          </w:p>
        </w:tc>
        <w:tc>
          <w:tcPr>
            <w:tcW w:w="4508" w:type="dxa"/>
          </w:tcPr>
          <w:p w14:paraId="4ACC857B" w14:textId="77777777" w:rsidR="002A431A" w:rsidRPr="00B25D74" w:rsidRDefault="002A431A" w:rsidP="00B25D74">
            <w:pPr>
              <w:tabs>
                <w:tab w:val="left" w:pos="3628"/>
              </w:tabs>
              <w:spacing w:after="400"/>
              <w:jc w:val="center"/>
              <w:rPr>
                <w:b/>
                <w:bCs/>
                <w:sz w:val="32"/>
                <w:szCs w:val="32"/>
              </w:rPr>
            </w:pPr>
            <w:r w:rsidRPr="00B25D74">
              <w:rPr>
                <w:b/>
                <w:bCs/>
                <w:sz w:val="32"/>
                <w:szCs w:val="32"/>
              </w:rPr>
              <w:t>Dhruvi Maisuriya</w:t>
            </w:r>
          </w:p>
        </w:tc>
      </w:tr>
      <w:tr w:rsidR="002A431A" w:rsidRPr="00B25D74" w14:paraId="29A887A0" w14:textId="77777777" w:rsidTr="00B25D74">
        <w:tc>
          <w:tcPr>
            <w:tcW w:w="4508" w:type="dxa"/>
          </w:tcPr>
          <w:p w14:paraId="1068FF08" w14:textId="77777777" w:rsidR="002A431A" w:rsidRPr="00B25D74" w:rsidRDefault="002A431A" w:rsidP="002A431A">
            <w:pPr>
              <w:tabs>
                <w:tab w:val="left" w:pos="3628"/>
              </w:tabs>
              <w:spacing w:after="400"/>
              <w:jc w:val="both"/>
              <w:rPr>
                <w:b/>
                <w:bCs/>
                <w:sz w:val="32"/>
                <w:szCs w:val="32"/>
              </w:rPr>
            </w:pPr>
            <w:r w:rsidRPr="00B25D74">
              <w:rPr>
                <w:b/>
                <w:bCs/>
                <w:sz w:val="32"/>
                <w:szCs w:val="32"/>
              </w:rPr>
              <w:t>Student Number</w:t>
            </w:r>
          </w:p>
        </w:tc>
        <w:tc>
          <w:tcPr>
            <w:tcW w:w="4508" w:type="dxa"/>
          </w:tcPr>
          <w:p w14:paraId="270C9B24" w14:textId="77777777" w:rsidR="002A431A" w:rsidRPr="00B25D74" w:rsidRDefault="002A431A" w:rsidP="00B25D74">
            <w:pPr>
              <w:tabs>
                <w:tab w:val="left" w:pos="3628"/>
              </w:tabs>
              <w:spacing w:after="400"/>
              <w:jc w:val="center"/>
              <w:rPr>
                <w:b/>
                <w:bCs/>
                <w:sz w:val="32"/>
                <w:szCs w:val="32"/>
              </w:rPr>
            </w:pPr>
            <w:r w:rsidRPr="00B25D74">
              <w:rPr>
                <w:b/>
                <w:bCs/>
                <w:sz w:val="32"/>
                <w:szCs w:val="32"/>
              </w:rPr>
              <w:t>2532720</w:t>
            </w:r>
          </w:p>
        </w:tc>
      </w:tr>
      <w:tr w:rsidR="002A431A" w:rsidRPr="00B25D74" w14:paraId="3CFE4828" w14:textId="77777777" w:rsidTr="00B25D74">
        <w:tc>
          <w:tcPr>
            <w:tcW w:w="4508" w:type="dxa"/>
          </w:tcPr>
          <w:p w14:paraId="4167CCE8" w14:textId="77777777" w:rsidR="002A431A" w:rsidRPr="00B25D74" w:rsidRDefault="002A431A" w:rsidP="002A431A">
            <w:pPr>
              <w:tabs>
                <w:tab w:val="left" w:pos="3628"/>
              </w:tabs>
              <w:spacing w:after="400"/>
              <w:jc w:val="both"/>
              <w:rPr>
                <w:b/>
                <w:bCs/>
                <w:sz w:val="32"/>
                <w:szCs w:val="32"/>
              </w:rPr>
            </w:pPr>
            <w:r w:rsidRPr="00B25D74">
              <w:rPr>
                <w:b/>
                <w:bCs/>
                <w:sz w:val="32"/>
                <w:szCs w:val="32"/>
              </w:rPr>
              <w:t>Lecturer’s Name</w:t>
            </w:r>
          </w:p>
        </w:tc>
        <w:tc>
          <w:tcPr>
            <w:tcW w:w="4508" w:type="dxa"/>
          </w:tcPr>
          <w:p w14:paraId="462CBA92" w14:textId="77777777" w:rsidR="002A431A" w:rsidRPr="00B25D74" w:rsidRDefault="002A431A" w:rsidP="00B25D74">
            <w:pPr>
              <w:tabs>
                <w:tab w:val="left" w:pos="3628"/>
              </w:tabs>
              <w:spacing w:after="400"/>
              <w:jc w:val="center"/>
              <w:rPr>
                <w:b/>
                <w:bCs/>
                <w:sz w:val="32"/>
                <w:szCs w:val="32"/>
              </w:rPr>
            </w:pPr>
            <w:r w:rsidRPr="00B25D74">
              <w:rPr>
                <w:b/>
                <w:bCs/>
                <w:sz w:val="32"/>
                <w:szCs w:val="32"/>
              </w:rPr>
              <w:t>Dr. Pascal Navelle</w:t>
            </w:r>
          </w:p>
        </w:tc>
      </w:tr>
      <w:tr w:rsidR="002A431A" w:rsidRPr="00B25D74" w14:paraId="4CDFC739" w14:textId="77777777" w:rsidTr="00B25D74">
        <w:trPr>
          <w:trHeight w:val="864"/>
        </w:trPr>
        <w:tc>
          <w:tcPr>
            <w:tcW w:w="4508" w:type="dxa"/>
          </w:tcPr>
          <w:p w14:paraId="02230D90" w14:textId="77777777" w:rsidR="002A431A" w:rsidRPr="00B25D74" w:rsidRDefault="002A431A" w:rsidP="002A431A">
            <w:pPr>
              <w:tabs>
                <w:tab w:val="left" w:pos="3628"/>
              </w:tabs>
              <w:spacing w:after="400"/>
              <w:jc w:val="both"/>
              <w:rPr>
                <w:b/>
                <w:bCs/>
                <w:sz w:val="32"/>
                <w:szCs w:val="32"/>
              </w:rPr>
            </w:pPr>
            <w:r w:rsidRPr="00B25D74">
              <w:rPr>
                <w:b/>
                <w:bCs/>
                <w:sz w:val="32"/>
                <w:szCs w:val="32"/>
              </w:rPr>
              <w:t>Module code and title</w:t>
            </w:r>
          </w:p>
        </w:tc>
        <w:tc>
          <w:tcPr>
            <w:tcW w:w="4508" w:type="dxa"/>
          </w:tcPr>
          <w:p w14:paraId="15CBF76D" w14:textId="431A8DE8" w:rsidR="002A431A" w:rsidRPr="00B25D74" w:rsidRDefault="00B25D74" w:rsidP="00B25D74">
            <w:pPr>
              <w:tabs>
                <w:tab w:val="left" w:pos="3628"/>
              </w:tabs>
              <w:spacing w:after="400"/>
              <w:jc w:val="center"/>
              <w:rPr>
                <w:b/>
                <w:bCs/>
                <w:sz w:val="32"/>
                <w:szCs w:val="32"/>
              </w:rPr>
            </w:pPr>
            <w:r w:rsidRPr="00B25D74">
              <w:rPr>
                <w:b/>
                <w:bCs/>
                <w:sz w:val="32"/>
                <w:szCs w:val="32"/>
              </w:rPr>
              <w:t>LCHS7002</w:t>
            </w:r>
            <w:r>
              <w:rPr>
                <w:b/>
                <w:bCs/>
                <w:sz w:val="32"/>
                <w:szCs w:val="32"/>
              </w:rPr>
              <w:t xml:space="preserve"> - </w:t>
            </w:r>
            <w:r w:rsidR="002A431A" w:rsidRPr="00B25D74">
              <w:rPr>
                <w:b/>
                <w:bCs/>
                <w:sz w:val="32"/>
                <w:szCs w:val="32"/>
              </w:rPr>
              <w:t>Health Care System Organisation and Leadership</w:t>
            </w:r>
          </w:p>
        </w:tc>
      </w:tr>
    </w:tbl>
    <w:p w14:paraId="52F56C88" w14:textId="669EFE78" w:rsidR="00AB5085" w:rsidRPr="00AB5085" w:rsidRDefault="00AB5085" w:rsidP="00AB5085">
      <w:pPr>
        <w:tabs>
          <w:tab w:val="left" w:pos="3628"/>
        </w:tabs>
        <w:spacing w:after="400"/>
        <w:rPr>
          <w:rFonts w:ascii="Arial" w:hAnsi="Arial" w:cs="Arial"/>
          <w:b/>
          <w:bCs/>
          <w:sz w:val="32"/>
          <w:szCs w:val="32"/>
        </w:rPr>
      </w:pPr>
    </w:p>
    <w:p w14:paraId="46B9EBE1" w14:textId="77777777" w:rsidR="00726965" w:rsidRPr="00726965" w:rsidRDefault="00726965" w:rsidP="00726965">
      <w:pPr>
        <w:tabs>
          <w:tab w:val="left" w:pos="3628"/>
        </w:tabs>
        <w:spacing w:after="400"/>
        <w:jc w:val="center"/>
        <w:rPr>
          <w:rFonts w:ascii="Arial" w:hAnsi="Arial" w:cs="Arial"/>
          <w:sz w:val="32"/>
          <w:szCs w:val="32"/>
        </w:rPr>
      </w:pPr>
    </w:p>
    <w:p w14:paraId="72E71423" w14:textId="4BABFE6D" w:rsidR="007B3720" w:rsidRPr="00726965" w:rsidRDefault="00000000" w:rsidP="00726965">
      <w:pPr>
        <w:spacing w:line="360" w:lineRule="auto"/>
        <w:rPr>
          <w:rFonts w:ascii="Arial" w:hAnsi="Arial" w:cs="Arial"/>
          <w:sz w:val="32"/>
          <w:szCs w:val="32"/>
        </w:rPr>
      </w:pPr>
      <w:r w:rsidRPr="00A72CE5">
        <w:rPr>
          <w:rFonts w:ascii="Arial" w:hAnsi="Arial" w:cs="Arial"/>
          <w:sz w:val="32"/>
          <w:szCs w:val="32"/>
        </w:rPr>
        <w:br w:type="page"/>
      </w:r>
    </w:p>
    <w:sdt>
      <w:sdtPr>
        <w:rPr>
          <w:rFonts w:ascii="Times New Roman" w:eastAsia="Times New Roman" w:hAnsi="Times New Roman" w:cs="Times New Roman"/>
          <w:b w:val="0"/>
          <w:bCs w:val="0"/>
          <w:color w:val="auto"/>
          <w:sz w:val="20"/>
          <w:szCs w:val="20"/>
          <w:lang w:val="en-GB" w:eastAsia="en-GB"/>
        </w:rPr>
        <w:id w:val="117568347"/>
        <w:docPartObj>
          <w:docPartGallery w:val="Table of Contents"/>
          <w:docPartUnique/>
        </w:docPartObj>
      </w:sdtPr>
      <w:sdtEndPr>
        <w:rPr>
          <w:noProof/>
          <w:sz w:val="28"/>
          <w:szCs w:val="28"/>
        </w:rPr>
      </w:sdtEndPr>
      <w:sdtContent>
        <w:p w14:paraId="25FC7E80" w14:textId="20309995" w:rsidR="007B3720" w:rsidRPr="00996D3B" w:rsidRDefault="007B3720" w:rsidP="00996D3B">
          <w:pPr>
            <w:pStyle w:val="TOCHeading"/>
            <w:spacing w:line="480" w:lineRule="auto"/>
            <w:jc w:val="center"/>
          </w:pPr>
          <w:r w:rsidRPr="00996D3B">
            <w:t>Table of Contents</w:t>
          </w:r>
        </w:p>
        <w:p w14:paraId="282CC80A" w14:textId="1DE861FE" w:rsidR="00996D3B" w:rsidRPr="00996D3B" w:rsidRDefault="007B3720" w:rsidP="00996D3B">
          <w:pPr>
            <w:pStyle w:val="TOC1"/>
            <w:tabs>
              <w:tab w:val="right" w:leader="dot" w:pos="9016"/>
            </w:tabs>
            <w:spacing w:line="480" w:lineRule="auto"/>
            <w:rPr>
              <w:rFonts w:eastAsiaTheme="minorEastAsia" w:cstheme="minorBidi"/>
              <w:b w:val="0"/>
              <w:bCs w:val="0"/>
              <w:i w:val="0"/>
              <w:iCs w:val="0"/>
              <w:noProof/>
              <w:kern w:val="2"/>
              <w:sz w:val="28"/>
              <w:szCs w:val="28"/>
              <w14:ligatures w14:val="standardContextual"/>
            </w:rPr>
          </w:pPr>
          <w:r w:rsidRPr="00996D3B">
            <w:rPr>
              <w:i w:val="0"/>
              <w:iCs w:val="0"/>
              <w:sz w:val="28"/>
              <w:szCs w:val="28"/>
            </w:rPr>
            <w:fldChar w:fldCharType="begin"/>
          </w:r>
          <w:r w:rsidRPr="00996D3B">
            <w:rPr>
              <w:i w:val="0"/>
              <w:iCs w:val="0"/>
              <w:sz w:val="28"/>
              <w:szCs w:val="28"/>
            </w:rPr>
            <w:instrText xml:space="preserve"> TOC \o "1-3" \h \z \u </w:instrText>
          </w:r>
          <w:r w:rsidRPr="00996D3B">
            <w:rPr>
              <w:i w:val="0"/>
              <w:iCs w:val="0"/>
              <w:sz w:val="28"/>
              <w:szCs w:val="28"/>
            </w:rPr>
            <w:fldChar w:fldCharType="separate"/>
          </w:r>
          <w:hyperlink w:anchor="_Toc236070361" w:history="1">
            <w:r w:rsidR="00996D3B" w:rsidRPr="00996D3B">
              <w:rPr>
                <w:rStyle w:val="Hyperlink"/>
                <w:rFonts w:ascii="Arial" w:eastAsia="Arial" w:hAnsi="Arial" w:cs="Arial"/>
                <w:i w:val="0"/>
                <w:iCs w:val="0"/>
                <w:noProof/>
                <w:sz w:val="28"/>
                <w:szCs w:val="28"/>
              </w:rPr>
              <w:t>Introduction</w:t>
            </w:r>
            <w:r w:rsidR="00996D3B" w:rsidRPr="00996D3B">
              <w:rPr>
                <w:i w:val="0"/>
                <w:iCs w:val="0"/>
                <w:noProof/>
                <w:webHidden/>
                <w:sz w:val="28"/>
                <w:szCs w:val="28"/>
              </w:rPr>
              <w:tab/>
            </w:r>
            <w:r w:rsidR="00996D3B" w:rsidRPr="00996D3B">
              <w:rPr>
                <w:i w:val="0"/>
                <w:iCs w:val="0"/>
                <w:noProof/>
                <w:webHidden/>
                <w:sz w:val="28"/>
                <w:szCs w:val="28"/>
              </w:rPr>
              <w:fldChar w:fldCharType="begin"/>
            </w:r>
            <w:r w:rsidR="00996D3B" w:rsidRPr="00996D3B">
              <w:rPr>
                <w:i w:val="0"/>
                <w:iCs w:val="0"/>
                <w:noProof/>
                <w:webHidden/>
                <w:sz w:val="28"/>
                <w:szCs w:val="28"/>
              </w:rPr>
              <w:instrText xml:space="preserve"> PAGEREF _Toc236070361 \h </w:instrText>
            </w:r>
            <w:r w:rsidR="00996D3B" w:rsidRPr="00996D3B">
              <w:rPr>
                <w:i w:val="0"/>
                <w:iCs w:val="0"/>
                <w:noProof/>
                <w:webHidden/>
                <w:sz w:val="28"/>
                <w:szCs w:val="28"/>
              </w:rPr>
            </w:r>
            <w:r w:rsidR="00996D3B" w:rsidRPr="00996D3B">
              <w:rPr>
                <w:i w:val="0"/>
                <w:iCs w:val="0"/>
                <w:noProof/>
                <w:webHidden/>
                <w:sz w:val="28"/>
                <w:szCs w:val="28"/>
              </w:rPr>
              <w:fldChar w:fldCharType="separate"/>
            </w:r>
            <w:r w:rsidR="00996D3B" w:rsidRPr="00996D3B">
              <w:rPr>
                <w:i w:val="0"/>
                <w:iCs w:val="0"/>
                <w:noProof/>
                <w:webHidden/>
                <w:sz w:val="28"/>
                <w:szCs w:val="28"/>
              </w:rPr>
              <w:t>3</w:t>
            </w:r>
            <w:r w:rsidR="00996D3B" w:rsidRPr="00996D3B">
              <w:rPr>
                <w:i w:val="0"/>
                <w:iCs w:val="0"/>
                <w:noProof/>
                <w:webHidden/>
                <w:sz w:val="28"/>
                <w:szCs w:val="28"/>
              </w:rPr>
              <w:fldChar w:fldCharType="end"/>
            </w:r>
          </w:hyperlink>
        </w:p>
        <w:p w14:paraId="5902EC1E" w14:textId="7246D8C5" w:rsidR="00996D3B" w:rsidRPr="00996D3B" w:rsidRDefault="00996D3B" w:rsidP="00996D3B">
          <w:pPr>
            <w:pStyle w:val="TOC1"/>
            <w:tabs>
              <w:tab w:val="right" w:leader="dot" w:pos="9016"/>
            </w:tabs>
            <w:spacing w:line="480" w:lineRule="auto"/>
            <w:rPr>
              <w:rFonts w:eastAsiaTheme="minorEastAsia" w:cstheme="minorBidi"/>
              <w:b w:val="0"/>
              <w:bCs w:val="0"/>
              <w:i w:val="0"/>
              <w:iCs w:val="0"/>
              <w:noProof/>
              <w:kern w:val="2"/>
              <w:sz w:val="28"/>
              <w:szCs w:val="28"/>
              <w14:ligatures w14:val="standardContextual"/>
            </w:rPr>
          </w:pPr>
          <w:hyperlink w:anchor="_Toc236070362" w:history="1">
            <w:r w:rsidRPr="00996D3B">
              <w:rPr>
                <w:rStyle w:val="Hyperlink"/>
                <w:rFonts w:ascii="Arial" w:eastAsia="Arial" w:hAnsi="Arial" w:cs="Arial"/>
                <w:i w:val="0"/>
                <w:iCs w:val="0"/>
                <w:noProof/>
                <w:sz w:val="28"/>
                <w:szCs w:val="28"/>
              </w:rPr>
              <w:t>Analysis and Discussion</w:t>
            </w:r>
            <w:r w:rsidRPr="00996D3B">
              <w:rPr>
                <w:i w:val="0"/>
                <w:iCs w:val="0"/>
                <w:noProof/>
                <w:webHidden/>
                <w:sz w:val="28"/>
                <w:szCs w:val="28"/>
              </w:rPr>
              <w:tab/>
            </w:r>
            <w:r w:rsidRPr="00996D3B">
              <w:rPr>
                <w:i w:val="0"/>
                <w:iCs w:val="0"/>
                <w:noProof/>
                <w:webHidden/>
                <w:sz w:val="28"/>
                <w:szCs w:val="28"/>
              </w:rPr>
              <w:fldChar w:fldCharType="begin"/>
            </w:r>
            <w:r w:rsidRPr="00996D3B">
              <w:rPr>
                <w:i w:val="0"/>
                <w:iCs w:val="0"/>
                <w:noProof/>
                <w:webHidden/>
                <w:sz w:val="28"/>
                <w:szCs w:val="28"/>
              </w:rPr>
              <w:instrText xml:space="preserve"> PAGEREF _Toc236070362 \h </w:instrText>
            </w:r>
            <w:r w:rsidRPr="00996D3B">
              <w:rPr>
                <w:i w:val="0"/>
                <w:iCs w:val="0"/>
                <w:noProof/>
                <w:webHidden/>
                <w:sz w:val="28"/>
                <w:szCs w:val="28"/>
              </w:rPr>
            </w:r>
            <w:r w:rsidRPr="00996D3B">
              <w:rPr>
                <w:i w:val="0"/>
                <w:iCs w:val="0"/>
                <w:noProof/>
                <w:webHidden/>
                <w:sz w:val="28"/>
                <w:szCs w:val="28"/>
              </w:rPr>
              <w:fldChar w:fldCharType="separate"/>
            </w:r>
            <w:r w:rsidRPr="00996D3B">
              <w:rPr>
                <w:i w:val="0"/>
                <w:iCs w:val="0"/>
                <w:noProof/>
                <w:webHidden/>
                <w:sz w:val="28"/>
                <w:szCs w:val="28"/>
              </w:rPr>
              <w:t>5</w:t>
            </w:r>
            <w:r w:rsidRPr="00996D3B">
              <w:rPr>
                <w:i w:val="0"/>
                <w:iCs w:val="0"/>
                <w:noProof/>
                <w:webHidden/>
                <w:sz w:val="28"/>
                <w:szCs w:val="28"/>
              </w:rPr>
              <w:fldChar w:fldCharType="end"/>
            </w:r>
          </w:hyperlink>
        </w:p>
        <w:p w14:paraId="6029157C" w14:textId="75C05F59" w:rsidR="00996D3B" w:rsidRPr="00996D3B" w:rsidRDefault="00996D3B" w:rsidP="00996D3B">
          <w:pPr>
            <w:pStyle w:val="TOC2"/>
            <w:tabs>
              <w:tab w:val="right" w:leader="dot" w:pos="9016"/>
            </w:tabs>
            <w:spacing w:line="480" w:lineRule="auto"/>
            <w:rPr>
              <w:rFonts w:eastAsiaTheme="minorEastAsia" w:cstheme="minorBidi"/>
              <w:b w:val="0"/>
              <w:bCs w:val="0"/>
              <w:noProof/>
              <w:kern w:val="2"/>
              <w:sz w:val="28"/>
              <w:szCs w:val="28"/>
              <w14:ligatures w14:val="standardContextual"/>
            </w:rPr>
          </w:pPr>
          <w:hyperlink w:anchor="_Toc236070363" w:history="1">
            <w:r w:rsidRPr="00996D3B">
              <w:rPr>
                <w:rStyle w:val="Hyperlink"/>
                <w:rFonts w:ascii="Arial" w:eastAsia="Arial" w:hAnsi="Arial" w:cs="Arial"/>
                <w:noProof/>
                <w:sz w:val="28"/>
                <w:szCs w:val="28"/>
              </w:rPr>
              <w:t>a. Identifying the Problem and Setting the System Context</w:t>
            </w:r>
            <w:r w:rsidRPr="00996D3B">
              <w:rPr>
                <w:noProof/>
                <w:webHidden/>
                <w:sz w:val="28"/>
                <w:szCs w:val="28"/>
              </w:rPr>
              <w:tab/>
            </w:r>
            <w:r w:rsidRPr="00996D3B">
              <w:rPr>
                <w:noProof/>
                <w:webHidden/>
                <w:sz w:val="28"/>
                <w:szCs w:val="28"/>
              </w:rPr>
              <w:fldChar w:fldCharType="begin"/>
            </w:r>
            <w:r w:rsidRPr="00996D3B">
              <w:rPr>
                <w:noProof/>
                <w:webHidden/>
                <w:sz w:val="28"/>
                <w:szCs w:val="28"/>
              </w:rPr>
              <w:instrText xml:space="preserve"> PAGEREF _Toc236070363 \h </w:instrText>
            </w:r>
            <w:r w:rsidRPr="00996D3B">
              <w:rPr>
                <w:noProof/>
                <w:webHidden/>
                <w:sz w:val="28"/>
                <w:szCs w:val="28"/>
              </w:rPr>
            </w:r>
            <w:r w:rsidRPr="00996D3B">
              <w:rPr>
                <w:noProof/>
                <w:webHidden/>
                <w:sz w:val="28"/>
                <w:szCs w:val="28"/>
              </w:rPr>
              <w:fldChar w:fldCharType="separate"/>
            </w:r>
            <w:r w:rsidRPr="00996D3B">
              <w:rPr>
                <w:noProof/>
                <w:webHidden/>
                <w:sz w:val="28"/>
                <w:szCs w:val="28"/>
              </w:rPr>
              <w:t>5</w:t>
            </w:r>
            <w:r w:rsidRPr="00996D3B">
              <w:rPr>
                <w:noProof/>
                <w:webHidden/>
                <w:sz w:val="28"/>
                <w:szCs w:val="28"/>
              </w:rPr>
              <w:fldChar w:fldCharType="end"/>
            </w:r>
          </w:hyperlink>
        </w:p>
        <w:p w14:paraId="232A270A" w14:textId="375C51D3" w:rsidR="00996D3B" w:rsidRPr="00996D3B" w:rsidRDefault="00996D3B" w:rsidP="00996D3B">
          <w:pPr>
            <w:pStyle w:val="TOC2"/>
            <w:tabs>
              <w:tab w:val="right" w:leader="dot" w:pos="9016"/>
            </w:tabs>
            <w:spacing w:line="480" w:lineRule="auto"/>
            <w:rPr>
              <w:rFonts w:eastAsiaTheme="minorEastAsia" w:cstheme="minorBidi"/>
              <w:b w:val="0"/>
              <w:bCs w:val="0"/>
              <w:noProof/>
              <w:kern w:val="2"/>
              <w:sz w:val="28"/>
              <w:szCs w:val="28"/>
              <w14:ligatures w14:val="standardContextual"/>
            </w:rPr>
          </w:pPr>
          <w:hyperlink w:anchor="_Toc236070364" w:history="1">
            <w:r w:rsidRPr="00996D3B">
              <w:rPr>
                <w:rStyle w:val="Hyperlink"/>
                <w:rFonts w:ascii="Arial" w:eastAsia="Arial" w:hAnsi="Arial" w:cs="Arial"/>
                <w:noProof/>
                <w:sz w:val="28"/>
                <w:szCs w:val="28"/>
              </w:rPr>
              <w:t>b. Centralisation or Decentralisation within the Case Study</w:t>
            </w:r>
            <w:r w:rsidRPr="00996D3B">
              <w:rPr>
                <w:noProof/>
                <w:webHidden/>
                <w:sz w:val="28"/>
                <w:szCs w:val="28"/>
              </w:rPr>
              <w:tab/>
            </w:r>
            <w:r w:rsidRPr="00996D3B">
              <w:rPr>
                <w:noProof/>
                <w:webHidden/>
                <w:sz w:val="28"/>
                <w:szCs w:val="28"/>
              </w:rPr>
              <w:fldChar w:fldCharType="begin"/>
            </w:r>
            <w:r w:rsidRPr="00996D3B">
              <w:rPr>
                <w:noProof/>
                <w:webHidden/>
                <w:sz w:val="28"/>
                <w:szCs w:val="28"/>
              </w:rPr>
              <w:instrText xml:space="preserve"> PAGEREF _Toc236070364 \h </w:instrText>
            </w:r>
            <w:r w:rsidRPr="00996D3B">
              <w:rPr>
                <w:noProof/>
                <w:webHidden/>
                <w:sz w:val="28"/>
                <w:szCs w:val="28"/>
              </w:rPr>
            </w:r>
            <w:r w:rsidRPr="00996D3B">
              <w:rPr>
                <w:noProof/>
                <w:webHidden/>
                <w:sz w:val="28"/>
                <w:szCs w:val="28"/>
              </w:rPr>
              <w:fldChar w:fldCharType="separate"/>
            </w:r>
            <w:r w:rsidRPr="00996D3B">
              <w:rPr>
                <w:noProof/>
                <w:webHidden/>
                <w:sz w:val="28"/>
                <w:szCs w:val="28"/>
              </w:rPr>
              <w:t>8</w:t>
            </w:r>
            <w:r w:rsidRPr="00996D3B">
              <w:rPr>
                <w:noProof/>
                <w:webHidden/>
                <w:sz w:val="28"/>
                <w:szCs w:val="28"/>
              </w:rPr>
              <w:fldChar w:fldCharType="end"/>
            </w:r>
          </w:hyperlink>
        </w:p>
        <w:p w14:paraId="2328812D" w14:textId="229961DC" w:rsidR="00996D3B" w:rsidRPr="00996D3B" w:rsidRDefault="00996D3B" w:rsidP="00996D3B">
          <w:pPr>
            <w:pStyle w:val="TOC2"/>
            <w:tabs>
              <w:tab w:val="right" w:leader="dot" w:pos="9016"/>
            </w:tabs>
            <w:spacing w:line="480" w:lineRule="auto"/>
            <w:rPr>
              <w:rFonts w:eastAsiaTheme="minorEastAsia" w:cstheme="minorBidi"/>
              <w:b w:val="0"/>
              <w:bCs w:val="0"/>
              <w:noProof/>
              <w:kern w:val="2"/>
              <w:sz w:val="28"/>
              <w:szCs w:val="28"/>
              <w14:ligatures w14:val="standardContextual"/>
            </w:rPr>
          </w:pPr>
          <w:hyperlink w:anchor="_Toc236070365" w:history="1">
            <w:r w:rsidRPr="00996D3B">
              <w:rPr>
                <w:rStyle w:val="Hyperlink"/>
                <w:rFonts w:ascii="Arial" w:eastAsia="Arial" w:hAnsi="Arial" w:cs="Arial"/>
                <w:noProof/>
                <w:sz w:val="28"/>
                <w:szCs w:val="28"/>
              </w:rPr>
              <w:t>c. Leadership Theories and Application to the Case Study</w:t>
            </w:r>
            <w:r w:rsidRPr="00996D3B">
              <w:rPr>
                <w:noProof/>
                <w:webHidden/>
                <w:sz w:val="28"/>
                <w:szCs w:val="28"/>
              </w:rPr>
              <w:tab/>
            </w:r>
            <w:r w:rsidRPr="00996D3B">
              <w:rPr>
                <w:noProof/>
                <w:webHidden/>
                <w:sz w:val="28"/>
                <w:szCs w:val="28"/>
              </w:rPr>
              <w:fldChar w:fldCharType="begin"/>
            </w:r>
            <w:r w:rsidRPr="00996D3B">
              <w:rPr>
                <w:noProof/>
                <w:webHidden/>
                <w:sz w:val="28"/>
                <w:szCs w:val="28"/>
              </w:rPr>
              <w:instrText xml:space="preserve"> PAGEREF _Toc236070365 \h </w:instrText>
            </w:r>
            <w:r w:rsidRPr="00996D3B">
              <w:rPr>
                <w:noProof/>
                <w:webHidden/>
                <w:sz w:val="28"/>
                <w:szCs w:val="28"/>
              </w:rPr>
            </w:r>
            <w:r w:rsidRPr="00996D3B">
              <w:rPr>
                <w:noProof/>
                <w:webHidden/>
                <w:sz w:val="28"/>
                <w:szCs w:val="28"/>
              </w:rPr>
              <w:fldChar w:fldCharType="separate"/>
            </w:r>
            <w:r w:rsidRPr="00996D3B">
              <w:rPr>
                <w:noProof/>
                <w:webHidden/>
                <w:sz w:val="28"/>
                <w:szCs w:val="28"/>
              </w:rPr>
              <w:t>10</w:t>
            </w:r>
            <w:r w:rsidRPr="00996D3B">
              <w:rPr>
                <w:noProof/>
                <w:webHidden/>
                <w:sz w:val="28"/>
                <w:szCs w:val="28"/>
              </w:rPr>
              <w:fldChar w:fldCharType="end"/>
            </w:r>
          </w:hyperlink>
        </w:p>
        <w:p w14:paraId="63F06D51" w14:textId="0CF92ADC" w:rsidR="00996D3B" w:rsidRPr="00996D3B" w:rsidRDefault="00996D3B" w:rsidP="00996D3B">
          <w:pPr>
            <w:pStyle w:val="TOC2"/>
            <w:tabs>
              <w:tab w:val="right" w:leader="dot" w:pos="9016"/>
            </w:tabs>
            <w:spacing w:line="480" w:lineRule="auto"/>
            <w:rPr>
              <w:rFonts w:eastAsiaTheme="minorEastAsia" w:cstheme="minorBidi"/>
              <w:b w:val="0"/>
              <w:bCs w:val="0"/>
              <w:noProof/>
              <w:kern w:val="2"/>
              <w:sz w:val="28"/>
              <w:szCs w:val="28"/>
              <w14:ligatures w14:val="standardContextual"/>
            </w:rPr>
          </w:pPr>
          <w:hyperlink w:anchor="_Toc236070366" w:history="1">
            <w:r w:rsidRPr="00996D3B">
              <w:rPr>
                <w:rStyle w:val="Hyperlink"/>
                <w:rFonts w:ascii="Arial" w:eastAsia="Arial" w:hAnsi="Arial" w:cs="Arial"/>
                <w:noProof/>
                <w:sz w:val="28"/>
                <w:szCs w:val="28"/>
              </w:rPr>
              <w:t>d. Improvement, and Lessons Learned</w:t>
            </w:r>
            <w:r w:rsidRPr="00996D3B">
              <w:rPr>
                <w:noProof/>
                <w:webHidden/>
                <w:sz w:val="28"/>
                <w:szCs w:val="28"/>
              </w:rPr>
              <w:tab/>
            </w:r>
            <w:r w:rsidRPr="00996D3B">
              <w:rPr>
                <w:noProof/>
                <w:webHidden/>
                <w:sz w:val="28"/>
                <w:szCs w:val="28"/>
              </w:rPr>
              <w:fldChar w:fldCharType="begin"/>
            </w:r>
            <w:r w:rsidRPr="00996D3B">
              <w:rPr>
                <w:noProof/>
                <w:webHidden/>
                <w:sz w:val="28"/>
                <w:szCs w:val="28"/>
              </w:rPr>
              <w:instrText xml:space="preserve"> PAGEREF _Toc236070366 \h </w:instrText>
            </w:r>
            <w:r w:rsidRPr="00996D3B">
              <w:rPr>
                <w:noProof/>
                <w:webHidden/>
                <w:sz w:val="28"/>
                <w:szCs w:val="28"/>
              </w:rPr>
            </w:r>
            <w:r w:rsidRPr="00996D3B">
              <w:rPr>
                <w:noProof/>
                <w:webHidden/>
                <w:sz w:val="28"/>
                <w:szCs w:val="28"/>
              </w:rPr>
              <w:fldChar w:fldCharType="separate"/>
            </w:r>
            <w:r w:rsidRPr="00996D3B">
              <w:rPr>
                <w:noProof/>
                <w:webHidden/>
                <w:sz w:val="28"/>
                <w:szCs w:val="28"/>
              </w:rPr>
              <w:t>11</w:t>
            </w:r>
            <w:r w:rsidRPr="00996D3B">
              <w:rPr>
                <w:noProof/>
                <w:webHidden/>
                <w:sz w:val="28"/>
                <w:szCs w:val="28"/>
              </w:rPr>
              <w:fldChar w:fldCharType="end"/>
            </w:r>
          </w:hyperlink>
        </w:p>
        <w:p w14:paraId="199EB1B1" w14:textId="3F178CEE" w:rsidR="00996D3B" w:rsidRPr="00996D3B" w:rsidRDefault="00996D3B" w:rsidP="00996D3B">
          <w:pPr>
            <w:pStyle w:val="TOC1"/>
            <w:tabs>
              <w:tab w:val="right" w:leader="dot" w:pos="9016"/>
            </w:tabs>
            <w:spacing w:line="480" w:lineRule="auto"/>
            <w:rPr>
              <w:rFonts w:eastAsiaTheme="minorEastAsia" w:cstheme="minorBidi"/>
              <w:b w:val="0"/>
              <w:bCs w:val="0"/>
              <w:i w:val="0"/>
              <w:iCs w:val="0"/>
              <w:noProof/>
              <w:kern w:val="2"/>
              <w:sz w:val="28"/>
              <w:szCs w:val="28"/>
              <w14:ligatures w14:val="standardContextual"/>
            </w:rPr>
          </w:pPr>
          <w:hyperlink w:anchor="_Toc236070367" w:history="1">
            <w:r w:rsidRPr="00996D3B">
              <w:rPr>
                <w:rStyle w:val="Hyperlink"/>
                <w:rFonts w:ascii="Arial" w:eastAsia="Arial" w:hAnsi="Arial" w:cs="Arial"/>
                <w:i w:val="0"/>
                <w:iCs w:val="0"/>
                <w:noProof/>
                <w:sz w:val="28"/>
                <w:szCs w:val="28"/>
              </w:rPr>
              <w:t>Recommendation</w:t>
            </w:r>
            <w:r w:rsidRPr="00996D3B">
              <w:rPr>
                <w:i w:val="0"/>
                <w:iCs w:val="0"/>
                <w:noProof/>
                <w:webHidden/>
                <w:sz w:val="28"/>
                <w:szCs w:val="28"/>
              </w:rPr>
              <w:tab/>
            </w:r>
            <w:r w:rsidRPr="00996D3B">
              <w:rPr>
                <w:i w:val="0"/>
                <w:iCs w:val="0"/>
                <w:noProof/>
                <w:webHidden/>
                <w:sz w:val="28"/>
                <w:szCs w:val="28"/>
              </w:rPr>
              <w:fldChar w:fldCharType="begin"/>
            </w:r>
            <w:r w:rsidRPr="00996D3B">
              <w:rPr>
                <w:i w:val="0"/>
                <w:iCs w:val="0"/>
                <w:noProof/>
                <w:webHidden/>
                <w:sz w:val="28"/>
                <w:szCs w:val="28"/>
              </w:rPr>
              <w:instrText xml:space="preserve"> PAGEREF _Toc236070367 \h </w:instrText>
            </w:r>
            <w:r w:rsidRPr="00996D3B">
              <w:rPr>
                <w:i w:val="0"/>
                <w:iCs w:val="0"/>
                <w:noProof/>
                <w:webHidden/>
                <w:sz w:val="28"/>
                <w:szCs w:val="28"/>
              </w:rPr>
            </w:r>
            <w:r w:rsidRPr="00996D3B">
              <w:rPr>
                <w:i w:val="0"/>
                <w:iCs w:val="0"/>
                <w:noProof/>
                <w:webHidden/>
                <w:sz w:val="28"/>
                <w:szCs w:val="28"/>
              </w:rPr>
              <w:fldChar w:fldCharType="separate"/>
            </w:r>
            <w:r w:rsidRPr="00996D3B">
              <w:rPr>
                <w:i w:val="0"/>
                <w:iCs w:val="0"/>
                <w:noProof/>
                <w:webHidden/>
                <w:sz w:val="28"/>
                <w:szCs w:val="28"/>
              </w:rPr>
              <w:t>14</w:t>
            </w:r>
            <w:r w:rsidRPr="00996D3B">
              <w:rPr>
                <w:i w:val="0"/>
                <w:iCs w:val="0"/>
                <w:noProof/>
                <w:webHidden/>
                <w:sz w:val="28"/>
                <w:szCs w:val="28"/>
              </w:rPr>
              <w:fldChar w:fldCharType="end"/>
            </w:r>
          </w:hyperlink>
        </w:p>
        <w:p w14:paraId="7813910A" w14:textId="0DCA8B6D" w:rsidR="00996D3B" w:rsidRPr="00996D3B" w:rsidRDefault="00996D3B" w:rsidP="00996D3B">
          <w:pPr>
            <w:pStyle w:val="TOC1"/>
            <w:tabs>
              <w:tab w:val="right" w:leader="dot" w:pos="9016"/>
            </w:tabs>
            <w:spacing w:line="480" w:lineRule="auto"/>
            <w:rPr>
              <w:rFonts w:eastAsiaTheme="minorEastAsia" w:cstheme="minorBidi"/>
              <w:b w:val="0"/>
              <w:bCs w:val="0"/>
              <w:i w:val="0"/>
              <w:iCs w:val="0"/>
              <w:noProof/>
              <w:kern w:val="2"/>
              <w:sz w:val="28"/>
              <w:szCs w:val="28"/>
              <w14:ligatures w14:val="standardContextual"/>
            </w:rPr>
          </w:pPr>
          <w:hyperlink w:anchor="_Toc236070368" w:history="1">
            <w:r w:rsidRPr="00996D3B">
              <w:rPr>
                <w:rStyle w:val="Hyperlink"/>
                <w:rFonts w:ascii="Arial" w:eastAsia="Arial" w:hAnsi="Arial" w:cs="Arial"/>
                <w:i w:val="0"/>
                <w:iCs w:val="0"/>
                <w:noProof/>
                <w:sz w:val="28"/>
                <w:szCs w:val="28"/>
              </w:rPr>
              <w:t>Conclusion</w:t>
            </w:r>
            <w:r w:rsidRPr="00996D3B">
              <w:rPr>
                <w:i w:val="0"/>
                <w:iCs w:val="0"/>
                <w:noProof/>
                <w:webHidden/>
                <w:sz w:val="28"/>
                <w:szCs w:val="28"/>
              </w:rPr>
              <w:tab/>
            </w:r>
            <w:r w:rsidRPr="00996D3B">
              <w:rPr>
                <w:i w:val="0"/>
                <w:iCs w:val="0"/>
                <w:noProof/>
                <w:webHidden/>
                <w:sz w:val="28"/>
                <w:szCs w:val="28"/>
              </w:rPr>
              <w:fldChar w:fldCharType="begin"/>
            </w:r>
            <w:r w:rsidRPr="00996D3B">
              <w:rPr>
                <w:i w:val="0"/>
                <w:iCs w:val="0"/>
                <w:noProof/>
                <w:webHidden/>
                <w:sz w:val="28"/>
                <w:szCs w:val="28"/>
              </w:rPr>
              <w:instrText xml:space="preserve"> PAGEREF _Toc236070368 \h </w:instrText>
            </w:r>
            <w:r w:rsidRPr="00996D3B">
              <w:rPr>
                <w:i w:val="0"/>
                <w:iCs w:val="0"/>
                <w:noProof/>
                <w:webHidden/>
                <w:sz w:val="28"/>
                <w:szCs w:val="28"/>
              </w:rPr>
            </w:r>
            <w:r w:rsidRPr="00996D3B">
              <w:rPr>
                <w:i w:val="0"/>
                <w:iCs w:val="0"/>
                <w:noProof/>
                <w:webHidden/>
                <w:sz w:val="28"/>
                <w:szCs w:val="28"/>
              </w:rPr>
              <w:fldChar w:fldCharType="separate"/>
            </w:r>
            <w:r w:rsidRPr="00996D3B">
              <w:rPr>
                <w:i w:val="0"/>
                <w:iCs w:val="0"/>
                <w:noProof/>
                <w:webHidden/>
                <w:sz w:val="28"/>
                <w:szCs w:val="28"/>
              </w:rPr>
              <w:t>15</w:t>
            </w:r>
            <w:r w:rsidRPr="00996D3B">
              <w:rPr>
                <w:i w:val="0"/>
                <w:iCs w:val="0"/>
                <w:noProof/>
                <w:webHidden/>
                <w:sz w:val="28"/>
                <w:szCs w:val="28"/>
              </w:rPr>
              <w:fldChar w:fldCharType="end"/>
            </w:r>
          </w:hyperlink>
        </w:p>
        <w:p w14:paraId="21B02040" w14:textId="56220C5E" w:rsidR="00996D3B" w:rsidRPr="00996D3B" w:rsidRDefault="00996D3B" w:rsidP="00996D3B">
          <w:pPr>
            <w:pStyle w:val="TOC1"/>
            <w:tabs>
              <w:tab w:val="right" w:leader="dot" w:pos="9016"/>
            </w:tabs>
            <w:spacing w:line="480" w:lineRule="auto"/>
            <w:rPr>
              <w:rFonts w:eastAsiaTheme="minorEastAsia" w:cstheme="minorBidi"/>
              <w:b w:val="0"/>
              <w:bCs w:val="0"/>
              <w:i w:val="0"/>
              <w:iCs w:val="0"/>
              <w:noProof/>
              <w:kern w:val="2"/>
              <w:sz w:val="28"/>
              <w:szCs w:val="28"/>
              <w14:ligatures w14:val="standardContextual"/>
            </w:rPr>
          </w:pPr>
          <w:hyperlink w:anchor="_Toc236070369" w:history="1">
            <w:r w:rsidRPr="00996D3B">
              <w:rPr>
                <w:rStyle w:val="Hyperlink"/>
                <w:rFonts w:ascii="Arial" w:eastAsia="Arial" w:hAnsi="Arial" w:cs="Arial"/>
                <w:i w:val="0"/>
                <w:iCs w:val="0"/>
                <w:noProof/>
                <w:sz w:val="28"/>
                <w:szCs w:val="28"/>
              </w:rPr>
              <w:t>References</w:t>
            </w:r>
            <w:r w:rsidRPr="00996D3B">
              <w:rPr>
                <w:i w:val="0"/>
                <w:iCs w:val="0"/>
                <w:noProof/>
                <w:webHidden/>
                <w:sz w:val="28"/>
                <w:szCs w:val="28"/>
              </w:rPr>
              <w:tab/>
            </w:r>
            <w:r w:rsidRPr="00996D3B">
              <w:rPr>
                <w:i w:val="0"/>
                <w:iCs w:val="0"/>
                <w:noProof/>
                <w:webHidden/>
                <w:sz w:val="28"/>
                <w:szCs w:val="28"/>
              </w:rPr>
              <w:fldChar w:fldCharType="begin"/>
            </w:r>
            <w:r w:rsidRPr="00996D3B">
              <w:rPr>
                <w:i w:val="0"/>
                <w:iCs w:val="0"/>
                <w:noProof/>
                <w:webHidden/>
                <w:sz w:val="28"/>
                <w:szCs w:val="28"/>
              </w:rPr>
              <w:instrText xml:space="preserve"> PAGEREF _Toc236070369 \h </w:instrText>
            </w:r>
            <w:r w:rsidRPr="00996D3B">
              <w:rPr>
                <w:i w:val="0"/>
                <w:iCs w:val="0"/>
                <w:noProof/>
                <w:webHidden/>
                <w:sz w:val="28"/>
                <w:szCs w:val="28"/>
              </w:rPr>
            </w:r>
            <w:r w:rsidRPr="00996D3B">
              <w:rPr>
                <w:i w:val="0"/>
                <w:iCs w:val="0"/>
                <w:noProof/>
                <w:webHidden/>
                <w:sz w:val="28"/>
                <w:szCs w:val="28"/>
              </w:rPr>
              <w:fldChar w:fldCharType="separate"/>
            </w:r>
            <w:r w:rsidRPr="00996D3B">
              <w:rPr>
                <w:i w:val="0"/>
                <w:iCs w:val="0"/>
                <w:noProof/>
                <w:webHidden/>
                <w:sz w:val="28"/>
                <w:szCs w:val="28"/>
              </w:rPr>
              <w:t>17</w:t>
            </w:r>
            <w:r w:rsidRPr="00996D3B">
              <w:rPr>
                <w:i w:val="0"/>
                <w:iCs w:val="0"/>
                <w:noProof/>
                <w:webHidden/>
                <w:sz w:val="28"/>
                <w:szCs w:val="28"/>
              </w:rPr>
              <w:fldChar w:fldCharType="end"/>
            </w:r>
          </w:hyperlink>
        </w:p>
        <w:p w14:paraId="628DAAAC" w14:textId="7CD1F536" w:rsidR="007B3720" w:rsidRPr="007B3720" w:rsidRDefault="007B3720" w:rsidP="00996D3B">
          <w:pPr>
            <w:spacing w:line="480" w:lineRule="auto"/>
            <w:rPr>
              <w:b/>
              <w:bCs/>
            </w:rPr>
          </w:pPr>
          <w:r w:rsidRPr="00996D3B">
            <w:rPr>
              <w:b/>
              <w:bCs/>
              <w:noProof/>
              <w:sz w:val="28"/>
              <w:szCs w:val="28"/>
            </w:rPr>
            <w:fldChar w:fldCharType="end"/>
          </w:r>
        </w:p>
      </w:sdtContent>
    </w:sdt>
    <w:p w14:paraId="4FB9DB81" w14:textId="0B0C535F" w:rsidR="007B3720" w:rsidRPr="007B3720" w:rsidRDefault="007B3720" w:rsidP="007B3720">
      <w:pPr>
        <w:spacing w:line="480" w:lineRule="auto"/>
        <w:rPr>
          <w:rFonts w:eastAsia="Arial"/>
          <w:b/>
          <w:bCs/>
          <w:color w:val="2E74B5"/>
          <w:sz w:val="36"/>
          <w:szCs w:val="36"/>
        </w:rPr>
      </w:pPr>
    </w:p>
    <w:p w14:paraId="049C5638" w14:textId="6EBB7457" w:rsidR="007B3720" w:rsidRDefault="007B3720">
      <w:pPr>
        <w:rPr>
          <w:rFonts w:eastAsia="Arial"/>
          <w:color w:val="2E74B5"/>
          <w:sz w:val="36"/>
          <w:szCs w:val="36"/>
        </w:rPr>
      </w:pPr>
      <w:r>
        <w:rPr>
          <w:rFonts w:eastAsia="Arial"/>
          <w:sz w:val="36"/>
          <w:szCs w:val="36"/>
        </w:rPr>
        <w:br w:type="page"/>
      </w:r>
    </w:p>
    <w:p w14:paraId="3D87883D" w14:textId="483A6E0A" w:rsidR="000D3E2D" w:rsidRPr="00044B47" w:rsidRDefault="00000000" w:rsidP="00A72CE5">
      <w:pPr>
        <w:pStyle w:val="Heading1"/>
        <w:rPr>
          <w:rFonts w:ascii="Arial" w:hAnsi="Arial" w:cs="Arial"/>
          <w:b/>
          <w:bCs/>
          <w:sz w:val="36"/>
          <w:szCs w:val="36"/>
        </w:rPr>
      </w:pPr>
      <w:bookmarkStart w:id="0" w:name="_Toc236070361"/>
      <w:r w:rsidRPr="00044B47">
        <w:rPr>
          <w:rFonts w:ascii="Arial" w:eastAsia="Arial" w:hAnsi="Arial" w:cs="Arial"/>
          <w:b/>
          <w:bCs/>
          <w:sz w:val="36"/>
          <w:szCs w:val="36"/>
        </w:rPr>
        <w:lastRenderedPageBreak/>
        <w:t>Introduction</w:t>
      </w:r>
      <w:bookmarkEnd w:id="0"/>
    </w:p>
    <w:p w14:paraId="02AE20FE" w14:textId="77777777" w:rsidR="00A72CE5" w:rsidRDefault="00A72CE5" w:rsidP="00A72CE5">
      <w:pPr>
        <w:spacing w:after="200" w:line="360" w:lineRule="auto"/>
        <w:jc w:val="both"/>
        <w:rPr>
          <w:rFonts w:ascii="Arial" w:eastAsia="Arial" w:hAnsi="Arial" w:cs="Arial"/>
          <w:sz w:val="22"/>
          <w:szCs w:val="22"/>
        </w:rPr>
      </w:pPr>
    </w:p>
    <w:p w14:paraId="138251B3" w14:textId="5CBE1164" w:rsidR="000D3E2D" w:rsidRPr="00A72CE5" w:rsidRDefault="00000000" w:rsidP="00A72CE5">
      <w:pPr>
        <w:spacing w:after="200" w:line="360" w:lineRule="auto"/>
        <w:jc w:val="both"/>
        <w:rPr>
          <w:rFonts w:ascii="Arial" w:hAnsi="Arial" w:cs="Arial"/>
          <w:sz w:val="22"/>
          <w:szCs w:val="22"/>
        </w:rPr>
      </w:pPr>
      <w:r w:rsidRPr="00A72CE5">
        <w:rPr>
          <w:rFonts w:ascii="Arial" w:eastAsia="Arial" w:hAnsi="Arial" w:cs="Arial"/>
          <w:sz w:val="22"/>
          <w:szCs w:val="22"/>
        </w:rPr>
        <w:t>Lewis Blackman was fifteen years old, a South Carolina schoolboy remembered by his family as academically gifted and broadly accomplished, with active interests in football, saxophone, writing and community theatre. Two months after his fifteenth birthday, he was admitted to a large United States teaching hospital for a routine, minimally invasive procedure to correct pectus excavatum, a chest wall defect, and the operation itself was reported to have gone uneventfully. On the third post-operative day, however, Lewis died. The cause was a perforated duodenal ulcer, a recognised adverse effect of the analgesic Toradol, which produced internal bleeding and peritonitis over roughly thirty hours. During this deterioration, a pulse oximeter alarm was twice adjusted and finally switched off, twelve blood pressure readings were taken with seven different instruments, the family's concerns were repeatedly dismissed as constipation, and no attending physician was ever called to review the patient (Patient Safety Movement Foundation, n.d.). His mother, Helen Haskell, subsequently became an internationally recognised patient-safety advocate, and the case is now widely used in healthcare leadership and governance education because it demonstrates how clinical hierarchy, diffusion of responsibility and weak escalation systems can override the competence of individual staff.</w:t>
      </w:r>
    </w:p>
    <w:p w14:paraId="0984EE30" w14:textId="77777777" w:rsidR="000D3E2D" w:rsidRPr="00A72CE5" w:rsidRDefault="00000000" w:rsidP="00A72CE5">
      <w:pPr>
        <w:spacing w:after="200" w:line="360" w:lineRule="auto"/>
        <w:jc w:val="both"/>
        <w:rPr>
          <w:rFonts w:ascii="Arial" w:hAnsi="Arial" w:cs="Arial"/>
          <w:sz w:val="22"/>
          <w:szCs w:val="22"/>
        </w:rPr>
      </w:pPr>
      <w:r w:rsidRPr="00A72CE5">
        <w:rPr>
          <w:rFonts w:ascii="Arial" w:eastAsia="Arial" w:hAnsi="Arial" w:cs="Arial"/>
          <w:sz w:val="22"/>
          <w:szCs w:val="22"/>
        </w:rPr>
        <w:t>This report uses the Blackman case to examine leadership in health and social care, defined as the process of influencing individuals and teams towards shared goals of safe, effective and person-centred care (West and Dawson, 2012). Leadership operates within organisational structures that can be broadly centralised, where authority and decision-making sit with a small number of senior figures, or decentralised, where authority is distributed towards those closest to the patient. Each structure carries implications for how quickly information travels, how accountable staff feel, and how safely a deteriorating patient is escalated. Leadership theory offers several lenses through which to interpret these dynamics, including transformational leadership, which motivates staff through shared vision and psychological safety and encourages performance beyond formal expectations (Bass, 1985; Burns, 1978); transactional leadership, which relies on supervision, reward and correction to maintain an agreed standard of performance (Bass, 1985); and situational leadership, which adapts style to the competence and confidence of the team and the demands of the moment (Hersey and Blanchard, 1969).</w:t>
      </w:r>
    </w:p>
    <w:p w14:paraId="4BB256B8" w14:textId="77777777" w:rsidR="000D3E2D" w:rsidRPr="00A72CE5" w:rsidRDefault="00000000" w:rsidP="00A72CE5">
      <w:pPr>
        <w:spacing w:after="200" w:line="360" w:lineRule="auto"/>
        <w:jc w:val="both"/>
        <w:rPr>
          <w:rFonts w:ascii="Arial" w:hAnsi="Arial" w:cs="Arial"/>
          <w:sz w:val="22"/>
          <w:szCs w:val="22"/>
        </w:rPr>
      </w:pPr>
      <w:r w:rsidRPr="00A72CE5">
        <w:rPr>
          <w:rFonts w:ascii="Arial" w:eastAsia="Arial" w:hAnsi="Arial" w:cs="Arial"/>
          <w:sz w:val="22"/>
          <w:szCs w:val="22"/>
        </w:rPr>
        <w:t xml:space="preserve">Selecting the right leadership style matters most in change or crisis situations, where ambiguous or rapidly evolving information must be acted on quickly and where junior staff need explicit permission and support to challenge senior opinion or request help. Evidence </w:t>
      </w:r>
      <w:r w:rsidRPr="00A72CE5">
        <w:rPr>
          <w:rFonts w:ascii="Arial" w:eastAsia="Arial" w:hAnsi="Arial" w:cs="Arial"/>
          <w:sz w:val="22"/>
          <w:szCs w:val="22"/>
        </w:rPr>
        <w:lastRenderedPageBreak/>
        <w:t>indicates that unsafe care is far from an isolated problem: the World Health Organization estimates that unsafe care causes more than three million deaths globally each year, with around half of all harm considered preventable (WHO, 2024). In England, an estimated 237 million medication errors occur annually across the medication pathway (Elliott et al., 2020), and NHS England continues to record several hundred 'Never Events' each year, incidents so serious they are deemed entirely preventable (NHS England, 2026). These figures situate the Blackman case not as an isolated tragedy but as an illustration of failure patterns that recur across health systems internationally.</w:t>
      </w:r>
    </w:p>
    <w:p w14:paraId="13B59BED" w14:textId="77777777" w:rsidR="000D3E2D" w:rsidRPr="00A72CE5" w:rsidRDefault="00000000" w:rsidP="00A72CE5">
      <w:pPr>
        <w:spacing w:after="200" w:line="360" w:lineRule="auto"/>
        <w:jc w:val="both"/>
        <w:rPr>
          <w:rFonts w:ascii="Arial" w:hAnsi="Arial" w:cs="Arial"/>
          <w:sz w:val="22"/>
          <w:szCs w:val="22"/>
        </w:rPr>
      </w:pPr>
      <w:r w:rsidRPr="00A72CE5">
        <w:rPr>
          <w:rFonts w:ascii="Arial" w:eastAsia="Arial" w:hAnsi="Arial" w:cs="Arial"/>
          <w:sz w:val="22"/>
          <w:szCs w:val="22"/>
        </w:rPr>
        <w:t>The report first applies systems thinking and a Rich Picture to establish the system context in which Lewis Blackman died, before analysing the case through the lens of centralisation and decentralisation, and then through relevant leadership theory. It goes on to identify missed opportunities and evidence-based improvements, before setting out recommendations for leadership style, governance and systems integration, and concluding with the broader implications for health and social care organisations.</w:t>
      </w:r>
    </w:p>
    <w:p w14:paraId="392B86B9" w14:textId="77777777" w:rsidR="000D3E2D" w:rsidRPr="00A72CE5" w:rsidRDefault="00000000" w:rsidP="00A72CE5">
      <w:pPr>
        <w:spacing w:line="360" w:lineRule="auto"/>
        <w:rPr>
          <w:rFonts w:ascii="Arial" w:hAnsi="Arial" w:cs="Arial"/>
          <w:sz w:val="22"/>
          <w:szCs w:val="22"/>
        </w:rPr>
      </w:pPr>
      <w:r w:rsidRPr="00A72CE5">
        <w:rPr>
          <w:rFonts w:ascii="Arial" w:hAnsi="Arial" w:cs="Arial"/>
          <w:sz w:val="22"/>
          <w:szCs w:val="22"/>
        </w:rPr>
        <w:br w:type="page"/>
      </w:r>
    </w:p>
    <w:p w14:paraId="55DC46D1" w14:textId="43930DB2" w:rsidR="000D3E2D" w:rsidRPr="007B3720" w:rsidRDefault="00000000" w:rsidP="00A72CE5">
      <w:pPr>
        <w:pStyle w:val="Heading1"/>
        <w:spacing w:before="360" w:after="200" w:line="360" w:lineRule="auto"/>
        <w:rPr>
          <w:rFonts w:ascii="Arial" w:hAnsi="Arial" w:cs="Arial"/>
          <w:sz w:val="36"/>
          <w:szCs w:val="36"/>
        </w:rPr>
      </w:pPr>
      <w:bookmarkStart w:id="1" w:name="_Toc236070362"/>
      <w:r w:rsidRPr="007B3720">
        <w:rPr>
          <w:rFonts w:ascii="Arial" w:eastAsia="Arial" w:hAnsi="Arial" w:cs="Arial"/>
          <w:b/>
          <w:bCs/>
          <w:sz w:val="36"/>
          <w:szCs w:val="36"/>
        </w:rPr>
        <w:lastRenderedPageBreak/>
        <w:t>Analysis</w:t>
      </w:r>
      <w:r w:rsidR="00996D3B">
        <w:rPr>
          <w:rFonts w:ascii="Arial" w:eastAsia="Arial" w:hAnsi="Arial" w:cs="Arial"/>
          <w:b/>
          <w:bCs/>
          <w:sz w:val="36"/>
          <w:szCs w:val="36"/>
        </w:rPr>
        <w:t xml:space="preserve"> and Discussion</w:t>
      </w:r>
      <w:bookmarkEnd w:id="1"/>
    </w:p>
    <w:p w14:paraId="7E959112" w14:textId="77777777" w:rsidR="000D3E2D" w:rsidRPr="007B3720" w:rsidRDefault="00000000" w:rsidP="00A72CE5">
      <w:pPr>
        <w:pStyle w:val="Heading2"/>
        <w:spacing w:before="300" w:after="160" w:line="360" w:lineRule="auto"/>
        <w:rPr>
          <w:rFonts w:ascii="Arial" w:hAnsi="Arial" w:cs="Arial"/>
          <w:sz w:val="32"/>
          <w:szCs w:val="32"/>
        </w:rPr>
      </w:pPr>
      <w:bookmarkStart w:id="2" w:name="_Toc236070363"/>
      <w:r w:rsidRPr="007B3720">
        <w:rPr>
          <w:rFonts w:ascii="Arial" w:eastAsia="Arial" w:hAnsi="Arial" w:cs="Arial"/>
          <w:b/>
          <w:bCs/>
          <w:sz w:val="32"/>
          <w:szCs w:val="32"/>
        </w:rPr>
        <w:t>a. Identifying the Problem and Setting the System Context</w:t>
      </w:r>
      <w:bookmarkEnd w:id="2"/>
    </w:p>
    <w:p w14:paraId="4BD71B3F" w14:textId="06B62229"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In the Blackman case, the whole central problem really was that the staff failed to spot and then properly escalate a patient that was clearly worsening. After surgery, opioid pain control was started via epidural together with intravenous Toradol, but because the breathing was affected, oxygen levels were watched using a pulse oximeter. There was an alarm on it, that was lowered from 90% to 85% and then later switched off, so that sleep would not be disturbed or something like that. Then on the third post operative day, when </w:t>
      </w:r>
      <w:r w:rsidR="007B3720" w:rsidRPr="00A72CE5">
        <w:rPr>
          <w:rFonts w:ascii="Arial" w:eastAsia="Arial" w:hAnsi="Arial" w:cs="Arial"/>
          <w:sz w:val="22"/>
          <w:szCs w:val="22"/>
        </w:rPr>
        <w:t>severe</w:t>
      </w:r>
      <w:r w:rsidRPr="00A72CE5">
        <w:rPr>
          <w:rFonts w:ascii="Arial" w:eastAsia="Arial" w:hAnsi="Arial" w:cs="Arial"/>
          <w:sz w:val="22"/>
          <w:szCs w:val="22"/>
        </w:rPr>
        <w:t xml:space="preserve"> abdominal pain showed up, it was treated like an ileus and it was just never looked at again, even though the belly started to become more distended and the temperature </w:t>
      </w:r>
      <w:r w:rsidR="007B3720" w:rsidRPr="00A72CE5">
        <w:rPr>
          <w:rFonts w:ascii="Arial" w:eastAsia="Arial" w:hAnsi="Arial" w:cs="Arial"/>
          <w:sz w:val="22"/>
          <w:szCs w:val="22"/>
        </w:rPr>
        <w:t>fell</w:t>
      </w:r>
      <w:r w:rsidRPr="00A72CE5">
        <w:rPr>
          <w:rFonts w:ascii="Arial" w:eastAsia="Arial" w:hAnsi="Arial" w:cs="Arial"/>
          <w:sz w:val="22"/>
          <w:szCs w:val="22"/>
        </w:rPr>
        <w:t xml:space="preserve">. Over that weekend, care was basically done by an intern who was only five months out of training, no attending physician was contacted, and a blood pressure was not obtainable for more than two hours even after twelve attempts using seven different devices </w:t>
      </w:r>
      <w:r w:rsidR="007B3720" w:rsidRPr="00A72CE5">
        <w:rPr>
          <w:rFonts w:ascii="Arial" w:eastAsia="Arial" w:hAnsi="Arial" w:cs="Arial"/>
          <w:sz w:val="22"/>
          <w:szCs w:val="22"/>
        </w:rPr>
        <w:t>(Patient</w:t>
      </w:r>
      <w:r w:rsidRPr="00A72CE5">
        <w:rPr>
          <w:rFonts w:ascii="Arial" w:eastAsia="Arial" w:hAnsi="Arial" w:cs="Arial"/>
          <w:sz w:val="22"/>
          <w:szCs w:val="22"/>
        </w:rPr>
        <w:t xml:space="preserve"> Safety Movement </w:t>
      </w:r>
      <w:r w:rsidR="007B3720" w:rsidRPr="00A72CE5">
        <w:rPr>
          <w:rFonts w:ascii="Arial" w:eastAsia="Arial" w:hAnsi="Arial" w:cs="Arial"/>
          <w:sz w:val="22"/>
          <w:szCs w:val="22"/>
        </w:rPr>
        <w:t>Foundation,</w:t>
      </w:r>
      <w:r w:rsidRPr="00A72CE5">
        <w:rPr>
          <w:rFonts w:ascii="Arial" w:eastAsia="Arial" w:hAnsi="Arial" w:cs="Arial"/>
          <w:sz w:val="22"/>
          <w:szCs w:val="22"/>
        </w:rPr>
        <w:t xml:space="preserve"> n.d.). After that, a cardiac arrest happened within the hour, and the underlying issue was not just one person, but a system that could not translate deteriorating vital signs into a timely senior review.</w:t>
      </w:r>
    </w:p>
    <w:p w14:paraId="243A78D1" w14:textId="54D9924E"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This pattern is not </w:t>
      </w:r>
      <w:r w:rsidR="007B3720" w:rsidRPr="00A72CE5">
        <w:rPr>
          <w:rFonts w:ascii="Arial" w:eastAsia="Arial" w:hAnsi="Arial" w:cs="Arial"/>
          <w:sz w:val="22"/>
          <w:szCs w:val="22"/>
        </w:rPr>
        <w:t>unique</w:t>
      </w:r>
      <w:r w:rsidRPr="00A72CE5">
        <w:rPr>
          <w:rFonts w:ascii="Arial" w:eastAsia="Arial" w:hAnsi="Arial" w:cs="Arial"/>
          <w:sz w:val="22"/>
          <w:szCs w:val="22"/>
        </w:rPr>
        <w:t xml:space="preserve"> to just one hospital. A bit more globally, the World Health Organization estimates that unsafe care leads to over three million deaths every year, with more than one in ten patients seeing harm during care and around half of that harm judged preventable (WHO, 2024). Diagnostic error is specifically estimated to account for 16% of preventable patient harm across healthcare settings (WHO, 2024), and that category basically frames the diagnostic anchoring seen in the Blackman case, where the working diagnosis of constipation was never properly revisited, even as contradictory signs piled up. </w:t>
      </w:r>
    </w:p>
    <w:p w14:paraId="7239AFAE" w14:textId="287E1D05"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If you zoom in to the UK </w:t>
      </w:r>
      <w:r w:rsidR="007B3720" w:rsidRPr="00A72CE5">
        <w:rPr>
          <w:rFonts w:ascii="Arial" w:eastAsia="Arial" w:hAnsi="Arial" w:cs="Arial"/>
          <w:sz w:val="22"/>
          <w:szCs w:val="22"/>
        </w:rPr>
        <w:t>context,</w:t>
      </w:r>
      <w:r w:rsidRPr="00A72CE5">
        <w:rPr>
          <w:rFonts w:ascii="Arial" w:eastAsia="Arial" w:hAnsi="Arial" w:cs="Arial"/>
          <w:sz w:val="22"/>
          <w:szCs w:val="22"/>
        </w:rPr>
        <w:t xml:space="preserve"> NHS England recorded 403 Never Events in 2025/26, covering medication-related incidents, wrong site procedures and retained items, and these figures have increased rather than decreased year on year (NHS England, 2026). Meanwhile, in England, an estimated 237 million medication errors occur across the medication pathway annually, with roughly 66 million being potentially clinically significant (Elliott et al., 2020). On an organisational scale, the Institute for Healthcare Improvement’s 100,000 Lives Campaign placed failure to rescue</w:t>
      </w:r>
      <w:r w:rsidR="007B3720">
        <w:rPr>
          <w:rFonts w:ascii="Arial" w:eastAsia="Arial" w:hAnsi="Arial" w:cs="Arial"/>
          <w:sz w:val="22"/>
          <w:szCs w:val="22"/>
        </w:rPr>
        <w:t>-</w:t>
      </w:r>
      <w:r w:rsidRPr="00A72CE5">
        <w:rPr>
          <w:rFonts w:ascii="Arial" w:eastAsia="Arial" w:hAnsi="Arial" w:cs="Arial"/>
          <w:sz w:val="22"/>
          <w:szCs w:val="22"/>
        </w:rPr>
        <w:t>the preventable death of a patient after an unrecognised complication</w:t>
      </w:r>
      <w:r w:rsidR="007B3720">
        <w:rPr>
          <w:rFonts w:ascii="Arial" w:eastAsia="Arial" w:hAnsi="Arial" w:cs="Arial"/>
          <w:sz w:val="22"/>
          <w:szCs w:val="22"/>
        </w:rPr>
        <w:t>-</w:t>
      </w:r>
      <w:r w:rsidRPr="00A72CE5">
        <w:rPr>
          <w:rFonts w:ascii="Arial" w:eastAsia="Arial" w:hAnsi="Arial" w:cs="Arial"/>
          <w:sz w:val="22"/>
          <w:szCs w:val="22"/>
        </w:rPr>
        <w:t xml:space="preserve">among six priority national safety targets, and it estimated that dependable rapid response systems could save 66,000 lives (IHI, 2005). </w:t>
      </w:r>
    </w:p>
    <w:p w14:paraId="2A15AA89" w14:textId="77777777" w:rsidR="00A72CE5" w:rsidRPr="00A72CE5" w:rsidRDefault="00A72CE5" w:rsidP="00A72CE5">
      <w:pPr>
        <w:spacing w:after="200" w:line="360" w:lineRule="auto"/>
        <w:jc w:val="both"/>
        <w:rPr>
          <w:rFonts w:ascii="Arial" w:eastAsia="Arial" w:hAnsi="Arial" w:cs="Arial"/>
          <w:sz w:val="22"/>
          <w:szCs w:val="22"/>
        </w:rPr>
      </w:pPr>
    </w:p>
    <w:p w14:paraId="45EC5A9B" w14:textId="02D735C7"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lastRenderedPageBreak/>
        <w:t xml:space="preserve">Failure to rescue was first proposed as a hospital level quality metric by Silber et al. (1992). It still is the clearest view, or lens, through which to interpret the Blackman case: Lewis did not die merely because a complication occurred, because a perforated ulcer is generally recognised, and often survivable, but rather because the system around him did not spot it and then respond quickly enough. So overall, this supports that his death sits within a </w:t>
      </w:r>
      <w:r w:rsidR="007B3720" w:rsidRPr="00A72CE5">
        <w:rPr>
          <w:rFonts w:ascii="Arial" w:eastAsia="Arial" w:hAnsi="Arial" w:cs="Arial"/>
          <w:sz w:val="22"/>
          <w:szCs w:val="22"/>
        </w:rPr>
        <w:t>well-documented</w:t>
      </w:r>
      <w:r w:rsidRPr="00A72CE5">
        <w:rPr>
          <w:rFonts w:ascii="Arial" w:eastAsia="Arial" w:hAnsi="Arial" w:cs="Arial"/>
          <w:sz w:val="22"/>
          <w:szCs w:val="22"/>
        </w:rPr>
        <w:t xml:space="preserve"> and persistent</w:t>
      </w:r>
    </w:p>
    <w:p w14:paraId="6EA51047" w14:textId="7B8130D0"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The case, in a way, shows at least three underlying systemic weaknesses. First there’s a communication </w:t>
      </w:r>
      <w:r w:rsidR="007B3720" w:rsidRPr="00A72CE5">
        <w:rPr>
          <w:rFonts w:ascii="Arial" w:eastAsia="Arial" w:hAnsi="Arial" w:cs="Arial"/>
          <w:sz w:val="22"/>
          <w:szCs w:val="22"/>
        </w:rPr>
        <w:t>weakness,</w:t>
      </w:r>
      <w:r w:rsidRPr="00A72CE5">
        <w:rPr>
          <w:rFonts w:ascii="Arial" w:eastAsia="Arial" w:hAnsi="Arial" w:cs="Arial"/>
          <w:sz w:val="22"/>
          <w:szCs w:val="22"/>
        </w:rPr>
        <w:t xml:space="preserve"> the vital sign trends weren’t charted in any meaningful way or reviewed as an actual trajectory, and the one alarm system that was meant to yank attention toward deterioration was basically silenced. Second, an accountability weakness: responsibility for Lewis’s care got spread out across a rotating set of junior staff, with no single senior clinician actually named as fully accountable for the whole admission, and that kind of setup, as the wider literature puts it, is linked to slower recognition of patient decline. Third, a leadership weakness, at no point did anyone</w:t>
      </w:r>
      <w:r w:rsidR="007B3720">
        <w:rPr>
          <w:rFonts w:ascii="Arial" w:eastAsia="Arial" w:hAnsi="Arial" w:cs="Arial"/>
          <w:sz w:val="22"/>
          <w:szCs w:val="22"/>
        </w:rPr>
        <w:t>-</w:t>
      </w:r>
      <w:r w:rsidRPr="00A72CE5">
        <w:rPr>
          <w:rFonts w:ascii="Arial" w:eastAsia="Arial" w:hAnsi="Arial" w:cs="Arial"/>
          <w:sz w:val="22"/>
          <w:szCs w:val="22"/>
        </w:rPr>
        <w:t>at any level</w:t>
      </w:r>
      <w:r w:rsidR="007B3720">
        <w:rPr>
          <w:rFonts w:ascii="Arial" w:eastAsia="Arial" w:hAnsi="Arial" w:cs="Arial"/>
          <w:sz w:val="22"/>
          <w:szCs w:val="22"/>
        </w:rPr>
        <w:t>-</w:t>
      </w:r>
      <w:r w:rsidRPr="00A72CE5">
        <w:rPr>
          <w:rFonts w:ascii="Arial" w:eastAsia="Arial" w:hAnsi="Arial" w:cs="Arial"/>
          <w:sz w:val="22"/>
          <w:szCs w:val="22"/>
        </w:rPr>
        <w:t xml:space="preserve">use the authority or clinical judgement to push past the working diagnosis, or override that reassurance seeking habit within the team, and instead call an attending physician even though an escalation route was available and clearly indicated.  </w:t>
      </w:r>
    </w:p>
    <w:p w14:paraId="64F546AB" w14:textId="490B267F" w:rsidR="00A72CE5" w:rsidRPr="00A72CE5" w:rsidRDefault="007B3720"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All</w:t>
      </w:r>
      <w:r w:rsidR="00A72CE5" w:rsidRPr="00A72CE5">
        <w:rPr>
          <w:rFonts w:ascii="Arial" w:eastAsia="Arial" w:hAnsi="Arial" w:cs="Arial"/>
          <w:sz w:val="22"/>
          <w:szCs w:val="22"/>
        </w:rPr>
        <w:t xml:space="preserve"> these weaknesses seemed to sit in ward and hospital governance, not something you can pin on just one clinician. And UK evidence on the contested “weekend effect” points the same direction too, where lower senior medical presence plus a more junior staff mix on weekends goes along with worse </w:t>
      </w:r>
      <w:r w:rsidRPr="00A72CE5">
        <w:rPr>
          <w:rFonts w:ascii="Arial" w:eastAsia="Arial" w:hAnsi="Arial" w:cs="Arial"/>
          <w:sz w:val="22"/>
          <w:szCs w:val="22"/>
        </w:rPr>
        <w:t>outcomes,</w:t>
      </w:r>
      <w:r w:rsidR="00A72CE5" w:rsidRPr="00A72CE5">
        <w:rPr>
          <w:rFonts w:ascii="Arial" w:eastAsia="Arial" w:hAnsi="Arial" w:cs="Arial"/>
          <w:sz w:val="22"/>
          <w:szCs w:val="22"/>
        </w:rPr>
        <w:t xml:space="preserve"> even if the whole causal story is still argued, and case-mix really does matter a lot (Freemantle et al., 2015; Han et al., 2019).</w:t>
      </w:r>
    </w:p>
    <w:p w14:paraId="613B7F0A" w14:textId="328793BD" w:rsidR="00A72CE5" w:rsidRPr="00A72CE5" w:rsidRDefault="00A72CE5" w:rsidP="00A72CE5">
      <w:pPr>
        <w:spacing w:before="200" w:line="360" w:lineRule="auto"/>
        <w:jc w:val="both"/>
        <w:rPr>
          <w:rFonts w:ascii="Arial" w:eastAsia="Arial" w:hAnsi="Arial" w:cs="Arial"/>
          <w:sz w:val="22"/>
          <w:szCs w:val="22"/>
        </w:rPr>
      </w:pPr>
      <w:r w:rsidRPr="00A72CE5">
        <w:rPr>
          <w:rFonts w:ascii="Arial" w:eastAsia="Arial" w:hAnsi="Arial" w:cs="Arial"/>
          <w:sz w:val="22"/>
          <w:szCs w:val="22"/>
        </w:rPr>
        <w:t xml:space="preserve">Underling challenges around staffing and oversight are kind of visible in the case, Lewis was cared for over a weekend by an intern only five months out of </w:t>
      </w:r>
      <w:r w:rsidR="007B3720" w:rsidRPr="00A72CE5">
        <w:rPr>
          <w:rFonts w:ascii="Arial" w:eastAsia="Arial" w:hAnsi="Arial" w:cs="Arial"/>
          <w:sz w:val="22"/>
          <w:szCs w:val="22"/>
        </w:rPr>
        <w:t>training,</w:t>
      </w:r>
      <w:r w:rsidRPr="00A72CE5">
        <w:rPr>
          <w:rFonts w:ascii="Arial" w:eastAsia="Arial" w:hAnsi="Arial" w:cs="Arial"/>
          <w:sz w:val="22"/>
          <w:szCs w:val="22"/>
        </w:rPr>
        <w:t xml:space="preserve"> and that intern was covering resident duties, with senior specialist input there but only in a reactive way instead of being built into the usual routine review. It </w:t>
      </w:r>
      <w:r w:rsidR="007B3720" w:rsidRPr="00A72CE5">
        <w:rPr>
          <w:rFonts w:ascii="Arial" w:eastAsia="Arial" w:hAnsi="Arial" w:cs="Arial"/>
          <w:sz w:val="22"/>
          <w:szCs w:val="22"/>
        </w:rPr>
        <w:t>kind of</w:t>
      </w:r>
      <w:r w:rsidRPr="00A72CE5">
        <w:rPr>
          <w:rFonts w:ascii="Arial" w:eastAsia="Arial" w:hAnsi="Arial" w:cs="Arial"/>
          <w:sz w:val="22"/>
          <w:szCs w:val="22"/>
        </w:rPr>
        <w:t xml:space="preserve"> feels like this matches a bigger, evidenced pattern where junior doctors take on more of the weekend cover and then they get less senior specialist input than on weekdays (Han et al., 2019</w:t>
      </w:r>
      <w:r w:rsidR="007B3720" w:rsidRPr="00A72CE5">
        <w:rPr>
          <w:rFonts w:ascii="Arial" w:eastAsia="Arial" w:hAnsi="Arial" w:cs="Arial"/>
          <w:sz w:val="22"/>
          <w:szCs w:val="22"/>
        </w:rPr>
        <w:t>),</w:t>
      </w:r>
      <w:r w:rsidRPr="00A72CE5">
        <w:rPr>
          <w:rFonts w:ascii="Arial" w:eastAsia="Arial" w:hAnsi="Arial" w:cs="Arial"/>
          <w:sz w:val="22"/>
          <w:szCs w:val="22"/>
        </w:rPr>
        <w:t xml:space="preserve"> even though the NIHR-funded H</w:t>
      </w:r>
      <w:r w:rsidR="00996D3B">
        <w:rPr>
          <w:rFonts w:ascii="Arial" w:eastAsia="Arial" w:hAnsi="Arial" w:cs="Arial"/>
          <w:sz w:val="22"/>
          <w:szCs w:val="22"/>
        </w:rPr>
        <w:t>I</w:t>
      </w:r>
      <w:r w:rsidRPr="00A72CE5">
        <w:rPr>
          <w:rFonts w:ascii="Arial" w:eastAsia="Arial" w:hAnsi="Arial" w:cs="Arial"/>
          <w:sz w:val="22"/>
          <w:szCs w:val="22"/>
        </w:rPr>
        <w:t xml:space="preserve">SLAC </w:t>
      </w:r>
      <w:r w:rsidR="00044B47" w:rsidRPr="002C3837">
        <w:rPr>
          <w:rFonts w:ascii="Arial" w:hAnsi="Arial" w:cs="Arial"/>
          <w:sz w:val="24"/>
          <w:szCs w:val="24"/>
        </w:rPr>
        <w:t>[High-Intensity Specialist-Led Acute Care]</w:t>
      </w:r>
      <w:r w:rsidR="00044B47" w:rsidRPr="002C3837">
        <w:rPr>
          <w:rFonts w:ascii="Arial" w:eastAsia="Arial" w:hAnsi="Arial" w:cs="Arial"/>
          <w:sz w:val="36"/>
          <w:szCs w:val="36"/>
        </w:rPr>
        <w:t xml:space="preserve"> </w:t>
      </w:r>
      <w:r w:rsidRPr="00A72CE5">
        <w:rPr>
          <w:rFonts w:ascii="Arial" w:eastAsia="Arial" w:hAnsi="Arial" w:cs="Arial"/>
          <w:sz w:val="22"/>
          <w:szCs w:val="22"/>
        </w:rPr>
        <w:t xml:space="preserve">evaluation said there wasn’t any clear connection between bigger weekend consultant staffing increases and a drop in weekend mortality risk. That basically underlines that staffing alone doesn’t explain outcomes, not unless you also look at how escalation decisions get made (NIHR, 2019). </w:t>
      </w:r>
    </w:p>
    <w:p w14:paraId="6A418EB7" w14:textId="7FAE6A93" w:rsidR="000D3E2D" w:rsidRPr="00A72CE5" w:rsidRDefault="00000000" w:rsidP="00A72CE5">
      <w:pPr>
        <w:spacing w:before="200" w:line="360" w:lineRule="auto"/>
        <w:jc w:val="both"/>
        <w:rPr>
          <w:rFonts w:ascii="Arial" w:hAnsi="Arial" w:cs="Arial"/>
          <w:sz w:val="22"/>
          <w:szCs w:val="22"/>
        </w:rPr>
      </w:pPr>
      <w:r w:rsidRPr="00A72CE5">
        <w:rPr>
          <w:rFonts w:ascii="Arial" w:hAnsi="Arial" w:cs="Arial"/>
          <w:noProof/>
          <w:sz w:val="22"/>
          <w:szCs w:val="22"/>
        </w:rPr>
        <w:lastRenderedPageBreak/>
        <w:drawing>
          <wp:inline distT="0" distB="0" distL="0" distR="0" wp14:anchorId="4D176880" wp14:editId="1610DA3C">
            <wp:extent cx="5334000" cy="3733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334000" cy="3733800"/>
                    </a:xfrm>
                    <a:prstGeom prst="rect">
                      <a:avLst/>
                    </a:prstGeom>
                  </pic:spPr>
                </pic:pic>
              </a:graphicData>
            </a:graphic>
          </wp:inline>
        </w:drawing>
      </w:r>
    </w:p>
    <w:p w14:paraId="700CE934" w14:textId="77777777" w:rsidR="000D3E2D" w:rsidRPr="00A72CE5" w:rsidRDefault="00000000" w:rsidP="00A72CE5">
      <w:pPr>
        <w:spacing w:before="100" w:after="300" w:line="360" w:lineRule="auto"/>
        <w:jc w:val="center"/>
        <w:rPr>
          <w:rFonts w:ascii="Arial" w:hAnsi="Arial" w:cs="Arial"/>
          <w:sz w:val="22"/>
          <w:szCs w:val="22"/>
        </w:rPr>
      </w:pPr>
      <w:r w:rsidRPr="00A72CE5">
        <w:rPr>
          <w:rFonts w:ascii="Arial" w:eastAsia="Arial" w:hAnsi="Arial" w:cs="Arial"/>
          <w:i/>
          <w:iCs/>
          <w:sz w:val="22"/>
          <w:szCs w:val="22"/>
        </w:rPr>
        <w:t>Figure 1: Rich Picture of the system context surrounding Lewis Blackman's death</w:t>
      </w:r>
    </w:p>
    <w:p w14:paraId="047A123C" w14:textId="43453F9C" w:rsidR="00A72CE5" w:rsidRDefault="00A72CE5" w:rsidP="007B3720">
      <w:pPr>
        <w:spacing w:line="360" w:lineRule="auto"/>
        <w:jc w:val="both"/>
        <w:rPr>
          <w:rFonts w:ascii="Arial" w:eastAsia="Arial" w:hAnsi="Arial" w:cs="Arial"/>
          <w:sz w:val="22"/>
          <w:szCs w:val="22"/>
        </w:rPr>
      </w:pPr>
      <w:r w:rsidRPr="00A72CE5">
        <w:rPr>
          <w:rFonts w:ascii="Arial" w:eastAsia="Arial" w:hAnsi="Arial" w:cs="Arial"/>
          <w:sz w:val="22"/>
          <w:szCs w:val="22"/>
        </w:rPr>
        <w:t xml:space="preserve">The Rich Picture above, a systems-thinking thing used to bring out the more informal </w:t>
      </w:r>
      <w:r w:rsidR="007B3720" w:rsidRPr="00A72CE5">
        <w:rPr>
          <w:rFonts w:ascii="Arial" w:eastAsia="Arial" w:hAnsi="Arial" w:cs="Arial"/>
          <w:sz w:val="22"/>
          <w:szCs w:val="22"/>
        </w:rPr>
        <w:t>connections,</w:t>
      </w:r>
      <w:r w:rsidRPr="00A72CE5">
        <w:rPr>
          <w:rFonts w:ascii="Arial" w:eastAsia="Arial" w:hAnsi="Arial" w:cs="Arial"/>
          <w:sz w:val="22"/>
          <w:szCs w:val="22"/>
        </w:rPr>
        <w:t xml:space="preserve"> perspectives and clashes that a purely technical process map might just gloss over (Checkland, 1981), kind of maps the </w:t>
      </w:r>
      <w:r w:rsidR="007B3720" w:rsidRPr="00A72CE5">
        <w:rPr>
          <w:rFonts w:ascii="Arial" w:eastAsia="Arial" w:hAnsi="Arial" w:cs="Arial"/>
          <w:sz w:val="22"/>
          <w:szCs w:val="22"/>
        </w:rPr>
        <w:t>people,</w:t>
      </w:r>
      <w:r w:rsidRPr="00A72CE5">
        <w:rPr>
          <w:rFonts w:ascii="Arial" w:eastAsia="Arial" w:hAnsi="Arial" w:cs="Arial"/>
          <w:sz w:val="22"/>
          <w:szCs w:val="22"/>
        </w:rPr>
        <w:t xml:space="preserve"> processes and structures around Lewis. It puts the patient right in the middle of a system where most of the nearby actors were, in practice, unable to escalate, either because they were structurally boxed in (the </w:t>
      </w:r>
      <w:r w:rsidR="007B3720" w:rsidRPr="00A72CE5">
        <w:rPr>
          <w:rFonts w:ascii="Arial" w:eastAsia="Arial" w:hAnsi="Arial" w:cs="Arial"/>
          <w:sz w:val="22"/>
          <w:szCs w:val="22"/>
        </w:rPr>
        <w:t>parents,</w:t>
      </w:r>
      <w:r w:rsidRPr="00A72CE5">
        <w:rPr>
          <w:rFonts w:ascii="Arial" w:eastAsia="Arial" w:hAnsi="Arial" w:cs="Arial"/>
          <w:sz w:val="22"/>
          <w:szCs w:val="22"/>
        </w:rPr>
        <w:t xml:space="preserve"> who had no actual formal route) or because the organisation quietly discouraged that move (bedside nurses and junior residents, working inside a hierarchy </w:t>
      </w:r>
      <w:r w:rsidR="007B3720" w:rsidRPr="00A72CE5">
        <w:rPr>
          <w:rFonts w:ascii="Arial" w:eastAsia="Arial" w:hAnsi="Arial" w:cs="Arial"/>
          <w:sz w:val="22"/>
          <w:szCs w:val="22"/>
        </w:rPr>
        <w:t>were</w:t>
      </w:r>
      <w:r w:rsidRPr="00A72CE5">
        <w:rPr>
          <w:rFonts w:ascii="Arial" w:eastAsia="Arial" w:hAnsi="Arial" w:cs="Arial"/>
          <w:sz w:val="22"/>
          <w:szCs w:val="22"/>
        </w:rPr>
        <w:t xml:space="preserve"> pushing back on the working diagnosis was hard, and kind of risky).  </w:t>
      </w:r>
    </w:p>
    <w:p w14:paraId="642C7314" w14:textId="77777777" w:rsidR="00A72CE5" w:rsidRPr="00A72CE5" w:rsidRDefault="00A72CE5" w:rsidP="00A72CE5">
      <w:pPr>
        <w:spacing w:line="360" w:lineRule="auto"/>
        <w:rPr>
          <w:rFonts w:ascii="Arial" w:eastAsia="Arial" w:hAnsi="Arial" w:cs="Arial"/>
          <w:sz w:val="22"/>
          <w:szCs w:val="22"/>
        </w:rPr>
      </w:pPr>
    </w:p>
    <w:p w14:paraId="3DAE0397" w14:textId="4959C12D" w:rsidR="00A72CE5" w:rsidRPr="00A72CE5" w:rsidRDefault="00A72CE5" w:rsidP="007B3720">
      <w:pPr>
        <w:spacing w:line="360" w:lineRule="auto"/>
        <w:jc w:val="both"/>
        <w:rPr>
          <w:rFonts w:ascii="Arial" w:eastAsia="Arial" w:hAnsi="Arial" w:cs="Arial"/>
          <w:sz w:val="22"/>
          <w:szCs w:val="22"/>
        </w:rPr>
      </w:pPr>
      <w:r w:rsidRPr="00A72CE5">
        <w:rPr>
          <w:rFonts w:ascii="Arial" w:eastAsia="Arial" w:hAnsi="Arial" w:cs="Arial"/>
          <w:sz w:val="22"/>
          <w:szCs w:val="22"/>
        </w:rPr>
        <w:t xml:space="preserve">The attending physician is basically outside the whole loop, connected only by a dashed line that stands for an escalation pathway, one that was technically on paper but never really got used. There are two feedback loops you can see here, in the systems-thinking sense, where the results of what happens end up shaping how the process behaves later (Senge, 1990): first, a negative, self-reinforcing loop where every new unusual observation got reframed so it still matched the existing ‘constipation’ diagnosis, instead of leading to a diagnostic rethink (so, confirmation bias but at the team level). Second, there’s a safety loop that’s </w:t>
      </w:r>
      <w:r w:rsidR="007B3720" w:rsidRPr="00A72CE5">
        <w:rPr>
          <w:rFonts w:ascii="Arial" w:eastAsia="Arial" w:hAnsi="Arial" w:cs="Arial"/>
          <w:sz w:val="22"/>
          <w:szCs w:val="22"/>
        </w:rPr>
        <w:t>broken,</w:t>
      </w:r>
      <w:r w:rsidRPr="00A72CE5">
        <w:rPr>
          <w:rFonts w:ascii="Arial" w:eastAsia="Arial" w:hAnsi="Arial" w:cs="Arial"/>
          <w:sz w:val="22"/>
          <w:szCs w:val="22"/>
        </w:rPr>
        <w:t xml:space="preserve"> where the pulse oximeter, supposed to push for action when oxygen saturation dropped, got progressively disabled rather than acting like a trigger for escalation.  </w:t>
      </w:r>
    </w:p>
    <w:p w14:paraId="14A3D0A2" w14:textId="20FE8FDB" w:rsidR="00A72CE5" w:rsidRPr="00A72CE5" w:rsidRDefault="00A72CE5" w:rsidP="007B3720">
      <w:pPr>
        <w:spacing w:line="360" w:lineRule="auto"/>
        <w:jc w:val="both"/>
        <w:rPr>
          <w:rFonts w:ascii="Arial" w:eastAsia="Arial" w:hAnsi="Arial" w:cs="Arial"/>
          <w:sz w:val="22"/>
          <w:szCs w:val="22"/>
        </w:rPr>
      </w:pPr>
      <w:r w:rsidRPr="00A72CE5">
        <w:rPr>
          <w:rFonts w:ascii="Arial" w:eastAsia="Arial" w:hAnsi="Arial" w:cs="Arial"/>
          <w:sz w:val="22"/>
          <w:szCs w:val="22"/>
        </w:rPr>
        <w:lastRenderedPageBreak/>
        <w:t xml:space="preserve">This overall pattern lines up with Reason’s (2000) well known explanation of organisational accidents, where harm doesn’t usually come from one single mistake but from several weak safeguards, plus active failures and hidden, latent conditions that end up lining up at the same time. So, taken together, these dependencies suggest the problem was systemic and relational, not simply the fault of one person: the system’s setup made the </w:t>
      </w:r>
      <w:r w:rsidR="007B3720" w:rsidRPr="00A72CE5">
        <w:rPr>
          <w:rFonts w:ascii="Arial" w:eastAsia="Arial" w:hAnsi="Arial" w:cs="Arial"/>
          <w:sz w:val="22"/>
          <w:szCs w:val="22"/>
        </w:rPr>
        <w:t>outcome</w:t>
      </w:r>
      <w:r w:rsidRPr="00A72CE5">
        <w:rPr>
          <w:rFonts w:ascii="Arial" w:eastAsia="Arial" w:hAnsi="Arial" w:cs="Arial"/>
          <w:sz w:val="22"/>
          <w:szCs w:val="22"/>
        </w:rPr>
        <w:t xml:space="preserve"> more likely, even if you assume the staff were competent and trying their best.</w:t>
      </w:r>
    </w:p>
    <w:p w14:paraId="61133899" w14:textId="2824537E" w:rsidR="000D3E2D" w:rsidRPr="007B3720" w:rsidRDefault="00000000" w:rsidP="00A72CE5">
      <w:pPr>
        <w:pStyle w:val="Heading2"/>
        <w:spacing w:before="300" w:after="160" w:line="360" w:lineRule="auto"/>
        <w:rPr>
          <w:rFonts w:ascii="Arial" w:hAnsi="Arial" w:cs="Arial"/>
          <w:sz w:val="32"/>
          <w:szCs w:val="32"/>
        </w:rPr>
      </w:pPr>
      <w:bookmarkStart w:id="3" w:name="_Toc236070364"/>
      <w:r w:rsidRPr="007B3720">
        <w:rPr>
          <w:rFonts w:ascii="Arial" w:eastAsia="Arial" w:hAnsi="Arial" w:cs="Arial"/>
          <w:b/>
          <w:bCs/>
          <w:sz w:val="32"/>
          <w:szCs w:val="32"/>
        </w:rPr>
        <w:t>b. Centralisation or Decentralisation within the Case Study</w:t>
      </w:r>
      <w:bookmarkEnd w:id="3"/>
    </w:p>
    <w:p w14:paraId="768CC253" w14:textId="2047B17A"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In a centralised </w:t>
      </w:r>
      <w:r w:rsidR="007B3720" w:rsidRPr="00A72CE5">
        <w:rPr>
          <w:rFonts w:ascii="Arial" w:eastAsia="Arial" w:hAnsi="Arial" w:cs="Arial"/>
          <w:sz w:val="22"/>
          <w:szCs w:val="22"/>
        </w:rPr>
        <w:t>system,</w:t>
      </w:r>
      <w:r w:rsidRPr="00A72CE5">
        <w:rPr>
          <w:rFonts w:ascii="Arial" w:eastAsia="Arial" w:hAnsi="Arial" w:cs="Arial"/>
          <w:sz w:val="22"/>
          <w:szCs w:val="22"/>
        </w:rPr>
        <w:t xml:space="preserve"> the </w:t>
      </w:r>
      <w:r w:rsidR="007B3720" w:rsidRPr="00A72CE5">
        <w:rPr>
          <w:rFonts w:ascii="Arial" w:eastAsia="Arial" w:hAnsi="Arial" w:cs="Arial"/>
          <w:sz w:val="22"/>
          <w:szCs w:val="22"/>
        </w:rPr>
        <w:t>decision-making</w:t>
      </w:r>
      <w:r w:rsidRPr="00A72CE5">
        <w:rPr>
          <w:rFonts w:ascii="Arial" w:eastAsia="Arial" w:hAnsi="Arial" w:cs="Arial"/>
          <w:sz w:val="22"/>
          <w:szCs w:val="22"/>
        </w:rPr>
        <w:t xml:space="preserve"> authority gets stuck in a small group of senior people, and staff down the line, in </w:t>
      </w:r>
      <w:r w:rsidR="007B3720" w:rsidRPr="00A72CE5">
        <w:rPr>
          <w:rFonts w:ascii="Arial" w:eastAsia="Arial" w:hAnsi="Arial" w:cs="Arial"/>
          <w:sz w:val="22"/>
          <w:szCs w:val="22"/>
        </w:rPr>
        <w:t>practice,</w:t>
      </w:r>
      <w:r w:rsidRPr="00A72CE5">
        <w:rPr>
          <w:rFonts w:ascii="Arial" w:eastAsia="Arial" w:hAnsi="Arial" w:cs="Arial"/>
          <w:sz w:val="22"/>
          <w:szCs w:val="22"/>
        </w:rPr>
        <w:t xml:space="preserve"> need permission</w:t>
      </w:r>
      <w:r w:rsidR="007B3720">
        <w:rPr>
          <w:rFonts w:ascii="Arial" w:eastAsia="Arial" w:hAnsi="Arial" w:cs="Arial"/>
          <w:sz w:val="22"/>
          <w:szCs w:val="22"/>
        </w:rPr>
        <w:t>-</w:t>
      </w:r>
      <w:r w:rsidRPr="00A72CE5">
        <w:rPr>
          <w:rFonts w:ascii="Arial" w:eastAsia="Arial" w:hAnsi="Arial" w:cs="Arial"/>
          <w:sz w:val="22"/>
          <w:szCs w:val="22"/>
        </w:rPr>
        <w:t>rather than having real standing authority</w:t>
      </w:r>
      <w:r w:rsidR="007B3720">
        <w:rPr>
          <w:rFonts w:ascii="Arial" w:eastAsia="Arial" w:hAnsi="Arial" w:cs="Arial"/>
          <w:sz w:val="22"/>
          <w:szCs w:val="22"/>
        </w:rPr>
        <w:t>-</w:t>
      </w:r>
      <w:r w:rsidRPr="00A72CE5">
        <w:rPr>
          <w:rFonts w:ascii="Arial" w:eastAsia="Arial" w:hAnsi="Arial" w:cs="Arial"/>
          <w:sz w:val="22"/>
          <w:szCs w:val="22"/>
        </w:rPr>
        <w:t xml:space="preserve">to do anything. In the Blackman case the hospital ran a centralised model of clinical control: only an attending physician could formally confirm or undo a diagnosis and also trigger an escalation of care, but at the </w:t>
      </w:r>
      <w:r w:rsidR="007B3720" w:rsidRPr="00A72CE5">
        <w:rPr>
          <w:rFonts w:ascii="Arial" w:eastAsia="Arial" w:hAnsi="Arial" w:cs="Arial"/>
          <w:sz w:val="22"/>
          <w:szCs w:val="22"/>
        </w:rPr>
        <w:t>weekend,</w:t>
      </w:r>
      <w:r w:rsidRPr="00A72CE5">
        <w:rPr>
          <w:rFonts w:ascii="Arial" w:eastAsia="Arial" w:hAnsi="Arial" w:cs="Arial"/>
          <w:sz w:val="22"/>
          <w:szCs w:val="22"/>
        </w:rPr>
        <w:t xml:space="preserve"> no attending physician was actually rostered to the ward, and none was contacted even as the observations worsened. </w:t>
      </w:r>
      <w:r w:rsidR="007B3720" w:rsidRPr="00A72CE5">
        <w:rPr>
          <w:rFonts w:ascii="Arial" w:eastAsia="Arial" w:hAnsi="Arial" w:cs="Arial"/>
          <w:sz w:val="22"/>
          <w:szCs w:val="22"/>
        </w:rPr>
        <w:t>So,</w:t>
      </w:r>
      <w:r w:rsidRPr="00A72CE5">
        <w:rPr>
          <w:rFonts w:ascii="Arial" w:eastAsia="Arial" w:hAnsi="Arial" w:cs="Arial"/>
          <w:sz w:val="22"/>
          <w:szCs w:val="22"/>
        </w:rPr>
        <w:t xml:space="preserve"> the authority looked centralised on paper, but it was physically absent when it mattered, and that left interns and residents trying to manage a deteriorating patient without the sign-off they </w:t>
      </w:r>
      <w:r w:rsidR="007B3720" w:rsidRPr="00A72CE5">
        <w:rPr>
          <w:rFonts w:ascii="Arial" w:eastAsia="Arial" w:hAnsi="Arial" w:cs="Arial"/>
          <w:sz w:val="22"/>
          <w:szCs w:val="22"/>
        </w:rPr>
        <w:t>needed</w:t>
      </w:r>
      <w:r w:rsidRPr="00A72CE5">
        <w:rPr>
          <w:rFonts w:ascii="Arial" w:eastAsia="Arial" w:hAnsi="Arial" w:cs="Arial"/>
          <w:sz w:val="22"/>
          <w:szCs w:val="22"/>
        </w:rPr>
        <w:t xml:space="preserve"> to act confidently or decisively.</w:t>
      </w:r>
    </w:p>
    <w:p w14:paraId="396F3BD2" w14:textId="58A9FD07" w:rsidR="000D3E2D" w:rsidRPr="00A72CE5" w:rsidRDefault="00A72CE5" w:rsidP="00A72CE5">
      <w:pPr>
        <w:spacing w:after="200" w:line="360" w:lineRule="auto"/>
        <w:jc w:val="both"/>
        <w:rPr>
          <w:rFonts w:ascii="Arial" w:hAnsi="Arial" w:cs="Arial"/>
          <w:sz w:val="22"/>
          <w:szCs w:val="22"/>
        </w:rPr>
      </w:pPr>
      <w:r w:rsidRPr="00A72CE5">
        <w:rPr>
          <w:rFonts w:ascii="Arial" w:eastAsia="Arial" w:hAnsi="Arial" w:cs="Arial"/>
          <w:sz w:val="22"/>
          <w:szCs w:val="22"/>
        </w:rPr>
        <w:t xml:space="preserve">The upside of centralisation is usually described as consistency: one senior decision-maker can, at least in theory, apply expert judgement in a uniform way and stop conflicting or risky decisions from being made by less experienced staff. The downside, which is shown </w:t>
      </w:r>
      <w:r w:rsidR="007B3720" w:rsidRPr="00A72CE5">
        <w:rPr>
          <w:rFonts w:ascii="Arial" w:eastAsia="Arial" w:hAnsi="Arial" w:cs="Arial"/>
          <w:sz w:val="22"/>
          <w:szCs w:val="22"/>
        </w:rPr>
        <w:t>sharply</w:t>
      </w:r>
      <w:r w:rsidRPr="00A72CE5">
        <w:rPr>
          <w:rFonts w:ascii="Arial" w:eastAsia="Arial" w:hAnsi="Arial" w:cs="Arial"/>
          <w:sz w:val="22"/>
          <w:szCs w:val="22"/>
        </w:rPr>
        <w:t xml:space="preserve"> here, is how brittle it becomes when that key decision-maker is not around or cannot be reached; instead of adapting the system just stalls. UK-wide data on this pattern suggests that patients admitted at weekends, when senior consultant presence is often lower, have historically </w:t>
      </w:r>
      <w:r w:rsidR="007B3720" w:rsidRPr="00A72CE5">
        <w:rPr>
          <w:rFonts w:ascii="Arial" w:eastAsia="Arial" w:hAnsi="Arial" w:cs="Arial"/>
          <w:sz w:val="22"/>
          <w:szCs w:val="22"/>
        </w:rPr>
        <w:t>related to</w:t>
      </w:r>
      <w:r w:rsidRPr="00A72CE5">
        <w:rPr>
          <w:rFonts w:ascii="Arial" w:eastAsia="Arial" w:hAnsi="Arial" w:cs="Arial"/>
          <w:sz w:val="22"/>
          <w:szCs w:val="22"/>
        </w:rPr>
        <w:t xml:space="preserve"> higher mortality. One commonly cited analysis puts the estimate at roughly 11,000 excess deaths per year linked to weekend admission (Freemantle et al., 2015). More recent work then supports the same general point, showing that postgraduate trainees take on a much larger share of weekend admissions than they do on weekdays (Han et al., 2019).</w:t>
      </w:r>
    </w:p>
    <w:p w14:paraId="08859B05" w14:textId="49A2C415"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In a decentralised system, authority gets spread out toward the staff who are closest to the patient, they get standing permission</w:t>
      </w:r>
      <w:r w:rsidR="007B3720">
        <w:rPr>
          <w:rFonts w:ascii="Arial" w:eastAsia="Arial" w:hAnsi="Arial" w:cs="Arial"/>
          <w:sz w:val="22"/>
          <w:szCs w:val="22"/>
        </w:rPr>
        <w:t>-</w:t>
      </w:r>
      <w:r w:rsidRPr="00A72CE5">
        <w:rPr>
          <w:rFonts w:ascii="Arial" w:eastAsia="Arial" w:hAnsi="Arial" w:cs="Arial"/>
          <w:sz w:val="22"/>
          <w:szCs w:val="22"/>
        </w:rPr>
        <w:t>often through protocol</w:t>
      </w:r>
      <w:r w:rsidR="007B3720">
        <w:rPr>
          <w:rFonts w:ascii="Arial" w:eastAsia="Arial" w:hAnsi="Arial" w:cs="Arial"/>
          <w:sz w:val="22"/>
          <w:szCs w:val="22"/>
        </w:rPr>
        <w:t>-</w:t>
      </w:r>
      <w:r w:rsidRPr="00A72CE5">
        <w:rPr>
          <w:rFonts w:ascii="Arial" w:eastAsia="Arial" w:hAnsi="Arial" w:cs="Arial"/>
          <w:sz w:val="22"/>
          <w:szCs w:val="22"/>
        </w:rPr>
        <w:t xml:space="preserve"> to act without really hunting for senior sign-off first. The clearest example, that’s relevant here, is the National Early Warning Score (NEWS2), used across NHS trusts, it takes routine vital sign observations and turns them into one combined aggregate score, then it gives a nurse standing authority to trigger escalation once a threshold is met, even if what a doctor is currently thinking (their working diagnosis) says something else. Because that authority is based on protocol rather than a </w:t>
      </w:r>
      <w:r w:rsidRPr="00A72CE5">
        <w:rPr>
          <w:rFonts w:ascii="Arial" w:eastAsia="Arial" w:hAnsi="Arial" w:cs="Arial"/>
          <w:sz w:val="22"/>
          <w:szCs w:val="22"/>
        </w:rPr>
        <w:lastRenderedPageBreak/>
        <w:t>particular person, it doesn’t hinge on whether a junior member of staff is brave enough to question a senior colleague’s take, or not.</w:t>
      </w:r>
    </w:p>
    <w:p w14:paraId="68D2785D" w14:textId="58AEF7AF"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The upside of decentralisation is basically speed and resilience: escalation can occur right when the trigger is hit, even when no senior doctor is immediately available. It has also shown measurable safety improvements; for instance, rolling out an electronic early warning system across one hospital was linked with lower mortality (Schmidt et al., 2015). And standardised early warning scoring is estimated to prevent more than 1,800 deaths per year in the NHS (NHS, cited in Eakins, 2022). </w:t>
      </w:r>
      <w:r w:rsidR="007B3720" w:rsidRPr="00A72CE5">
        <w:rPr>
          <w:rFonts w:ascii="Arial" w:eastAsia="Arial" w:hAnsi="Arial" w:cs="Arial"/>
          <w:sz w:val="22"/>
          <w:szCs w:val="22"/>
        </w:rPr>
        <w:t>But</w:t>
      </w:r>
      <w:r w:rsidRPr="00A72CE5">
        <w:rPr>
          <w:rFonts w:ascii="Arial" w:eastAsia="Arial" w:hAnsi="Arial" w:cs="Arial"/>
          <w:sz w:val="22"/>
          <w:szCs w:val="22"/>
        </w:rPr>
        <w:t xml:space="preserve"> the downside is that protocols are only as solid as how they’re </w:t>
      </w:r>
      <w:r w:rsidR="007B3720" w:rsidRPr="00A72CE5">
        <w:rPr>
          <w:rFonts w:ascii="Arial" w:eastAsia="Arial" w:hAnsi="Arial" w:cs="Arial"/>
          <w:sz w:val="22"/>
          <w:szCs w:val="22"/>
        </w:rPr>
        <w:t>done</w:t>
      </w:r>
      <w:r w:rsidRPr="00A72CE5">
        <w:rPr>
          <w:rFonts w:ascii="Arial" w:eastAsia="Arial" w:hAnsi="Arial" w:cs="Arial"/>
          <w:sz w:val="22"/>
          <w:szCs w:val="22"/>
        </w:rPr>
        <w:t xml:space="preserve">. In one audit of NEWS2 adherence, only 42% of monitoring frequencies were fully appropriate, and there were cases where escalation to the medical team was simply skipped even though the trigger thresholds were met (Jacobs et al., 2025). </w:t>
      </w:r>
    </w:p>
    <w:p w14:paraId="4E925C76" w14:textId="77777777" w:rsidR="00A72CE5" w:rsidRPr="00A72CE5" w:rsidRDefault="00A72CE5" w:rsidP="007B3720">
      <w:pPr>
        <w:spacing w:after="200" w:line="360" w:lineRule="auto"/>
        <w:jc w:val="both"/>
        <w:rPr>
          <w:rFonts w:ascii="Arial" w:eastAsia="Arial" w:hAnsi="Arial" w:cs="Arial"/>
          <w:sz w:val="22"/>
          <w:szCs w:val="22"/>
        </w:rPr>
      </w:pPr>
      <w:r w:rsidRPr="00A72CE5">
        <w:rPr>
          <w:rFonts w:ascii="Arial" w:eastAsia="Arial" w:hAnsi="Arial" w:cs="Arial"/>
          <w:sz w:val="22"/>
          <w:szCs w:val="22"/>
        </w:rPr>
        <w:t>Beyond single tools like NEWS2, decentralisation at the organisational level is often talked about as collective or distributed leadership, where responsibility for decisions and outcomes is shared, though it can blur at the edges when accountability isn’t tracked properly.</w:t>
      </w:r>
    </w:p>
    <w:p w14:paraId="218F68C9" w14:textId="046D471E" w:rsidR="00A72CE5" w:rsidRPr="00A72CE5" w:rsidRDefault="00A72CE5" w:rsidP="007B3720">
      <w:pPr>
        <w:spacing w:line="360" w:lineRule="auto"/>
        <w:jc w:val="both"/>
        <w:rPr>
          <w:rFonts w:ascii="Arial" w:eastAsia="Arial" w:hAnsi="Arial" w:cs="Arial"/>
          <w:sz w:val="22"/>
          <w:szCs w:val="22"/>
        </w:rPr>
      </w:pPr>
      <w:r w:rsidRPr="00A72CE5">
        <w:rPr>
          <w:rFonts w:ascii="Arial" w:eastAsia="Arial" w:hAnsi="Arial" w:cs="Arial"/>
          <w:sz w:val="22"/>
          <w:szCs w:val="22"/>
        </w:rPr>
        <w:t xml:space="preserve">Comparing the two set ups against the Blackman case, it becomes </w:t>
      </w:r>
      <w:r w:rsidR="007B3720" w:rsidRPr="00A72CE5">
        <w:rPr>
          <w:rFonts w:ascii="Arial" w:eastAsia="Arial" w:hAnsi="Arial" w:cs="Arial"/>
          <w:sz w:val="22"/>
          <w:szCs w:val="22"/>
        </w:rPr>
        <w:t>clear</w:t>
      </w:r>
      <w:r w:rsidRPr="00A72CE5">
        <w:rPr>
          <w:rFonts w:ascii="Arial" w:eastAsia="Arial" w:hAnsi="Arial" w:cs="Arial"/>
          <w:sz w:val="22"/>
          <w:szCs w:val="22"/>
        </w:rPr>
        <w:t xml:space="preserve"> that the hospital’s centralised, hierarchy dependent model </w:t>
      </w:r>
      <w:r w:rsidR="007B3720" w:rsidRPr="00A72CE5">
        <w:rPr>
          <w:rFonts w:ascii="Arial" w:eastAsia="Arial" w:hAnsi="Arial" w:cs="Arial"/>
          <w:sz w:val="22"/>
          <w:szCs w:val="22"/>
        </w:rPr>
        <w:t>got</w:t>
      </w:r>
      <w:r w:rsidRPr="00A72CE5">
        <w:rPr>
          <w:rFonts w:ascii="Arial" w:eastAsia="Arial" w:hAnsi="Arial" w:cs="Arial"/>
          <w:sz w:val="22"/>
          <w:szCs w:val="22"/>
        </w:rPr>
        <w:t xml:space="preserve"> in the way of crisis handling. There wasn’t anything like a NEWS2 trigger, so nurses or junior doctors basically didn’t get independent permission to push for a senior review once vital signs had gone past an agreed, objective cut off. Instead, escalation sat on whether a junior clinician was confident enough to argue against the prevailing diagnosis, or whether the attending physician got contacted proactively, which never, ever happened. On top of that the staff ratio on the ward that weekend was thin, an intern only five months qualified supported by residents with no attending doctor physically there, so the </w:t>
      </w:r>
      <w:r w:rsidR="007B3720" w:rsidRPr="00A72CE5">
        <w:rPr>
          <w:rFonts w:ascii="Arial" w:eastAsia="Arial" w:hAnsi="Arial" w:cs="Arial"/>
          <w:sz w:val="22"/>
          <w:szCs w:val="22"/>
        </w:rPr>
        <w:t>decision-making</w:t>
      </w:r>
      <w:r w:rsidRPr="00A72CE5">
        <w:rPr>
          <w:rFonts w:ascii="Arial" w:eastAsia="Arial" w:hAnsi="Arial" w:cs="Arial"/>
          <w:sz w:val="22"/>
          <w:szCs w:val="22"/>
        </w:rPr>
        <w:t xml:space="preserve"> bandwidth just didn’t fit the level of risk for Lewis’s crisis. </w:t>
      </w:r>
    </w:p>
    <w:p w14:paraId="1E324C35" w14:textId="28147FEB" w:rsidR="00A72CE5" w:rsidRPr="00A72CE5" w:rsidRDefault="00A72CE5" w:rsidP="007B3720">
      <w:pPr>
        <w:spacing w:line="360" w:lineRule="auto"/>
        <w:jc w:val="both"/>
        <w:rPr>
          <w:rFonts w:ascii="Arial" w:eastAsia="Arial" w:hAnsi="Arial" w:cs="Arial"/>
          <w:sz w:val="22"/>
          <w:szCs w:val="22"/>
        </w:rPr>
      </w:pPr>
      <w:r w:rsidRPr="00A72CE5">
        <w:rPr>
          <w:rFonts w:ascii="Arial" w:eastAsia="Arial" w:hAnsi="Arial" w:cs="Arial"/>
          <w:sz w:val="22"/>
          <w:szCs w:val="22"/>
        </w:rPr>
        <w:t xml:space="preserve">If a decentralised, protocol led escalation system like NEWS2 or some comparable rapid response trigger had existed and been followed, then the twelve blood pressure readings, the dropping temperature, and that oximeter alarm that was effectively silenced would each have worked as objective, mandatory flags for senior review, and that would have been independent of any one person’s comfort speaking up. This comparison also hints that accountability suffered under the same centralised arrangement. When authority was concentrated in an absent role, no single present clinician felt fully responsible for the entire trajectory of Lewis’s deterioration. Whereas decentralised systems that assign explicit escalation authority to whoever is at the bedside tend to spread responsibility out, rather than letting it blur. </w:t>
      </w:r>
    </w:p>
    <w:p w14:paraId="50AE1E88" w14:textId="77777777" w:rsidR="004A1E07" w:rsidRDefault="004A1E07" w:rsidP="00A72CE5">
      <w:pPr>
        <w:pStyle w:val="Heading2"/>
        <w:spacing w:before="300" w:after="160" w:line="360" w:lineRule="auto"/>
        <w:rPr>
          <w:rFonts w:ascii="Arial" w:eastAsia="Arial" w:hAnsi="Arial" w:cs="Arial"/>
          <w:b/>
          <w:bCs/>
          <w:sz w:val="32"/>
          <w:szCs w:val="32"/>
        </w:rPr>
      </w:pPr>
    </w:p>
    <w:p w14:paraId="1DE3F58F" w14:textId="4FA6E50E" w:rsidR="000D3E2D" w:rsidRPr="007B3720" w:rsidRDefault="00000000" w:rsidP="00A72CE5">
      <w:pPr>
        <w:pStyle w:val="Heading2"/>
        <w:spacing w:before="300" w:after="160" w:line="360" w:lineRule="auto"/>
        <w:rPr>
          <w:rFonts w:ascii="Arial" w:hAnsi="Arial" w:cs="Arial"/>
          <w:sz w:val="32"/>
          <w:szCs w:val="32"/>
        </w:rPr>
      </w:pPr>
      <w:bookmarkStart w:id="4" w:name="_Toc236070365"/>
      <w:r w:rsidRPr="007B3720">
        <w:rPr>
          <w:rFonts w:ascii="Arial" w:eastAsia="Arial" w:hAnsi="Arial" w:cs="Arial"/>
          <w:b/>
          <w:bCs/>
          <w:sz w:val="32"/>
          <w:szCs w:val="32"/>
        </w:rPr>
        <w:lastRenderedPageBreak/>
        <w:t>c. Leadership Theories and Application to the Case Study</w:t>
      </w:r>
      <w:bookmarkEnd w:id="4"/>
    </w:p>
    <w:p w14:paraId="02774383" w14:textId="1CF2C994"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Three leadership theories are pretty much the ones that matter for the Blackman case. Transactional leadership works by supervision, correction and compliance with procedure, where authority is basically exercised by instructing others to stick to an agreed course of action. Transformational leadership instead tries to move staff through a shared purpose, role-</w:t>
      </w:r>
      <w:r w:rsidR="007B3720" w:rsidRPr="00A72CE5">
        <w:rPr>
          <w:rFonts w:ascii="Arial" w:eastAsia="Arial" w:hAnsi="Arial" w:cs="Arial"/>
          <w:sz w:val="22"/>
          <w:szCs w:val="22"/>
        </w:rPr>
        <w:t>modelling</w:t>
      </w:r>
      <w:r w:rsidRPr="00A72CE5">
        <w:rPr>
          <w:rFonts w:ascii="Arial" w:eastAsia="Arial" w:hAnsi="Arial" w:cs="Arial"/>
          <w:sz w:val="22"/>
          <w:szCs w:val="22"/>
        </w:rPr>
        <w:t xml:space="preserve"> and psychological safety, so people feel able to go beyond the formal remit, including the odd but real expectation to keep quiet in front of a more senior colleague. Then there is situational leadership which adjusts style to the team’s skill and confidence </w:t>
      </w:r>
      <w:r w:rsidR="007B3720" w:rsidRPr="00A72CE5">
        <w:rPr>
          <w:rFonts w:ascii="Arial" w:eastAsia="Arial" w:hAnsi="Arial" w:cs="Arial"/>
          <w:sz w:val="22"/>
          <w:szCs w:val="22"/>
        </w:rPr>
        <w:t>and</w:t>
      </w:r>
      <w:r w:rsidRPr="00A72CE5">
        <w:rPr>
          <w:rFonts w:ascii="Arial" w:eastAsia="Arial" w:hAnsi="Arial" w:cs="Arial"/>
          <w:sz w:val="22"/>
          <w:szCs w:val="22"/>
        </w:rPr>
        <w:t xml:space="preserve"> to what the moment is demanding… and it’s not always the same thing. For example, a highly directive approach can fit a new team dealing with a routine task, but when there’s a crisis with unclear and deteriorating information, then a more coaching or participative approach is needed, one that actively invites challenge.</w:t>
      </w:r>
    </w:p>
    <w:p w14:paraId="3A437866" w14:textId="77777777"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If you map these theories onto what happened in the ward, you see a sort of default transactional approach that was, in practice, largely missing. Junior staff did follow the established plan of treating presumed constipation and they escalated mainly through the formal chain of command. However, because no attending physician was there to supervise, correct, or explicitly authorise any change of plan, the transactional “mechanism” kind of failed into inertia rather than any real direction, like everyone just… stopped moving.</w:t>
      </w:r>
    </w:p>
    <w:p w14:paraId="3AD74F13" w14:textId="0C9C066B"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Also, none of the staff who were present showed transformational leadership behaviours, and there was a clear measurable cost. National evidence on speaking-up culture in healthcare, collected not long before the period of this case, suggested that even though most clinicians had seen colleagues take risky shortcuts or show weak clinical judgement, fewer than 10% said they felt able to raise their concerns directly (Maxfield et al., 2005). That same research connected the ability to hold those “crucial conversations” face to face with patient safety, quality of care</w:t>
      </w:r>
      <w:r w:rsidR="00044B47">
        <w:rPr>
          <w:rFonts w:ascii="Arial" w:eastAsia="Arial" w:hAnsi="Arial" w:cs="Arial"/>
          <w:sz w:val="22"/>
          <w:szCs w:val="22"/>
        </w:rPr>
        <w:t>.</w:t>
      </w:r>
    </w:p>
    <w:p w14:paraId="2C35E4F3" w14:textId="7C0808C8"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In practice the leadership style wasn’t </w:t>
      </w:r>
      <w:r w:rsidR="007B3720" w:rsidRPr="00A72CE5">
        <w:rPr>
          <w:rFonts w:ascii="Arial" w:eastAsia="Arial" w:hAnsi="Arial" w:cs="Arial"/>
          <w:sz w:val="22"/>
          <w:szCs w:val="22"/>
        </w:rPr>
        <w:t>well</w:t>
      </w:r>
      <w:r w:rsidRPr="00A72CE5">
        <w:rPr>
          <w:rFonts w:ascii="Arial" w:eastAsia="Arial" w:hAnsi="Arial" w:cs="Arial"/>
          <w:sz w:val="22"/>
          <w:szCs w:val="22"/>
        </w:rPr>
        <w:t xml:space="preserve"> picked for what was going on, and it also wasn’t very proactively minded. The right situational call, especially with a patient whose vital signs were slipping while the diagnosis still wasn’t confirmed, really should have pushed toward something more directive and purpose </w:t>
      </w:r>
      <w:r w:rsidR="007B3720" w:rsidRPr="00A72CE5">
        <w:rPr>
          <w:rFonts w:ascii="Arial" w:eastAsia="Arial" w:hAnsi="Arial" w:cs="Arial"/>
          <w:sz w:val="22"/>
          <w:szCs w:val="22"/>
        </w:rPr>
        <w:t>driven</w:t>
      </w:r>
      <w:r w:rsidRPr="00A72CE5">
        <w:rPr>
          <w:rFonts w:ascii="Arial" w:eastAsia="Arial" w:hAnsi="Arial" w:cs="Arial"/>
          <w:sz w:val="22"/>
          <w:szCs w:val="22"/>
        </w:rPr>
        <w:t xml:space="preserve"> actively looking for evidence that would not fit, lowering the point where a senior review is needed, and reading repeated abnormal results as an escalation cue rather than just a technical nuisance to dance around. But the team stayed reactive the whole time, dealing with every new alarming data point (like an unrecordable blood pressure or a temperature that kept falling) with little fixes, such as trying to find a blood pressure cuff that </w:t>
      </w:r>
      <w:r w:rsidR="007B3720" w:rsidRPr="00A72CE5">
        <w:rPr>
          <w:rFonts w:ascii="Arial" w:eastAsia="Arial" w:hAnsi="Arial" w:cs="Arial"/>
          <w:sz w:val="22"/>
          <w:szCs w:val="22"/>
        </w:rPr>
        <w:t>worked</w:t>
      </w:r>
      <w:r w:rsidRPr="00A72CE5">
        <w:rPr>
          <w:rFonts w:ascii="Arial" w:eastAsia="Arial" w:hAnsi="Arial" w:cs="Arial"/>
          <w:sz w:val="22"/>
          <w:szCs w:val="22"/>
        </w:rPr>
        <w:t xml:space="preserve">, instead of pausing to re-check the diagnosis itself. </w:t>
      </w:r>
      <w:r w:rsidRPr="00A72CE5">
        <w:rPr>
          <w:rFonts w:ascii="Arial" w:eastAsia="Arial" w:hAnsi="Arial" w:cs="Arial"/>
          <w:sz w:val="22"/>
          <w:szCs w:val="22"/>
        </w:rPr>
        <w:lastRenderedPageBreak/>
        <w:t>That reactive “default” command style, waiting for a senior person to turn up and validate the plan, rather than going out and chasing a plan early, matches the leadership vacuum that transformational thinking and situational theory would flag as most risky during a crisis: nobody truly owned the escalation decision, because ownership seemed to be assumed to live somewhere else.</w:t>
      </w:r>
    </w:p>
    <w:p w14:paraId="31490602" w14:textId="09B8AB9B" w:rsidR="00A72CE5" w:rsidRPr="00A72CE5" w:rsidRDefault="00A72CE5" w:rsidP="007B3720">
      <w:pPr>
        <w:spacing w:line="360" w:lineRule="auto"/>
        <w:jc w:val="both"/>
        <w:rPr>
          <w:rFonts w:ascii="Arial" w:eastAsia="Arial" w:hAnsi="Arial" w:cs="Arial"/>
          <w:sz w:val="22"/>
          <w:szCs w:val="22"/>
        </w:rPr>
      </w:pPr>
      <w:r w:rsidRPr="00A72CE5">
        <w:rPr>
          <w:rFonts w:ascii="Arial" w:eastAsia="Arial" w:hAnsi="Arial" w:cs="Arial"/>
          <w:sz w:val="22"/>
          <w:szCs w:val="22"/>
        </w:rPr>
        <w:t xml:space="preserve">What the available evidence shows about how well leaders perform on the </w:t>
      </w:r>
      <w:r w:rsidR="007B3720" w:rsidRPr="00A72CE5">
        <w:rPr>
          <w:rFonts w:ascii="Arial" w:eastAsia="Arial" w:hAnsi="Arial" w:cs="Arial"/>
          <w:sz w:val="22"/>
          <w:szCs w:val="22"/>
        </w:rPr>
        <w:t>ward;</w:t>
      </w:r>
      <w:r w:rsidRPr="00A72CE5">
        <w:rPr>
          <w:rFonts w:ascii="Arial" w:eastAsia="Arial" w:hAnsi="Arial" w:cs="Arial"/>
          <w:sz w:val="22"/>
          <w:szCs w:val="22"/>
        </w:rPr>
        <w:t xml:space="preserve"> it really lines up with that wider research base that connects leadership style with patient outcomes. In the UK, the research tends to suggest that when leadership is compassionate and engaging, staff engagement goes up, external ratings of care quality look better, and mortality rates go down (West and Dawson, 2012). Meanwhile, when leaders are more directive, very target driven, the outcomes often end up weaker. </w:t>
      </w:r>
      <w:r w:rsidR="007B3720" w:rsidRPr="00A72CE5">
        <w:rPr>
          <w:rFonts w:ascii="Arial" w:eastAsia="Arial" w:hAnsi="Arial" w:cs="Arial"/>
          <w:sz w:val="22"/>
          <w:szCs w:val="22"/>
        </w:rPr>
        <w:t>So,</w:t>
      </w:r>
      <w:r w:rsidRPr="00A72CE5">
        <w:rPr>
          <w:rFonts w:ascii="Arial" w:eastAsia="Arial" w:hAnsi="Arial" w:cs="Arial"/>
          <w:sz w:val="22"/>
          <w:szCs w:val="22"/>
        </w:rPr>
        <w:t xml:space="preserve"> if you look at the Blackman case through that lens, it seems possible that a more distributed approach along with emotionally intelligent leadership might have shifted what happened. For instance, if explicit authority to escalate was </w:t>
      </w:r>
      <w:r w:rsidR="007B3720" w:rsidRPr="00A72CE5">
        <w:rPr>
          <w:rFonts w:ascii="Arial" w:eastAsia="Arial" w:hAnsi="Arial" w:cs="Arial"/>
          <w:sz w:val="22"/>
          <w:szCs w:val="22"/>
        </w:rPr>
        <w:t>distributed,</w:t>
      </w:r>
      <w:r w:rsidRPr="00A72CE5">
        <w:rPr>
          <w:rFonts w:ascii="Arial" w:eastAsia="Arial" w:hAnsi="Arial" w:cs="Arial"/>
          <w:sz w:val="22"/>
          <w:szCs w:val="22"/>
        </w:rPr>
        <w:t xml:space="preserve"> like empowering any nurse to independently request an attending review once objective criteria were satisfied, then nobody would have needed to find the confidence to challenge a superior. Also, an emotionally intelligent leader who stays attuned to the family’s visible distress and the repeated concerns might have treated those signals as something clinically </w:t>
      </w:r>
      <w:r w:rsidR="007B3720" w:rsidRPr="00A72CE5">
        <w:rPr>
          <w:rFonts w:ascii="Arial" w:eastAsia="Arial" w:hAnsi="Arial" w:cs="Arial"/>
          <w:sz w:val="22"/>
          <w:szCs w:val="22"/>
        </w:rPr>
        <w:t>meaningful,</w:t>
      </w:r>
      <w:r w:rsidRPr="00A72CE5">
        <w:rPr>
          <w:rFonts w:ascii="Arial" w:eastAsia="Arial" w:hAnsi="Arial" w:cs="Arial"/>
          <w:sz w:val="22"/>
          <w:szCs w:val="22"/>
        </w:rPr>
        <w:t xml:space="preserve"> not just as “noise” around the edges. </w:t>
      </w:r>
    </w:p>
    <w:p w14:paraId="6184DCB9" w14:textId="100880FC" w:rsidR="000D3E2D" w:rsidRPr="007B3720" w:rsidRDefault="00000000" w:rsidP="00A72CE5">
      <w:pPr>
        <w:pStyle w:val="Heading2"/>
        <w:spacing w:before="300" w:after="160" w:line="360" w:lineRule="auto"/>
        <w:rPr>
          <w:rFonts w:ascii="Arial" w:hAnsi="Arial" w:cs="Arial"/>
          <w:sz w:val="32"/>
          <w:szCs w:val="32"/>
        </w:rPr>
      </w:pPr>
      <w:bookmarkStart w:id="5" w:name="_Toc236070366"/>
      <w:r w:rsidRPr="007B3720">
        <w:rPr>
          <w:rFonts w:ascii="Arial" w:eastAsia="Arial" w:hAnsi="Arial" w:cs="Arial"/>
          <w:b/>
          <w:bCs/>
          <w:sz w:val="32"/>
          <w:szCs w:val="32"/>
        </w:rPr>
        <w:t>d. Improvement, and Lessons Learned</w:t>
      </w:r>
      <w:bookmarkEnd w:id="5"/>
    </w:p>
    <w:p w14:paraId="2C79CB73" w14:textId="092CD7C2"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Leadership and governance </w:t>
      </w:r>
      <w:r w:rsidR="007B3720" w:rsidRPr="00A72CE5">
        <w:rPr>
          <w:rFonts w:ascii="Arial" w:eastAsia="Arial" w:hAnsi="Arial" w:cs="Arial"/>
          <w:sz w:val="22"/>
          <w:szCs w:val="22"/>
        </w:rPr>
        <w:t>kind of</w:t>
      </w:r>
      <w:r w:rsidRPr="00A72CE5">
        <w:rPr>
          <w:rFonts w:ascii="Arial" w:eastAsia="Arial" w:hAnsi="Arial" w:cs="Arial"/>
          <w:sz w:val="22"/>
          <w:szCs w:val="22"/>
        </w:rPr>
        <w:t xml:space="preserve"> met in the Blackman case, and somehow that took a surgical complication that could have been survived and flipped it into a preventable death, and then you get three specific </w:t>
      </w:r>
      <w:r w:rsidR="007B3720" w:rsidRPr="00A72CE5">
        <w:rPr>
          <w:rFonts w:ascii="Arial" w:eastAsia="Arial" w:hAnsi="Arial" w:cs="Arial"/>
          <w:sz w:val="22"/>
          <w:szCs w:val="22"/>
        </w:rPr>
        <w:t>problems,</w:t>
      </w:r>
      <w:r w:rsidRPr="00A72CE5">
        <w:rPr>
          <w:rFonts w:ascii="Arial" w:eastAsia="Arial" w:hAnsi="Arial" w:cs="Arial"/>
          <w:sz w:val="22"/>
          <w:szCs w:val="22"/>
        </w:rPr>
        <w:t xml:space="preserve"> each one showing clear evidence, along with an </w:t>
      </w:r>
      <w:r w:rsidR="007B3720" w:rsidRPr="00A72CE5">
        <w:rPr>
          <w:rFonts w:ascii="Arial" w:eastAsia="Arial" w:hAnsi="Arial" w:cs="Arial"/>
          <w:sz w:val="22"/>
          <w:szCs w:val="22"/>
        </w:rPr>
        <w:t>evidence-based</w:t>
      </w:r>
      <w:r w:rsidRPr="00A72CE5">
        <w:rPr>
          <w:rFonts w:ascii="Arial" w:eastAsia="Arial" w:hAnsi="Arial" w:cs="Arial"/>
          <w:sz w:val="22"/>
          <w:szCs w:val="22"/>
        </w:rPr>
        <w:t xml:space="preserve"> solution that fits.  </w:t>
      </w:r>
    </w:p>
    <w:p w14:paraId="1CD2F979" w14:textId="6F077196"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Problem 1: there </w:t>
      </w:r>
      <w:r w:rsidR="007B3720" w:rsidRPr="00A72CE5">
        <w:rPr>
          <w:rFonts w:ascii="Arial" w:eastAsia="Arial" w:hAnsi="Arial" w:cs="Arial"/>
          <w:sz w:val="22"/>
          <w:szCs w:val="22"/>
        </w:rPr>
        <w:t>wasn’t</w:t>
      </w:r>
      <w:r w:rsidRPr="00A72CE5">
        <w:rPr>
          <w:rFonts w:ascii="Arial" w:eastAsia="Arial" w:hAnsi="Arial" w:cs="Arial"/>
          <w:sz w:val="22"/>
          <w:szCs w:val="22"/>
        </w:rPr>
        <w:t xml:space="preserve"> any objective trigger that forced a senior review even though the vital signs kept getting worse, and the constipation working diagnosis just stayed in place without ever really being formally revisited. Data wise: diagnostic error is estimated to account for around 16% of preventable patient harm across healthcare settings worldwide (WHO, 2024</w:t>
      </w:r>
      <w:r w:rsidR="007B3720" w:rsidRPr="00A72CE5">
        <w:rPr>
          <w:rFonts w:ascii="Arial" w:eastAsia="Arial" w:hAnsi="Arial" w:cs="Arial"/>
          <w:sz w:val="22"/>
          <w:szCs w:val="22"/>
        </w:rPr>
        <w:t>),</w:t>
      </w:r>
      <w:r w:rsidRPr="00A72CE5">
        <w:rPr>
          <w:rFonts w:ascii="Arial" w:eastAsia="Arial" w:hAnsi="Arial" w:cs="Arial"/>
          <w:sz w:val="22"/>
          <w:szCs w:val="22"/>
        </w:rPr>
        <w:t xml:space="preserve"> and failure to rescue, meaning death after an unrecognised complication, is estimated to lead to roughly five potentially avoidable deaths per acute NHS trust in England every month (as cited in Subbe et al., 2025). Improvement: put in a mandatory, </w:t>
      </w:r>
      <w:r w:rsidR="007B3720" w:rsidRPr="00A72CE5">
        <w:rPr>
          <w:rFonts w:ascii="Arial" w:eastAsia="Arial" w:hAnsi="Arial" w:cs="Arial"/>
          <w:sz w:val="22"/>
          <w:szCs w:val="22"/>
        </w:rPr>
        <w:t>protocol-based</w:t>
      </w:r>
      <w:r w:rsidRPr="00A72CE5">
        <w:rPr>
          <w:rFonts w:ascii="Arial" w:eastAsia="Arial" w:hAnsi="Arial" w:cs="Arial"/>
          <w:sz w:val="22"/>
          <w:szCs w:val="22"/>
        </w:rPr>
        <w:t xml:space="preserve"> deterioration trigger</w:t>
      </w:r>
      <w:r w:rsidR="007B3720">
        <w:rPr>
          <w:rFonts w:ascii="Arial" w:eastAsia="Arial" w:hAnsi="Arial" w:cs="Arial"/>
          <w:sz w:val="22"/>
          <w:szCs w:val="22"/>
        </w:rPr>
        <w:t>-</w:t>
      </w:r>
      <w:r w:rsidRPr="00A72CE5">
        <w:rPr>
          <w:rFonts w:ascii="Arial" w:eastAsia="Arial" w:hAnsi="Arial" w:cs="Arial"/>
          <w:sz w:val="22"/>
          <w:szCs w:val="22"/>
        </w:rPr>
        <w:t xml:space="preserve">something </w:t>
      </w:r>
      <w:r w:rsidR="007B3720" w:rsidRPr="00A72CE5">
        <w:rPr>
          <w:rFonts w:ascii="Arial" w:eastAsia="Arial" w:hAnsi="Arial" w:cs="Arial"/>
          <w:sz w:val="22"/>
          <w:szCs w:val="22"/>
        </w:rPr>
        <w:t>like</w:t>
      </w:r>
      <w:r w:rsidRPr="00A72CE5">
        <w:rPr>
          <w:rFonts w:ascii="Arial" w:eastAsia="Arial" w:hAnsi="Arial" w:cs="Arial"/>
          <w:sz w:val="22"/>
          <w:szCs w:val="22"/>
        </w:rPr>
        <w:t xml:space="preserve"> NEWS2</w:t>
      </w:r>
      <w:r w:rsidR="007B3720">
        <w:rPr>
          <w:rFonts w:ascii="Arial" w:eastAsia="Arial" w:hAnsi="Arial" w:cs="Arial"/>
          <w:sz w:val="22"/>
          <w:szCs w:val="22"/>
        </w:rPr>
        <w:t>-</w:t>
      </w:r>
      <w:r w:rsidRPr="00A72CE5">
        <w:rPr>
          <w:rFonts w:ascii="Arial" w:eastAsia="Arial" w:hAnsi="Arial" w:cs="Arial"/>
          <w:sz w:val="22"/>
          <w:szCs w:val="22"/>
        </w:rPr>
        <w:t>so that care automatically escalates to a named senior clinician once the objective thresholds are crossed, and this reduces dependence on whoever is on shift being willing to push back against a diagnosis that’s already been assumed.</w:t>
      </w:r>
    </w:p>
    <w:p w14:paraId="01D6F4DD" w14:textId="32665D30"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lastRenderedPageBreak/>
        <w:t xml:space="preserve">Problem 2: the family kept on saying they were worried about Lewis’s condition, but there was no real, formal mechanism to turn that worry into an actual change in the clinical plan, and in the end their observations got treated like background noise more than proper clinical data. Data: and this is exactly the gap that the NHS’s Martha’s Rule was brought </w:t>
      </w:r>
      <w:r w:rsidR="007B3720" w:rsidRPr="00A72CE5">
        <w:rPr>
          <w:rFonts w:ascii="Arial" w:eastAsia="Arial" w:hAnsi="Arial" w:cs="Arial"/>
          <w:sz w:val="22"/>
          <w:szCs w:val="22"/>
        </w:rPr>
        <w:t>into</w:t>
      </w:r>
      <w:r w:rsidRPr="00A72CE5">
        <w:rPr>
          <w:rFonts w:ascii="Arial" w:eastAsia="Arial" w:hAnsi="Arial" w:cs="Arial"/>
          <w:sz w:val="22"/>
          <w:szCs w:val="22"/>
        </w:rPr>
        <w:t xml:space="preserve"> </w:t>
      </w:r>
      <w:r w:rsidR="007B3720" w:rsidRPr="00A72CE5">
        <w:rPr>
          <w:rFonts w:ascii="Arial" w:eastAsia="Arial" w:hAnsi="Arial" w:cs="Arial"/>
          <w:sz w:val="22"/>
          <w:szCs w:val="22"/>
        </w:rPr>
        <w:t>close,</w:t>
      </w:r>
      <w:r w:rsidRPr="00A72CE5">
        <w:rPr>
          <w:rFonts w:ascii="Arial" w:eastAsia="Arial" w:hAnsi="Arial" w:cs="Arial"/>
          <w:sz w:val="22"/>
          <w:szCs w:val="22"/>
        </w:rPr>
        <w:t xml:space="preserve"> after 13-year-old Martha Mills died from sepsis. Her family had raised concerns about her getting </w:t>
      </w:r>
      <w:r w:rsidR="007B3720" w:rsidRPr="00A72CE5">
        <w:rPr>
          <w:rFonts w:ascii="Arial" w:eastAsia="Arial" w:hAnsi="Arial" w:cs="Arial"/>
          <w:sz w:val="22"/>
          <w:szCs w:val="22"/>
        </w:rPr>
        <w:t>worse,</w:t>
      </w:r>
      <w:r w:rsidRPr="00A72CE5">
        <w:rPr>
          <w:rFonts w:ascii="Arial" w:eastAsia="Arial" w:hAnsi="Arial" w:cs="Arial"/>
          <w:sz w:val="22"/>
          <w:szCs w:val="22"/>
        </w:rPr>
        <w:t xml:space="preserve"> but nobody acted on them in time (NHS England, 2024). Between September 2024 and April 2026, more than 14,600 Martha’s Rule calls were recorded across participating hospitals in England, with the biggest share coming through the family and carer escalation route; about a third of calls were linked to acute deterioration , and over 2,700 actually resulted in a treatment change , including transfers to higher levels of care (NHS England, 2026). Improvement: </w:t>
      </w:r>
      <w:r w:rsidR="007B3720" w:rsidRPr="00A72CE5">
        <w:rPr>
          <w:rFonts w:ascii="Arial" w:eastAsia="Arial" w:hAnsi="Arial" w:cs="Arial"/>
          <w:sz w:val="22"/>
          <w:szCs w:val="22"/>
        </w:rPr>
        <w:t>so,</w:t>
      </w:r>
      <w:r w:rsidRPr="00A72CE5">
        <w:rPr>
          <w:rFonts w:ascii="Arial" w:eastAsia="Arial" w:hAnsi="Arial" w:cs="Arial"/>
          <w:sz w:val="22"/>
          <w:szCs w:val="22"/>
        </w:rPr>
        <w:t xml:space="preserve"> the fix is introducing a structured, always-on family and patient escalation pathway, run by a team that’s independent of the clinicians who are currently treating the patient. That way, concerns like the ones Lewis’s parents kept raising can automatically kick off a review that is </w:t>
      </w:r>
      <w:r w:rsidR="007B3720" w:rsidRPr="00A72CE5">
        <w:rPr>
          <w:rFonts w:ascii="Arial" w:eastAsia="Arial" w:hAnsi="Arial" w:cs="Arial"/>
          <w:sz w:val="22"/>
          <w:szCs w:val="22"/>
        </w:rPr>
        <w:t>organised,</w:t>
      </w:r>
      <w:r w:rsidRPr="00A72CE5">
        <w:rPr>
          <w:rFonts w:ascii="Arial" w:eastAsia="Arial" w:hAnsi="Arial" w:cs="Arial"/>
          <w:sz w:val="22"/>
          <w:szCs w:val="22"/>
        </w:rPr>
        <w:t xml:space="preserve"> rather than just relying on informal persuading of a junior doctor.</w:t>
      </w:r>
    </w:p>
    <w:p w14:paraId="2FD1A284" w14:textId="78DA9581"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Problem 3: weekend care was </w:t>
      </w:r>
      <w:r w:rsidR="007B3720" w:rsidRPr="00A72CE5">
        <w:rPr>
          <w:rFonts w:ascii="Arial" w:eastAsia="Arial" w:hAnsi="Arial" w:cs="Arial"/>
          <w:sz w:val="22"/>
          <w:szCs w:val="22"/>
        </w:rPr>
        <w:t>kind of</w:t>
      </w:r>
      <w:r w:rsidRPr="00A72CE5">
        <w:rPr>
          <w:rFonts w:ascii="Arial" w:eastAsia="Arial" w:hAnsi="Arial" w:cs="Arial"/>
          <w:sz w:val="22"/>
          <w:szCs w:val="22"/>
        </w:rPr>
        <w:t xml:space="preserve"> delivered by one intern and some changing residents, with no attending physician actually rostered on the ward, and nobody contacted, despite a clearly indicated need… Data: several national analyses link fewer senior staff on weekends to worse outcomes, with one well known UK paper estimating about 11,000 extra deaths a year tied to weekend admissions (Freemantle et al., 2015) even though newer evidence argues that it’s more about the case mix and the way patients get admitted, and not staffing only (Han et al., 2019; NIHR, 2019). Improvement: put in place one single named senior clinician, who can be contacted any time, and has plain accountability for each inpatient over the weekend, plus a 24/7 critical care outreach or rapid response team that is empowered to act when any staff member calls, instead of keeping responsibility </w:t>
      </w:r>
      <w:r w:rsidR="007B3720" w:rsidRPr="00A72CE5">
        <w:rPr>
          <w:rFonts w:ascii="Arial" w:eastAsia="Arial" w:hAnsi="Arial" w:cs="Arial"/>
          <w:sz w:val="22"/>
          <w:szCs w:val="22"/>
        </w:rPr>
        <w:t>kind of</w:t>
      </w:r>
      <w:r w:rsidRPr="00A72CE5">
        <w:rPr>
          <w:rFonts w:ascii="Arial" w:eastAsia="Arial" w:hAnsi="Arial" w:cs="Arial"/>
          <w:sz w:val="22"/>
          <w:szCs w:val="22"/>
        </w:rPr>
        <w:t xml:space="preserve"> spread across a revolving junior group.</w:t>
      </w:r>
    </w:p>
    <w:p w14:paraId="6D58682D" w14:textId="77777777" w:rsidR="00A72CE5" w:rsidRPr="00A72CE5" w:rsidRDefault="00A72CE5" w:rsidP="007B3720">
      <w:pPr>
        <w:spacing w:line="360" w:lineRule="auto"/>
        <w:jc w:val="both"/>
        <w:rPr>
          <w:rFonts w:ascii="Arial" w:eastAsia="Arial" w:hAnsi="Arial" w:cs="Arial"/>
          <w:sz w:val="22"/>
          <w:szCs w:val="22"/>
        </w:rPr>
      </w:pPr>
      <w:r w:rsidRPr="00A72CE5">
        <w:rPr>
          <w:rFonts w:ascii="Arial" w:eastAsia="Arial" w:hAnsi="Arial" w:cs="Arial"/>
          <w:sz w:val="22"/>
          <w:szCs w:val="22"/>
        </w:rPr>
        <w:t xml:space="preserve">Bringing these findings together suggests that system structure, leadership style, and feedback loops were not separate, independent issues at all. It feels more like one reinforcing pattern, kind of all tied up. The centralised structure basically pinned formal authority to a role that was physically not there, so even if you wanted to, the only way to “make up” for that absence was with a very proactive transformational way of leading from whoever happened to be present; but the culture that actually prevailed was transactional and permission-seeking, and so nobody felt properly entitled to do anything without sign-off from that absent authority. That then kept going, sustaining the negative feedback loop noted in the Rich Picture, where each time something looked abnormal it got reinterpreted to match the existing diagnosis, instead of prompting a review, because there wasn’t a structural mechanism, and no person had the confidence to pull the cord and break the cycle.  </w:t>
      </w:r>
    </w:p>
    <w:p w14:paraId="73A16F52" w14:textId="77777777" w:rsidR="00A72CE5" w:rsidRPr="00A72CE5" w:rsidRDefault="00A72CE5" w:rsidP="00A72CE5">
      <w:pPr>
        <w:spacing w:line="360" w:lineRule="auto"/>
        <w:rPr>
          <w:rFonts w:ascii="Arial" w:eastAsia="Arial" w:hAnsi="Arial" w:cs="Arial"/>
          <w:sz w:val="22"/>
          <w:szCs w:val="22"/>
        </w:rPr>
      </w:pPr>
    </w:p>
    <w:p w14:paraId="13388910" w14:textId="75F873A3" w:rsidR="00A72CE5" w:rsidRPr="00A72CE5" w:rsidRDefault="007B3720" w:rsidP="007B3720">
      <w:pPr>
        <w:spacing w:line="360" w:lineRule="auto"/>
        <w:jc w:val="both"/>
        <w:rPr>
          <w:rFonts w:ascii="Arial" w:eastAsia="Arial" w:hAnsi="Arial" w:cs="Arial"/>
          <w:sz w:val="22"/>
          <w:szCs w:val="22"/>
        </w:rPr>
      </w:pPr>
      <w:r w:rsidRPr="00A72CE5">
        <w:rPr>
          <w:rFonts w:ascii="Arial" w:eastAsia="Arial" w:hAnsi="Arial" w:cs="Arial"/>
          <w:sz w:val="22"/>
          <w:szCs w:val="22"/>
        </w:rPr>
        <w:t>So,</w:t>
      </w:r>
      <w:r w:rsidR="00A72CE5" w:rsidRPr="00A72CE5">
        <w:rPr>
          <w:rFonts w:ascii="Arial" w:eastAsia="Arial" w:hAnsi="Arial" w:cs="Arial"/>
          <w:sz w:val="22"/>
          <w:szCs w:val="22"/>
        </w:rPr>
        <w:t xml:space="preserve"> the takeaway for other health and social care organisations is that safety can’t rest on individual courage, or just on individual competence in isolation. It needs arrangements</w:t>
      </w:r>
      <w:r>
        <w:rPr>
          <w:rFonts w:ascii="Arial" w:eastAsia="Arial" w:hAnsi="Arial" w:cs="Arial"/>
          <w:sz w:val="22"/>
          <w:szCs w:val="22"/>
        </w:rPr>
        <w:t>-</w:t>
      </w:r>
      <w:r w:rsidR="00A72CE5" w:rsidRPr="00A72CE5">
        <w:rPr>
          <w:rFonts w:ascii="Arial" w:eastAsia="Arial" w:hAnsi="Arial" w:cs="Arial"/>
          <w:sz w:val="22"/>
          <w:szCs w:val="22"/>
        </w:rPr>
        <w:t>like objective deterioration triggers, protected escalation pathways for families, and senior cover with clear accountability</w:t>
      </w:r>
      <w:r>
        <w:rPr>
          <w:rFonts w:ascii="Arial" w:eastAsia="Arial" w:hAnsi="Arial" w:cs="Arial"/>
          <w:sz w:val="22"/>
          <w:szCs w:val="22"/>
        </w:rPr>
        <w:t>-</w:t>
      </w:r>
      <w:r w:rsidR="00A72CE5" w:rsidRPr="00A72CE5">
        <w:rPr>
          <w:rFonts w:ascii="Arial" w:eastAsia="Arial" w:hAnsi="Arial" w:cs="Arial"/>
          <w:sz w:val="22"/>
          <w:szCs w:val="22"/>
        </w:rPr>
        <w:t xml:space="preserve">so that the right response becomes the default option, no matter who is on duty, and even when people don’t feel fully confident in the moment.  </w:t>
      </w:r>
    </w:p>
    <w:p w14:paraId="7AEEF06B" w14:textId="77777777" w:rsidR="00A72CE5" w:rsidRPr="00A72CE5" w:rsidRDefault="00A72CE5" w:rsidP="00A72CE5">
      <w:pPr>
        <w:spacing w:line="360" w:lineRule="auto"/>
        <w:rPr>
          <w:rFonts w:ascii="Arial" w:eastAsia="Arial" w:hAnsi="Arial" w:cs="Arial"/>
          <w:sz w:val="22"/>
          <w:szCs w:val="22"/>
        </w:rPr>
      </w:pPr>
    </w:p>
    <w:p w14:paraId="0F264002" w14:textId="71127018" w:rsidR="000D3E2D" w:rsidRPr="00A72CE5" w:rsidRDefault="00A72CE5" w:rsidP="007B3720">
      <w:pPr>
        <w:spacing w:line="360" w:lineRule="auto"/>
        <w:jc w:val="both"/>
        <w:rPr>
          <w:rFonts w:ascii="Arial" w:hAnsi="Arial" w:cs="Arial"/>
          <w:sz w:val="22"/>
          <w:szCs w:val="22"/>
        </w:rPr>
      </w:pPr>
      <w:r w:rsidRPr="00A72CE5">
        <w:rPr>
          <w:rFonts w:ascii="Arial" w:eastAsia="Arial" w:hAnsi="Arial" w:cs="Arial"/>
          <w:sz w:val="22"/>
          <w:szCs w:val="22"/>
        </w:rPr>
        <w:t xml:space="preserve">Evidence and data also have a defined part in keeping this sort of improvement moving. By using routinely gathered measures, like Never Event rates, NEWS2 escalation compliance, or Martha’s Rule call outcomes, an organisation can spot early whether the escalation system is really being used and followed in practice, not simply whether it exists on paper. That way, drift can be corrected before it ends up producing outcomes </w:t>
      </w:r>
      <w:r w:rsidR="007B3720" w:rsidRPr="00A72CE5">
        <w:rPr>
          <w:rFonts w:ascii="Arial" w:eastAsia="Arial" w:hAnsi="Arial" w:cs="Arial"/>
          <w:sz w:val="22"/>
          <w:szCs w:val="22"/>
        </w:rPr>
        <w:t>like</w:t>
      </w:r>
      <w:r w:rsidRPr="00A72CE5">
        <w:rPr>
          <w:rFonts w:ascii="Arial" w:eastAsia="Arial" w:hAnsi="Arial" w:cs="Arial"/>
          <w:sz w:val="22"/>
          <w:szCs w:val="22"/>
        </w:rPr>
        <w:t xml:space="preserve"> the case being discussed.</w:t>
      </w:r>
      <w:r w:rsidRPr="00A72CE5">
        <w:rPr>
          <w:rFonts w:ascii="Arial" w:hAnsi="Arial" w:cs="Arial"/>
          <w:sz w:val="22"/>
          <w:szCs w:val="22"/>
        </w:rPr>
        <w:br w:type="page"/>
      </w:r>
    </w:p>
    <w:p w14:paraId="49723C28" w14:textId="77777777" w:rsidR="000D3E2D" w:rsidRPr="007B3720" w:rsidRDefault="00000000" w:rsidP="00A72CE5">
      <w:pPr>
        <w:pStyle w:val="Heading1"/>
        <w:spacing w:before="360" w:after="200" w:line="360" w:lineRule="auto"/>
        <w:rPr>
          <w:rFonts w:ascii="Arial" w:hAnsi="Arial" w:cs="Arial"/>
          <w:sz w:val="36"/>
          <w:szCs w:val="36"/>
        </w:rPr>
      </w:pPr>
      <w:bookmarkStart w:id="6" w:name="_Toc236070367"/>
      <w:r w:rsidRPr="007B3720">
        <w:rPr>
          <w:rFonts w:ascii="Arial" w:eastAsia="Arial" w:hAnsi="Arial" w:cs="Arial"/>
          <w:b/>
          <w:bCs/>
          <w:sz w:val="36"/>
          <w:szCs w:val="36"/>
        </w:rPr>
        <w:lastRenderedPageBreak/>
        <w:t>Recommendation</w:t>
      </w:r>
      <w:bookmarkEnd w:id="6"/>
    </w:p>
    <w:p w14:paraId="287DA616" w14:textId="2D5E5D25"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So, the organisation at the centre of this case study should now move on four connected fronts, leadership </w:t>
      </w:r>
      <w:r w:rsidR="007B3720" w:rsidRPr="00A72CE5">
        <w:rPr>
          <w:rFonts w:ascii="Arial" w:eastAsia="Arial" w:hAnsi="Arial" w:cs="Arial"/>
          <w:sz w:val="22"/>
          <w:szCs w:val="22"/>
        </w:rPr>
        <w:t>style,</w:t>
      </w:r>
      <w:r w:rsidRPr="00A72CE5">
        <w:rPr>
          <w:rFonts w:ascii="Arial" w:eastAsia="Arial" w:hAnsi="Arial" w:cs="Arial"/>
          <w:sz w:val="22"/>
          <w:szCs w:val="22"/>
        </w:rPr>
        <w:t xml:space="preserve"> governance structure, systems integration, and continuous learning, but all of it really needs to land directly on the analysis above. Not just in theory, but in </w:t>
      </w:r>
      <w:r w:rsidR="007B3720" w:rsidRPr="00A72CE5">
        <w:rPr>
          <w:rFonts w:ascii="Arial" w:eastAsia="Arial" w:hAnsi="Arial" w:cs="Arial"/>
          <w:sz w:val="22"/>
          <w:szCs w:val="22"/>
        </w:rPr>
        <w:t>day-to-day</w:t>
      </w:r>
      <w:r w:rsidRPr="00A72CE5">
        <w:rPr>
          <w:rFonts w:ascii="Arial" w:eastAsia="Arial" w:hAnsi="Arial" w:cs="Arial"/>
          <w:sz w:val="22"/>
          <w:szCs w:val="22"/>
        </w:rPr>
        <w:t xml:space="preserve"> ward behaviour.</w:t>
      </w:r>
    </w:p>
    <w:p w14:paraId="444C5BE2" w14:textId="59B805A7"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First, on leadership style, the organisation should deliberately cultivate transformational leadership alongside situational adaptability at ward </w:t>
      </w:r>
      <w:r w:rsidR="007B3720" w:rsidRPr="00A72CE5">
        <w:rPr>
          <w:rFonts w:ascii="Arial" w:eastAsia="Arial" w:hAnsi="Arial" w:cs="Arial"/>
          <w:sz w:val="22"/>
          <w:szCs w:val="22"/>
        </w:rPr>
        <w:t>level,</w:t>
      </w:r>
      <w:r w:rsidRPr="00A72CE5">
        <w:rPr>
          <w:rFonts w:ascii="Arial" w:eastAsia="Arial" w:hAnsi="Arial" w:cs="Arial"/>
          <w:sz w:val="22"/>
          <w:szCs w:val="22"/>
        </w:rPr>
        <w:t xml:space="preserve"> rather than falling back on a purely transactional permission seeking model. In practice, this means training senior nurses </w:t>
      </w:r>
      <w:r w:rsidR="007B3720" w:rsidRPr="00A72CE5">
        <w:rPr>
          <w:rFonts w:ascii="Arial" w:eastAsia="Arial" w:hAnsi="Arial" w:cs="Arial"/>
          <w:sz w:val="22"/>
          <w:szCs w:val="22"/>
        </w:rPr>
        <w:t>and</w:t>
      </w:r>
      <w:r w:rsidRPr="00A72CE5">
        <w:rPr>
          <w:rFonts w:ascii="Arial" w:eastAsia="Arial" w:hAnsi="Arial" w:cs="Arial"/>
          <w:sz w:val="22"/>
          <w:szCs w:val="22"/>
        </w:rPr>
        <w:t xml:space="preserve"> supervising </w:t>
      </w:r>
      <w:r w:rsidR="007B3720" w:rsidRPr="00A72CE5">
        <w:rPr>
          <w:rFonts w:ascii="Arial" w:eastAsia="Arial" w:hAnsi="Arial" w:cs="Arial"/>
          <w:sz w:val="22"/>
          <w:szCs w:val="22"/>
        </w:rPr>
        <w:t>residents,</w:t>
      </w:r>
      <w:r w:rsidRPr="00A72CE5">
        <w:rPr>
          <w:rFonts w:ascii="Arial" w:eastAsia="Arial" w:hAnsi="Arial" w:cs="Arial"/>
          <w:sz w:val="22"/>
          <w:szCs w:val="22"/>
        </w:rPr>
        <w:t xml:space="preserve"> so they actively invite challenge, and so they treat a </w:t>
      </w:r>
      <w:r w:rsidR="007B3720" w:rsidRPr="00A72CE5">
        <w:rPr>
          <w:rFonts w:ascii="Arial" w:eastAsia="Arial" w:hAnsi="Arial" w:cs="Arial"/>
          <w:sz w:val="22"/>
          <w:szCs w:val="22"/>
        </w:rPr>
        <w:t>junior colleague</w:t>
      </w:r>
      <w:r w:rsidRPr="00A72CE5">
        <w:rPr>
          <w:rFonts w:ascii="Arial" w:eastAsia="Arial" w:hAnsi="Arial" w:cs="Arial"/>
          <w:sz w:val="22"/>
          <w:szCs w:val="22"/>
        </w:rPr>
        <w:t>, or even a family’s, disagreement with the working diagnosis as useful clinical knowledge. It also means using a more directive, purpose driven approach specifically when vital signs contradict the current plan. This isn’t a “nice to have</w:t>
      </w:r>
      <w:r w:rsidR="007B3720" w:rsidRPr="00A72CE5">
        <w:rPr>
          <w:rFonts w:ascii="Arial" w:eastAsia="Arial" w:hAnsi="Arial" w:cs="Arial"/>
          <w:sz w:val="22"/>
          <w:szCs w:val="22"/>
        </w:rPr>
        <w:t>”,</w:t>
      </w:r>
      <w:r w:rsidRPr="00A72CE5">
        <w:rPr>
          <w:rFonts w:ascii="Arial" w:eastAsia="Arial" w:hAnsi="Arial" w:cs="Arial"/>
          <w:sz w:val="22"/>
          <w:szCs w:val="22"/>
        </w:rPr>
        <w:t xml:space="preserve"> it follows pretty straight from evidence that compassionate, engaging leadership is linked to better care quality and lower mortality (West and Dawson, 2012), and from the finding that a culture where fewer than one in ten staff felt able to speak up about safety concerns directly preceded this kind of failure (Maxfield et al., 2005). There’s also a wider evidence review that basically argues that sustained investment in leadership development, rather than one off training, is what separates the organisations that manage to embed safer behaviours (Maggs, Brooke and Morrison, 2015). Keeping this change intact over time will itself require active change </w:t>
      </w:r>
      <w:r w:rsidR="007B3720" w:rsidRPr="00A72CE5">
        <w:rPr>
          <w:rFonts w:ascii="Arial" w:eastAsia="Arial" w:hAnsi="Arial" w:cs="Arial"/>
          <w:sz w:val="22"/>
          <w:szCs w:val="22"/>
        </w:rPr>
        <w:t>leadership,</w:t>
      </w:r>
      <w:r w:rsidRPr="00A72CE5">
        <w:rPr>
          <w:rFonts w:ascii="Arial" w:eastAsia="Arial" w:hAnsi="Arial" w:cs="Arial"/>
          <w:sz w:val="22"/>
          <w:szCs w:val="22"/>
        </w:rPr>
        <w:t xml:space="preserve"> because escalation behaviours </w:t>
      </w:r>
      <w:r w:rsidR="007B3720" w:rsidRPr="00A72CE5">
        <w:rPr>
          <w:rFonts w:ascii="Arial" w:eastAsia="Arial" w:hAnsi="Arial" w:cs="Arial"/>
          <w:sz w:val="22"/>
          <w:szCs w:val="22"/>
        </w:rPr>
        <w:t>must</w:t>
      </w:r>
      <w:r w:rsidRPr="00A72CE5">
        <w:rPr>
          <w:rFonts w:ascii="Arial" w:eastAsia="Arial" w:hAnsi="Arial" w:cs="Arial"/>
          <w:sz w:val="22"/>
          <w:szCs w:val="22"/>
        </w:rPr>
        <w:t xml:space="preserve"> be embedded into ward routines and reinforced well after the initial training window, otherwise they tend to drift back under pressure (Kotter, 1996).</w:t>
      </w:r>
    </w:p>
    <w:p w14:paraId="5D4E1526" w14:textId="502AC3D6"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Second, on governance, the authority should be purposely decentralised for time critical escalation choices, while staying centralized for things like standard setting and oversight. Every inpatient really ought to have one named senior clinician, someone contactable, accountable for their care all the time, even on weekends, not just when it feels convenient. That role should be supported by a rapid response, or critical care outreach team, and any staff member, or the patient’s </w:t>
      </w:r>
      <w:r w:rsidR="007B3720" w:rsidRPr="00A72CE5">
        <w:rPr>
          <w:rFonts w:ascii="Arial" w:eastAsia="Arial" w:hAnsi="Arial" w:cs="Arial"/>
          <w:sz w:val="22"/>
          <w:szCs w:val="22"/>
        </w:rPr>
        <w:t>family,</w:t>
      </w:r>
      <w:r w:rsidRPr="00A72CE5">
        <w:rPr>
          <w:rFonts w:ascii="Arial" w:eastAsia="Arial" w:hAnsi="Arial" w:cs="Arial"/>
          <w:sz w:val="22"/>
          <w:szCs w:val="22"/>
        </w:rPr>
        <w:t xml:space="preserve"> should be able to contact them directly without first spending time persuading a more junior clinician to agree. This is meant to fix the accountability gap that showed up in this case, and it also mirrors the structure that came in nationally via Martha’s Rule, which reportedly delivered measurable escalation outcomes in its first two years of rollout (NHS England, 2026).</w:t>
      </w:r>
    </w:p>
    <w:p w14:paraId="55E56757" w14:textId="77777777"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To improve allocative efficiency, weekend and out of hours staffing should be checked against acuity data instead of sticking to fixed rosters. In practice that means senior cover scales with the actual complexity of the patients on the ward, not just whatever staffing template was used </w:t>
      </w:r>
      <w:r w:rsidRPr="00A72CE5">
        <w:rPr>
          <w:rFonts w:ascii="Arial" w:eastAsia="Arial" w:hAnsi="Arial" w:cs="Arial"/>
          <w:sz w:val="22"/>
          <w:szCs w:val="22"/>
        </w:rPr>
        <w:lastRenderedPageBreak/>
        <w:t>last month. This fits with evidence that junior doctors end up delivering a disproportionate share of weekend cover under the current model (Han et al., 2019).</w:t>
      </w:r>
    </w:p>
    <w:p w14:paraId="12E1B5F1" w14:textId="23804DBF" w:rsidR="00A72CE5" w:rsidRPr="00A72CE5" w:rsidRDefault="00A72CE5" w:rsidP="007B3720">
      <w:pPr>
        <w:spacing w:line="360" w:lineRule="auto"/>
        <w:jc w:val="both"/>
        <w:rPr>
          <w:rFonts w:ascii="Arial" w:eastAsia="Arial" w:hAnsi="Arial" w:cs="Arial"/>
          <w:sz w:val="22"/>
          <w:szCs w:val="22"/>
        </w:rPr>
      </w:pPr>
      <w:r w:rsidRPr="00A72CE5">
        <w:rPr>
          <w:rFonts w:ascii="Arial" w:eastAsia="Arial" w:hAnsi="Arial" w:cs="Arial"/>
          <w:sz w:val="22"/>
          <w:szCs w:val="22"/>
        </w:rPr>
        <w:t xml:space="preserve">Fourth, on continuous learning, stakeholder engagement and co-production, the organisation should </w:t>
      </w:r>
      <w:r w:rsidR="007B3720" w:rsidRPr="00A72CE5">
        <w:rPr>
          <w:rFonts w:ascii="Arial" w:eastAsia="Arial" w:hAnsi="Arial" w:cs="Arial"/>
          <w:sz w:val="22"/>
          <w:szCs w:val="22"/>
        </w:rPr>
        <w:t>kind of</w:t>
      </w:r>
      <w:r w:rsidRPr="00A72CE5">
        <w:rPr>
          <w:rFonts w:ascii="Arial" w:eastAsia="Arial" w:hAnsi="Arial" w:cs="Arial"/>
          <w:sz w:val="22"/>
          <w:szCs w:val="22"/>
        </w:rPr>
        <w:t xml:space="preserve"> treat patients and families as active partners in monitoring deterioration, rather than passive recipients of </w:t>
      </w:r>
      <w:r w:rsidR="007B3720" w:rsidRPr="00A72CE5">
        <w:rPr>
          <w:rFonts w:ascii="Arial" w:eastAsia="Arial" w:hAnsi="Arial" w:cs="Arial"/>
          <w:sz w:val="22"/>
          <w:szCs w:val="22"/>
        </w:rPr>
        <w:t>care,</w:t>
      </w:r>
      <w:r w:rsidRPr="00A72CE5">
        <w:rPr>
          <w:rFonts w:ascii="Arial" w:eastAsia="Arial" w:hAnsi="Arial" w:cs="Arial"/>
          <w:sz w:val="22"/>
          <w:szCs w:val="22"/>
        </w:rPr>
        <w:t xml:space="preserve"> and it should embed structured daily check-ins the way Martha’s Rule type processes do. Also, every time an escalation call happens, whether it comes from staff or a family member, it should be reviewed for learning, even if the outcome is good. For serious incident investigations, it needs to look at system factors and leadership issues too, not just individual clinical decisions. </w:t>
      </w:r>
      <w:r w:rsidR="007B3720" w:rsidRPr="00A72CE5">
        <w:rPr>
          <w:rFonts w:ascii="Arial" w:eastAsia="Arial" w:hAnsi="Arial" w:cs="Arial"/>
          <w:sz w:val="22"/>
          <w:szCs w:val="22"/>
        </w:rPr>
        <w:t>Then,</w:t>
      </w:r>
      <w:r w:rsidRPr="00A72CE5">
        <w:rPr>
          <w:rFonts w:ascii="Arial" w:eastAsia="Arial" w:hAnsi="Arial" w:cs="Arial"/>
          <w:sz w:val="22"/>
          <w:szCs w:val="22"/>
        </w:rPr>
        <w:t xml:space="preserve"> findings should be fed back in a transparent way to the frontline staff so the feedback loop that was missing here can </w:t>
      </w:r>
      <w:r w:rsidR="007B3720" w:rsidRPr="00A72CE5">
        <w:rPr>
          <w:rFonts w:ascii="Arial" w:eastAsia="Arial" w:hAnsi="Arial" w:cs="Arial"/>
          <w:sz w:val="22"/>
          <w:szCs w:val="22"/>
        </w:rPr>
        <w:t>close</w:t>
      </w:r>
      <w:r w:rsidRPr="00A72CE5">
        <w:rPr>
          <w:rFonts w:ascii="Arial" w:eastAsia="Arial" w:hAnsi="Arial" w:cs="Arial"/>
          <w:sz w:val="22"/>
          <w:szCs w:val="22"/>
        </w:rPr>
        <w:t xml:space="preserve">. These recommendations are meant to be </w:t>
      </w:r>
      <w:r w:rsidR="007B3720" w:rsidRPr="00A72CE5">
        <w:rPr>
          <w:rFonts w:ascii="Arial" w:eastAsia="Arial" w:hAnsi="Arial" w:cs="Arial"/>
          <w:sz w:val="22"/>
          <w:szCs w:val="22"/>
        </w:rPr>
        <w:t>practical,</w:t>
      </w:r>
      <w:r w:rsidRPr="00A72CE5">
        <w:rPr>
          <w:rFonts w:ascii="Arial" w:eastAsia="Arial" w:hAnsi="Arial" w:cs="Arial"/>
          <w:sz w:val="22"/>
          <w:szCs w:val="22"/>
        </w:rPr>
        <w:t xml:space="preserve"> and they are directly traceable to the evidence this report examined: each one targets a specific mechanism, the diagnostic anchoring, the lack of clear senior accountability, the unused escalation routes, or the unsupported junior workforce, all of which was shown above to have contributed to Lewis Blackman’s death.</w:t>
      </w:r>
    </w:p>
    <w:p w14:paraId="66C9B76F" w14:textId="54EC9374" w:rsidR="000D3E2D" w:rsidRPr="007B3720" w:rsidRDefault="00000000" w:rsidP="00A72CE5">
      <w:pPr>
        <w:pStyle w:val="Heading1"/>
        <w:spacing w:before="360" w:after="200" w:line="360" w:lineRule="auto"/>
        <w:rPr>
          <w:rFonts w:ascii="Arial" w:hAnsi="Arial" w:cs="Arial"/>
          <w:sz w:val="36"/>
          <w:szCs w:val="36"/>
        </w:rPr>
      </w:pPr>
      <w:bookmarkStart w:id="7" w:name="_Toc236070368"/>
      <w:r w:rsidRPr="007B3720">
        <w:rPr>
          <w:rFonts w:ascii="Arial" w:eastAsia="Arial" w:hAnsi="Arial" w:cs="Arial"/>
          <w:b/>
          <w:bCs/>
          <w:sz w:val="36"/>
          <w:szCs w:val="36"/>
        </w:rPr>
        <w:t>Conclusion</w:t>
      </w:r>
      <w:bookmarkEnd w:id="7"/>
    </w:p>
    <w:p w14:paraId="02FE3F9A" w14:textId="5A6E9C4E"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This report has used the death of Lewis Blackman as a kind of lens, to look at how leadership governance and systems thinking bump into each other and end up shaping patient safety outcomes. The main point is not, that Lewis died because some single member of staff was “just” incompetent or anything like that. It’s more that the system around him, with its centralised structure plus missing senior authority, a transactional culture that quietly discouraged challenge, and a feedback loop that was broken between objective monitoring and clinical decision making, made his death more likely even if individual competence was present. And honestly, this isn’t a rare story, the global and national data </w:t>
      </w:r>
      <w:r w:rsidR="00996D3B" w:rsidRPr="00A72CE5">
        <w:rPr>
          <w:rFonts w:ascii="Arial" w:eastAsia="Arial" w:hAnsi="Arial" w:cs="Arial"/>
          <w:sz w:val="22"/>
          <w:szCs w:val="22"/>
        </w:rPr>
        <w:t>back-up</w:t>
      </w:r>
      <w:r w:rsidRPr="00A72CE5">
        <w:rPr>
          <w:rFonts w:ascii="Arial" w:eastAsia="Arial" w:hAnsi="Arial" w:cs="Arial"/>
          <w:sz w:val="22"/>
          <w:szCs w:val="22"/>
        </w:rPr>
        <w:t xml:space="preserve"> that unsafe care, diagnostic error and failure to rescue keep showing up as persistent measurable problems across health </w:t>
      </w:r>
      <w:r w:rsidR="007B3720" w:rsidRPr="00A72CE5">
        <w:rPr>
          <w:rFonts w:ascii="Arial" w:eastAsia="Arial" w:hAnsi="Arial" w:cs="Arial"/>
          <w:sz w:val="22"/>
          <w:szCs w:val="22"/>
        </w:rPr>
        <w:t>systems,</w:t>
      </w:r>
      <w:r w:rsidRPr="00A72CE5">
        <w:rPr>
          <w:rFonts w:ascii="Arial" w:eastAsia="Arial" w:hAnsi="Arial" w:cs="Arial"/>
          <w:sz w:val="22"/>
          <w:szCs w:val="22"/>
        </w:rPr>
        <w:t xml:space="preserve"> including within the NHS (WHO, 2024; NHS England, 2026). That’s exactly why the World Health Organization has committed member states to a decade long Global Patient Safety Action Plan, meant to eliminate avoidable harm (WHO, 2021).</w:t>
      </w:r>
    </w:p>
    <w:p w14:paraId="09ECA062" w14:textId="28E65875" w:rsidR="00A72CE5" w:rsidRPr="00A72CE5" w:rsidRDefault="00A72CE5" w:rsidP="00A72CE5">
      <w:pPr>
        <w:spacing w:after="200" w:line="360" w:lineRule="auto"/>
        <w:jc w:val="both"/>
        <w:rPr>
          <w:rFonts w:ascii="Arial" w:eastAsia="Arial" w:hAnsi="Arial" w:cs="Arial"/>
          <w:sz w:val="22"/>
          <w:szCs w:val="22"/>
        </w:rPr>
      </w:pPr>
      <w:r w:rsidRPr="00A72CE5">
        <w:rPr>
          <w:rFonts w:ascii="Arial" w:eastAsia="Arial" w:hAnsi="Arial" w:cs="Arial"/>
          <w:sz w:val="22"/>
          <w:szCs w:val="22"/>
        </w:rPr>
        <w:t xml:space="preserve">When looking at centralisation versus decentralisation it kind of becomes obvious that putting all formal authority into one position, that was physically not there, meant the whole system just couldn’t adjust in time, sort of. Meanwhile the data around decentralised </w:t>
      </w:r>
      <w:r w:rsidR="007B3720" w:rsidRPr="00A72CE5">
        <w:rPr>
          <w:rFonts w:ascii="Arial" w:eastAsia="Arial" w:hAnsi="Arial" w:cs="Arial"/>
          <w:sz w:val="22"/>
          <w:szCs w:val="22"/>
        </w:rPr>
        <w:t>protocol-based</w:t>
      </w:r>
      <w:r w:rsidRPr="00A72CE5">
        <w:rPr>
          <w:rFonts w:ascii="Arial" w:eastAsia="Arial" w:hAnsi="Arial" w:cs="Arial"/>
          <w:sz w:val="22"/>
          <w:szCs w:val="22"/>
        </w:rPr>
        <w:t xml:space="preserve"> tools, like NEWS2, suggests there is a workable alternative, one you can </w:t>
      </w:r>
      <w:r w:rsidR="007B3720" w:rsidRPr="00A72CE5">
        <w:rPr>
          <w:rFonts w:ascii="Arial" w:eastAsia="Arial" w:hAnsi="Arial" w:cs="Arial"/>
          <w:sz w:val="22"/>
          <w:szCs w:val="22"/>
        </w:rPr>
        <w:t>measure</w:t>
      </w:r>
      <w:r w:rsidRPr="00A72CE5">
        <w:rPr>
          <w:rFonts w:ascii="Arial" w:eastAsia="Arial" w:hAnsi="Arial" w:cs="Arial"/>
          <w:sz w:val="22"/>
          <w:szCs w:val="22"/>
        </w:rPr>
        <w:t xml:space="preserve"> rather than just assume. Then, using leadership theory it turned out that on the ward nobody really showed </w:t>
      </w:r>
      <w:r w:rsidRPr="00A72CE5">
        <w:rPr>
          <w:rFonts w:ascii="Arial" w:eastAsia="Arial" w:hAnsi="Arial" w:cs="Arial"/>
          <w:sz w:val="22"/>
          <w:szCs w:val="22"/>
        </w:rPr>
        <w:lastRenderedPageBreak/>
        <w:t xml:space="preserve">the transformational, situationally fitting kind of leadership that the crisis needed, and that matches broader findings that leadership style connects straight into patient outcomes, not in some vague way but directly. For the improvement analysis we turned the same message into practical, </w:t>
      </w:r>
      <w:r w:rsidR="007B3720" w:rsidRPr="00A72CE5">
        <w:rPr>
          <w:rFonts w:ascii="Arial" w:eastAsia="Arial" w:hAnsi="Arial" w:cs="Arial"/>
          <w:sz w:val="22"/>
          <w:szCs w:val="22"/>
        </w:rPr>
        <w:t>evidence-based</w:t>
      </w:r>
      <w:r w:rsidRPr="00A72CE5">
        <w:rPr>
          <w:rFonts w:ascii="Arial" w:eastAsia="Arial" w:hAnsi="Arial" w:cs="Arial"/>
          <w:sz w:val="22"/>
          <w:szCs w:val="22"/>
        </w:rPr>
        <w:t xml:space="preserve"> actions, things like clear objective deterioration triggers, a named senior person for accountability, and family activated escalation pathways such as Martha’s Rule, and each of those has already shown a measurable safety gain in other parts of the NHS.</w:t>
      </w:r>
    </w:p>
    <w:p w14:paraId="2998DDE9" w14:textId="4777E233" w:rsidR="000D3E2D" w:rsidRPr="00A72CE5" w:rsidRDefault="00A72CE5" w:rsidP="007B3720">
      <w:pPr>
        <w:spacing w:line="360" w:lineRule="auto"/>
        <w:jc w:val="both"/>
        <w:rPr>
          <w:rFonts w:ascii="Arial" w:hAnsi="Arial" w:cs="Arial"/>
          <w:sz w:val="22"/>
          <w:szCs w:val="22"/>
        </w:rPr>
      </w:pPr>
      <w:r w:rsidRPr="00A72CE5">
        <w:rPr>
          <w:rFonts w:ascii="Arial" w:eastAsia="Arial" w:hAnsi="Arial" w:cs="Arial"/>
          <w:sz w:val="22"/>
          <w:szCs w:val="22"/>
        </w:rPr>
        <w:t xml:space="preserve">Ultimately, this case sort of underscores that leadership and governance are not this vague organisational kind of thing, but </w:t>
      </w:r>
      <w:r w:rsidR="007B3720" w:rsidRPr="00A72CE5">
        <w:rPr>
          <w:rFonts w:ascii="Arial" w:eastAsia="Arial" w:hAnsi="Arial" w:cs="Arial"/>
          <w:sz w:val="22"/>
          <w:szCs w:val="22"/>
        </w:rPr>
        <w:t>direct</w:t>
      </w:r>
      <w:r w:rsidRPr="00A72CE5">
        <w:rPr>
          <w:rFonts w:ascii="Arial" w:eastAsia="Arial" w:hAnsi="Arial" w:cs="Arial"/>
          <w:sz w:val="22"/>
          <w:szCs w:val="22"/>
        </w:rPr>
        <w:t xml:space="preserve"> determinants of if a deteriorating patient is being </w:t>
      </w:r>
      <w:r w:rsidR="007B3720" w:rsidRPr="00A72CE5">
        <w:rPr>
          <w:rFonts w:ascii="Arial" w:eastAsia="Arial" w:hAnsi="Arial" w:cs="Arial"/>
          <w:sz w:val="22"/>
          <w:szCs w:val="22"/>
        </w:rPr>
        <w:t>seen,</w:t>
      </w:r>
      <w:r w:rsidRPr="00A72CE5">
        <w:rPr>
          <w:rFonts w:ascii="Arial" w:eastAsia="Arial" w:hAnsi="Arial" w:cs="Arial"/>
          <w:sz w:val="22"/>
          <w:szCs w:val="22"/>
        </w:rPr>
        <w:t xml:space="preserve"> </w:t>
      </w:r>
      <w:r w:rsidR="007B3720" w:rsidRPr="00A72CE5">
        <w:rPr>
          <w:rFonts w:ascii="Arial" w:eastAsia="Arial" w:hAnsi="Arial" w:cs="Arial"/>
          <w:sz w:val="22"/>
          <w:szCs w:val="22"/>
        </w:rPr>
        <w:t>heard,</w:t>
      </w:r>
      <w:r w:rsidRPr="00A72CE5">
        <w:rPr>
          <w:rFonts w:ascii="Arial" w:eastAsia="Arial" w:hAnsi="Arial" w:cs="Arial"/>
          <w:sz w:val="22"/>
          <w:szCs w:val="22"/>
        </w:rPr>
        <w:t xml:space="preserve"> and treated on time. Systems thinking is also helpful here because it makes visible what an individual case review can sometimes hide, kind of. </w:t>
      </w:r>
      <w:r w:rsidR="007B3720" w:rsidRPr="00A72CE5">
        <w:rPr>
          <w:rFonts w:ascii="Arial" w:eastAsia="Arial" w:hAnsi="Arial" w:cs="Arial"/>
          <w:sz w:val="22"/>
          <w:szCs w:val="22"/>
        </w:rPr>
        <w:t>Like,</w:t>
      </w:r>
      <w:r w:rsidRPr="00A72CE5">
        <w:rPr>
          <w:rFonts w:ascii="Arial" w:eastAsia="Arial" w:hAnsi="Arial" w:cs="Arial"/>
          <w:sz w:val="22"/>
          <w:szCs w:val="22"/>
        </w:rPr>
        <w:t xml:space="preserve"> safety doesn’t just depend on the bravery or the competence of whoever happens to be on duty. Instead, it depends on the deliberate design of structures, where the authority sits, and how the feedback loops work, properly, in practice. For health and social care organisations in general, the lesson from Lewis Blackman’s death seems to be that evidence-based leadership and governance reform, held up by continuous monitoring of the sort now built into initiatives like Martha’s Rule and NEWS2, still remains one of the most straightforward levers available for preventing avoidable harm.</w:t>
      </w:r>
      <w:r w:rsidRPr="00A72CE5">
        <w:rPr>
          <w:rFonts w:ascii="Arial" w:hAnsi="Arial" w:cs="Arial"/>
          <w:sz w:val="22"/>
          <w:szCs w:val="22"/>
        </w:rPr>
        <w:br w:type="page"/>
      </w:r>
    </w:p>
    <w:p w14:paraId="688607F0" w14:textId="77777777" w:rsidR="000D3E2D" w:rsidRPr="007B3720" w:rsidRDefault="00000000" w:rsidP="00A72CE5">
      <w:pPr>
        <w:pStyle w:val="Heading1"/>
        <w:spacing w:before="360" w:after="200" w:line="360" w:lineRule="auto"/>
        <w:rPr>
          <w:rFonts w:ascii="Arial" w:hAnsi="Arial" w:cs="Arial"/>
          <w:sz w:val="36"/>
          <w:szCs w:val="36"/>
        </w:rPr>
      </w:pPr>
      <w:bookmarkStart w:id="8" w:name="_Toc236070369"/>
      <w:r w:rsidRPr="007B3720">
        <w:rPr>
          <w:rFonts w:ascii="Arial" w:eastAsia="Arial" w:hAnsi="Arial" w:cs="Arial"/>
          <w:b/>
          <w:bCs/>
          <w:sz w:val="36"/>
          <w:szCs w:val="36"/>
        </w:rPr>
        <w:lastRenderedPageBreak/>
        <w:t>References</w:t>
      </w:r>
      <w:bookmarkEnd w:id="8"/>
    </w:p>
    <w:p w14:paraId="14F1AA20" w14:textId="77777777" w:rsidR="00044B47" w:rsidRDefault="00044B47" w:rsidP="00044B47">
      <w:pPr>
        <w:pStyle w:val="isselectedend"/>
      </w:pPr>
      <w:r>
        <w:t xml:space="preserve">American Association of Critical-Care Nurses (AACN) (2026) ‘Silence Kills 2.0: How Communication Failures Stifle Innovation and Harm Patients’, </w:t>
      </w:r>
      <w:r>
        <w:rPr>
          <w:rStyle w:val="Emphasis"/>
        </w:rPr>
        <w:t>American Journal of Critical Care</w:t>
      </w:r>
      <w:r>
        <w:t>, 35(3), pp. 182–192.</w:t>
      </w:r>
    </w:p>
    <w:p w14:paraId="16185AE1" w14:textId="77777777" w:rsidR="00044B47" w:rsidRDefault="00044B47" w:rsidP="00044B47">
      <w:pPr>
        <w:pStyle w:val="isselectedend"/>
      </w:pPr>
      <w:r>
        <w:t xml:space="preserve">Bass, B.M. (1985) </w:t>
      </w:r>
      <w:r>
        <w:rPr>
          <w:rStyle w:val="Emphasis"/>
        </w:rPr>
        <w:t>Leadership and Performance Beyond Expectations</w:t>
      </w:r>
      <w:r>
        <w:t>. New York: Free Press.</w:t>
      </w:r>
    </w:p>
    <w:p w14:paraId="3F6327A1" w14:textId="77777777" w:rsidR="00044B47" w:rsidRDefault="00044B47" w:rsidP="00044B47">
      <w:pPr>
        <w:pStyle w:val="isselectedend"/>
      </w:pPr>
      <w:r>
        <w:t xml:space="preserve">Burns, J.M. (1978) </w:t>
      </w:r>
      <w:r>
        <w:rPr>
          <w:rStyle w:val="Emphasis"/>
        </w:rPr>
        <w:t>Leadership</w:t>
      </w:r>
      <w:r>
        <w:t>. New York: Harper &amp; Row.</w:t>
      </w:r>
    </w:p>
    <w:p w14:paraId="59F426AD" w14:textId="77777777" w:rsidR="00044B47" w:rsidRDefault="00044B47" w:rsidP="00044B47">
      <w:pPr>
        <w:pStyle w:val="isselectedend"/>
      </w:pPr>
      <w:r>
        <w:t xml:space="preserve">Checkland, P. (1981) </w:t>
      </w:r>
      <w:r>
        <w:rPr>
          <w:rStyle w:val="Emphasis"/>
        </w:rPr>
        <w:t>Systems Thinking, Systems Practice</w:t>
      </w:r>
      <w:r>
        <w:t>. Chichester: Wiley.</w:t>
      </w:r>
    </w:p>
    <w:p w14:paraId="067C96DD" w14:textId="77777777" w:rsidR="00044B47" w:rsidRDefault="00044B47" w:rsidP="00044B47">
      <w:pPr>
        <w:pStyle w:val="isselectedend"/>
      </w:pPr>
      <w:r>
        <w:t xml:space="preserve">Edmondson, A.C. (1999) ‘Psychological safety and learning behaviour in work teams’, </w:t>
      </w:r>
      <w:r>
        <w:rPr>
          <w:rStyle w:val="Emphasis"/>
        </w:rPr>
        <w:t>Administrative Science Quarterly</w:t>
      </w:r>
      <w:r>
        <w:t>, 44(2), pp. 350–383.</w:t>
      </w:r>
    </w:p>
    <w:p w14:paraId="74B451DB" w14:textId="77777777" w:rsidR="00044B47" w:rsidRDefault="00044B47" w:rsidP="00044B47">
      <w:pPr>
        <w:pStyle w:val="isselectedend"/>
      </w:pPr>
      <w:r>
        <w:t xml:space="preserve">Elliott, R.A., Camacho, E., Campbell, F., Jankovic, D., Martyn-St James, M., Kaltenthaler, E., Wong, R., Sculpher, M. and Faria, R. (2020) </w:t>
      </w:r>
      <w:r>
        <w:rPr>
          <w:rStyle w:val="Emphasis"/>
        </w:rPr>
        <w:t>Prevalence and Economic Burden of Medication Errors in the NHS in England</w:t>
      </w:r>
      <w:r>
        <w:t>. Sheffield: University of Sheffield and Policy Research Unit in Economic Evaluation of Health and Care Interventions.</w:t>
      </w:r>
    </w:p>
    <w:p w14:paraId="44B539E4" w14:textId="77777777" w:rsidR="00044B47" w:rsidRDefault="00044B47" w:rsidP="00044B47">
      <w:pPr>
        <w:pStyle w:val="isselectedend"/>
      </w:pPr>
      <w:r>
        <w:t xml:space="preserve">Francis, R. (2013) </w:t>
      </w:r>
      <w:r>
        <w:rPr>
          <w:rStyle w:val="Emphasis"/>
        </w:rPr>
        <w:t>Report of the Mid Staffordshire NHS Foundation Trust Public Inquiry</w:t>
      </w:r>
      <w:r>
        <w:t>. London: The Stationery Office.</w:t>
      </w:r>
    </w:p>
    <w:p w14:paraId="777AB911" w14:textId="77777777" w:rsidR="00044B47" w:rsidRDefault="00044B47" w:rsidP="00044B47">
      <w:pPr>
        <w:pStyle w:val="isselectedend"/>
      </w:pPr>
      <w:r>
        <w:t xml:space="preserve">Freemantle, N., Ray, D., McNulty, D., Rosser, D., Bennett, S., Keogh, B.E. and Pagano, D. (2015) ‘Increased mortality associated with weekend hospital admission: a case for expanded seven-day services?’, </w:t>
      </w:r>
      <w:r>
        <w:rPr>
          <w:rStyle w:val="Emphasis"/>
        </w:rPr>
        <w:t>BMJ</w:t>
      </w:r>
      <w:r>
        <w:t>, 351, h4596.</w:t>
      </w:r>
    </w:p>
    <w:p w14:paraId="3A1AA7D4" w14:textId="77777777" w:rsidR="00044B47" w:rsidRDefault="00044B47" w:rsidP="00044B47">
      <w:pPr>
        <w:pStyle w:val="isselectedend"/>
      </w:pPr>
      <w:r>
        <w:t xml:space="preserve">Han, L., Fine, J., Robinson, S.M., Boyle, A.A., Freeman, M. and Scholtes, S. (2019) ‘Is seniority of emergency physician associated with the weekend mortality effect? An exploratory analysis of electronic health records in the UK’, </w:t>
      </w:r>
      <w:r>
        <w:rPr>
          <w:rStyle w:val="Emphasis"/>
        </w:rPr>
        <w:t>Emergency Medicine Journal</w:t>
      </w:r>
      <w:r>
        <w:t>, 36(11), pp. 668–674.</w:t>
      </w:r>
    </w:p>
    <w:p w14:paraId="2BA54429" w14:textId="77777777" w:rsidR="00044B47" w:rsidRDefault="00044B47" w:rsidP="00044B47">
      <w:pPr>
        <w:pStyle w:val="isselectedend"/>
      </w:pPr>
      <w:r>
        <w:t xml:space="preserve">Hersey, P. and Blanchard, K.H. (1969) </w:t>
      </w:r>
      <w:r>
        <w:rPr>
          <w:rStyle w:val="Emphasis"/>
        </w:rPr>
        <w:t>Management of Organizational Behaviour: Utilizing Human Resources</w:t>
      </w:r>
      <w:r>
        <w:t>. Englewood Cliffs, NJ: Prentice-Hall.</w:t>
      </w:r>
    </w:p>
    <w:p w14:paraId="7E34B20E" w14:textId="77777777" w:rsidR="00044B47" w:rsidRDefault="00044B47" w:rsidP="00044B47">
      <w:pPr>
        <w:pStyle w:val="isselectedend"/>
      </w:pPr>
      <w:r>
        <w:t xml:space="preserve">Institute for Healthcare Improvement (IHI) (2005) </w:t>
      </w:r>
      <w:r>
        <w:rPr>
          <w:rStyle w:val="Emphasis"/>
        </w:rPr>
        <w:t>100,000 Lives Campaign</w:t>
      </w:r>
      <w:r>
        <w:t>. Boston, MA: Institute for Healthcare Improvement.</w:t>
      </w:r>
    </w:p>
    <w:p w14:paraId="469FC922" w14:textId="29CB1C7D" w:rsidR="00044B47" w:rsidRDefault="00044B47" w:rsidP="00044B47">
      <w:pPr>
        <w:pStyle w:val="isselectedend"/>
      </w:pPr>
      <w:r>
        <w:t xml:space="preserve">Jacobs, V.T., Ko, W.Y., Miah, M. and Shanley, I. (2025) ‘Audit on the Appropriateness of Monitoring Frequencies and Clinical Escalation </w:t>
      </w:r>
      <w:r w:rsidR="00996D3B">
        <w:t>from</w:t>
      </w:r>
      <w:r>
        <w:t xml:space="preserve"> National Early Warning Scores 2 (NEWS2) in Old Age Psychiatry Patients’, </w:t>
      </w:r>
      <w:r>
        <w:rPr>
          <w:rStyle w:val="Emphasis"/>
        </w:rPr>
        <w:t>BJPsych Open</w:t>
      </w:r>
      <w:r>
        <w:t>, 11(S1).</w:t>
      </w:r>
    </w:p>
    <w:p w14:paraId="7AF3F58A" w14:textId="77777777" w:rsidR="00044B47" w:rsidRDefault="00044B47" w:rsidP="00044B47">
      <w:pPr>
        <w:pStyle w:val="isselectedend"/>
      </w:pPr>
      <w:r>
        <w:t xml:space="preserve">Joint Commission (2008) </w:t>
      </w:r>
      <w:r>
        <w:rPr>
          <w:rStyle w:val="Emphasis"/>
        </w:rPr>
        <w:t>Sentinel Event Alert, Issue 40: Behaviours That Undermine a Culture of Safety</w:t>
      </w:r>
      <w:r>
        <w:t>. Oakbrook Terrace, IL: The Joint Commission.</w:t>
      </w:r>
    </w:p>
    <w:p w14:paraId="7C1FA750" w14:textId="77777777" w:rsidR="00044B47" w:rsidRDefault="00044B47" w:rsidP="00044B47">
      <w:pPr>
        <w:pStyle w:val="isselectedend"/>
      </w:pPr>
      <w:r>
        <w:t xml:space="preserve">Kohn, L.T., Corrigan, J.M. and Donaldson, M.S. (eds) (2000) </w:t>
      </w:r>
      <w:r>
        <w:rPr>
          <w:rStyle w:val="Emphasis"/>
        </w:rPr>
        <w:t>To Err Is Human: Building a Safer Health System</w:t>
      </w:r>
      <w:r>
        <w:t>. Washington, DC: National Academies Press.</w:t>
      </w:r>
    </w:p>
    <w:p w14:paraId="6562B5C0" w14:textId="77777777" w:rsidR="00044B47" w:rsidRDefault="00044B47" w:rsidP="00044B47">
      <w:pPr>
        <w:pStyle w:val="isselectedend"/>
      </w:pPr>
      <w:r>
        <w:t xml:space="preserve">Kotter, J.P. (1996) </w:t>
      </w:r>
      <w:r>
        <w:rPr>
          <w:rStyle w:val="Emphasis"/>
        </w:rPr>
        <w:t>Leading Change</w:t>
      </w:r>
      <w:r>
        <w:t>. Boston, MA: Harvard Business School Press.</w:t>
      </w:r>
    </w:p>
    <w:p w14:paraId="16E3732D" w14:textId="77777777" w:rsidR="00044B47" w:rsidRDefault="00044B47" w:rsidP="00044B47">
      <w:pPr>
        <w:pStyle w:val="isselectedend"/>
      </w:pPr>
      <w:r>
        <w:lastRenderedPageBreak/>
        <w:t xml:space="preserve">Leape, L.L. (1994) ‘Error in medicine’, </w:t>
      </w:r>
      <w:r>
        <w:rPr>
          <w:rStyle w:val="Emphasis"/>
        </w:rPr>
        <w:t>JAMA</w:t>
      </w:r>
      <w:r>
        <w:t>, 272(23), pp. 1851–1857.</w:t>
      </w:r>
    </w:p>
    <w:p w14:paraId="2EC63275" w14:textId="77777777" w:rsidR="00044B47" w:rsidRDefault="00044B47" w:rsidP="00044B47">
      <w:pPr>
        <w:pStyle w:val="isselectedend"/>
      </w:pPr>
      <w:r>
        <w:t xml:space="preserve">Maggs, D., Brooke, B. and Morrison, K. (2015) </w:t>
      </w:r>
      <w:r>
        <w:rPr>
          <w:rStyle w:val="Emphasis"/>
        </w:rPr>
        <w:t>Leadership and Leadership Development in Health Care: The Evidence Base</w:t>
      </w:r>
      <w:r>
        <w:t>. London: The King's Fund, Faculty of Medical Leadership and Management and Centre for Creative Leadership.</w:t>
      </w:r>
    </w:p>
    <w:p w14:paraId="048A7352" w14:textId="77777777" w:rsidR="00044B47" w:rsidRDefault="00044B47" w:rsidP="00044B47">
      <w:pPr>
        <w:pStyle w:val="isselectedend"/>
      </w:pPr>
      <w:r>
        <w:t xml:space="preserve">Maxfield, D., Grenny, J., McMillan, R., Patterson, K. and Switzler, A. (2005) </w:t>
      </w:r>
      <w:r>
        <w:rPr>
          <w:rStyle w:val="Emphasis"/>
        </w:rPr>
        <w:t>Silence Kills: The Seven Crucial Conversations for Healthcare</w:t>
      </w:r>
      <w:r>
        <w:t>. Provo, UT: VitalSmarts.</w:t>
      </w:r>
    </w:p>
    <w:p w14:paraId="4E76C8D6" w14:textId="77777777" w:rsidR="00044B47" w:rsidRDefault="00044B47" w:rsidP="00044B47">
      <w:pPr>
        <w:pStyle w:val="isselectedend"/>
      </w:pPr>
      <w:r>
        <w:t xml:space="preserve">National Advisory Group on the Safety of Patients in England (2013) </w:t>
      </w:r>
      <w:r>
        <w:rPr>
          <w:rStyle w:val="Emphasis"/>
        </w:rPr>
        <w:t>A Promise to Learn – A Commitment to Act: Improving the Safety of Patients in England</w:t>
      </w:r>
      <w:r>
        <w:t>. London: Department of Health.</w:t>
      </w:r>
    </w:p>
    <w:p w14:paraId="3E038E7D" w14:textId="076DFD7A" w:rsidR="00044B47" w:rsidRDefault="00044B47" w:rsidP="00044B47">
      <w:pPr>
        <w:pStyle w:val="isselectedend"/>
      </w:pPr>
      <w:r>
        <w:t xml:space="preserve">National Institute for Health Research (NIHR) (2019) </w:t>
      </w:r>
      <w:r>
        <w:rPr>
          <w:rStyle w:val="Emphasis"/>
        </w:rPr>
        <w:t>Safety and Quality of Weekend Care in Hospital: A Mixed-Methods Evaluation (H</w:t>
      </w:r>
      <w:r w:rsidR="00996D3B">
        <w:rPr>
          <w:rStyle w:val="Emphasis"/>
        </w:rPr>
        <w:t>I</w:t>
      </w:r>
      <w:r>
        <w:rPr>
          <w:rStyle w:val="Emphasis"/>
        </w:rPr>
        <w:t>SLAC Study)</w:t>
      </w:r>
      <w:r>
        <w:t>. Southampton: NIHR Journals Library.</w:t>
      </w:r>
    </w:p>
    <w:p w14:paraId="297E1599" w14:textId="77777777" w:rsidR="00044B47" w:rsidRDefault="00044B47" w:rsidP="00044B47">
      <w:pPr>
        <w:pStyle w:val="isselectedend"/>
      </w:pPr>
      <w:r>
        <w:t xml:space="preserve">NHS England (2024) </w:t>
      </w:r>
      <w:r>
        <w:rPr>
          <w:rStyle w:val="Emphasis"/>
        </w:rPr>
        <w:t>NHS to Roll Out ‘Martha’s Rule’</w:t>
      </w:r>
      <w:r>
        <w:t xml:space="preserve">. Available at: </w:t>
      </w:r>
      <w:hyperlink r:id="rId10" w:history="1">
        <w:r>
          <w:rPr>
            <w:rStyle w:val="Hyperlink"/>
          </w:rPr>
          <w:t>https://www.england.nhs.uk/2024/02/nhs-to-roll-out-marthas-rule/</w:t>
        </w:r>
      </w:hyperlink>
      <w:r>
        <w:t xml:space="preserve"> (Accessed: 17 July 2026).</w:t>
      </w:r>
    </w:p>
    <w:p w14:paraId="650F4D4C" w14:textId="77777777" w:rsidR="00044B47" w:rsidRDefault="00044B47" w:rsidP="00044B47">
      <w:pPr>
        <w:pStyle w:val="isselectedend"/>
      </w:pPr>
      <w:r>
        <w:t xml:space="preserve">NHS England (2026a) </w:t>
      </w:r>
      <w:r>
        <w:rPr>
          <w:rStyle w:val="Emphasis"/>
        </w:rPr>
        <w:t>Martha’s Rule</w:t>
      </w:r>
      <w:r>
        <w:t xml:space="preserve">. Available at: </w:t>
      </w:r>
      <w:hyperlink r:id="rId11" w:history="1">
        <w:r>
          <w:rPr>
            <w:rStyle w:val="Hyperlink"/>
          </w:rPr>
          <w:t>https://www.england.nhs.uk/patient-safety/marthas-rule/</w:t>
        </w:r>
      </w:hyperlink>
      <w:r>
        <w:t xml:space="preserve"> (Accessed: 17 July 2026).</w:t>
      </w:r>
    </w:p>
    <w:p w14:paraId="171537BA" w14:textId="77777777" w:rsidR="00044B47" w:rsidRDefault="00044B47" w:rsidP="00044B47">
      <w:pPr>
        <w:pStyle w:val="isselectedend"/>
      </w:pPr>
      <w:r>
        <w:t xml:space="preserve">NHS England (2026b) </w:t>
      </w:r>
      <w:r>
        <w:rPr>
          <w:rStyle w:val="Emphasis"/>
        </w:rPr>
        <w:t>Statistics: Patient Safety Data – Never Events</w:t>
      </w:r>
      <w:r>
        <w:t xml:space="preserve">. Available at: </w:t>
      </w:r>
      <w:hyperlink r:id="rId12" w:history="1">
        <w:r>
          <w:rPr>
            <w:rStyle w:val="Hyperlink"/>
          </w:rPr>
          <w:t>https://www.england.nhs.uk/statistics/statistical-work-areas/patient-safety-data/</w:t>
        </w:r>
      </w:hyperlink>
      <w:r>
        <w:t xml:space="preserve"> (Accessed: 17 July 2026).</w:t>
      </w:r>
    </w:p>
    <w:p w14:paraId="24078941" w14:textId="77777777" w:rsidR="00044B47" w:rsidRDefault="00044B47" w:rsidP="00044B47">
      <w:pPr>
        <w:pStyle w:val="isselectedend"/>
      </w:pPr>
      <w:r>
        <w:t xml:space="preserve">Patient Safety Movement Foundation (n.d.) </w:t>
      </w:r>
      <w:r>
        <w:rPr>
          <w:rStyle w:val="Emphasis"/>
        </w:rPr>
        <w:t>Lewis Blackman’s Story</w:t>
      </w:r>
      <w:r>
        <w:t xml:space="preserve">. Available at: </w:t>
      </w:r>
      <w:hyperlink r:id="rId13" w:history="1">
        <w:r>
          <w:rPr>
            <w:rStyle w:val="Hyperlink"/>
          </w:rPr>
          <w:t>https://psmf.org/story/lewis-blackman/</w:t>
        </w:r>
      </w:hyperlink>
      <w:r>
        <w:t xml:space="preserve"> (Accessed: 17 July 2026).</w:t>
      </w:r>
    </w:p>
    <w:p w14:paraId="50293C4F" w14:textId="77777777" w:rsidR="00044B47" w:rsidRDefault="00044B47" w:rsidP="00044B47">
      <w:pPr>
        <w:pStyle w:val="isselectedend"/>
      </w:pPr>
      <w:r>
        <w:t xml:space="preserve">Quek, S.J., Thomson, L., Houghton, R., Bramley, L., Davis, S. and Cooper, J. (2021) ‘Distributed leadership as a predictor of employee engagement, job satisfaction and turnover intention in UK nursing staff’, </w:t>
      </w:r>
      <w:r>
        <w:rPr>
          <w:rStyle w:val="Emphasis"/>
        </w:rPr>
        <w:t>Journal of Nursing Management</w:t>
      </w:r>
      <w:r>
        <w:t>, 29(6), pp. 1544–1553.</w:t>
      </w:r>
    </w:p>
    <w:p w14:paraId="58FB774B" w14:textId="77777777" w:rsidR="00044B47" w:rsidRDefault="00044B47" w:rsidP="00044B47">
      <w:pPr>
        <w:pStyle w:val="isselectedend"/>
      </w:pPr>
      <w:r>
        <w:t xml:space="preserve">Reason, J. (2000) ‘Human error: models and management’, </w:t>
      </w:r>
      <w:r>
        <w:rPr>
          <w:rStyle w:val="Emphasis"/>
        </w:rPr>
        <w:t>BMJ</w:t>
      </w:r>
      <w:r>
        <w:t>, 320(7237), pp. 768–770.</w:t>
      </w:r>
    </w:p>
    <w:p w14:paraId="421C54DC" w14:textId="77777777" w:rsidR="00044B47" w:rsidRDefault="00044B47" w:rsidP="00044B47">
      <w:pPr>
        <w:pStyle w:val="isselectedend"/>
      </w:pPr>
      <w:r>
        <w:t xml:space="preserve">Schmidt, P.E., Meredith, P., Prytherch, D.R., Watson, D., Watson, V., Killen, R.M. </w:t>
      </w:r>
      <w:r>
        <w:rPr>
          <w:rStyle w:val="Emphasis"/>
        </w:rPr>
        <w:t>et al.</w:t>
      </w:r>
      <w:r>
        <w:t xml:space="preserve"> (2015) ‘Impact of introducing an electronic physiological surveillance system on hospital mortality’, </w:t>
      </w:r>
      <w:r>
        <w:rPr>
          <w:rStyle w:val="Emphasis"/>
        </w:rPr>
        <w:t>BMJ Quality &amp; Safety</w:t>
      </w:r>
      <w:r>
        <w:t>, 24(1), pp. 10–20.</w:t>
      </w:r>
    </w:p>
    <w:p w14:paraId="53F042E1" w14:textId="77777777" w:rsidR="00044B47" w:rsidRDefault="00044B47" w:rsidP="00044B47">
      <w:pPr>
        <w:pStyle w:val="isselectedend"/>
      </w:pPr>
      <w:r>
        <w:t xml:space="preserve">Senge, P.M. (1990) </w:t>
      </w:r>
      <w:r>
        <w:rPr>
          <w:rStyle w:val="Emphasis"/>
        </w:rPr>
        <w:t>The Fifth Discipline: The Art and Practice of the Learning Organization</w:t>
      </w:r>
      <w:r>
        <w:t>. New York: Doubleday.</w:t>
      </w:r>
    </w:p>
    <w:p w14:paraId="43428C1A" w14:textId="77777777" w:rsidR="00044B47" w:rsidRDefault="00044B47" w:rsidP="00044B47">
      <w:pPr>
        <w:pStyle w:val="isselectedend"/>
      </w:pPr>
      <w:r>
        <w:t xml:space="preserve">Silber, J.H., Williams, S.V., Krakauer, H. and Schwartz, J.S. (1992) ‘Hospital and patient characteristics associated with death after surgery: A study of adverse occurrence and failure to rescue’, </w:t>
      </w:r>
      <w:r>
        <w:rPr>
          <w:rStyle w:val="Emphasis"/>
        </w:rPr>
        <w:t>Medical Care</w:t>
      </w:r>
      <w:r>
        <w:t>, 30(7), pp. 615–629.</w:t>
      </w:r>
    </w:p>
    <w:p w14:paraId="6B059D88" w14:textId="77777777" w:rsidR="00044B47" w:rsidRDefault="00044B47" w:rsidP="00044B47">
      <w:pPr>
        <w:pStyle w:val="isselectedend"/>
      </w:pPr>
      <w:r>
        <w:t xml:space="preserve">Subbe, C. </w:t>
      </w:r>
      <w:r>
        <w:rPr>
          <w:rStyle w:val="Emphasis"/>
        </w:rPr>
        <w:t>et al.</w:t>
      </w:r>
      <w:r>
        <w:t xml:space="preserve"> (2025) ‘Giving patients, families and staff a reliable voice in acute care: Expert guidance for implementation of Martha’s Rule in UK hospitals’, </w:t>
      </w:r>
      <w:r>
        <w:rPr>
          <w:rStyle w:val="Emphasis"/>
        </w:rPr>
        <w:t>Future Healthcare Journal</w:t>
      </w:r>
      <w:r>
        <w:t>, 12(1).</w:t>
      </w:r>
    </w:p>
    <w:p w14:paraId="51794D50" w14:textId="77777777" w:rsidR="00044B47" w:rsidRDefault="00044B47" w:rsidP="00044B47">
      <w:pPr>
        <w:pStyle w:val="isselectedend"/>
      </w:pPr>
      <w:r>
        <w:lastRenderedPageBreak/>
        <w:t xml:space="preserve">Vincent, C. (2010) </w:t>
      </w:r>
      <w:r>
        <w:rPr>
          <w:rStyle w:val="Emphasis"/>
        </w:rPr>
        <w:t>Patient Safety</w:t>
      </w:r>
      <w:r>
        <w:t>. 2nd edn. Chichester: Wiley-Blackwell.</w:t>
      </w:r>
    </w:p>
    <w:p w14:paraId="3597C6E9" w14:textId="77777777" w:rsidR="00044B47" w:rsidRDefault="00044B47" w:rsidP="00044B47">
      <w:pPr>
        <w:pStyle w:val="isselectedend"/>
      </w:pPr>
      <w:r>
        <w:t xml:space="preserve">Vincent, C., Taylor-Adams, S. and Stanhope, N. (1998) ‘Framework for analysing risk and safety in clinical medicine’, </w:t>
      </w:r>
      <w:r>
        <w:rPr>
          <w:rStyle w:val="Emphasis"/>
        </w:rPr>
        <w:t>BMJ</w:t>
      </w:r>
      <w:r>
        <w:t>, 316(7138), pp. 1154–1157.</w:t>
      </w:r>
    </w:p>
    <w:p w14:paraId="1AB6B21D" w14:textId="77777777" w:rsidR="00044B47" w:rsidRDefault="00044B47" w:rsidP="00044B47">
      <w:pPr>
        <w:pStyle w:val="isselectedend"/>
      </w:pPr>
      <w:r>
        <w:t xml:space="preserve">Weick, K.E. and Sutcliffe, K.M. (2007) </w:t>
      </w:r>
      <w:r>
        <w:rPr>
          <w:rStyle w:val="Emphasis"/>
        </w:rPr>
        <w:t>Managing the Unexpected: Resilient Performance in an Age of Uncertainty</w:t>
      </w:r>
      <w:r>
        <w:t>. 2nd edn. San Francisco, CA: Jossey-Bass.</w:t>
      </w:r>
    </w:p>
    <w:p w14:paraId="6DDBB15D" w14:textId="77777777" w:rsidR="00044B47" w:rsidRDefault="00044B47" w:rsidP="00044B47">
      <w:pPr>
        <w:pStyle w:val="isselectedend"/>
      </w:pPr>
      <w:r>
        <w:t xml:space="preserve">West, M. and Dawson, J. (2012) </w:t>
      </w:r>
      <w:r>
        <w:rPr>
          <w:rStyle w:val="Emphasis"/>
        </w:rPr>
        <w:t>Employee Engagement and NHS Performance</w:t>
      </w:r>
      <w:r>
        <w:t>. London: The King's Fund.</w:t>
      </w:r>
    </w:p>
    <w:p w14:paraId="20302AC8" w14:textId="77777777" w:rsidR="00044B47" w:rsidRDefault="00044B47" w:rsidP="00044B47">
      <w:pPr>
        <w:pStyle w:val="isselectedend"/>
      </w:pPr>
      <w:r>
        <w:t xml:space="preserve">West, M., Eckert, R., Steward, K. and Pasmore, B. (2014) </w:t>
      </w:r>
      <w:r>
        <w:rPr>
          <w:rStyle w:val="Emphasis"/>
        </w:rPr>
        <w:t>Developing Collective Leadership for Health Care</w:t>
      </w:r>
      <w:r>
        <w:t>. London: The King's Fund and Centre for Creative Leadership.</w:t>
      </w:r>
    </w:p>
    <w:p w14:paraId="72E60701" w14:textId="77777777" w:rsidR="00044B47" w:rsidRDefault="00044B47" w:rsidP="00044B47">
      <w:pPr>
        <w:pStyle w:val="isselectedend"/>
      </w:pPr>
      <w:r>
        <w:t xml:space="preserve">World Health Organization (WHO) (2021) </w:t>
      </w:r>
      <w:r>
        <w:rPr>
          <w:rStyle w:val="Emphasis"/>
        </w:rPr>
        <w:t>Global Patient Safety Action Plan 2021–2030</w:t>
      </w:r>
      <w:r>
        <w:t>. Geneva: World Health Organization.</w:t>
      </w:r>
    </w:p>
    <w:p w14:paraId="7DA7B515" w14:textId="77777777" w:rsidR="00044B47" w:rsidRDefault="00044B47" w:rsidP="00044B47">
      <w:pPr>
        <w:pStyle w:val="NormalWeb"/>
      </w:pPr>
      <w:r>
        <w:t xml:space="preserve">World Health Organization (WHO) (2024) </w:t>
      </w:r>
      <w:r>
        <w:rPr>
          <w:rStyle w:val="Emphasis"/>
        </w:rPr>
        <w:t>Global Patient Safety Report 2024</w:t>
      </w:r>
      <w:r>
        <w:t>. Geneva: World Health Organization.</w:t>
      </w:r>
    </w:p>
    <w:p w14:paraId="49473DB7" w14:textId="5048D3C9" w:rsidR="000D3E2D" w:rsidRPr="00A72CE5" w:rsidRDefault="000D3E2D" w:rsidP="007B3720">
      <w:pPr>
        <w:spacing w:after="160" w:line="360" w:lineRule="auto"/>
        <w:ind w:left="480" w:hanging="480"/>
        <w:rPr>
          <w:rFonts w:ascii="Arial" w:hAnsi="Arial" w:cs="Arial"/>
          <w:sz w:val="22"/>
          <w:szCs w:val="22"/>
        </w:rPr>
      </w:pPr>
    </w:p>
    <w:sectPr w:rsidR="000D3E2D" w:rsidRPr="00A72CE5" w:rsidSect="004A1E07">
      <w:headerReference w:type="default" r:id="rId14"/>
      <w:footerReference w:type="even" r:id="rId15"/>
      <w:footerReference w:type="default" r:id="rId16"/>
      <w:pgSz w:w="11906" w:h="16838"/>
      <w:pgMar w:top="1440" w:right="1440" w:bottom="1440" w:left="1440" w:header="170" w:footer="454" w:gutter="0"/>
      <w:pgBorders w:offsetFrom="page">
        <w:top w:val="single" w:sz="12" w:space="24" w:color="auto" w:shadow="1"/>
        <w:left w:val="single" w:sz="12" w:space="24" w:color="auto" w:shadow="1"/>
        <w:bottom w:val="single" w:sz="12" w:space="24" w:color="auto" w:shadow="1"/>
        <w:right w:val="single" w:sz="12"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09C74F0" w14:textId="77777777" w:rsidR="00447BF1" w:rsidRDefault="00447BF1" w:rsidP="00726965">
      <w:r>
        <w:separator/>
      </w:r>
    </w:p>
  </w:endnote>
  <w:endnote w:type="continuationSeparator" w:id="0">
    <w:p w14:paraId="4EC19376" w14:textId="77777777" w:rsidR="00447BF1" w:rsidRDefault="00447BF1" w:rsidP="00726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08030111"/>
      <w:docPartObj>
        <w:docPartGallery w:val="Page Numbers (Bottom of Page)"/>
        <w:docPartUnique/>
      </w:docPartObj>
    </w:sdtPr>
    <w:sdtContent>
      <w:p w14:paraId="1B0CA140" w14:textId="6F64037B" w:rsidR="004A1E07" w:rsidRDefault="004A1E07" w:rsidP="009613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6F0A6E8" w14:textId="77777777" w:rsidR="004A1E07" w:rsidRDefault="004A1E07" w:rsidP="004A1E0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35C812" w14:textId="77777777" w:rsidR="004A1E07" w:rsidRDefault="004A1E07">
    <w:pPr>
      <w:pStyle w:val="Footer"/>
      <w:jc w:val="center"/>
      <w:rPr>
        <w:color w:val="156082" w:themeColor="accent1"/>
      </w:rPr>
    </w:pPr>
    <w:r>
      <w:rPr>
        <w:color w:val="156082" w:themeColor="accent1"/>
      </w:rPr>
      <w:t xml:space="preserve">Page </w:t>
    </w:r>
    <w:r>
      <w:rPr>
        <w:color w:val="156082" w:themeColor="accent1"/>
      </w:rPr>
      <w:fldChar w:fldCharType="begin"/>
    </w:r>
    <w:r>
      <w:rPr>
        <w:color w:val="156082" w:themeColor="accent1"/>
      </w:rPr>
      <w:instrText xml:space="preserve"> PAGE  \* Arabic  \* MERGEFORMAT </w:instrText>
    </w:r>
    <w:r>
      <w:rPr>
        <w:color w:val="156082" w:themeColor="accent1"/>
      </w:rPr>
      <w:fldChar w:fldCharType="separate"/>
    </w:r>
    <w:r>
      <w:rPr>
        <w:noProof/>
        <w:color w:val="156082" w:themeColor="accent1"/>
      </w:rPr>
      <w:t>2</w:t>
    </w:r>
    <w:r>
      <w:rPr>
        <w:color w:val="156082" w:themeColor="accent1"/>
      </w:rPr>
      <w:fldChar w:fldCharType="end"/>
    </w:r>
    <w:r>
      <w:rPr>
        <w:color w:val="156082" w:themeColor="accent1"/>
      </w:rPr>
      <w:t xml:space="preserve"> of </w:t>
    </w:r>
    <w:r>
      <w:rPr>
        <w:color w:val="156082" w:themeColor="accent1"/>
      </w:rPr>
      <w:fldChar w:fldCharType="begin"/>
    </w:r>
    <w:r>
      <w:rPr>
        <w:color w:val="156082" w:themeColor="accent1"/>
      </w:rPr>
      <w:instrText xml:space="preserve"> NUMPAGES  \* Arabic  \* MERGEFORMAT </w:instrText>
    </w:r>
    <w:r>
      <w:rPr>
        <w:color w:val="156082" w:themeColor="accent1"/>
      </w:rPr>
      <w:fldChar w:fldCharType="separate"/>
    </w:r>
    <w:r>
      <w:rPr>
        <w:noProof/>
        <w:color w:val="156082" w:themeColor="accent1"/>
      </w:rPr>
      <w:t>2</w:t>
    </w:r>
    <w:r>
      <w:rPr>
        <w:color w:val="156082" w:themeColor="accent1"/>
      </w:rPr>
      <w:fldChar w:fldCharType="end"/>
    </w:r>
  </w:p>
  <w:p w14:paraId="22276BE5" w14:textId="77777777" w:rsidR="004A1E07" w:rsidRDefault="004A1E07" w:rsidP="004A1E0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FB0B373" w14:textId="77777777" w:rsidR="00447BF1" w:rsidRDefault="00447BF1" w:rsidP="00726965">
      <w:r>
        <w:separator/>
      </w:r>
    </w:p>
  </w:footnote>
  <w:footnote w:type="continuationSeparator" w:id="0">
    <w:p w14:paraId="5B36D78F" w14:textId="77777777" w:rsidR="00447BF1" w:rsidRDefault="00447BF1" w:rsidP="007269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CBB7AC" w14:textId="1C148F59" w:rsidR="00996D3B" w:rsidRDefault="00996D3B">
    <w:pPr>
      <w:pStyle w:val="Header"/>
      <w:jc w:val="right"/>
      <w:rPr>
        <w:color w:val="156082" w:themeColor="accent1"/>
      </w:rPr>
    </w:pPr>
    <w:sdt>
      <w:sdtPr>
        <w:rPr>
          <w:color w:val="156082" w:themeColor="accent1"/>
        </w:rPr>
        <w:alias w:val="Title"/>
        <w:tag w:val=""/>
        <w:id w:val="664756013"/>
        <w:placeholder>
          <w:docPart w:val="9B35B8883F08B64A9D954E093E2B318E"/>
        </w:placeholder>
        <w:dataBinding w:prefixMappings="xmlns:ns0='http://purl.org/dc/elements/1.1/' xmlns:ns1='http://schemas.openxmlformats.org/package/2006/metadata/core-properties' " w:xpath="/ns1:coreProperties[1]/ns0:title[1]" w:storeItemID="{6C3C8BC8-F283-45AE-878A-BAB7291924A1}"/>
        <w:text/>
      </w:sdtPr>
      <w:sdtContent>
        <w:r>
          <w:rPr>
            <w:color w:val="156082" w:themeColor="accent1"/>
          </w:rPr>
          <w:t xml:space="preserve">        MSc Public Health and Social Care in Practice</w:t>
        </w:r>
      </w:sdtContent>
    </w:sdt>
    <w:r>
      <w:rPr>
        <w:color w:val="156082" w:themeColor="accent1"/>
      </w:rPr>
      <w:t xml:space="preserve">  </w:t>
    </w:r>
  </w:p>
  <w:p w14:paraId="068200BB" w14:textId="196F959F" w:rsidR="00726965" w:rsidRPr="00726965" w:rsidRDefault="00726965" w:rsidP="004A1E07">
    <w:pPr>
      <w:pStyle w:val="Header"/>
      <w:jc w:val="right"/>
      <w:rPr>
        <w:color w:val="156082" w:themeColor="accen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0944082"/>
    <w:multiLevelType w:val="hybridMultilevel"/>
    <w:tmpl w:val="FEAEFE6A"/>
    <w:lvl w:ilvl="0" w:tplc="CDE68EA4">
      <w:start w:val="1"/>
      <w:numFmt w:val="bullet"/>
      <w:lvlText w:val="●"/>
      <w:lvlJc w:val="left"/>
      <w:pPr>
        <w:ind w:left="720" w:hanging="360"/>
      </w:pPr>
    </w:lvl>
    <w:lvl w:ilvl="1" w:tplc="AA24A54C">
      <w:start w:val="1"/>
      <w:numFmt w:val="bullet"/>
      <w:lvlText w:val="○"/>
      <w:lvlJc w:val="left"/>
      <w:pPr>
        <w:ind w:left="1440" w:hanging="360"/>
      </w:pPr>
    </w:lvl>
    <w:lvl w:ilvl="2" w:tplc="E33E7AB0">
      <w:start w:val="1"/>
      <w:numFmt w:val="bullet"/>
      <w:lvlText w:val="■"/>
      <w:lvlJc w:val="left"/>
      <w:pPr>
        <w:ind w:left="2160" w:hanging="360"/>
      </w:pPr>
    </w:lvl>
    <w:lvl w:ilvl="3" w:tplc="39667FC0">
      <w:start w:val="1"/>
      <w:numFmt w:val="bullet"/>
      <w:lvlText w:val="●"/>
      <w:lvlJc w:val="left"/>
      <w:pPr>
        <w:ind w:left="2880" w:hanging="360"/>
      </w:pPr>
    </w:lvl>
    <w:lvl w:ilvl="4" w:tplc="8A069260">
      <w:start w:val="1"/>
      <w:numFmt w:val="bullet"/>
      <w:lvlText w:val="○"/>
      <w:lvlJc w:val="left"/>
      <w:pPr>
        <w:ind w:left="3600" w:hanging="360"/>
      </w:pPr>
    </w:lvl>
    <w:lvl w:ilvl="5" w:tplc="04348358">
      <w:start w:val="1"/>
      <w:numFmt w:val="bullet"/>
      <w:lvlText w:val="■"/>
      <w:lvlJc w:val="left"/>
      <w:pPr>
        <w:ind w:left="4320" w:hanging="360"/>
      </w:pPr>
    </w:lvl>
    <w:lvl w:ilvl="6" w:tplc="38C672E8">
      <w:start w:val="1"/>
      <w:numFmt w:val="bullet"/>
      <w:lvlText w:val="●"/>
      <w:lvlJc w:val="left"/>
      <w:pPr>
        <w:ind w:left="5040" w:hanging="360"/>
      </w:pPr>
    </w:lvl>
    <w:lvl w:ilvl="7" w:tplc="93B86D7A">
      <w:start w:val="1"/>
      <w:numFmt w:val="bullet"/>
      <w:lvlText w:val="●"/>
      <w:lvlJc w:val="left"/>
      <w:pPr>
        <w:ind w:left="5760" w:hanging="360"/>
      </w:pPr>
    </w:lvl>
    <w:lvl w:ilvl="8" w:tplc="4176CCFE">
      <w:start w:val="1"/>
      <w:numFmt w:val="bullet"/>
      <w:lvlText w:val="●"/>
      <w:lvlJc w:val="left"/>
      <w:pPr>
        <w:ind w:left="6480" w:hanging="360"/>
      </w:pPr>
    </w:lvl>
  </w:abstractNum>
  <w:num w:numId="1" w16cid:durableId="2034528146">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E2D"/>
    <w:rsid w:val="00022143"/>
    <w:rsid w:val="00044B47"/>
    <w:rsid w:val="000D3E2D"/>
    <w:rsid w:val="002A431A"/>
    <w:rsid w:val="00447BF1"/>
    <w:rsid w:val="004A1E07"/>
    <w:rsid w:val="00726965"/>
    <w:rsid w:val="007B3720"/>
    <w:rsid w:val="00996D3B"/>
    <w:rsid w:val="00A72CE5"/>
    <w:rsid w:val="00A814A7"/>
    <w:rsid w:val="00AB5085"/>
    <w:rsid w:val="00B15364"/>
    <w:rsid w:val="00B25D74"/>
    <w:rsid w:val="00BD6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0736F"/>
  <w15:docId w15:val="{2E5ED87D-77AF-0241-B971-296F156D9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7B3720"/>
    <w:pPr>
      <w:keepNext/>
      <w:keepLines/>
      <w:spacing w:before="480" w:line="276" w:lineRule="auto"/>
      <w:outlineLvl w:val="9"/>
    </w:pPr>
    <w:rPr>
      <w:rFonts w:asciiTheme="majorHAnsi" w:eastAsiaTheme="majorEastAsia" w:hAnsiTheme="majorHAnsi" w:cstheme="majorBidi"/>
      <w:b/>
      <w:bCs/>
      <w:color w:val="0F4761" w:themeColor="accent1" w:themeShade="BF"/>
      <w:sz w:val="28"/>
      <w:szCs w:val="28"/>
      <w:lang w:val="en-US" w:eastAsia="en-US"/>
    </w:rPr>
  </w:style>
  <w:style w:type="paragraph" w:styleId="TOC1">
    <w:name w:val="toc 1"/>
    <w:basedOn w:val="Normal"/>
    <w:next w:val="Normal"/>
    <w:autoRedefine/>
    <w:uiPriority w:val="39"/>
    <w:unhideWhenUsed/>
    <w:rsid w:val="007B3720"/>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7B3720"/>
    <w:pPr>
      <w:spacing w:before="120"/>
      <w:ind w:left="200"/>
    </w:pPr>
    <w:rPr>
      <w:rFonts w:asciiTheme="minorHAnsi" w:hAnsiTheme="minorHAnsi"/>
      <w:b/>
      <w:bCs/>
      <w:sz w:val="22"/>
      <w:szCs w:val="22"/>
    </w:rPr>
  </w:style>
  <w:style w:type="paragraph" w:styleId="TOC3">
    <w:name w:val="toc 3"/>
    <w:basedOn w:val="Normal"/>
    <w:next w:val="Normal"/>
    <w:autoRedefine/>
    <w:uiPriority w:val="39"/>
    <w:semiHidden/>
    <w:unhideWhenUsed/>
    <w:rsid w:val="007B3720"/>
    <w:pPr>
      <w:ind w:left="400"/>
    </w:pPr>
    <w:rPr>
      <w:rFonts w:asciiTheme="minorHAnsi" w:hAnsiTheme="minorHAnsi"/>
    </w:rPr>
  </w:style>
  <w:style w:type="paragraph" w:styleId="TOC4">
    <w:name w:val="toc 4"/>
    <w:basedOn w:val="Normal"/>
    <w:next w:val="Normal"/>
    <w:autoRedefine/>
    <w:uiPriority w:val="39"/>
    <w:semiHidden/>
    <w:unhideWhenUsed/>
    <w:rsid w:val="007B3720"/>
    <w:pPr>
      <w:ind w:left="600"/>
    </w:pPr>
    <w:rPr>
      <w:rFonts w:asciiTheme="minorHAnsi" w:hAnsiTheme="minorHAnsi"/>
    </w:rPr>
  </w:style>
  <w:style w:type="paragraph" w:styleId="TOC5">
    <w:name w:val="toc 5"/>
    <w:basedOn w:val="Normal"/>
    <w:next w:val="Normal"/>
    <w:autoRedefine/>
    <w:uiPriority w:val="39"/>
    <w:semiHidden/>
    <w:unhideWhenUsed/>
    <w:rsid w:val="007B3720"/>
    <w:pPr>
      <w:ind w:left="800"/>
    </w:pPr>
    <w:rPr>
      <w:rFonts w:asciiTheme="minorHAnsi" w:hAnsiTheme="minorHAnsi"/>
    </w:rPr>
  </w:style>
  <w:style w:type="paragraph" w:styleId="TOC6">
    <w:name w:val="toc 6"/>
    <w:basedOn w:val="Normal"/>
    <w:next w:val="Normal"/>
    <w:autoRedefine/>
    <w:uiPriority w:val="39"/>
    <w:semiHidden/>
    <w:unhideWhenUsed/>
    <w:rsid w:val="007B3720"/>
    <w:pPr>
      <w:ind w:left="1000"/>
    </w:pPr>
    <w:rPr>
      <w:rFonts w:asciiTheme="minorHAnsi" w:hAnsiTheme="minorHAnsi"/>
    </w:rPr>
  </w:style>
  <w:style w:type="paragraph" w:styleId="TOC7">
    <w:name w:val="toc 7"/>
    <w:basedOn w:val="Normal"/>
    <w:next w:val="Normal"/>
    <w:autoRedefine/>
    <w:uiPriority w:val="39"/>
    <w:semiHidden/>
    <w:unhideWhenUsed/>
    <w:rsid w:val="007B3720"/>
    <w:pPr>
      <w:ind w:left="1200"/>
    </w:pPr>
    <w:rPr>
      <w:rFonts w:asciiTheme="minorHAnsi" w:hAnsiTheme="minorHAnsi"/>
    </w:rPr>
  </w:style>
  <w:style w:type="paragraph" w:styleId="TOC8">
    <w:name w:val="toc 8"/>
    <w:basedOn w:val="Normal"/>
    <w:next w:val="Normal"/>
    <w:autoRedefine/>
    <w:uiPriority w:val="39"/>
    <w:semiHidden/>
    <w:unhideWhenUsed/>
    <w:rsid w:val="007B3720"/>
    <w:pPr>
      <w:ind w:left="1400"/>
    </w:pPr>
    <w:rPr>
      <w:rFonts w:asciiTheme="minorHAnsi" w:hAnsiTheme="minorHAnsi"/>
    </w:rPr>
  </w:style>
  <w:style w:type="paragraph" w:styleId="TOC9">
    <w:name w:val="toc 9"/>
    <w:basedOn w:val="Normal"/>
    <w:next w:val="Normal"/>
    <w:autoRedefine/>
    <w:uiPriority w:val="39"/>
    <w:semiHidden/>
    <w:unhideWhenUsed/>
    <w:rsid w:val="007B3720"/>
    <w:pPr>
      <w:ind w:left="1600"/>
    </w:pPr>
    <w:rPr>
      <w:rFonts w:asciiTheme="minorHAnsi" w:hAnsiTheme="minorHAnsi"/>
    </w:rPr>
  </w:style>
  <w:style w:type="paragraph" w:customStyle="1" w:styleId="isselectedend">
    <w:name w:val="isselectedend"/>
    <w:basedOn w:val="Normal"/>
    <w:rsid w:val="00044B47"/>
    <w:pPr>
      <w:spacing w:before="100" w:beforeAutospacing="1" w:after="100" w:afterAutospacing="1"/>
    </w:pPr>
    <w:rPr>
      <w:sz w:val="24"/>
      <w:szCs w:val="24"/>
    </w:rPr>
  </w:style>
  <w:style w:type="character" w:styleId="Emphasis">
    <w:name w:val="Emphasis"/>
    <w:basedOn w:val="DefaultParagraphFont"/>
    <w:uiPriority w:val="20"/>
    <w:qFormat/>
    <w:rsid w:val="00044B47"/>
    <w:rPr>
      <w:i/>
      <w:iCs/>
    </w:rPr>
  </w:style>
  <w:style w:type="paragraph" w:styleId="NormalWeb">
    <w:name w:val="Normal (Web)"/>
    <w:basedOn w:val="Normal"/>
    <w:uiPriority w:val="99"/>
    <w:semiHidden/>
    <w:unhideWhenUsed/>
    <w:rsid w:val="00044B47"/>
    <w:pPr>
      <w:spacing w:before="100" w:beforeAutospacing="1" w:after="100" w:afterAutospacing="1"/>
    </w:pPr>
    <w:rPr>
      <w:sz w:val="24"/>
      <w:szCs w:val="24"/>
    </w:rPr>
  </w:style>
  <w:style w:type="paragraph" w:styleId="Header">
    <w:name w:val="header"/>
    <w:basedOn w:val="Normal"/>
    <w:link w:val="HeaderChar"/>
    <w:uiPriority w:val="99"/>
    <w:unhideWhenUsed/>
    <w:rsid w:val="00726965"/>
    <w:pPr>
      <w:tabs>
        <w:tab w:val="center" w:pos="4513"/>
        <w:tab w:val="right" w:pos="9026"/>
      </w:tabs>
    </w:pPr>
  </w:style>
  <w:style w:type="character" w:customStyle="1" w:styleId="HeaderChar">
    <w:name w:val="Header Char"/>
    <w:basedOn w:val="DefaultParagraphFont"/>
    <w:link w:val="Header"/>
    <w:uiPriority w:val="99"/>
    <w:rsid w:val="00726965"/>
  </w:style>
  <w:style w:type="paragraph" w:styleId="Footer">
    <w:name w:val="footer"/>
    <w:basedOn w:val="Normal"/>
    <w:link w:val="FooterChar"/>
    <w:uiPriority w:val="99"/>
    <w:unhideWhenUsed/>
    <w:rsid w:val="00726965"/>
    <w:pPr>
      <w:tabs>
        <w:tab w:val="center" w:pos="4513"/>
        <w:tab w:val="right" w:pos="9026"/>
      </w:tabs>
    </w:pPr>
  </w:style>
  <w:style w:type="character" w:customStyle="1" w:styleId="FooterChar">
    <w:name w:val="Footer Char"/>
    <w:basedOn w:val="DefaultParagraphFont"/>
    <w:link w:val="Footer"/>
    <w:uiPriority w:val="99"/>
    <w:rsid w:val="00726965"/>
  </w:style>
  <w:style w:type="character" w:styleId="PageNumber">
    <w:name w:val="page number"/>
    <w:basedOn w:val="DefaultParagraphFont"/>
    <w:uiPriority w:val="99"/>
    <w:semiHidden/>
    <w:unhideWhenUsed/>
    <w:rsid w:val="004A1E07"/>
  </w:style>
  <w:style w:type="table" w:styleId="TableGrid">
    <w:name w:val="Table Grid"/>
    <w:basedOn w:val="TableNormal"/>
    <w:uiPriority w:val="39"/>
    <w:rsid w:val="00AB5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B508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B508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B508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B508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B50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AB508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B5085"/>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B5085"/>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B5085"/>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B5085"/>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AB508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urfulAccent1">
    <w:name w:val="List Table 7 Colorful Accent 1"/>
    <w:basedOn w:val="TableNormal"/>
    <w:uiPriority w:val="52"/>
    <w:rsid w:val="00AB5085"/>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smf.org/story/lewis-blackman/"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statistics/statistical-work-areas/patient-safety-dat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patient-safety/marthas-rul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ngland.nhs.uk/2024/02/nhs-to-roll-out-marthas-rul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9B35B8883F08B64A9D954E093E2B318E"/>
        <w:category>
          <w:name w:val="General"/>
          <w:gallery w:val="placeholder"/>
        </w:category>
        <w:types>
          <w:type w:val="bbPlcHdr"/>
        </w:types>
        <w:behaviors>
          <w:behavior w:val="content"/>
        </w:behaviors>
        <w:guid w:val="{FA802717-AEC3-AC4B-8410-1FF26B1D993C}"/>
      </w:docPartPr>
      <w:docPartBody>
        <w:p w:rsidR="00000000" w:rsidRDefault="00ED24E2" w:rsidP="00ED24E2">
          <w:pPr>
            <w:pStyle w:val="9B35B8883F08B64A9D954E093E2B318E"/>
          </w:pPr>
          <w:r>
            <w:rPr>
              <w:color w:val="156082"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4E2"/>
    <w:rsid w:val="00022143"/>
    <w:rsid w:val="00C338CA"/>
    <w:rsid w:val="00ED2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D9799E185DE14288E6D98ABC7DCB1F">
    <w:name w:val="E2D9799E185DE14288E6D98ABC7DCB1F"/>
    <w:rsid w:val="00ED24E2"/>
  </w:style>
  <w:style w:type="paragraph" w:customStyle="1" w:styleId="C24C98ADF7F32A428629461DD86ADDDB">
    <w:name w:val="C24C98ADF7F32A428629461DD86ADDDB"/>
    <w:rsid w:val="00ED24E2"/>
  </w:style>
  <w:style w:type="paragraph" w:customStyle="1" w:styleId="2B401705DA7763478DC63102BB664660">
    <w:name w:val="2B401705DA7763478DC63102BB664660"/>
    <w:rsid w:val="00ED24E2"/>
  </w:style>
  <w:style w:type="paragraph" w:customStyle="1" w:styleId="E72BEF6C852F3844A7F9FF8EB194AF66">
    <w:name w:val="E72BEF6C852F3844A7F9FF8EB194AF66"/>
    <w:rsid w:val="00ED24E2"/>
  </w:style>
  <w:style w:type="paragraph" w:customStyle="1" w:styleId="0C5C08BEC242114DADDAB9382A3E9E80">
    <w:name w:val="0C5C08BEC242114DADDAB9382A3E9E80"/>
    <w:rsid w:val="00ED24E2"/>
  </w:style>
  <w:style w:type="paragraph" w:customStyle="1" w:styleId="CE67F7414905B740BBE7EBE511DBF484">
    <w:name w:val="CE67F7414905B740BBE7EBE511DBF484"/>
    <w:rsid w:val="00ED24E2"/>
  </w:style>
  <w:style w:type="paragraph" w:customStyle="1" w:styleId="9B35B8883F08B64A9D954E093E2B318E">
    <w:name w:val="9B35B8883F08B64A9D954E093E2B318E"/>
    <w:rsid w:val="00ED24E2"/>
  </w:style>
  <w:style w:type="paragraph" w:customStyle="1" w:styleId="AD3544E0D095904B90E5BE1CCBD402B4">
    <w:name w:val="AD3544E0D095904B90E5BE1CCBD402B4"/>
    <w:rsid w:val="00ED24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6BD8AE-5AC6-CB42-AE88-58D3C711A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6174</Words>
  <Characters>35194</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Public Health and Social Care in Practice</dc:title>
  <dc:creator>Un-named</dc:creator>
  <cp:lastModifiedBy>Harsh Shetty</cp:lastModifiedBy>
  <cp:revision>2</cp:revision>
  <dcterms:created xsi:type="dcterms:W3CDTF">2026-07-27T17:47:00Z</dcterms:created>
  <dcterms:modified xsi:type="dcterms:W3CDTF">2026-07-27T17:47:00Z</dcterms:modified>
</cp:coreProperties>
</file>