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40C6DB" w14:textId="43C1FE24" w:rsidR="00203ECB" w:rsidRPr="007E5C47" w:rsidRDefault="00982518" w:rsidP="00C22197">
      <w:pPr>
        <w:jc w:val="center"/>
        <w:rPr>
          <w:rFonts w:cstheme="minorBidi"/>
          <w:sz w:val="28"/>
          <w:szCs w:val="28"/>
        </w:rPr>
      </w:pPr>
      <w:r w:rsidRPr="00C03A91">
        <w:rPr>
          <w:rFonts w:ascii="Arial" w:hAnsi="Arial" w:cs="Arial"/>
          <w:noProof/>
        </w:rPr>
        <w:drawing>
          <wp:anchor distT="0" distB="0" distL="114300" distR="114300" simplePos="0" relativeHeight="251659264" behindDoc="0" locked="0" layoutInCell="1" allowOverlap="1" wp14:anchorId="043F8C7D" wp14:editId="30C18E6F">
            <wp:simplePos x="0" y="0"/>
            <wp:positionH relativeFrom="column">
              <wp:posOffset>-204281</wp:posOffset>
            </wp:positionH>
            <wp:positionV relativeFrom="paragraph">
              <wp:posOffset>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2AB325F" w14:textId="77777777" w:rsidR="00203ECB" w:rsidRPr="007E5C47" w:rsidRDefault="00203ECB" w:rsidP="00C22197">
      <w:pPr>
        <w:jc w:val="center"/>
        <w:rPr>
          <w:rFonts w:cstheme="minorBidi"/>
          <w:sz w:val="28"/>
          <w:szCs w:val="28"/>
        </w:rPr>
      </w:pPr>
    </w:p>
    <w:p w14:paraId="014208A0" w14:textId="77777777" w:rsidR="00203ECB" w:rsidRPr="007E5C47" w:rsidRDefault="00203ECB" w:rsidP="00C22197">
      <w:pPr>
        <w:jc w:val="center"/>
        <w:rPr>
          <w:rFonts w:cstheme="minorBidi"/>
          <w:sz w:val="28"/>
          <w:szCs w:val="28"/>
        </w:rPr>
      </w:pPr>
    </w:p>
    <w:p w14:paraId="1CB73433" w14:textId="77777777" w:rsidR="00203ECB" w:rsidRPr="007E5C47" w:rsidRDefault="00203ECB" w:rsidP="00C22197">
      <w:pPr>
        <w:jc w:val="center"/>
        <w:rPr>
          <w:rFonts w:cstheme="minorBidi"/>
          <w:sz w:val="28"/>
          <w:szCs w:val="28"/>
        </w:rPr>
      </w:pPr>
    </w:p>
    <w:p w14:paraId="0A2E703A" w14:textId="29A639BC" w:rsidR="006D6F63" w:rsidRDefault="006D6F63" w:rsidP="006D6F63">
      <w:pPr>
        <w:ind w:firstLine="0"/>
        <w:rPr>
          <w:rFonts w:cstheme="minorBidi"/>
        </w:rPr>
      </w:pPr>
    </w:p>
    <w:p w14:paraId="7CB18E20" w14:textId="626DD9FF" w:rsidR="002B5EBC" w:rsidRDefault="006D6F63" w:rsidP="006D6F63">
      <w:pPr>
        <w:rPr>
          <w:rFonts w:cstheme="minorBidi"/>
        </w:rPr>
      </w:pPr>
      <w:proofErr w:type="spellStart"/>
      <w:proofErr w:type="gramStart"/>
      <w:r>
        <w:rPr>
          <w:rFonts w:cstheme="minorBidi"/>
        </w:rPr>
        <w:t>Topic:</w:t>
      </w:r>
      <w:r w:rsidR="002B5EBC" w:rsidRPr="002B5EBC">
        <w:rPr>
          <w:rFonts w:cstheme="minorBidi"/>
        </w:rPr>
        <w:t>VirtuNurse</w:t>
      </w:r>
      <w:proofErr w:type="spellEnd"/>
      <w:proofErr w:type="gramEnd"/>
      <w:r w:rsidR="002B5EBC" w:rsidRPr="002B5EBC">
        <w:rPr>
          <w:rFonts w:cstheme="minorBidi"/>
        </w:rPr>
        <w:t xml:space="preserve"> XR: Smart Training for Newly Qualified Nurses</w:t>
      </w:r>
    </w:p>
    <w:p w14:paraId="46618C97" w14:textId="0FB3B849" w:rsidR="00203ECB" w:rsidRPr="00DD08BC" w:rsidRDefault="00203ECB" w:rsidP="006D6F63">
      <w:pPr>
        <w:rPr>
          <w:rFonts w:cstheme="minorBidi"/>
          <w:lang w:val="it-IT"/>
        </w:rPr>
      </w:pPr>
      <w:r w:rsidRPr="00DD08BC">
        <w:rPr>
          <w:rStyle w:val="Strong"/>
          <w:rFonts w:eastAsiaTheme="majorEastAsia" w:cstheme="minorBidi"/>
          <w:b w:val="0"/>
          <w:bCs w:val="0"/>
          <w:color w:val="000000"/>
          <w:lang w:val="it-IT"/>
        </w:rPr>
        <w:t>Module Code:</w:t>
      </w:r>
      <w:r w:rsidRPr="00DD08BC">
        <w:rPr>
          <w:rStyle w:val="apple-converted-space"/>
          <w:rFonts w:eastAsiaTheme="majorEastAsia" w:cstheme="minorBidi"/>
          <w:color w:val="000000"/>
          <w:lang w:val="it-IT"/>
        </w:rPr>
        <w:t> </w:t>
      </w:r>
      <w:r w:rsidRPr="00DD08BC">
        <w:rPr>
          <w:rFonts w:cstheme="minorBidi"/>
          <w:lang w:val="it-IT"/>
        </w:rPr>
        <w:t>BMHP5014</w:t>
      </w:r>
    </w:p>
    <w:p w14:paraId="377889C9" w14:textId="7DAFE7FD" w:rsidR="00203ECB" w:rsidRPr="00DD08BC" w:rsidRDefault="00203ECB" w:rsidP="006D6F63">
      <w:pPr>
        <w:rPr>
          <w:rFonts w:cstheme="minorBidi"/>
          <w:lang w:val="it-IT"/>
        </w:rPr>
      </w:pPr>
      <w:proofErr w:type="spellStart"/>
      <w:r w:rsidRPr="00DD08BC">
        <w:rPr>
          <w:rStyle w:val="Strong"/>
          <w:rFonts w:eastAsiaTheme="majorEastAsia" w:cstheme="minorBidi"/>
          <w:b w:val="0"/>
          <w:bCs w:val="0"/>
          <w:color w:val="000000"/>
          <w:lang w:val="it-IT"/>
        </w:rPr>
        <w:t>Lecturer</w:t>
      </w:r>
      <w:proofErr w:type="spellEnd"/>
      <w:r w:rsidRPr="00DD08BC">
        <w:rPr>
          <w:rStyle w:val="Strong"/>
          <w:rFonts w:eastAsiaTheme="majorEastAsia" w:cstheme="minorBidi"/>
          <w:b w:val="0"/>
          <w:bCs w:val="0"/>
          <w:color w:val="000000"/>
          <w:lang w:val="it-IT"/>
        </w:rPr>
        <w:t>:</w:t>
      </w:r>
      <w:r w:rsidRPr="00DD08BC">
        <w:rPr>
          <w:rStyle w:val="apple-converted-space"/>
          <w:rFonts w:eastAsiaTheme="majorEastAsia" w:cstheme="minorBidi"/>
          <w:color w:val="000000"/>
          <w:lang w:val="it-IT"/>
        </w:rPr>
        <w:t> </w:t>
      </w:r>
      <w:r w:rsidRPr="00DD08BC">
        <w:rPr>
          <w:rFonts w:cstheme="minorBidi"/>
          <w:lang w:val="it-IT"/>
        </w:rPr>
        <w:t xml:space="preserve">Caroline Salami </w:t>
      </w:r>
    </w:p>
    <w:p w14:paraId="10342DFF" w14:textId="225F74AB" w:rsidR="00591FC7" w:rsidRDefault="006D6F63" w:rsidP="00C22197">
      <w:pPr>
        <w:spacing w:after="160"/>
        <w:rPr>
          <w:rFonts w:cstheme="minorBidi"/>
          <w:lang w:val="it-IT"/>
        </w:rPr>
      </w:pPr>
      <w:proofErr w:type="spellStart"/>
      <w:r>
        <w:rPr>
          <w:rFonts w:cstheme="minorBidi"/>
          <w:lang w:val="it-IT"/>
        </w:rPr>
        <w:t>Student</w:t>
      </w:r>
      <w:proofErr w:type="spellEnd"/>
      <w:r>
        <w:rPr>
          <w:rFonts w:cstheme="minorBidi"/>
          <w:lang w:val="it-IT"/>
        </w:rPr>
        <w:t xml:space="preserve"> Number:2334371</w:t>
      </w:r>
    </w:p>
    <w:p w14:paraId="2CA6FB59" w14:textId="3DF52719" w:rsidR="006D6F63" w:rsidRDefault="006D6F63" w:rsidP="00C22197">
      <w:pPr>
        <w:spacing w:after="160"/>
        <w:rPr>
          <w:rFonts w:cstheme="minorBidi"/>
          <w:lang w:val="it-IT"/>
        </w:rPr>
      </w:pPr>
      <w:proofErr w:type="spellStart"/>
      <w:r>
        <w:rPr>
          <w:rFonts w:cstheme="minorBidi"/>
          <w:lang w:val="it-IT"/>
        </w:rPr>
        <w:t>Student</w:t>
      </w:r>
      <w:proofErr w:type="spellEnd"/>
      <w:r>
        <w:rPr>
          <w:rFonts w:cstheme="minorBidi"/>
          <w:lang w:val="it-IT"/>
        </w:rPr>
        <w:t xml:space="preserve"> </w:t>
      </w:r>
      <w:proofErr w:type="spellStart"/>
      <w:proofErr w:type="gramStart"/>
      <w:r>
        <w:rPr>
          <w:rFonts w:cstheme="minorBidi"/>
          <w:lang w:val="it-IT"/>
        </w:rPr>
        <w:t>Name:Tosin</w:t>
      </w:r>
      <w:proofErr w:type="spellEnd"/>
      <w:proofErr w:type="gramEnd"/>
      <w:r>
        <w:rPr>
          <w:rFonts w:cstheme="minorBidi"/>
          <w:lang w:val="it-IT"/>
        </w:rPr>
        <w:t xml:space="preserve"> Yusu</w:t>
      </w:r>
      <w:r w:rsidR="00EB7734">
        <w:rPr>
          <w:rFonts w:cstheme="minorBidi"/>
          <w:lang w:val="it-IT"/>
        </w:rPr>
        <w:t>f</w:t>
      </w:r>
    </w:p>
    <w:p w14:paraId="221F7124" w14:textId="28B6BF58" w:rsidR="00EB7734" w:rsidRPr="00DD08BC" w:rsidRDefault="00EB7734" w:rsidP="00C22197">
      <w:pPr>
        <w:spacing w:after="160"/>
        <w:rPr>
          <w:rFonts w:cstheme="minorBidi"/>
          <w:lang w:val="it-IT"/>
        </w:rPr>
      </w:pPr>
      <w:proofErr w:type="spellStart"/>
      <w:r>
        <w:rPr>
          <w:rFonts w:cstheme="minorBidi"/>
          <w:lang w:val="it-IT"/>
        </w:rPr>
        <w:t>Assignment</w:t>
      </w:r>
      <w:proofErr w:type="spellEnd"/>
      <w:r>
        <w:rPr>
          <w:rFonts w:cstheme="minorBidi"/>
          <w:lang w:val="it-IT"/>
        </w:rPr>
        <w:t xml:space="preserve"> </w:t>
      </w:r>
      <w:proofErr w:type="spellStart"/>
      <w:proofErr w:type="gramStart"/>
      <w:r>
        <w:rPr>
          <w:rFonts w:cstheme="minorBidi"/>
          <w:lang w:val="it-IT"/>
        </w:rPr>
        <w:t>Tittle:Component</w:t>
      </w:r>
      <w:proofErr w:type="spellEnd"/>
      <w:proofErr w:type="gramEnd"/>
      <w:r>
        <w:rPr>
          <w:rFonts w:cstheme="minorBidi"/>
          <w:lang w:val="it-IT"/>
        </w:rPr>
        <w:t xml:space="preserve"> 2:Assignment(Report)Poster and Pitch</w:t>
      </w:r>
    </w:p>
    <w:p w14:paraId="217C08CD" w14:textId="42429AA9" w:rsidR="00203ECB" w:rsidRPr="00DD08BC" w:rsidRDefault="00203ECB" w:rsidP="00C22197">
      <w:pPr>
        <w:spacing w:after="160"/>
        <w:rPr>
          <w:rFonts w:cstheme="minorBidi"/>
          <w:color w:val="000000"/>
          <w:sz w:val="28"/>
          <w:szCs w:val="28"/>
          <w:lang w:val="it-IT"/>
        </w:rPr>
      </w:pPr>
      <w:r w:rsidRPr="00DD08BC">
        <w:rPr>
          <w:rFonts w:cstheme="minorBidi"/>
          <w:color w:val="000000"/>
          <w:sz w:val="28"/>
          <w:szCs w:val="28"/>
          <w:lang w:val="it-IT"/>
        </w:rPr>
        <w:br w:type="page"/>
      </w:r>
    </w:p>
    <w:p w14:paraId="38D4BCA8" w14:textId="3AE6DAB6" w:rsidR="00DD08BC" w:rsidRPr="00DD08BC" w:rsidRDefault="00DD08BC" w:rsidP="00C22197">
      <w:pPr>
        <w:pStyle w:val="Heading1"/>
        <w:ind w:firstLine="0"/>
        <w:rPr>
          <w:rFonts w:cstheme="minorBidi"/>
          <w:lang w:val="it-IT"/>
        </w:rPr>
      </w:pPr>
      <w:r>
        <w:rPr>
          <w:noProof/>
        </w:rPr>
        <w:lastRenderedPageBreak/>
        <w:drawing>
          <wp:inline distT="0" distB="0" distL="0" distR="0" wp14:anchorId="45614A04" wp14:editId="33751FF5">
            <wp:extent cx="6045558" cy="9066998"/>
            <wp:effectExtent l="0" t="0" r="0" b="1270"/>
            <wp:docPr id="19683030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30308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6050173" cy="9073920"/>
                    </a:xfrm>
                    <a:prstGeom prst="rect">
                      <a:avLst/>
                    </a:prstGeom>
                  </pic:spPr>
                </pic:pic>
              </a:graphicData>
            </a:graphic>
          </wp:inline>
        </w:drawing>
      </w:r>
    </w:p>
    <w:p w14:paraId="1C2D942E" w14:textId="13A84110" w:rsidR="00203ECB" w:rsidRPr="00B76BFD" w:rsidRDefault="00203ECB" w:rsidP="00C22197">
      <w:pPr>
        <w:pStyle w:val="Heading1"/>
        <w:ind w:firstLine="0"/>
        <w:rPr>
          <w:rFonts w:cstheme="minorBidi"/>
          <w:sz w:val="28"/>
          <w:szCs w:val="28"/>
        </w:rPr>
      </w:pPr>
      <w:r w:rsidRPr="00B76BFD">
        <w:rPr>
          <w:rFonts w:cstheme="minorBidi"/>
        </w:rPr>
        <w:lastRenderedPageBreak/>
        <w:t xml:space="preserve">Introduction </w:t>
      </w:r>
      <w:r w:rsidR="000D429F">
        <w:rPr>
          <w:rFonts w:cstheme="minorBidi"/>
        </w:rPr>
        <w:t xml:space="preserve"> </w:t>
      </w:r>
      <w:r w:rsidR="00C22197">
        <w:rPr>
          <w:rFonts w:cstheme="minorBidi"/>
        </w:rPr>
        <w:t xml:space="preserve"> </w:t>
      </w:r>
    </w:p>
    <w:p w14:paraId="37B900D5" w14:textId="3071012C" w:rsidR="001565BA" w:rsidRDefault="00F43F3C" w:rsidP="00B42F80">
      <w:pPr>
        <w:ind w:firstLine="0"/>
        <w:rPr>
          <w:rtl/>
        </w:rPr>
      </w:pPr>
      <w:proofErr w:type="spellStart"/>
      <w:r w:rsidRPr="00F43F3C">
        <w:t>VirtuNurse</w:t>
      </w:r>
      <w:proofErr w:type="spellEnd"/>
      <w:r w:rsidRPr="00F43F3C">
        <w:t xml:space="preserve"> XR is a virtual reality (VR) and AI-enhanced training app that aims </w:t>
      </w:r>
      <w:r w:rsidR="00F60E23">
        <w:t>to</w:t>
      </w:r>
      <w:r w:rsidRPr="00F43F3C">
        <w:t xml:space="preserve"> assist newly graduated nurses to enter an NHS practi</w:t>
      </w:r>
      <w:r w:rsidR="00F60E23">
        <w:t>c</w:t>
      </w:r>
      <w:r w:rsidRPr="00F43F3C">
        <w:t xml:space="preserve">e. </w:t>
      </w:r>
      <w:r w:rsidR="001565BA" w:rsidRPr="001565BA">
        <w:t xml:space="preserve">It offers immersive clinical simulations enhanced by AI-driven feedback to build skills, confidence, and decision-making. Its innovation lies in combining VR, AI, and real-time analytics to deliver </w:t>
      </w:r>
      <w:r w:rsidR="00EB7734" w:rsidRPr="001565BA">
        <w:t>personalized</w:t>
      </w:r>
      <w:r w:rsidR="001565BA" w:rsidRPr="001565BA">
        <w:t>, repeatable, and safe training experiences.</w:t>
      </w:r>
    </w:p>
    <w:p w14:paraId="75B2B112" w14:textId="7641D63C" w:rsidR="001565BA" w:rsidRPr="001565BA" w:rsidRDefault="001565BA" w:rsidP="00C22197">
      <w:pPr>
        <w:pStyle w:val="Heading2"/>
      </w:pPr>
      <w:r>
        <w:t xml:space="preserve">Problem Statement </w:t>
      </w:r>
    </w:p>
    <w:p w14:paraId="241DB887" w14:textId="5781E891" w:rsidR="00F43F3C" w:rsidRDefault="00F43F3C" w:rsidP="00B42F80">
      <w:pPr>
        <w:ind w:firstLine="0"/>
      </w:pPr>
      <w:r w:rsidRPr="00F43F3C">
        <w:t xml:space="preserve">The time of the transition between university and professional nursing </w:t>
      </w:r>
      <w:r w:rsidR="001472AF">
        <w:t>can</w:t>
      </w:r>
      <w:r w:rsidRPr="00F43F3C">
        <w:t xml:space="preserve"> be challenging, and the lack of confidence, clinical exposure, and stress levels are often reported to be high in new nurses (Ibrahim, 2025). Traditional training</w:t>
      </w:r>
      <w:r w:rsidR="000125D9">
        <w:t xml:space="preserve"> </w:t>
      </w:r>
      <w:r w:rsidRPr="00F43F3C">
        <w:t>include</w:t>
      </w:r>
      <w:r w:rsidR="001472AF">
        <w:t>s</w:t>
      </w:r>
      <w:r w:rsidRPr="00F43F3C">
        <w:t xml:space="preserve"> lectures or clinical placements, </w:t>
      </w:r>
      <w:r w:rsidR="000125D9">
        <w:t xml:space="preserve">which </w:t>
      </w:r>
      <w:r w:rsidR="002B5EBC">
        <w:t>are</w:t>
      </w:r>
      <w:r w:rsidRPr="00F43F3C">
        <w:t xml:space="preserve"> not usually safe and repeatable experience</w:t>
      </w:r>
      <w:r w:rsidR="001565BA">
        <w:t>s</w:t>
      </w:r>
      <w:r w:rsidRPr="00F43F3C">
        <w:t xml:space="preserve"> with complex or high-risk situations (NHI Gov, 2024). </w:t>
      </w:r>
      <w:r w:rsidR="00F60E23">
        <w:t xml:space="preserve">Furthermore, the </w:t>
      </w:r>
      <w:r w:rsidR="00F60E23" w:rsidRPr="00F60E23">
        <w:t>NHS</w:t>
      </w:r>
      <w:r w:rsidR="00F60E23">
        <w:t xml:space="preserve"> (</w:t>
      </w:r>
      <w:r w:rsidR="00F60E23" w:rsidRPr="00F60E23">
        <w:t>2024</w:t>
      </w:r>
      <w:r w:rsidR="00F60E23">
        <w:t>) reported that</w:t>
      </w:r>
      <w:r w:rsidRPr="00F43F3C">
        <w:t xml:space="preserve"> workforce strains contribute to these issues, with NHS England indicating over 121,000 vacancies and a total of over 42,000 nursing jobs as of September 2023</w:t>
      </w:r>
      <w:r w:rsidR="00F60E23">
        <w:t>,</w:t>
      </w:r>
      <w:r w:rsidRPr="00F43F3C">
        <w:t xml:space="preserve"> showing a great need to find innovative methods of training and retaining personnel</w:t>
      </w:r>
      <w:r w:rsidR="00F60E23">
        <w:t xml:space="preserve">. </w:t>
      </w:r>
      <w:r>
        <w:t xml:space="preserve">Concerning these issues, </w:t>
      </w:r>
      <w:proofErr w:type="spellStart"/>
      <w:r w:rsidRPr="00F43F3C">
        <w:t>VirtuNurse</w:t>
      </w:r>
      <w:proofErr w:type="spellEnd"/>
      <w:r w:rsidRPr="00F43F3C">
        <w:t xml:space="preserve"> XR </w:t>
      </w:r>
      <w:r>
        <w:t>will address</w:t>
      </w:r>
      <w:r w:rsidRPr="00F43F3C">
        <w:t xml:space="preserve"> these gaps </w:t>
      </w:r>
      <w:r w:rsidR="00D41489" w:rsidRPr="00F43F3C">
        <w:t>using</w:t>
      </w:r>
      <w:r w:rsidRPr="00F43F3C">
        <w:t xml:space="preserve"> immersive simulations</w:t>
      </w:r>
      <w:r>
        <w:t>,</w:t>
      </w:r>
      <w:r w:rsidRPr="00F43F3C">
        <w:t xml:space="preserve"> which improve clinical skills, decision-making, and communication.</w:t>
      </w:r>
    </w:p>
    <w:p w14:paraId="4B6B9270" w14:textId="605C8F61" w:rsidR="00203ECB" w:rsidRPr="00203ECB" w:rsidRDefault="00203ECB" w:rsidP="00C22197">
      <w:pPr>
        <w:pStyle w:val="Heading2"/>
      </w:pPr>
      <w:r w:rsidRPr="00203ECB">
        <w:t>Target Audience and Impact</w:t>
      </w:r>
    </w:p>
    <w:p w14:paraId="78DDB8D0" w14:textId="6DB85E89" w:rsidR="00203ECB" w:rsidRDefault="00203ECB" w:rsidP="00B42F80">
      <w:pPr>
        <w:spacing w:before="100" w:beforeAutospacing="1" w:after="100" w:afterAutospacing="1"/>
        <w:ind w:firstLine="0"/>
        <w:rPr>
          <w:rFonts w:cstheme="minorBidi"/>
          <w:color w:val="000000"/>
        </w:rPr>
      </w:pPr>
      <w:r w:rsidRPr="00203ECB">
        <w:rPr>
          <w:rFonts w:cstheme="minorBidi"/>
          <w:color w:val="000000"/>
        </w:rPr>
        <w:t xml:space="preserve">The primary beneficiaries of </w:t>
      </w:r>
      <w:proofErr w:type="spellStart"/>
      <w:r w:rsidRPr="00203ECB">
        <w:rPr>
          <w:rFonts w:cstheme="minorBidi"/>
          <w:color w:val="000000"/>
        </w:rPr>
        <w:t>VirtuNurse</w:t>
      </w:r>
      <w:proofErr w:type="spellEnd"/>
      <w:r w:rsidRPr="00203ECB">
        <w:rPr>
          <w:rFonts w:cstheme="minorBidi"/>
          <w:color w:val="000000"/>
        </w:rPr>
        <w:t xml:space="preserve"> XR are newly qualified nurses.</w:t>
      </w:r>
      <w:r w:rsidR="00F43F3C" w:rsidRPr="00F43F3C">
        <w:t xml:space="preserve"> </w:t>
      </w:r>
      <w:r w:rsidR="00F43F3C" w:rsidRPr="00F43F3C">
        <w:rPr>
          <w:rFonts w:cstheme="minorBidi"/>
          <w:color w:val="000000"/>
        </w:rPr>
        <w:t xml:space="preserve">The system improves patient care and safety by increasing clinical competence, decision-making, and confidence. </w:t>
      </w:r>
      <w:proofErr w:type="spellStart"/>
      <w:r w:rsidR="001565BA" w:rsidRPr="001565BA">
        <w:rPr>
          <w:rFonts w:cstheme="minorBidi"/>
          <w:color w:val="000000"/>
        </w:rPr>
        <w:t>VirtuNurse</w:t>
      </w:r>
      <w:proofErr w:type="spellEnd"/>
      <w:r w:rsidR="001565BA" w:rsidRPr="001565BA">
        <w:rPr>
          <w:rFonts w:cstheme="minorBidi"/>
          <w:color w:val="000000"/>
        </w:rPr>
        <w:t xml:space="preserve"> XR is designed for newly qualified nurses aged 20–35 who are entering practice in hospital wards, community health settings, and NHS training </w:t>
      </w:r>
      <w:proofErr w:type="spellStart"/>
      <w:r w:rsidR="001565BA" w:rsidRPr="001565BA">
        <w:rPr>
          <w:rFonts w:cstheme="minorBidi"/>
          <w:color w:val="000000"/>
        </w:rPr>
        <w:t>centres</w:t>
      </w:r>
      <w:proofErr w:type="spellEnd"/>
      <w:r w:rsidR="001565BA" w:rsidRPr="001565BA">
        <w:rPr>
          <w:rFonts w:cstheme="minorBidi"/>
          <w:color w:val="000000"/>
        </w:rPr>
        <w:t>.</w:t>
      </w:r>
      <w:r w:rsidR="001565BA">
        <w:rPr>
          <w:rFonts w:cstheme="minorBidi"/>
          <w:color w:val="000000"/>
        </w:rPr>
        <w:t xml:space="preserve"> </w:t>
      </w:r>
      <w:r w:rsidR="00F43F3C" w:rsidRPr="00F43F3C">
        <w:rPr>
          <w:rFonts w:cstheme="minorBidi"/>
          <w:color w:val="000000"/>
        </w:rPr>
        <w:t>The secondary beneficiaries are NHS teams and Trusts who will also have a better prepared</w:t>
      </w:r>
      <w:r w:rsidR="00BB28BE">
        <w:rPr>
          <w:rFonts w:cstheme="minorBidi"/>
          <w:color w:val="000000"/>
        </w:rPr>
        <w:t>,</w:t>
      </w:r>
      <w:r w:rsidR="00F43F3C" w:rsidRPr="00F43F3C">
        <w:rPr>
          <w:rFonts w:cstheme="minorBidi"/>
          <w:color w:val="000000"/>
        </w:rPr>
        <w:t xml:space="preserve"> more confident workforce. The patients receive better quality care provided by the personnel with training in the high-risk and realistic conditions. In addition, ensuring staff retention and emotional well</w:t>
      </w:r>
      <w:r w:rsidR="00BB28BE">
        <w:rPr>
          <w:rFonts w:cstheme="minorBidi"/>
          <w:color w:val="000000"/>
        </w:rPr>
        <w:t>-</w:t>
      </w:r>
      <w:r w:rsidR="00F43F3C" w:rsidRPr="00F43F3C">
        <w:rPr>
          <w:rFonts w:cstheme="minorBidi"/>
          <w:color w:val="000000"/>
        </w:rPr>
        <w:t xml:space="preserve">being, </w:t>
      </w:r>
      <w:proofErr w:type="spellStart"/>
      <w:r w:rsidR="00F43F3C" w:rsidRPr="00F43F3C">
        <w:rPr>
          <w:rFonts w:cstheme="minorBidi"/>
          <w:color w:val="000000"/>
        </w:rPr>
        <w:t>VirtuNurse</w:t>
      </w:r>
      <w:proofErr w:type="spellEnd"/>
      <w:r w:rsidR="00F43F3C" w:rsidRPr="00F43F3C">
        <w:rPr>
          <w:rFonts w:cstheme="minorBidi"/>
          <w:color w:val="000000"/>
        </w:rPr>
        <w:t xml:space="preserve"> XR can benefit the whole health and social care system, which ultimately leads to the common good.</w:t>
      </w:r>
    </w:p>
    <w:p w14:paraId="146DFC47" w14:textId="77777777" w:rsidR="001565BA" w:rsidRPr="00203ECB" w:rsidRDefault="001565BA" w:rsidP="00C22197">
      <w:pPr>
        <w:pStyle w:val="Heading2"/>
      </w:pPr>
      <w:r w:rsidRPr="00203ECB">
        <w:t>Innovation Description</w:t>
      </w:r>
    </w:p>
    <w:p w14:paraId="5A73DBED" w14:textId="507088C9" w:rsidR="001565BA" w:rsidRDefault="001565BA" w:rsidP="00B42F80">
      <w:pPr>
        <w:ind w:firstLine="0"/>
      </w:pPr>
      <w:proofErr w:type="spellStart"/>
      <w:r w:rsidRPr="00F43F3C">
        <w:t>VirtuNurse</w:t>
      </w:r>
      <w:proofErr w:type="spellEnd"/>
      <w:r w:rsidRPr="00F43F3C">
        <w:t xml:space="preserve"> XR is a combination of VR training and AI-driven patient simulations to formulate hospital settings and patient care. The system aligns with the progress made </w:t>
      </w:r>
      <w:r w:rsidRPr="00F43F3C">
        <w:lastRenderedPageBreak/>
        <w:t xml:space="preserve">by individual learners, giving them </w:t>
      </w:r>
      <w:r w:rsidR="00D41489" w:rsidRPr="00F43F3C">
        <w:t>individualized</w:t>
      </w:r>
      <w:r w:rsidRPr="00F43F3C">
        <w:t xml:space="preserve"> feedback on the clinical decisions, communication, and empathy. The main characteristics are team-based simulations, the ability to collaborate with virtual colleagues or real mentors remotely, and predictive scenarios based on the information about the incidents at the NHS to prepare nurses </w:t>
      </w:r>
      <w:r>
        <w:t>for</w:t>
      </w:r>
      <w:r w:rsidRPr="00F43F3C">
        <w:t xml:space="preserve"> the probable cases. </w:t>
      </w:r>
      <w:r w:rsidRPr="00B758AC">
        <w:t xml:space="preserve">Stakeholders include the NHS Trusts, nursing educators, professional bodies and patient advocacy groups. Pilot testing, surveys, and focus groups are the methods of co-production with new qualified nurses to confirm that the content of the simulation is relevant to users and professional requirements (McNeil et al., 2024). </w:t>
      </w:r>
    </w:p>
    <w:p w14:paraId="29C8EC6A" w14:textId="77777777" w:rsidR="001565BA" w:rsidRDefault="001565BA" w:rsidP="00B42F80">
      <w:pPr>
        <w:ind w:firstLine="0"/>
      </w:pPr>
      <w:r w:rsidRPr="00B758AC">
        <w:t xml:space="preserve">The innovation aligns with the Care Act 2014, which provides a legal context to advocate for the well-being of individuals, protect the vulnerable population, and guarantee high-quality health and social care (UK Government, 2025a). It also facilitates the Equality Act 2010, which safeguards individuals against discrimination due to their age, gender, disability, or race, to provide equal opportunities and access to services (UK Government, 2025b). </w:t>
      </w:r>
      <w:proofErr w:type="spellStart"/>
      <w:r w:rsidRPr="00B758AC">
        <w:t>VirtuNurse</w:t>
      </w:r>
      <w:proofErr w:type="spellEnd"/>
      <w:r w:rsidRPr="00B758AC">
        <w:t xml:space="preserve"> XR is an addition to the current NHS services, such as induction </w:t>
      </w:r>
      <w:proofErr w:type="spellStart"/>
      <w:r w:rsidRPr="00B758AC">
        <w:t>programmes</w:t>
      </w:r>
      <w:proofErr w:type="spellEnd"/>
      <w:r w:rsidRPr="00B758AC">
        <w:t xml:space="preserve">, continuous professional development, and community health </w:t>
      </w:r>
      <w:proofErr w:type="spellStart"/>
      <w:r w:rsidRPr="00B758AC">
        <w:t>programmes</w:t>
      </w:r>
      <w:proofErr w:type="spellEnd"/>
      <w:r w:rsidRPr="00B758AC">
        <w:t>. The integration and continuous improvement of the system put nurses, educators, and clinical supervisors at the core to ensure that training and patient care are of high quality.</w:t>
      </w:r>
    </w:p>
    <w:p w14:paraId="651583F0" w14:textId="5FF5E61B" w:rsidR="00203ECB" w:rsidRPr="00203ECB" w:rsidRDefault="00203ECB" w:rsidP="00C22197">
      <w:pPr>
        <w:pStyle w:val="Heading2"/>
      </w:pPr>
      <w:r w:rsidRPr="00203ECB">
        <w:t>Implementation</w:t>
      </w:r>
      <w:r w:rsidR="007E5C47">
        <w:t xml:space="preserve"> of </w:t>
      </w:r>
      <w:proofErr w:type="spellStart"/>
      <w:r w:rsidR="007E5C47" w:rsidRPr="007E5C47">
        <w:t>VirtuNurse</w:t>
      </w:r>
      <w:proofErr w:type="spellEnd"/>
      <w:r w:rsidR="007E5C47" w:rsidRPr="007E5C47">
        <w:t xml:space="preserve"> XR</w:t>
      </w:r>
    </w:p>
    <w:p w14:paraId="23562D40" w14:textId="29414957" w:rsidR="001565BA" w:rsidRDefault="003A6742" w:rsidP="00B42F80">
      <w:pPr>
        <w:spacing w:before="100" w:beforeAutospacing="1" w:after="100" w:afterAutospacing="1"/>
        <w:ind w:firstLine="0"/>
        <w:rPr>
          <w:rFonts w:cstheme="minorBidi"/>
          <w:color w:val="000000"/>
        </w:rPr>
      </w:pPr>
      <w:r>
        <w:rPr>
          <w:rFonts w:cstheme="minorBidi"/>
          <w:color w:val="000000"/>
        </w:rPr>
        <w:t>C</w:t>
      </w:r>
      <w:r w:rsidRPr="003A6742">
        <w:rPr>
          <w:rFonts w:cstheme="minorBidi"/>
          <w:color w:val="000000"/>
        </w:rPr>
        <w:t>linical educators and new</w:t>
      </w:r>
      <w:r>
        <w:rPr>
          <w:rFonts w:cstheme="minorBidi"/>
          <w:color w:val="000000"/>
        </w:rPr>
        <w:t>ly</w:t>
      </w:r>
      <w:r w:rsidRPr="003A6742">
        <w:rPr>
          <w:rFonts w:cstheme="minorBidi"/>
          <w:color w:val="000000"/>
        </w:rPr>
        <w:t xml:space="preserve"> qualified nurses</w:t>
      </w:r>
      <w:r>
        <w:rPr>
          <w:rFonts w:cstheme="minorBidi"/>
          <w:color w:val="000000"/>
        </w:rPr>
        <w:t xml:space="preserve"> will use the system</w:t>
      </w:r>
      <w:r w:rsidRPr="003A6742">
        <w:rPr>
          <w:rFonts w:cstheme="minorBidi"/>
          <w:color w:val="000000"/>
        </w:rPr>
        <w:t xml:space="preserve"> </w:t>
      </w:r>
      <w:r w:rsidR="00B42F80" w:rsidRPr="003A6742">
        <w:rPr>
          <w:rFonts w:cstheme="minorBidi"/>
          <w:color w:val="000000"/>
        </w:rPr>
        <w:t>during</w:t>
      </w:r>
      <w:r w:rsidRPr="003A6742">
        <w:rPr>
          <w:rFonts w:cstheme="minorBidi"/>
          <w:color w:val="000000"/>
        </w:rPr>
        <w:t xml:space="preserve"> induction and continuous professional development. </w:t>
      </w:r>
      <w:r w:rsidR="001565BA">
        <w:rPr>
          <w:rFonts w:cstheme="minorBidi"/>
          <w:color w:val="000000"/>
        </w:rPr>
        <w:t xml:space="preserve"> </w:t>
      </w:r>
      <w:proofErr w:type="spellStart"/>
      <w:r w:rsidR="001565BA" w:rsidRPr="003A6742">
        <w:rPr>
          <w:rFonts w:cstheme="minorBidi"/>
          <w:color w:val="000000"/>
        </w:rPr>
        <w:t>VirtuNurse</w:t>
      </w:r>
      <w:proofErr w:type="spellEnd"/>
      <w:r w:rsidR="001565BA" w:rsidRPr="003A6742">
        <w:rPr>
          <w:rFonts w:cstheme="minorBidi"/>
          <w:color w:val="000000"/>
        </w:rPr>
        <w:t xml:space="preserve"> XR will be used in hospitals and training </w:t>
      </w:r>
      <w:proofErr w:type="spellStart"/>
      <w:r w:rsidR="001565BA" w:rsidRPr="003A6742">
        <w:rPr>
          <w:rFonts w:cstheme="minorBidi"/>
          <w:color w:val="000000"/>
        </w:rPr>
        <w:t>centres</w:t>
      </w:r>
      <w:proofErr w:type="spellEnd"/>
      <w:r w:rsidR="001565BA">
        <w:rPr>
          <w:rFonts w:cstheme="minorBidi"/>
          <w:color w:val="000000"/>
        </w:rPr>
        <w:t>,</w:t>
      </w:r>
      <w:r w:rsidR="001565BA" w:rsidRPr="003A6742">
        <w:rPr>
          <w:rFonts w:cstheme="minorBidi"/>
          <w:color w:val="000000"/>
        </w:rPr>
        <w:t xml:space="preserve"> and nursing schools of </w:t>
      </w:r>
      <w:r w:rsidR="001565BA">
        <w:rPr>
          <w:rFonts w:cstheme="minorBidi"/>
          <w:color w:val="000000"/>
        </w:rPr>
        <w:t xml:space="preserve">the </w:t>
      </w:r>
      <w:r w:rsidR="001565BA" w:rsidRPr="003A6742">
        <w:rPr>
          <w:rFonts w:cstheme="minorBidi"/>
          <w:color w:val="000000"/>
        </w:rPr>
        <w:t>NHS.</w:t>
      </w:r>
      <w:r w:rsidR="001565BA">
        <w:rPr>
          <w:rFonts w:cstheme="minorBidi"/>
          <w:color w:val="000000"/>
        </w:rPr>
        <w:t xml:space="preserve"> </w:t>
      </w:r>
      <w:r w:rsidR="001565BA" w:rsidRPr="001565BA">
        <w:rPr>
          <w:rFonts w:cstheme="minorBidi"/>
          <w:color w:val="000000"/>
        </w:rPr>
        <w:t>VR component offers realistic practi</w:t>
      </w:r>
      <w:r w:rsidR="002B5EBC">
        <w:rPr>
          <w:rFonts w:cstheme="minorBidi"/>
          <w:color w:val="000000"/>
        </w:rPr>
        <w:t>c</w:t>
      </w:r>
      <w:r w:rsidR="001565BA" w:rsidRPr="001565BA">
        <w:rPr>
          <w:rFonts w:cstheme="minorBidi"/>
          <w:color w:val="000000"/>
        </w:rPr>
        <w:t>e that is immersive</w:t>
      </w:r>
      <w:r w:rsidR="002B5EBC">
        <w:rPr>
          <w:rFonts w:cstheme="minorBidi"/>
          <w:color w:val="000000"/>
        </w:rPr>
        <w:t>,</w:t>
      </w:r>
      <w:r w:rsidR="001565BA" w:rsidRPr="001565BA">
        <w:rPr>
          <w:rFonts w:cstheme="minorBidi"/>
          <w:color w:val="000000"/>
        </w:rPr>
        <w:t xml:space="preserve"> whereas AI can adapt any situation to the needs of the individual learner, which means that training is </w:t>
      </w:r>
      <w:r w:rsidR="00B42F80" w:rsidRPr="001565BA">
        <w:rPr>
          <w:rFonts w:cstheme="minorBidi"/>
          <w:color w:val="000000"/>
        </w:rPr>
        <w:t>individualized</w:t>
      </w:r>
      <w:r w:rsidR="001565BA" w:rsidRPr="001565BA">
        <w:rPr>
          <w:rFonts w:cstheme="minorBidi"/>
          <w:color w:val="000000"/>
        </w:rPr>
        <w:t xml:space="preserve"> and effective (Ahmad and Rana, 2025).</w:t>
      </w:r>
    </w:p>
    <w:p w14:paraId="6B3352F9" w14:textId="77777777" w:rsidR="001565BA" w:rsidRDefault="001565BA" w:rsidP="00C22197">
      <w:pPr>
        <w:pStyle w:val="Heading2"/>
      </w:pPr>
      <w:r>
        <w:t xml:space="preserve">Timeline </w:t>
      </w:r>
    </w:p>
    <w:p w14:paraId="74C8613F" w14:textId="24FC7599" w:rsidR="00526B0F" w:rsidRDefault="003A6742" w:rsidP="00B42F80">
      <w:pPr>
        <w:spacing w:before="100" w:beforeAutospacing="1" w:after="100" w:afterAutospacing="1"/>
        <w:ind w:firstLine="0"/>
        <w:rPr>
          <w:rFonts w:cstheme="minorBidi"/>
          <w:color w:val="000000"/>
        </w:rPr>
      </w:pPr>
      <w:r w:rsidRPr="003A6742">
        <w:rPr>
          <w:rFonts w:cstheme="minorBidi"/>
          <w:color w:val="000000"/>
        </w:rPr>
        <w:t xml:space="preserve">The process of implementation will be </w:t>
      </w:r>
      <w:r w:rsidR="00B42F80" w:rsidRPr="003A6742">
        <w:rPr>
          <w:rFonts w:cstheme="minorBidi"/>
          <w:color w:val="000000"/>
        </w:rPr>
        <w:t>organized</w:t>
      </w:r>
      <w:r w:rsidRPr="003A6742">
        <w:rPr>
          <w:rFonts w:cstheme="minorBidi"/>
          <w:color w:val="000000"/>
        </w:rPr>
        <w:t xml:space="preserve"> in stages, and the initial three months will be devoted to the creation of the concept and its compatibility with the standards of the NHS. The fourth to sixth months are devoted to the design of the VR and AI systems, the development of content, and the preliminary testing. The seventh, eighth, </w:t>
      </w:r>
      <w:r w:rsidRPr="003A6742">
        <w:rPr>
          <w:rFonts w:cstheme="minorBidi"/>
          <w:color w:val="000000"/>
        </w:rPr>
        <w:lastRenderedPageBreak/>
        <w:t xml:space="preserve">and ninth months will be devoted to pilot implementation in chosen hospitals and schools of nursing. </w:t>
      </w:r>
      <w:r w:rsidR="00203ECB" w:rsidRPr="00203ECB">
        <w:rPr>
          <w:rFonts w:cstheme="minorBidi"/>
          <w:color w:val="000000"/>
        </w:rPr>
        <w:t xml:space="preserve">Evaluation, feedback integration, and system refinement occur during months ten to twelve, followed by a full-scale </w:t>
      </w:r>
      <w:r w:rsidR="00D25747">
        <w:rPr>
          <w:rFonts w:cstheme="minorBidi"/>
          <w:color w:val="000000"/>
        </w:rPr>
        <w:t xml:space="preserve">alignment </w:t>
      </w:r>
      <w:r w:rsidR="00203ECB" w:rsidRPr="00203ECB">
        <w:rPr>
          <w:rFonts w:cstheme="minorBidi"/>
          <w:color w:val="000000"/>
        </w:rPr>
        <w:t xml:space="preserve">across NHS facilities and continuous updates from month thirteen onward. </w:t>
      </w:r>
    </w:p>
    <w:p w14:paraId="5F2D32A6" w14:textId="20D08C2A" w:rsidR="0039097F" w:rsidRDefault="0039097F" w:rsidP="00C22197">
      <w:pPr>
        <w:pStyle w:val="Heading2"/>
      </w:pPr>
      <w:r>
        <w:t>Regulations</w:t>
      </w:r>
    </w:p>
    <w:p w14:paraId="1F105F54" w14:textId="0C817A3C" w:rsidR="005951FF" w:rsidRPr="005951FF" w:rsidRDefault="005951FF" w:rsidP="00B42F80">
      <w:pPr>
        <w:ind w:firstLine="0"/>
        <w:rPr>
          <w:lang w:eastAsia="en-US"/>
        </w:rPr>
      </w:pPr>
      <w:proofErr w:type="spellStart"/>
      <w:r w:rsidRPr="005951FF">
        <w:rPr>
          <w:lang w:eastAsia="en-US"/>
        </w:rPr>
        <w:t>VirtuNurse</w:t>
      </w:r>
      <w:proofErr w:type="spellEnd"/>
      <w:r w:rsidRPr="005951FF">
        <w:rPr>
          <w:lang w:eastAsia="en-US"/>
        </w:rPr>
        <w:t xml:space="preserve"> XR complies with all the legal and ethical standards. It is </w:t>
      </w:r>
      <w:r w:rsidR="004A22B7">
        <w:rPr>
          <w:lang w:eastAsia="en-US"/>
        </w:rPr>
        <w:t>comply</w:t>
      </w:r>
      <w:r w:rsidRPr="005951FF">
        <w:rPr>
          <w:lang w:eastAsia="en-US"/>
        </w:rPr>
        <w:t>ing to GDPR to secure the user data, CQC requirements to train safe</w:t>
      </w:r>
      <w:r>
        <w:rPr>
          <w:lang w:eastAsia="en-US"/>
        </w:rPr>
        <w:t>ly</w:t>
      </w:r>
      <w:r w:rsidRPr="005951FF">
        <w:rPr>
          <w:lang w:eastAsia="en-US"/>
        </w:rPr>
        <w:t xml:space="preserve"> and of high quality and NICE requirements to train clinical accurately. The codes of professionalism in the NMC and HCPC have also been integrated in</w:t>
      </w:r>
      <w:r w:rsidR="002B5EBC">
        <w:rPr>
          <w:lang w:eastAsia="en-US"/>
        </w:rPr>
        <w:t>to</w:t>
      </w:r>
      <w:r w:rsidRPr="005951FF">
        <w:rPr>
          <w:lang w:eastAsia="en-US"/>
        </w:rPr>
        <w:t xml:space="preserve"> the system to provide a professional practi</w:t>
      </w:r>
      <w:r>
        <w:rPr>
          <w:lang w:eastAsia="en-US"/>
        </w:rPr>
        <w:t>c</w:t>
      </w:r>
      <w:r w:rsidRPr="005951FF">
        <w:rPr>
          <w:lang w:eastAsia="en-US"/>
        </w:rPr>
        <w:t xml:space="preserve">e, competence, and professional </w:t>
      </w:r>
      <w:r w:rsidR="00B42F80" w:rsidRPr="005951FF">
        <w:rPr>
          <w:lang w:eastAsia="en-US"/>
        </w:rPr>
        <w:t>behavior</w:t>
      </w:r>
      <w:r>
        <w:rPr>
          <w:lang w:eastAsia="en-US"/>
        </w:rPr>
        <w:t xml:space="preserve"> </w:t>
      </w:r>
      <w:r w:rsidRPr="005951FF">
        <w:rPr>
          <w:lang w:eastAsia="en-US"/>
        </w:rPr>
        <w:t>(Martin, 2025). This provides efficient, safe, and appropriate training to the newly qualified nurses.</w:t>
      </w:r>
    </w:p>
    <w:p w14:paraId="3A73CA19" w14:textId="77777777" w:rsidR="008241A9" w:rsidRDefault="008241A9" w:rsidP="00C22197">
      <w:pPr>
        <w:pStyle w:val="Heading2"/>
      </w:pPr>
      <w:r w:rsidRPr="00203ECB">
        <w:t>Technology Integration</w:t>
      </w:r>
    </w:p>
    <w:p w14:paraId="5F3650F2" w14:textId="0E5FD25E" w:rsidR="0039097F" w:rsidRDefault="008241A9" w:rsidP="00B42F80">
      <w:pPr>
        <w:ind w:firstLine="0"/>
        <w:rPr>
          <w:lang w:eastAsia="en-US"/>
        </w:rPr>
      </w:pPr>
      <w:proofErr w:type="spellStart"/>
      <w:r w:rsidRPr="00806530">
        <w:rPr>
          <w:lang w:eastAsia="en-US"/>
        </w:rPr>
        <w:t>VirtuNurse</w:t>
      </w:r>
      <w:proofErr w:type="spellEnd"/>
      <w:r w:rsidRPr="00806530">
        <w:rPr>
          <w:lang w:eastAsia="en-US"/>
        </w:rPr>
        <w:t xml:space="preserve"> XR has a strong base of virtual reality (VR), which offers simulated real-life experiences that recreate a hospital ward, interaction with a patient, and emergency high-stress scenarios. These experiences are further enhanced by the AI</w:t>
      </w:r>
      <w:r>
        <w:rPr>
          <w:lang w:eastAsia="en-US"/>
        </w:rPr>
        <w:t xml:space="preserve"> </w:t>
      </w:r>
      <w:r w:rsidRPr="00806530">
        <w:rPr>
          <w:lang w:eastAsia="en-US"/>
        </w:rPr>
        <w:t>of the system</w:t>
      </w:r>
      <w:r>
        <w:rPr>
          <w:lang w:eastAsia="en-US"/>
        </w:rPr>
        <w:t>,</w:t>
      </w:r>
      <w:r w:rsidRPr="00806530">
        <w:rPr>
          <w:lang w:eastAsia="en-US"/>
        </w:rPr>
        <w:t xml:space="preserve"> which dynamically adapts </w:t>
      </w:r>
      <w:r>
        <w:rPr>
          <w:lang w:eastAsia="en-US"/>
        </w:rPr>
        <w:t xml:space="preserve">to </w:t>
      </w:r>
      <w:r w:rsidRPr="00806530">
        <w:rPr>
          <w:lang w:eastAsia="en-US"/>
        </w:rPr>
        <w:t>the circumstance</w:t>
      </w:r>
      <w:r>
        <w:rPr>
          <w:lang w:eastAsia="en-US"/>
        </w:rPr>
        <w:t>s</w:t>
      </w:r>
      <w:r w:rsidRPr="00806530">
        <w:rPr>
          <w:lang w:eastAsia="en-US"/>
        </w:rPr>
        <w:t xml:space="preserve"> </w:t>
      </w:r>
      <w:r>
        <w:rPr>
          <w:lang w:eastAsia="en-US"/>
        </w:rPr>
        <w:t>of</w:t>
      </w:r>
      <w:r w:rsidRPr="00806530">
        <w:rPr>
          <w:lang w:eastAsia="en-US"/>
        </w:rPr>
        <w:t xml:space="preserve"> every learner and provides </w:t>
      </w:r>
      <w:r w:rsidR="00B42F80" w:rsidRPr="00806530">
        <w:rPr>
          <w:lang w:eastAsia="en-US"/>
        </w:rPr>
        <w:t>personalized</w:t>
      </w:r>
      <w:r w:rsidRPr="00806530">
        <w:rPr>
          <w:lang w:eastAsia="en-US"/>
        </w:rPr>
        <w:t xml:space="preserve"> feedback </w:t>
      </w:r>
      <w:r>
        <w:rPr>
          <w:lang w:eastAsia="en-US"/>
        </w:rPr>
        <w:t>and simulates</w:t>
      </w:r>
      <w:r w:rsidRPr="00806530">
        <w:rPr>
          <w:lang w:eastAsia="en-US"/>
        </w:rPr>
        <w:t xml:space="preserve"> complex patient responses.</w:t>
      </w:r>
      <w:r>
        <w:rPr>
          <w:lang w:eastAsia="en-US"/>
        </w:rPr>
        <w:t xml:space="preserve"> </w:t>
      </w:r>
      <w:r w:rsidRPr="00806530">
        <w:rPr>
          <w:lang w:eastAsia="en-US"/>
        </w:rPr>
        <w:t xml:space="preserve">The performance analytics identify clinical decision-making, communication, and skill development and provide insights on their areas of weakness and shape specific learning. Full adherence to GDPR and NHS data standards, </w:t>
      </w:r>
      <w:r>
        <w:rPr>
          <w:lang w:eastAsia="en-US"/>
        </w:rPr>
        <w:t xml:space="preserve">and </w:t>
      </w:r>
      <w:r w:rsidRPr="00806530">
        <w:rPr>
          <w:lang w:eastAsia="en-US"/>
        </w:rPr>
        <w:t xml:space="preserve">the protection of sensitive information, is done through secure data management (Ahmad and Rana, 2025). Integrating VR and AI, </w:t>
      </w:r>
      <w:proofErr w:type="spellStart"/>
      <w:r w:rsidRPr="00806530">
        <w:rPr>
          <w:lang w:eastAsia="en-US"/>
        </w:rPr>
        <w:t>VirtuNurse</w:t>
      </w:r>
      <w:proofErr w:type="spellEnd"/>
      <w:r w:rsidRPr="00806530">
        <w:rPr>
          <w:lang w:eastAsia="en-US"/>
        </w:rPr>
        <w:t xml:space="preserve"> XR allows </w:t>
      </w:r>
      <w:r w:rsidR="00B42F80" w:rsidRPr="00806530">
        <w:rPr>
          <w:lang w:eastAsia="en-US"/>
        </w:rPr>
        <w:t>practicing</w:t>
      </w:r>
      <w:r w:rsidRPr="00806530">
        <w:rPr>
          <w:lang w:eastAsia="en-US"/>
        </w:rPr>
        <w:t xml:space="preserve"> the high-risk clinical situations in a secure and repeatable way, enhancing clinical competence in the learners, and making them prepared and confident nurses. </w:t>
      </w:r>
    </w:p>
    <w:p w14:paraId="7826D448" w14:textId="77777777" w:rsidR="005951FF" w:rsidRDefault="008241A9" w:rsidP="00C22197">
      <w:pPr>
        <w:ind w:firstLine="0"/>
        <w:rPr>
          <w:rStyle w:val="Heading2Char"/>
        </w:rPr>
      </w:pPr>
      <w:r w:rsidRPr="005951FF">
        <w:rPr>
          <w:rStyle w:val="Heading2Char"/>
        </w:rPr>
        <w:t>Dissemination</w:t>
      </w:r>
    </w:p>
    <w:p w14:paraId="1F885C4D" w14:textId="093656B9" w:rsidR="00203ECB" w:rsidRPr="005951FF" w:rsidRDefault="005951FF" w:rsidP="00B42F80">
      <w:pPr>
        <w:ind w:firstLine="0"/>
        <w:rPr>
          <w:lang w:eastAsia="en-US"/>
        </w:rPr>
      </w:pPr>
      <w:r w:rsidRPr="005951FF">
        <w:t xml:space="preserve">The awareness about </w:t>
      </w:r>
      <w:proofErr w:type="spellStart"/>
      <w:r w:rsidRPr="005951FF">
        <w:t>VirtuNurse</w:t>
      </w:r>
      <w:proofErr w:type="spellEnd"/>
      <w:r w:rsidRPr="005951FF">
        <w:t xml:space="preserve"> XR will be provided by targeting media campaigns, advertising online, and social media promotion. NHS Trusts, universities and professional bodies will be given leaflets, newsletters and briefings. Interaction with nursing influencers, web-based healthcare forums, and student networks will expand reach. Community activities, conferences and stakeholder workshops will also facilitate the innovation and promote its implementation in training and clinical </w:t>
      </w:r>
      <w:r w:rsidRPr="005951FF">
        <w:lastRenderedPageBreak/>
        <w:t>environments.</w:t>
      </w:r>
      <w:r w:rsidR="008241A9" w:rsidRPr="005951FF">
        <w:rPr>
          <w:rStyle w:val="Heading2Char"/>
        </w:rPr>
        <w:br/>
      </w:r>
      <w:r w:rsidR="00203ECB" w:rsidRPr="005951FF">
        <w:rPr>
          <w:rStyle w:val="Heading1Char"/>
          <w:rFonts w:asciiTheme="minorBidi" w:hAnsiTheme="minorBidi" w:cstheme="minorBidi"/>
          <w:sz w:val="32"/>
          <w:szCs w:val="32"/>
        </w:rPr>
        <w:t>Conclusion</w:t>
      </w:r>
    </w:p>
    <w:p w14:paraId="7273D533" w14:textId="32F8E266" w:rsidR="007E5C47" w:rsidRDefault="00F60E23" w:rsidP="00B42F80">
      <w:pPr>
        <w:spacing w:after="160"/>
        <w:ind w:firstLine="0"/>
        <w:rPr>
          <w:rFonts w:eastAsiaTheme="majorEastAsia" w:cstheme="minorBidi"/>
          <w:color w:val="000000" w:themeColor="text1"/>
          <w:sz w:val="32"/>
          <w:szCs w:val="40"/>
          <w:lang w:val="en-GB" w:eastAsia="en-US"/>
        </w:rPr>
      </w:pPr>
      <w:proofErr w:type="spellStart"/>
      <w:r w:rsidRPr="00F60E23">
        <w:rPr>
          <w:rFonts w:cstheme="minorBidi"/>
          <w:color w:val="000000"/>
        </w:rPr>
        <w:t>VirtuNurse</w:t>
      </w:r>
      <w:proofErr w:type="spellEnd"/>
      <w:r w:rsidRPr="00F60E23">
        <w:rPr>
          <w:rFonts w:cstheme="minorBidi"/>
          <w:color w:val="000000"/>
        </w:rPr>
        <w:t xml:space="preserve"> XR is a VR+AI-powered training </w:t>
      </w:r>
      <w:proofErr w:type="spellStart"/>
      <w:r w:rsidRPr="00F60E23">
        <w:rPr>
          <w:rFonts w:cstheme="minorBidi"/>
          <w:color w:val="000000"/>
        </w:rPr>
        <w:t>programme</w:t>
      </w:r>
      <w:proofErr w:type="spellEnd"/>
      <w:r w:rsidRPr="00F60E23">
        <w:rPr>
          <w:rFonts w:cstheme="minorBidi"/>
          <w:color w:val="000000"/>
        </w:rPr>
        <w:t xml:space="preserve"> aimed at helping newly qualified nurses to adapt to NHS practi</w:t>
      </w:r>
      <w:r>
        <w:rPr>
          <w:rFonts w:cstheme="minorBidi"/>
          <w:color w:val="000000"/>
        </w:rPr>
        <w:t>c</w:t>
      </w:r>
      <w:r w:rsidRPr="00F60E23">
        <w:rPr>
          <w:rFonts w:cstheme="minorBidi"/>
          <w:color w:val="000000"/>
        </w:rPr>
        <w:t>e. This innovation offers immersive, adaptive, and repeat</w:t>
      </w:r>
      <w:r>
        <w:rPr>
          <w:rFonts w:cstheme="minorBidi"/>
          <w:color w:val="000000"/>
        </w:rPr>
        <w:t>ed</w:t>
      </w:r>
      <w:r w:rsidRPr="00F60E23">
        <w:rPr>
          <w:rFonts w:cstheme="minorBidi"/>
          <w:color w:val="000000"/>
        </w:rPr>
        <w:t xml:space="preserve"> practi</w:t>
      </w:r>
      <w:r>
        <w:rPr>
          <w:rFonts w:cstheme="minorBidi"/>
          <w:color w:val="000000"/>
        </w:rPr>
        <w:t>c</w:t>
      </w:r>
      <w:r w:rsidRPr="00F60E23">
        <w:rPr>
          <w:rFonts w:cstheme="minorBidi"/>
          <w:color w:val="000000"/>
        </w:rPr>
        <w:t xml:space="preserve">e, clinical skills, decision-making, and confidence. </w:t>
      </w:r>
      <w:proofErr w:type="spellStart"/>
      <w:r w:rsidRPr="00F60E23">
        <w:rPr>
          <w:rFonts w:cstheme="minorBidi"/>
          <w:color w:val="000000"/>
        </w:rPr>
        <w:t>VirtuNurse</w:t>
      </w:r>
      <w:proofErr w:type="spellEnd"/>
      <w:r w:rsidRPr="00F60E23">
        <w:rPr>
          <w:rFonts w:cstheme="minorBidi"/>
          <w:color w:val="000000"/>
        </w:rPr>
        <w:t xml:space="preserve"> XR</w:t>
      </w:r>
      <w:r>
        <w:rPr>
          <w:rFonts w:cstheme="minorBidi"/>
          <w:color w:val="000000"/>
        </w:rPr>
        <w:t>,</w:t>
      </w:r>
      <w:r w:rsidRPr="00F60E23">
        <w:rPr>
          <w:rFonts w:cstheme="minorBidi"/>
          <w:color w:val="000000"/>
        </w:rPr>
        <w:t xml:space="preserve"> produced in collaboration with stakeholders and aligned with the legislation</w:t>
      </w:r>
      <w:r>
        <w:rPr>
          <w:rFonts w:cstheme="minorBidi"/>
          <w:color w:val="000000"/>
        </w:rPr>
        <w:t>,</w:t>
      </w:r>
      <w:r w:rsidRPr="00F60E23">
        <w:rPr>
          <w:rFonts w:cstheme="minorBidi"/>
          <w:color w:val="000000"/>
        </w:rPr>
        <w:t xml:space="preserve"> adheres to professional requirements and helps maintain the workforce and provide better patient care. Implementation of </w:t>
      </w:r>
      <w:proofErr w:type="spellStart"/>
      <w:r w:rsidRPr="00F60E23">
        <w:rPr>
          <w:rFonts w:cstheme="minorBidi"/>
          <w:color w:val="000000"/>
        </w:rPr>
        <w:t>VirtuNurse</w:t>
      </w:r>
      <w:proofErr w:type="spellEnd"/>
      <w:r w:rsidRPr="00F60E23">
        <w:rPr>
          <w:rFonts w:cstheme="minorBidi"/>
          <w:color w:val="000000"/>
        </w:rPr>
        <w:t xml:space="preserve"> XR has</w:t>
      </w:r>
      <w:r w:rsidR="008241A9">
        <w:rPr>
          <w:rFonts w:cstheme="minorBidi"/>
          <w:color w:val="000000"/>
        </w:rPr>
        <w:t xml:space="preserve"> measurable</w:t>
      </w:r>
      <w:r w:rsidRPr="00F60E23">
        <w:rPr>
          <w:rFonts w:cstheme="minorBidi"/>
          <w:color w:val="000000"/>
        </w:rPr>
        <w:t xml:space="preserve"> advantages to nurses, patients, and NHS Trusts, with the ability to </w:t>
      </w:r>
      <w:r>
        <w:rPr>
          <w:rFonts w:cstheme="minorBidi"/>
          <w:color w:val="000000"/>
        </w:rPr>
        <w:t>address</w:t>
      </w:r>
      <w:r w:rsidRPr="00F60E23">
        <w:rPr>
          <w:rFonts w:cstheme="minorBidi"/>
          <w:color w:val="000000"/>
        </w:rPr>
        <w:t xml:space="preserve"> existing training</w:t>
      </w:r>
      <w:r w:rsidR="008241A9">
        <w:rPr>
          <w:rFonts w:cstheme="minorBidi"/>
          <w:color w:val="000000"/>
        </w:rPr>
        <w:t xml:space="preserve"> gaps</w:t>
      </w:r>
      <w:r w:rsidRPr="00F60E23">
        <w:rPr>
          <w:rFonts w:cstheme="minorBidi"/>
          <w:color w:val="000000"/>
        </w:rPr>
        <w:t xml:space="preserve"> and impact the health and social care system positively in the UK.</w:t>
      </w:r>
      <w:r w:rsidR="007E5C47">
        <w:rPr>
          <w:rFonts w:cstheme="minorBidi"/>
          <w:lang w:val="en-GB"/>
        </w:rPr>
        <w:br w:type="page"/>
      </w:r>
    </w:p>
    <w:p w14:paraId="2508E0FF" w14:textId="2F332D2A" w:rsidR="00E40B49" w:rsidRPr="00E40B49" w:rsidRDefault="007E5C47" w:rsidP="00C22197">
      <w:pPr>
        <w:pStyle w:val="Heading1"/>
        <w:ind w:firstLine="0"/>
        <w:rPr>
          <w:rFonts w:cstheme="minorBidi"/>
          <w:lang w:val="en-GB"/>
        </w:rPr>
      </w:pPr>
      <w:r w:rsidRPr="007E5C47">
        <w:rPr>
          <w:rFonts w:cstheme="minorBidi"/>
          <w:lang w:val="en-GB"/>
        </w:rPr>
        <w:lastRenderedPageBreak/>
        <w:t xml:space="preserve">References </w:t>
      </w:r>
    </w:p>
    <w:p w14:paraId="60AC4E88" w14:textId="77777777" w:rsidR="00E40B49" w:rsidRPr="0039097F" w:rsidRDefault="00E40B49" w:rsidP="00C22197">
      <w:pPr>
        <w:tabs>
          <w:tab w:val="left" w:pos="20"/>
          <w:tab w:val="left" w:pos="425"/>
        </w:tabs>
        <w:autoSpaceDE w:val="0"/>
        <w:autoSpaceDN w:val="0"/>
        <w:adjustRightInd w:val="0"/>
        <w:ind w:left="720" w:hanging="720"/>
        <w:rPr>
          <w:rFonts w:cstheme="minorBidi"/>
          <w:color w:val="1A1A1A"/>
          <w:lang w:val="en-GB"/>
        </w:rPr>
      </w:pPr>
      <w:r w:rsidRPr="0039097F">
        <w:rPr>
          <w:rFonts w:cstheme="minorBidi"/>
          <w:color w:val="1A1A1A"/>
          <w:lang w:val="en-GB"/>
        </w:rPr>
        <w:t xml:space="preserve">Ahmad, M.K. and Rana, R.S.V. (2025) ‘Integrating Virtual Reality with Artificial Intelligence for Immersive Learning’, </w:t>
      </w:r>
      <w:r w:rsidRPr="0039097F">
        <w:rPr>
          <w:rFonts w:cstheme="minorBidi"/>
          <w:i/>
          <w:iCs/>
          <w:color w:val="1A1A1A"/>
          <w:lang w:val="en-GB"/>
        </w:rPr>
        <w:t>International Journal of Web of Multidisciplinary Studies</w:t>
      </w:r>
      <w:r w:rsidRPr="0039097F">
        <w:rPr>
          <w:rFonts w:cstheme="minorBidi"/>
          <w:color w:val="1A1A1A"/>
          <w:lang w:val="en-GB"/>
        </w:rPr>
        <w:t>, 2(2), pp.15-20.</w:t>
      </w:r>
    </w:p>
    <w:p w14:paraId="4D4DA494" w14:textId="77777777" w:rsidR="00E40B49" w:rsidRPr="0039097F" w:rsidRDefault="00E40B49" w:rsidP="00C22197">
      <w:pPr>
        <w:tabs>
          <w:tab w:val="left" w:pos="20"/>
          <w:tab w:val="left" w:pos="425"/>
        </w:tabs>
        <w:autoSpaceDE w:val="0"/>
        <w:autoSpaceDN w:val="0"/>
        <w:adjustRightInd w:val="0"/>
        <w:ind w:left="720" w:hanging="720"/>
        <w:rPr>
          <w:rFonts w:cstheme="minorBidi"/>
          <w:color w:val="1A1A1A"/>
          <w:lang w:val="en-GB"/>
        </w:rPr>
      </w:pPr>
      <w:r w:rsidRPr="0039097F">
        <w:rPr>
          <w:rFonts w:cstheme="minorBidi"/>
          <w:color w:val="1A1A1A"/>
          <w:lang w:val="en-GB"/>
        </w:rPr>
        <w:t xml:space="preserve">Chance, E.A. (2025) ‘The combined impact of AI and VR on interdisciplinary learning and patient safety in healthcare education: a narrative review’, </w:t>
      </w:r>
      <w:r w:rsidRPr="0039097F">
        <w:rPr>
          <w:rFonts w:cstheme="minorBidi"/>
          <w:i/>
          <w:iCs/>
          <w:color w:val="1A1A1A"/>
          <w:lang w:val="en-GB"/>
        </w:rPr>
        <w:t>BMC Medical Education</w:t>
      </w:r>
      <w:r w:rsidRPr="0039097F">
        <w:rPr>
          <w:rFonts w:cstheme="minorBidi"/>
          <w:color w:val="1A1A1A"/>
          <w:lang w:val="en-GB"/>
        </w:rPr>
        <w:t>, 25(1), p.1039.</w:t>
      </w:r>
    </w:p>
    <w:p w14:paraId="36AF8E32" w14:textId="77777777" w:rsidR="00E40B49" w:rsidRPr="0039097F" w:rsidRDefault="00E40B49" w:rsidP="00C22197">
      <w:pPr>
        <w:tabs>
          <w:tab w:val="left" w:pos="20"/>
          <w:tab w:val="left" w:pos="392"/>
        </w:tabs>
        <w:autoSpaceDE w:val="0"/>
        <w:autoSpaceDN w:val="0"/>
        <w:adjustRightInd w:val="0"/>
        <w:spacing w:after="240"/>
        <w:ind w:left="720" w:hanging="720"/>
        <w:rPr>
          <w:rFonts w:cstheme="minorBidi"/>
          <w:color w:val="000000"/>
          <w:lang w:val="en-GB"/>
        </w:rPr>
      </w:pPr>
      <w:r w:rsidRPr="0039097F">
        <w:rPr>
          <w:rFonts w:cstheme="minorBidi"/>
          <w:color w:val="000000"/>
          <w:lang w:val="en-GB"/>
        </w:rPr>
        <w:t xml:space="preserve">Ibrahim, R.K (2025) ‘From student to nurse: exploring transition shock through stress, locus of control, … </w:t>
      </w:r>
      <w:r w:rsidRPr="0039097F">
        <w:rPr>
          <w:rFonts w:cstheme="minorBidi"/>
          <w:i/>
          <w:iCs/>
          <w:color w:val="000000"/>
          <w:lang w:val="en-GB"/>
        </w:rPr>
        <w:t>[study on transition shock among new nurses]</w:t>
      </w:r>
      <w:r w:rsidRPr="0039097F">
        <w:rPr>
          <w:rFonts w:cstheme="minorBidi"/>
          <w:color w:val="000000"/>
          <w:lang w:val="en-GB"/>
        </w:rPr>
        <w:t xml:space="preserve">’, PMC. [online] Available at: </w:t>
      </w:r>
      <w:hyperlink r:id="rId11" w:history="1">
        <w:r w:rsidRPr="0039097F">
          <w:rPr>
            <w:rFonts w:cstheme="minorBidi"/>
            <w:color w:val="0000E9"/>
            <w:u w:val="single" w:color="0000E9"/>
            <w:lang w:val="en-GB"/>
          </w:rPr>
          <w:t>https://pmc.ncbi.nlm.nih.gov/articles/PMC12374287/</w:t>
        </w:r>
      </w:hyperlink>
      <w:r w:rsidRPr="0039097F">
        <w:rPr>
          <w:rFonts w:cstheme="minorBidi"/>
          <w:color w:val="000000"/>
          <w:lang w:val="en-GB"/>
        </w:rPr>
        <w:t>(Accessed: 9 December 2025).</w:t>
      </w:r>
    </w:p>
    <w:p w14:paraId="07EED222" w14:textId="77777777" w:rsidR="00E40B49" w:rsidRPr="0039097F" w:rsidRDefault="00E40B49" w:rsidP="00C22197">
      <w:pPr>
        <w:tabs>
          <w:tab w:val="left" w:pos="20"/>
          <w:tab w:val="left" w:pos="425"/>
        </w:tabs>
        <w:autoSpaceDE w:val="0"/>
        <w:autoSpaceDN w:val="0"/>
        <w:adjustRightInd w:val="0"/>
        <w:ind w:left="720" w:hanging="720"/>
        <w:rPr>
          <w:rFonts w:cstheme="minorBidi"/>
          <w:color w:val="1A1A1A"/>
          <w:lang w:val="en-GB"/>
        </w:rPr>
      </w:pPr>
      <w:r w:rsidRPr="0039097F">
        <w:rPr>
          <w:rFonts w:cstheme="minorBidi"/>
          <w:color w:val="222222"/>
          <w:shd w:val="clear" w:color="auto" w:fill="FFFFFF"/>
        </w:rPr>
        <w:t xml:space="preserve">Martin, J.A.H.A. (2025) ‘Professional and Ethical Issues in Advanced Practice’, </w:t>
      </w:r>
      <w:r w:rsidRPr="0039097F">
        <w:rPr>
          <w:rFonts w:cstheme="minorBidi"/>
          <w:i/>
          <w:iCs/>
          <w:color w:val="222222"/>
        </w:rPr>
        <w:t>Demystifying and Preparing for Advanced Practice-E-Book: Demystifying and Preparing for Advanced Practice-E-Book</w:t>
      </w:r>
      <w:r w:rsidRPr="0039097F">
        <w:rPr>
          <w:rFonts w:cstheme="minorBidi"/>
          <w:color w:val="222222"/>
          <w:shd w:val="clear" w:color="auto" w:fill="FFFFFF"/>
        </w:rPr>
        <w:t>, p.180.</w:t>
      </w:r>
    </w:p>
    <w:p w14:paraId="70001E24" w14:textId="77777777" w:rsidR="00E40B49" w:rsidRPr="0039097F" w:rsidRDefault="00E40B49" w:rsidP="00C22197">
      <w:pPr>
        <w:tabs>
          <w:tab w:val="left" w:pos="20"/>
          <w:tab w:val="left" w:pos="425"/>
        </w:tabs>
        <w:autoSpaceDE w:val="0"/>
        <w:autoSpaceDN w:val="0"/>
        <w:adjustRightInd w:val="0"/>
        <w:ind w:left="720" w:hanging="720"/>
        <w:rPr>
          <w:rFonts w:cstheme="minorBidi"/>
          <w:color w:val="1A1A1A"/>
          <w:lang w:val="en-GB"/>
        </w:rPr>
      </w:pPr>
      <w:r w:rsidRPr="0039097F">
        <w:rPr>
          <w:rFonts w:cstheme="minorBidi"/>
          <w:color w:val="1A1A1A"/>
          <w:lang w:val="en-GB"/>
        </w:rPr>
        <w:t xml:space="preserve">McNeil, S., </w:t>
      </w:r>
      <w:proofErr w:type="spellStart"/>
      <w:r w:rsidRPr="0039097F">
        <w:rPr>
          <w:rFonts w:cstheme="minorBidi"/>
          <w:color w:val="1A1A1A"/>
          <w:lang w:val="en-GB"/>
        </w:rPr>
        <w:t>Gronseth</w:t>
      </w:r>
      <w:proofErr w:type="spellEnd"/>
      <w:r w:rsidRPr="0039097F">
        <w:rPr>
          <w:rFonts w:cstheme="minorBidi"/>
          <w:color w:val="1A1A1A"/>
          <w:lang w:val="en-GB"/>
        </w:rPr>
        <w:t xml:space="preserve">, S.L., Woodard, L., Rollins, A., </w:t>
      </w:r>
      <w:proofErr w:type="spellStart"/>
      <w:r w:rsidRPr="0039097F">
        <w:rPr>
          <w:rFonts w:cstheme="minorBidi"/>
          <w:color w:val="1A1A1A"/>
          <w:lang w:val="en-GB"/>
        </w:rPr>
        <w:t>Obanua</w:t>
      </w:r>
      <w:proofErr w:type="spellEnd"/>
      <w:r w:rsidRPr="0039097F">
        <w:rPr>
          <w:rFonts w:cstheme="minorBidi"/>
          <w:color w:val="1A1A1A"/>
          <w:lang w:val="en-GB"/>
        </w:rPr>
        <w:t xml:space="preserve">, F. and </w:t>
      </w:r>
      <w:proofErr w:type="spellStart"/>
      <w:r w:rsidRPr="0039097F">
        <w:rPr>
          <w:rFonts w:cstheme="minorBidi"/>
          <w:color w:val="1A1A1A"/>
          <w:lang w:val="en-GB"/>
        </w:rPr>
        <w:t>Carpousis</w:t>
      </w:r>
      <w:proofErr w:type="spellEnd"/>
      <w:r w:rsidRPr="0039097F">
        <w:rPr>
          <w:rFonts w:cstheme="minorBidi"/>
          <w:color w:val="1A1A1A"/>
          <w:lang w:val="en-GB"/>
        </w:rPr>
        <w:t xml:space="preserve">-Bowers, A. (2024) ‘Creating stronger design systems for collaboration: skills, resources, and practices needed to support an effective Co-design experience’, </w:t>
      </w:r>
      <w:r w:rsidRPr="0039097F">
        <w:rPr>
          <w:rFonts w:cstheme="minorBidi"/>
          <w:i/>
          <w:iCs/>
          <w:color w:val="1A1A1A"/>
          <w:lang w:val="en-GB"/>
        </w:rPr>
        <w:t>The Journal of Applied Instructional Design</w:t>
      </w:r>
      <w:r w:rsidRPr="0039097F">
        <w:rPr>
          <w:rFonts w:cstheme="minorBidi"/>
          <w:color w:val="1A1A1A"/>
          <w:lang w:val="en-GB"/>
        </w:rPr>
        <w:t>, 13(1), pp.41-55.</w:t>
      </w:r>
    </w:p>
    <w:p w14:paraId="4F914955" w14:textId="77777777" w:rsidR="00E40B49" w:rsidRPr="0039097F" w:rsidRDefault="00E40B49" w:rsidP="00C22197">
      <w:pPr>
        <w:tabs>
          <w:tab w:val="left" w:pos="20"/>
          <w:tab w:val="left" w:pos="392"/>
        </w:tabs>
        <w:autoSpaceDE w:val="0"/>
        <w:autoSpaceDN w:val="0"/>
        <w:adjustRightInd w:val="0"/>
        <w:ind w:left="720" w:hanging="720"/>
        <w:rPr>
          <w:rFonts w:cstheme="minorBidi"/>
          <w:color w:val="000000"/>
          <w:lang w:val="en-GB"/>
        </w:rPr>
      </w:pPr>
      <w:r w:rsidRPr="0039097F">
        <w:rPr>
          <w:rFonts w:cstheme="minorBidi"/>
          <w:color w:val="000000"/>
          <w:lang w:val="en-GB"/>
        </w:rPr>
        <w:t xml:space="preserve">NHI. Gov. (2024) </w:t>
      </w:r>
      <w:r w:rsidRPr="0039097F">
        <w:rPr>
          <w:rFonts w:cstheme="minorBidi"/>
          <w:i/>
          <w:iCs/>
          <w:color w:val="000000"/>
          <w:lang w:val="en-GB"/>
        </w:rPr>
        <w:t>The impact of simulation</w:t>
      </w:r>
      <w:r w:rsidRPr="0039097F">
        <w:rPr>
          <w:rFonts w:ascii="Cambria Math" w:hAnsi="Cambria Math" w:cs="Cambria Math"/>
          <w:i/>
          <w:iCs/>
          <w:color w:val="000000"/>
          <w:lang w:val="en-GB"/>
        </w:rPr>
        <w:t>‑</w:t>
      </w:r>
      <w:r w:rsidRPr="0039097F">
        <w:rPr>
          <w:rFonts w:cstheme="minorBidi"/>
          <w:i/>
          <w:iCs/>
          <w:color w:val="000000"/>
          <w:lang w:val="en-GB"/>
        </w:rPr>
        <w:t>based training in medical education.</w:t>
      </w:r>
      <w:r w:rsidRPr="0039097F">
        <w:rPr>
          <w:rFonts w:cstheme="minorBidi"/>
          <w:color w:val="000000"/>
          <w:lang w:val="en-GB"/>
        </w:rPr>
        <w:t xml:space="preserve"> PMC. [online] Available at: </w:t>
      </w:r>
      <w:hyperlink r:id="rId12" w:history="1">
        <w:r w:rsidRPr="0039097F">
          <w:rPr>
            <w:rFonts w:cstheme="minorBidi"/>
            <w:color w:val="0000E9"/>
            <w:u w:val="single" w:color="0000E9"/>
            <w:lang w:val="en-GB"/>
          </w:rPr>
          <w:t>https://pmc.ncbi.nlm.nih.gov/articles/PMC11224887/</w:t>
        </w:r>
      </w:hyperlink>
      <w:r w:rsidRPr="0039097F">
        <w:rPr>
          <w:rFonts w:cstheme="minorBidi"/>
          <w:color w:val="000000"/>
          <w:lang w:val="en-GB"/>
        </w:rPr>
        <w:t xml:space="preserve"> (Accessed: 9 December 2025)</w:t>
      </w:r>
    </w:p>
    <w:p w14:paraId="13B71E45" w14:textId="77777777" w:rsidR="00E40B49" w:rsidRPr="0039097F" w:rsidRDefault="00E40B49" w:rsidP="00C22197">
      <w:pPr>
        <w:tabs>
          <w:tab w:val="left" w:pos="20"/>
          <w:tab w:val="left" w:pos="392"/>
        </w:tabs>
        <w:autoSpaceDE w:val="0"/>
        <w:autoSpaceDN w:val="0"/>
        <w:adjustRightInd w:val="0"/>
        <w:ind w:left="720" w:hanging="720"/>
        <w:rPr>
          <w:rFonts w:cstheme="minorBidi"/>
          <w:color w:val="000000"/>
          <w:lang w:val="en-GB"/>
        </w:rPr>
      </w:pPr>
      <w:r w:rsidRPr="0039097F">
        <w:rPr>
          <w:rFonts w:cstheme="minorBidi"/>
          <w:color w:val="000000"/>
          <w:lang w:val="en-GB"/>
        </w:rPr>
        <w:t xml:space="preserve">NHS. (2024) </w:t>
      </w:r>
      <w:r w:rsidRPr="0039097F">
        <w:rPr>
          <w:rFonts w:cstheme="minorBidi"/>
          <w:i/>
          <w:iCs/>
          <w:color w:val="000000"/>
          <w:lang w:val="en-GB"/>
        </w:rPr>
        <w:t>NHS workforce in England</w:t>
      </w:r>
      <w:r w:rsidRPr="0039097F">
        <w:rPr>
          <w:rFonts w:cstheme="minorBidi"/>
          <w:color w:val="000000"/>
          <w:lang w:val="en-GB"/>
        </w:rPr>
        <w:t xml:space="preserve"> (Research Briefing CBP</w:t>
      </w:r>
      <w:r w:rsidRPr="0039097F">
        <w:rPr>
          <w:rFonts w:ascii="Cambria Math" w:hAnsi="Cambria Math" w:cs="Cambria Math"/>
          <w:color w:val="000000"/>
          <w:lang w:val="en-GB"/>
        </w:rPr>
        <w:t>‑</w:t>
      </w:r>
      <w:r w:rsidRPr="0039097F">
        <w:rPr>
          <w:rFonts w:cstheme="minorBidi"/>
          <w:color w:val="000000"/>
          <w:lang w:val="en-GB"/>
        </w:rPr>
        <w:t xml:space="preserve">9731). [online] Available at: </w:t>
      </w:r>
      <w:hyperlink r:id="rId13" w:history="1">
        <w:r w:rsidRPr="0039097F">
          <w:rPr>
            <w:rFonts w:cstheme="minorBidi"/>
            <w:color w:val="0000E9"/>
            <w:u w:val="single" w:color="0000E9"/>
            <w:lang w:val="en-GB"/>
          </w:rPr>
          <w:t>https://researchbriefings.files.parliament.uk/documents/CBP-9731/CBP-9731.pdf</w:t>
        </w:r>
      </w:hyperlink>
      <w:r w:rsidRPr="0039097F">
        <w:rPr>
          <w:rFonts w:cstheme="minorBidi"/>
          <w:color w:val="000000"/>
          <w:lang w:val="en-GB"/>
        </w:rPr>
        <w:t xml:space="preserve"> (Accessed: 9 December 2025).</w:t>
      </w:r>
    </w:p>
    <w:p w14:paraId="7310EF1E" w14:textId="77777777" w:rsidR="00E40B49" w:rsidRPr="0039097F" w:rsidRDefault="00E40B49" w:rsidP="00C22197">
      <w:pPr>
        <w:tabs>
          <w:tab w:val="left" w:pos="20"/>
          <w:tab w:val="left" w:pos="425"/>
        </w:tabs>
        <w:autoSpaceDE w:val="0"/>
        <w:autoSpaceDN w:val="0"/>
        <w:adjustRightInd w:val="0"/>
        <w:ind w:left="720" w:hanging="720"/>
        <w:rPr>
          <w:rFonts w:cstheme="minorBidi"/>
          <w:color w:val="1A1A1A"/>
          <w:lang w:val="en-GB"/>
        </w:rPr>
      </w:pPr>
      <w:r w:rsidRPr="0039097F">
        <w:rPr>
          <w:rFonts w:cstheme="minorBidi"/>
          <w:color w:val="1A1A1A"/>
          <w:lang w:val="en-GB"/>
        </w:rPr>
        <w:t xml:space="preserve">UK Government. (2025) </w:t>
      </w:r>
      <w:r w:rsidRPr="0039097F">
        <w:rPr>
          <w:rFonts w:cstheme="minorBidi"/>
          <w:i/>
          <w:iCs/>
          <w:color w:val="1A1A1A"/>
          <w:lang w:val="en-GB"/>
        </w:rPr>
        <w:t>Act 2014 (c. 23).</w:t>
      </w:r>
      <w:r w:rsidRPr="0039097F">
        <w:rPr>
          <w:rFonts w:cstheme="minorBidi"/>
          <w:color w:val="1A1A1A"/>
          <w:lang w:val="en-GB"/>
        </w:rPr>
        <w:t xml:space="preserve"> Legislation.gov.uk. [Online] Available at: </w:t>
      </w:r>
      <w:hyperlink r:id="rId14" w:history="1">
        <w:r w:rsidRPr="0039097F">
          <w:rPr>
            <w:rFonts w:cstheme="minorBidi"/>
            <w:color w:val="0000E9"/>
            <w:u w:val="single" w:color="0000E9"/>
            <w:lang w:val="en-GB"/>
          </w:rPr>
          <w:t>https://www.legislation.gov.uk/ukpga/2014/23/contents</w:t>
        </w:r>
      </w:hyperlink>
      <w:r w:rsidRPr="0039097F">
        <w:rPr>
          <w:rFonts w:cstheme="minorBidi"/>
          <w:color w:val="1A1A1A"/>
          <w:lang w:val="en-GB"/>
        </w:rPr>
        <w:t xml:space="preserve"> (Accessed: 9 December 2025).</w:t>
      </w:r>
    </w:p>
    <w:p w14:paraId="6BB2389F" w14:textId="77777777" w:rsidR="00E40B49" w:rsidRPr="0039097F" w:rsidRDefault="00E40B49" w:rsidP="00C22197">
      <w:pPr>
        <w:tabs>
          <w:tab w:val="left" w:pos="20"/>
          <w:tab w:val="left" w:pos="425"/>
        </w:tabs>
        <w:autoSpaceDE w:val="0"/>
        <w:autoSpaceDN w:val="0"/>
        <w:adjustRightInd w:val="0"/>
        <w:ind w:left="720" w:hanging="720"/>
        <w:rPr>
          <w:rFonts w:cstheme="minorBidi"/>
          <w:color w:val="1A1A1A"/>
          <w:lang w:val="en-GB"/>
        </w:rPr>
      </w:pPr>
      <w:r w:rsidRPr="0039097F">
        <w:rPr>
          <w:rFonts w:cstheme="minorBidi"/>
          <w:color w:val="1A1A1A"/>
          <w:lang w:val="en-GB"/>
        </w:rPr>
        <w:t xml:space="preserve">UK Government. (2025) </w:t>
      </w:r>
      <w:r w:rsidRPr="0039097F">
        <w:rPr>
          <w:rFonts w:cstheme="minorBidi"/>
          <w:i/>
          <w:iCs/>
          <w:color w:val="1A1A1A"/>
          <w:lang w:val="en-GB"/>
        </w:rPr>
        <w:t>Equality Act 2010 (c. 15).</w:t>
      </w:r>
      <w:r w:rsidRPr="0039097F">
        <w:rPr>
          <w:rFonts w:cstheme="minorBidi"/>
          <w:color w:val="1A1A1A"/>
          <w:lang w:val="en-GB"/>
        </w:rPr>
        <w:t xml:space="preserve"> Legislation.gov.uk. [Online] Available at: </w:t>
      </w:r>
      <w:hyperlink r:id="rId15" w:history="1">
        <w:r w:rsidRPr="0039097F">
          <w:rPr>
            <w:rFonts w:cstheme="minorBidi"/>
            <w:color w:val="0000E9"/>
            <w:u w:val="single" w:color="0000E9"/>
            <w:lang w:val="en-GB"/>
          </w:rPr>
          <w:t>https://www.legislation.gov.uk/ukpga/2010/15/contents</w:t>
        </w:r>
      </w:hyperlink>
      <w:r w:rsidRPr="0039097F">
        <w:rPr>
          <w:rFonts w:cstheme="minorBidi"/>
          <w:color w:val="1A1A1A"/>
          <w:lang w:val="en-GB"/>
        </w:rPr>
        <w:t xml:space="preserve"> (Accessed: 9 December 2025).</w:t>
      </w:r>
    </w:p>
    <w:sectPr w:rsidR="00E40B49" w:rsidRPr="0039097F">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F40154" w14:textId="77777777" w:rsidR="00676620" w:rsidRDefault="00676620" w:rsidP="000035A4">
      <w:pPr>
        <w:spacing w:line="240" w:lineRule="auto"/>
      </w:pPr>
      <w:r>
        <w:separator/>
      </w:r>
    </w:p>
  </w:endnote>
  <w:endnote w:type="continuationSeparator" w:id="0">
    <w:p w14:paraId="31FFDF22" w14:textId="77777777" w:rsidR="00676620" w:rsidRDefault="00676620" w:rsidP="000035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53605306"/>
      <w:docPartObj>
        <w:docPartGallery w:val="Page Numbers (Bottom of Page)"/>
        <w:docPartUnique/>
      </w:docPartObj>
    </w:sdtPr>
    <w:sdtContent>
      <w:p w14:paraId="08FC535B" w14:textId="23CBE08F" w:rsidR="000035A4" w:rsidRDefault="000035A4" w:rsidP="00416AE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008BB4" w14:textId="77777777" w:rsidR="000035A4" w:rsidRDefault="000035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64566357"/>
      <w:docPartObj>
        <w:docPartGallery w:val="Page Numbers (Bottom of Page)"/>
        <w:docPartUnique/>
      </w:docPartObj>
    </w:sdtPr>
    <w:sdtContent>
      <w:p w14:paraId="7223F0D5" w14:textId="051C738B" w:rsidR="000035A4" w:rsidRDefault="000035A4" w:rsidP="00416AE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C22197">
          <w:rPr>
            <w:rStyle w:val="PageNumber"/>
            <w:noProof/>
          </w:rPr>
          <w:t>2</w:t>
        </w:r>
        <w:r>
          <w:rPr>
            <w:rStyle w:val="PageNumber"/>
          </w:rPr>
          <w:fldChar w:fldCharType="end"/>
        </w:r>
      </w:p>
    </w:sdtContent>
  </w:sdt>
  <w:p w14:paraId="395AF98A" w14:textId="77777777" w:rsidR="000035A4" w:rsidRDefault="000035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4D96C" w14:textId="77777777" w:rsidR="00676620" w:rsidRDefault="00676620" w:rsidP="000035A4">
      <w:pPr>
        <w:spacing w:line="240" w:lineRule="auto"/>
      </w:pPr>
      <w:r>
        <w:separator/>
      </w:r>
    </w:p>
  </w:footnote>
  <w:footnote w:type="continuationSeparator" w:id="0">
    <w:p w14:paraId="3156FD86" w14:textId="77777777" w:rsidR="00676620" w:rsidRDefault="00676620" w:rsidP="000035A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4E66B0A"/>
    <w:multiLevelType w:val="hybridMultilevel"/>
    <w:tmpl w:val="6E6EEE18"/>
    <w:lvl w:ilvl="0" w:tplc="BA82C164">
      <w:start w:val="1"/>
      <w:numFmt w:val="bullet"/>
      <w:lvlText w:val="v"/>
      <w:lvlJc w:val="left"/>
      <w:pPr>
        <w:tabs>
          <w:tab w:val="num" w:pos="720"/>
        </w:tabs>
        <w:ind w:left="720" w:hanging="360"/>
      </w:pPr>
      <w:rPr>
        <w:rFonts w:ascii="Wingdings" w:hAnsi="Wingdings" w:hint="default"/>
      </w:rPr>
    </w:lvl>
    <w:lvl w:ilvl="1" w:tplc="C3263998" w:tentative="1">
      <w:start w:val="1"/>
      <w:numFmt w:val="bullet"/>
      <w:lvlText w:val="v"/>
      <w:lvlJc w:val="left"/>
      <w:pPr>
        <w:tabs>
          <w:tab w:val="num" w:pos="1440"/>
        </w:tabs>
        <w:ind w:left="1440" w:hanging="360"/>
      </w:pPr>
      <w:rPr>
        <w:rFonts w:ascii="Wingdings" w:hAnsi="Wingdings" w:hint="default"/>
      </w:rPr>
    </w:lvl>
    <w:lvl w:ilvl="2" w:tplc="C834FC9C" w:tentative="1">
      <w:start w:val="1"/>
      <w:numFmt w:val="bullet"/>
      <w:lvlText w:val="v"/>
      <w:lvlJc w:val="left"/>
      <w:pPr>
        <w:tabs>
          <w:tab w:val="num" w:pos="2160"/>
        </w:tabs>
        <w:ind w:left="2160" w:hanging="360"/>
      </w:pPr>
      <w:rPr>
        <w:rFonts w:ascii="Wingdings" w:hAnsi="Wingdings" w:hint="default"/>
      </w:rPr>
    </w:lvl>
    <w:lvl w:ilvl="3" w:tplc="B03A189A" w:tentative="1">
      <w:start w:val="1"/>
      <w:numFmt w:val="bullet"/>
      <w:lvlText w:val="v"/>
      <w:lvlJc w:val="left"/>
      <w:pPr>
        <w:tabs>
          <w:tab w:val="num" w:pos="2880"/>
        </w:tabs>
        <w:ind w:left="2880" w:hanging="360"/>
      </w:pPr>
      <w:rPr>
        <w:rFonts w:ascii="Wingdings" w:hAnsi="Wingdings" w:hint="default"/>
      </w:rPr>
    </w:lvl>
    <w:lvl w:ilvl="4" w:tplc="338274E2" w:tentative="1">
      <w:start w:val="1"/>
      <w:numFmt w:val="bullet"/>
      <w:lvlText w:val="v"/>
      <w:lvlJc w:val="left"/>
      <w:pPr>
        <w:tabs>
          <w:tab w:val="num" w:pos="3600"/>
        </w:tabs>
        <w:ind w:left="3600" w:hanging="360"/>
      </w:pPr>
      <w:rPr>
        <w:rFonts w:ascii="Wingdings" w:hAnsi="Wingdings" w:hint="default"/>
      </w:rPr>
    </w:lvl>
    <w:lvl w:ilvl="5" w:tplc="8C88AF0C" w:tentative="1">
      <w:start w:val="1"/>
      <w:numFmt w:val="bullet"/>
      <w:lvlText w:val="v"/>
      <w:lvlJc w:val="left"/>
      <w:pPr>
        <w:tabs>
          <w:tab w:val="num" w:pos="4320"/>
        </w:tabs>
        <w:ind w:left="4320" w:hanging="360"/>
      </w:pPr>
      <w:rPr>
        <w:rFonts w:ascii="Wingdings" w:hAnsi="Wingdings" w:hint="default"/>
      </w:rPr>
    </w:lvl>
    <w:lvl w:ilvl="6" w:tplc="CF603F06" w:tentative="1">
      <w:start w:val="1"/>
      <w:numFmt w:val="bullet"/>
      <w:lvlText w:val="v"/>
      <w:lvlJc w:val="left"/>
      <w:pPr>
        <w:tabs>
          <w:tab w:val="num" w:pos="5040"/>
        </w:tabs>
        <w:ind w:left="5040" w:hanging="360"/>
      </w:pPr>
      <w:rPr>
        <w:rFonts w:ascii="Wingdings" w:hAnsi="Wingdings" w:hint="default"/>
      </w:rPr>
    </w:lvl>
    <w:lvl w:ilvl="7" w:tplc="40381F1A" w:tentative="1">
      <w:start w:val="1"/>
      <w:numFmt w:val="bullet"/>
      <w:lvlText w:val="v"/>
      <w:lvlJc w:val="left"/>
      <w:pPr>
        <w:tabs>
          <w:tab w:val="num" w:pos="5760"/>
        </w:tabs>
        <w:ind w:left="5760" w:hanging="360"/>
      </w:pPr>
      <w:rPr>
        <w:rFonts w:ascii="Wingdings" w:hAnsi="Wingdings" w:hint="default"/>
      </w:rPr>
    </w:lvl>
    <w:lvl w:ilvl="8" w:tplc="A8FA1FAE" w:tentative="1">
      <w:start w:val="1"/>
      <w:numFmt w:val="bullet"/>
      <w:lvlText w:val="v"/>
      <w:lvlJc w:val="left"/>
      <w:pPr>
        <w:tabs>
          <w:tab w:val="num" w:pos="6480"/>
        </w:tabs>
        <w:ind w:left="6480" w:hanging="360"/>
      </w:pPr>
      <w:rPr>
        <w:rFonts w:ascii="Wingdings" w:hAnsi="Wingdings" w:hint="default"/>
      </w:rPr>
    </w:lvl>
  </w:abstractNum>
  <w:abstractNum w:abstractNumId="2" w15:restartNumberingAfterBreak="0">
    <w:nsid w:val="35554E58"/>
    <w:multiLevelType w:val="hybridMultilevel"/>
    <w:tmpl w:val="B45E25B2"/>
    <w:lvl w:ilvl="0" w:tplc="AA7AA234">
      <w:start w:val="1"/>
      <w:numFmt w:val="bullet"/>
      <w:lvlText w:val="•"/>
      <w:lvlJc w:val="left"/>
      <w:pPr>
        <w:tabs>
          <w:tab w:val="num" w:pos="720"/>
        </w:tabs>
        <w:ind w:left="720" w:hanging="360"/>
      </w:pPr>
      <w:rPr>
        <w:rFonts w:ascii="Times New Roman" w:hAnsi="Times New Roman" w:hint="default"/>
      </w:rPr>
    </w:lvl>
    <w:lvl w:ilvl="1" w:tplc="11EE5F9E" w:tentative="1">
      <w:start w:val="1"/>
      <w:numFmt w:val="bullet"/>
      <w:lvlText w:val="•"/>
      <w:lvlJc w:val="left"/>
      <w:pPr>
        <w:tabs>
          <w:tab w:val="num" w:pos="1440"/>
        </w:tabs>
        <w:ind w:left="1440" w:hanging="360"/>
      </w:pPr>
      <w:rPr>
        <w:rFonts w:ascii="Times New Roman" w:hAnsi="Times New Roman" w:hint="default"/>
      </w:rPr>
    </w:lvl>
    <w:lvl w:ilvl="2" w:tplc="887A1DA2" w:tentative="1">
      <w:start w:val="1"/>
      <w:numFmt w:val="bullet"/>
      <w:lvlText w:val="•"/>
      <w:lvlJc w:val="left"/>
      <w:pPr>
        <w:tabs>
          <w:tab w:val="num" w:pos="2160"/>
        </w:tabs>
        <w:ind w:left="2160" w:hanging="360"/>
      </w:pPr>
      <w:rPr>
        <w:rFonts w:ascii="Times New Roman" w:hAnsi="Times New Roman" w:hint="default"/>
      </w:rPr>
    </w:lvl>
    <w:lvl w:ilvl="3" w:tplc="3738C6F8" w:tentative="1">
      <w:start w:val="1"/>
      <w:numFmt w:val="bullet"/>
      <w:lvlText w:val="•"/>
      <w:lvlJc w:val="left"/>
      <w:pPr>
        <w:tabs>
          <w:tab w:val="num" w:pos="2880"/>
        </w:tabs>
        <w:ind w:left="2880" w:hanging="360"/>
      </w:pPr>
      <w:rPr>
        <w:rFonts w:ascii="Times New Roman" w:hAnsi="Times New Roman" w:hint="default"/>
      </w:rPr>
    </w:lvl>
    <w:lvl w:ilvl="4" w:tplc="D43C85A0" w:tentative="1">
      <w:start w:val="1"/>
      <w:numFmt w:val="bullet"/>
      <w:lvlText w:val="•"/>
      <w:lvlJc w:val="left"/>
      <w:pPr>
        <w:tabs>
          <w:tab w:val="num" w:pos="3600"/>
        </w:tabs>
        <w:ind w:left="3600" w:hanging="360"/>
      </w:pPr>
      <w:rPr>
        <w:rFonts w:ascii="Times New Roman" w:hAnsi="Times New Roman" w:hint="default"/>
      </w:rPr>
    </w:lvl>
    <w:lvl w:ilvl="5" w:tplc="D4AA0510" w:tentative="1">
      <w:start w:val="1"/>
      <w:numFmt w:val="bullet"/>
      <w:lvlText w:val="•"/>
      <w:lvlJc w:val="left"/>
      <w:pPr>
        <w:tabs>
          <w:tab w:val="num" w:pos="4320"/>
        </w:tabs>
        <w:ind w:left="4320" w:hanging="360"/>
      </w:pPr>
      <w:rPr>
        <w:rFonts w:ascii="Times New Roman" w:hAnsi="Times New Roman" w:hint="default"/>
      </w:rPr>
    </w:lvl>
    <w:lvl w:ilvl="6" w:tplc="6F4E64AE" w:tentative="1">
      <w:start w:val="1"/>
      <w:numFmt w:val="bullet"/>
      <w:lvlText w:val="•"/>
      <w:lvlJc w:val="left"/>
      <w:pPr>
        <w:tabs>
          <w:tab w:val="num" w:pos="5040"/>
        </w:tabs>
        <w:ind w:left="5040" w:hanging="360"/>
      </w:pPr>
      <w:rPr>
        <w:rFonts w:ascii="Times New Roman" w:hAnsi="Times New Roman" w:hint="default"/>
      </w:rPr>
    </w:lvl>
    <w:lvl w:ilvl="7" w:tplc="F280A6FE" w:tentative="1">
      <w:start w:val="1"/>
      <w:numFmt w:val="bullet"/>
      <w:lvlText w:val="•"/>
      <w:lvlJc w:val="left"/>
      <w:pPr>
        <w:tabs>
          <w:tab w:val="num" w:pos="5760"/>
        </w:tabs>
        <w:ind w:left="5760" w:hanging="360"/>
      </w:pPr>
      <w:rPr>
        <w:rFonts w:ascii="Times New Roman" w:hAnsi="Times New Roman" w:hint="default"/>
      </w:rPr>
    </w:lvl>
    <w:lvl w:ilvl="8" w:tplc="FD94E33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A715B9E"/>
    <w:multiLevelType w:val="hybridMultilevel"/>
    <w:tmpl w:val="2402C88C"/>
    <w:lvl w:ilvl="0" w:tplc="482AD976">
      <w:start w:val="1"/>
      <w:numFmt w:val="bullet"/>
      <w:lvlText w:val="•"/>
      <w:lvlJc w:val="left"/>
      <w:pPr>
        <w:tabs>
          <w:tab w:val="num" w:pos="720"/>
        </w:tabs>
        <w:ind w:left="720" w:hanging="360"/>
      </w:pPr>
      <w:rPr>
        <w:rFonts w:ascii="Times New Roman" w:hAnsi="Times New Roman" w:hint="default"/>
      </w:rPr>
    </w:lvl>
    <w:lvl w:ilvl="1" w:tplc="0D780046" w:tentative="1">
      <w:start w:val="1"/>
      <w:numFmt w:val="bullet"/>
      <w:lvlText w:val="•"/>
      <w:lvlJc w:val="left"/>
      <w:pPr>
        <w:tabs>
          <w:tab w:val="num" w:pos="1440"/>
        </w:tabs>
        <w:ind w:left="1440" w:hanging="360"/>
      </w:pPr>
      <w:rPr>
        <w:rFonts w:ascii="Times New Roman" w:hAnsi="Times New Roman" w:hint="default"/>
      </w:rPr>
    </w:lvl>
    <w:lvl w:ilvl="2" w:tplc="F202CD5A" w:tentative="1">
      <w:start w:val="1"/>
      <w:numFmt w:val="bullet"/>
      <w:lvlText w:val="•"/>
      <w:lvlJc w:val="left"/>
      <w:pPr>
        <w:tabs>
          <w:tab w:val="num" w:pos="2160"/>
        </w:tabs>
        <w:ind w:left="2160" w:hanging="360"/>
      </w:pPr>
      <w:rPr>
        <w:rFonts w:ascii="Times New Roman" w:hAnsi="Times New Roman" w:hint="default"/>
      </w:rPr>
    </w:lvl>
    <w:lvl w:ilvl="3" w:tplc="A15017F6" w:tentative="1">
      <w:start w:val="1"/>
      <w:numFmt w:val="bullet"/>
      <w:lvlText w:val="•"/>
      <w:lvlJc w:val="left"/>
      <w:pPr>
        <w:tabs>
          <w:tab w:val="num" w:pos="2880"/>
        </w:tabs>
        <w:ind w:left="2880" w:hanging="360"/>
      </w:pPr>
      <w:rPr>
        <w:rFonts w:ascii="Times New Roman" w:hAnsi="Times New Roman" w:hint="default"/>
      </w:rPr>
    </w:lvl>
    <w:lvl w:ilvl="4" w:tplc="9CFAC1DA" w:tentative="1">
      <w:start w:val="1"/>
      <w:numFmt w:val="bullet"/>
      <w:lvlText w:val="•"/>
      <w:lvlJc w:val="left"/>
      <w:pPr>
        <w:tabs>
          <w:tab w:val="num" w:pos="3600"/>
        </w:tabs>
        <w:ind w:left="3600" w:hanging="360"/>
      </w:pPr>
      <w:rPr>
        <w:rFonts w:ascii="Times New Roman" w:hAnsi="Times New Roman" w:hint="default"/>
      </w:rPr>
    </w:lvl>
    <w:lvl w:ilvl="5" w:tplc="43846EF4" w:tentative="1">
      <w:start w:val="1"/>
      <w:numFmt w:val="bullet"/>
      <w:lvlText w:val="•"/>
      <w:lvlJc w:val="left"/>
      <w:pPr>
        <w:tabs>
          <w:tab w:val="num" w:pos="4320"/>
        </w:tabs>
        <w:ind w:left="4320" w:hanging="360"/>
      </w:pPr>
      <w:rPr>
        <w:rFonts w:ascii="Times New Roman" w:hAnsi="Times New Roman" w:hint="default"/>
      </w:rPr>
    </w:lvl>
    <w:lvl w:ilvl="6" w:tplc="06868490" w:tentative="1">
      <w:start w:val="1"/>
      <w:numFmt w:val="bullet"/>
      <w:lvlText w:val="•"/>
      <w:lvlJc w:val="left"/>
      <w:pPr>
        <w:tabs>
          <w:tab w:val="num" w:pos="5040"/>
        </w:tabs>
        <w:ind w:left="5040" w:hanging="360"/>
      </w:pPr>
      <w:rPr>
        <w:rFonts w:ascii="Times New Roman" w:hAnsi="Times New Roman" w:hint="default"/>
      </w:rPr>
    </w:lvl>
    <w:lvl w:ilvl="7" w:tplc="0ED0A7DC" w:tentative="1">
      <w:start w:val="1"/>
      <w:numFmt w:val="bullet"/>
      <w:lvlText w:val="•"/>
      <w:lvlJc w:val="left"/>
      <w:pPr>
        <w:tabs>
          <w:tab w:val="num" w:pos="5760"/>
        </w:tabs>
        <w:ind w:left="5760" w:hanging="360"/>
      </w:pPr>
      <w:rPr>
        <w:rFonts w:ascii="Times New Roman" w:hAnsi="Times New Roman" w:hint="default"/>
      </w:rPr>
    </w:lvl>
    <w:lvl w:ilvl="8" w:tplc="314CB080" w:tentative="1">
      <w:start w:val="1"/>
      <w:numFmt w:val="bullet"/>
      <w:lvlText w:val="•"/>
      <w:lvlJc w:val="left"/>
      <w:pPr>
        <w:tabs>
          <w:tab w:val="num" w:pos="6480"/>
        </w:tabs>
        <w:ind w:left="6480" w:hanging="360"/>
      </w:pPr>
      <w:rPr>
        <w:rFonts w:ascii="Times New Roman" w:hAnsi="Times New Roman" w:hint="default"/>
      </w:rPr>
    </w:lvl>
  </w:abstractNum>
  <w:num w:numId="1" w16cid:durableId="1357581423">
    <w:abstractNumId w:val="2"/>
  </w:num>
  <w:num w:numId="2" w16cid:durableId="1748309748">
    <w:abstractNumId w:val="3"/>
  </w:num>
  <w:num w:numId="3" w16cid:durableId="1154101704">
    <w:abstractNumId w:val="0"/>
  </w:num>
  <w:num w:numId="4" w16cid:durableId="18004882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DQ3szA3tzQyMzSyNDJQ0lEKTi0uzszPAykwqgUAwAUwzCwAAAA="/>
  </w:docVars>
  <w:rsids>
    <w:rsidRoot w:val="00260025"/>
    <w:rsid w:val="000035A4"/>
    <w:rsid w:val="000125D9"/>
    <w:rsid w:val="000D429F"/>
    <w:rsid w:val="001472AF"/>
    <w:rsid w:val="001565BA"/>
    <w:rsid w:val="001867A3"/>
    <w:rsid w:val="0019295D"/>
    <w:rsid w:val="00203ECB"/>
    <w:rsid w:val="00260025"/>
    <w:rsid w:val="00272788"/>
    <w:rsid w:val="002B5EBC"/>
    <w:rsid w:val="002C7870"/>
    <w:rsid w:val="0039097F"/>
    <w:rsid w:val="003A6742"/>
    <w:rsid w:val="00410AA4"/>
    <w:rsid w:val="00437439"/>
    <w:rsid w:val="004A22B7"/>
    <w:rsid w:val="004D4FBF"/>
    <w:rsid w:val="00506314"/>
    <w:rsid w:val="00526B0F"/>
    <w:rsid w:val="00591FC7"/>
    <w:rsid w:val="005951FF"/>
    <w:rsid w:val="005B74CC"/>
    <w:rsid w:val="005E403A"/>
    <w:rsid w:val="00676620"/>
    <w:rsid w:val="0069519A"/>
    <w:rsid w:val="006A61EC"/>
    <w:rsid w:val="006A620B"/>
    <w:rsid w:val="006D2B81"/>
    <w:rsid w:val="006D6F63"/>
    <w:rsid w:val="007E5C47"/>
    <w:rsid w:val="00806530"/>
    <w:rsid w:val="00823EC9"/>
    <w:rsid w:val="008241A9"/>
    <w:rsid w:val="00841E12"/>
    <w:rsid w:val="008A4B29"/>
    <w:rsid w:val="00982518"/>
    <w:rsid w:val="009C085C"/>
    <w:rsid w:val="009F5539"/>
    <w:rsid w:val="00A46A0F"/>
    <w:rsid w:val="00A609C5"/>
    <w:rsid w:val="00A701EA"/>
    <w:rsid w:val="00B32A07"/>
    <w:rsid w:val="00B42F80"/>
    <w:rsid w:val="00B65BD8"/>
    <w:rsid w:val="00B758AC"/>
    <w:rsid w:val="00B76BFD"/>
    <w:rsid w:val="00BB28BE"/>
    <w:rsid w:val="00C22197"/>
    <w:rsid w:val="00CE5E6F"/>
    <w:rsid w:val="00D13A40"/>
    <w:rsid w:val="00D25747"/>
    <w:rsid w:val="00D25EBE"/>
    <w:rsid w:val="00D41489"/>
    <w:rsid w:val="00DD08BC"/>
    <w:rsid w:val="00DD12B1"/>
    <w:rsid w:val="00E40B49"/>
    <w:rsid w:val="00E54D65"/>
    <w:rsid w:val="00EB7734"/>
    <w:rsid w:val="00EC0201"/>
    <w:rsid w:val="00F43F3C"/>
    <w:rsid w:val="00F60E23"/>
    <w:rsid w:val="00F65A9D"/>
    <w:rsid w:val="00F95A64"/>
    <w:rsid w:val="00FB3744"/>
    <w:rsid w:val="00FD23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19953"/>
  <w15:chartTrackingRefBased/>
  <w15:docId w15:val="{6FEB4A29-388C-6248-8693-F1011D02A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ajorBidi" w:eastAsia="Times New Roman" w:hAnsiTheme="majorBidi" w:cstheme="majorBidi"/>
        <w:color w:val="000000" w:themeColor="text1"/>
        <w:sz w:val="32"/>
        <w:szCs w:val="32"/>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F3C"/>
    <w:pPr>
      <w:spacing w:after="0" w:line="360" w:lineRule="auto"/>
      <w:ind w:firstLine="720"/>
      <w:jc w:val="both"/>
    </w:pPr>
    <w:rPr>
      <w:rFonts w:asciiTheme="minorBidi" w:hAnsiTheme="minorBidi" w:cs="Times New Roman"/>
      <w:color w:val="auto"/>
      <w:sz w:val="24"/>
      <w:szCs w:val="24"/>
      <w:lang w:eastAsia="en-GB"/>
    </w:rPr>
  </w:style>
  <w:style w:type="paragraph" w:styleId="Heading1">
    <w:name w:val="heading 1"/>
    <w:basedOn w:val="Normal"/>
    <w:next w:val="Normal"/>
    <w:link w:val="Heading1Char"/>
    <w:uiPriority w:val="9"/>
    <w:qFormat/>
    <w:rsid w:val="007E5C47"/>
    <w:pPr>
      <w:keepNext/>
      <w:keepLines/>
      <w:spacing w:before="360" w:after="80"/>
      <w:outlineLvl w:val="0"/>
    </w:pPr>
    <w:rPr>
      <w:rFonts w:eastAsiaTheme="majorEastAsia" w:cstheme="majorBidi"/>
      <w:color w:val="000000" w:themeColor="text1"/>
      <w:sz w:val="32"/>
      <w:szCs w:val="40"/>
      <w:lang w:eastAsia="en-US"/>
    </w:rPr>
  </w:style>
  <w:style w:type="paragraph" w:styleId="Heading2">
    <w:name w:val="heading 2"/>
    <w:basedOn w:val="Normal"/>
    <w:next w:val="Normal"/>
    <w:link w:val="Heading2Char"/>
    <w:uiPriority w:val="9"/>
    <w:unhideWhenUsed/>
    <w:qFormat/>
    <w:rsid w:val="007E5C47"/>
    <w:pPr>
      <w:keepNext/>
      <w:keepLines/>
      <w:spacing w:before="160" w:after="80"/>
      <w:ind w:firstLine="0"/>
      <w:outlineLvl w:val="1"/>
    </w:pPr>
    <w:rPr>
      <w:rFonts w:eastAsiaTheme="majorEastAsia" w:cstheme="majorBidi"/>
      <w:color w:val="000000" w:themeColor="text1"/>
      <w:sz w:val="28"/>
      <w:szCs w:val="32"/>
      <w:lang w:eastAsia="en-US"/>
    </w:rPr>
  </w:style>
  <w:style w:type="paragraph" w:styleId="Heading3">
    <w:name w:val="heading 3"/>
    <w:basedOn w:val="Normal"/>
    <w:next w:val="Normal"/>
    <w:link w:val="Heading3Char"/>
    <w:uiPriority w:val="9"/>
    <w:semiHidden/>
    <w:unhideWhenUsed/>
    <w:qFormat/>
    <w:rsid w:val="00260025"/>
    <w:pPr>
      <w:keepNext/>
      <w:keepLines/>
      <w:spacing w:before="160" w:after="80"/>
      <w:outlineLvl w:val="2"/>
    </w:pPr>
    <w:rPr>
      <w:rFonts w:asciiTheme="minorHAnsi" w:eastAsiaTheme="majorEastAsia" w:hAnsiTheme="minorHAnsi"/>
      <w:color w:val="0F4761" w:themeColor="accent1" w:themeShade="BF"/>
      <w:sz w:val="28"/>
      <w:szCs w:val="28"/>
    </w:rPr>
  </w:style>
  <w:style w:type="paragraph" w:styleId="Heading4">
    <w:name w:val="heading 4"/>
    <w:basedOn w:val="Normal"/>
    <w:next w:val="Normal"/>
    <w:link w:val="Heading4Char"/>
    <w:uiPriority w:val="9"/>
    <w:semiHidden/>
    <w:unhideWhenUsed/>
    <w:qFormat/>
    <w:rsid w:val="00260025"/>
    <w:pPr>
      <w:keepNext/>
      <w:keepLines/>
      <w:spacing w:before="80" w:after="40"/>
      <w:outlineLvl w:val="3"/>
    </w:pPr>
    <w:rPr>
      <w:rFonts w:asciiTheme="minorHAnsi" w:eastAsiaTheme="majorEastAsia" w:hAnsiTheme="minorHAnsi"/>
      <w:i/>
      <w:iCs/>
      <w:color w:val="0F4761" w:themeColor="accent1" w:themeShade="BF"/>
    </w:rPr>
  </w:style>
  <w:style w:type="paragraph" w:styleId="Heading5">
    <w:name w:val="heading 5"/>
    <w:basedOn w:val="Normal"/>
    <w:next w:val="Normal"/>
    <w:link w:val="Heading5Char"/>
    <w:uiPriority w:val="9"/>
    <w:semiHidden/>
    <w:unhideWhenUsed/>
    <w:qFormat/>
    <w:rsid w:val="00260025"/>
    <w:pPr>
      <w:keepNext/>
      <w:keepLines/>
      <w:spacing w:before="80" w:after="40"/>
      <w:outlineLvl w:val="4"/>
    </w:pPr>
    <w:rPr>
      <w:rFonts w:asciiTheme="minorHAnsi" w:eastAsiaTheme="majorEastAsia" w:hAnsiTheme="minorHAnsi"/>
      <w:color w:val="0F4761" w:themeColor="accent1" w:themeShade="BF"/>
    </w:rPr>
  </w:style>
  <w:style w:type="paragraph" w:styleId="Heading6">
    <w:name w:val="heading 6"/>
    <w:basedOn w:val="Normal"/>
    <w:next w:val="Normal"/>
    <w:link w:val="Heading6Char"/>
    <w:uiPriority w:val="9"/>
    <w:semiHidden/>
    <w:unhideWhenUsed/>
    <w:qFormat/>
    <w:rsid w:val="00260025"/>
    <w:pPr>
      <w:keepNext/>
      <w:keepLines/>
      <w:spacing w:before="40"/>
      <w:outlineLvl w:val="5"/>
    </w:pPr>
    <w:rPr>
      <w:rFonts w:asciiTheme="minorHAnsi" w:eastAsiaTheme="majorEastAsia" w:hAnsiTheme="minorHAnsi"/>
      <w:i/>
      <w:iCs/>
      <w:color w:val="595959" w:themeColor="text1" w:themeTint="A6"/>
    </w:rPr>
  </w:style>
  <w:style w:type="paragraph" w:styleId="Heading7">
    <w:name w:val="heading 7"/>
    <w:basedOn w:val="Normal"/>
    <w:next w:val="Normal"/>
    <w:link w:val="Heading7Char"/>
    <w:uiPriority w:val="9"/>
    <w:semiHidden/>
    <w:unhideWhenUsed/>
    <w:qFormat/>
    <w:rsid w:val="00260025"/>
    <w:pPr>
      <w:keepNext/>
      <w:keepLines/>
      <w:spacing w:before="40"/>
      <w:outlineLvl w:val="6"/>
    </w:pPr>
    <w:rPr>
      <w:rFonts w:asciiTheme="minorHAnsi" w:eastAsiaTheme="majorEastAsia" w:hAnsiTheme="minorHAnsi"/>
      <w:color w:val="595959" w:themeColor="text1" w:themeTint="A6"/>
    </w:rPr>
  </w:style>
  <w:style w:type="paragraph" w:styleId="Heading8">
    <w:name w:val="heading 8"/>
    <w:basedOn w:val="Normal"/>
    <w:next w:val="Normal"/>
    <w:link w:val="Heading8Char"/>
    <w:uiPriority w:val="9"/>
    <w:semiHidden/>
    <w:unhideWhenUsed/>
    <w:qFormat/>
    <w:rsid w:val="00260025"/>
    <w:pPr>
      <w:keepNext/>
      <w:keepLines/>
      <w:outlineLvl w:val="7"/>
    </w:pPr>
    <w:rPr>
      <w:rFonts w:asciiTheme="minorHAnsi" w:eastAsiaTheme="majorEastAsia" w:hAnsiTheme="minorHAnsi"/>
      <w:i/>
      <w:iCs/>
      <w:color w:val="272727" w:themeColor="text1" w:themeTint="D8"/>
    </w:rPr>
  </w:style>
  <w:style w:type="paragraph" w:styleId="Heading9">
    <w:name w:val="heading 9"/>
    <w:basedOn w:val="Normal"/>
    <w:next w:val="Normal"/>
    <w:link w:val="Heading9Char"/>
    <w:uiPriority w:val="9"/>
    <w:semiHidden/>
    <w:unhideWhenUsed/>
    <w:qFormat/>
    <w:rsid w:val="00260025"/>
    <w:pPr>
      <w:keepNext/>
      <w:keepLines/>
      <w:outlineLvl w:val="8"/>
    </w:pPr>
    <w:rPr>
      <w:rFonts w:asciiTheme="minorHAnsi" w:eastAsiaTheme="majorEastAsia" w:hAnsiTheme="minorHAns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5C47"/>
    <w:rPr>
      <w:rFonts w:ascii="Times New Roman" w:eastAsiaTheme="majorEastAsia" w:hAnsi="Times New Roman"/>
      <w:szCs w:val="40"/>
    </w:rPr>
  </w:style>
  <w:style w:type="character" w:customStyle="1" w:styleId="Heading2Char">
    <w:name w:val="Heading 2 Char"/>
    <w:basedOn w:val="DefaultParagraphFont"/>
    <w:link w:val="Heading2"/>
    <w:uiPriority w:val="9"/>
    <w:rsid w:val="007E5C47"/>
    <w:rPr>
      <w:rFonts w:asciiTheme="minorBidi" w:eastAsiaTheme="majorEastAsia" w:hAnsiTheme="minorBidi"/>
      <w:sz w:val="28"/>
    </w:rPr>
  </w:style>
  <w:style w:type="character" w:customStyle="1" w:styleId="Heading3Char">
    <w:name w:val="Heading 3 Char"/>
    <w:basedOn w:val="DefaultParagraphFont"/>
    <w:link w:val="Heading3"/>
    <w:uiPriority w:val="9"/>
    <w:semiHidden/>
    <w:rsid w:val="00260025"/>
    <w:rPr>
      <w:rFonts w:asciiTheme="minorHAnsi" w:eastAsiaTheme="majorEastAsia" w:hAnsiTheme="minorHAnsi"/>
      <w:color w:val="0F4761" w:themeColor="accent1" w:themeShade="BF"/>
      <w:sz w:val="28"/>
      <w:szCs w:val="28"/>
    </w:rPr>
  </w:style>
  <w:style w:type="character" w:customStyle="1" w:styleId="Heading4Char">
    <w:name w:val="Heading 4 Char"/>
    <w:basedOn w:val="DefaultParagraphFont"/>
    <w:link w:val="Heading4"/>
    <w:uiPriority w:val="9"/>
    <w:semiHidden/>
    <w:rsid w:val="00260025"/>
    <w:rPr>
      <w:rFonts w:asciiTheme="minorHAnsi" w:eastAsiaTheme="majorEastAsia" w:hAnsiTheme="minorHAnsi"/>
      <w:i/>
      <w:iCs/>
      <w:color w:val="0F4761" w:themeColor="accent1" w:themeShade="BF"/>
    </w:rPr>
  </w:style>
  <w:style w:type="character" w:customStyle="1" w:styleId="Heading5Char">
    <w:name w:val="Heading 5 Char"/>
    <w:basedOn w:val="DefaultParagraphFont"/>
    <w:link w:val="Heading5"/>
    <w:uiPriority w:val="9"/>
    <w:semiHidden/>
    <w:rsid w:val="00260025"/>
    <w:rPr>
      <w:rFonts w:asciiTheme="minorHAnsi" w:eastAsiaTheme="majorEastAsia" w:hAnsiTheme="minorHAnsi"/>
      <w:color w:val="0F4761" w:themeColor="accent1" w:themeShade="BF"/>
    </w:rPr>
  </w:style>
  <w:style w:type="character" w:customStyle="1" w:styleId="Heading6Char">
    <w:name w:val="Heading 6 Char"/>
    <w:basedOn w:val="DefaultParagraphFont"/>
    <w:link w:val="Heading6"/>
    <w:uiPriority w:val="9"/>
    <w:semiHidden/>
    <w:rsid w:val="00260025"/>
    <w:rPr>
      <w:rFonts w:asciiTheme="minorHAnsi" w:eastAsiaTheme="majorEastAsia" w:hAnsiTheme="minorHAnsi"/>
      <w:i/>
      <w:iCs/>
      <w:color w:val="595959" w:themeColor="text1" w:themeTint="A6"/>
    </w:rPr>
  </w:style>
  <w:style w:type="character" w:customStyle="1" w:styleId="Heading7Char">
    <w:name w:val="Heading 7 Char"/>
    <w:basedOn w:val="DefaultParagraphFont"/>
    <w:link w:val="Heading7"/>
    <w:uiPriority w:val="9"/>
    <w:semiHidden/>
    <w:rsid w:val="00260025"/>
    <w:rPr>
      <w:rFonts w:asciiTheme="minorHAnsi" w:eastAsiaTheme="majorEastAsia" w:hAnsiTheme="minorHAnsi"/>
      <w:color w:val="595959" w:themeColor="text1" w:themeTint="A6"/>
    </w:rPr>
  </w:style>
  <w:style w:type="character" w:customStyle="1" w:styleId="Heading8Char">
    <w:name w:val="Heading 8 Char"/>
    <w:basedOn w:val="DefaultParagraphFont"/>
    <w:link w:val="Heading8"/>
    <w:uiPriority w:val="9"/>
    <w:semiHidden/>
    <w:rsid w:val="00260025"/>
    <w:rPr>
      <w:rFonts w:asciiTheme="minorHAnsi" w:eastAsiaTheme="majorEastAsia" w:hAnsiTheme="minorHAnsi"/>
      <w:i/>
      <w:iCs/>
      <w:color w:val="272727" w:themeColor="text1" w:themeTint="D8"/>
    </w:rPr>
  </w:style>
  <w:style w:type="character" w:customStyle="1" w:styleId="Heading9Char">
    <w:name w:val="Heading 9 Char"/>
    <w:basedOn w:val="DefaultParagraphFont"/>
    <w:link w:val="Heading9"/>
    <w:uiPriority w:val="9"/>
    <w:semiHidden/>
    <w:rsid w:val="00260025"/>
    <w:rPr>
      <w:rFonts w:asciiTheme="minorHAnsi" w:eastAsiaTheme="majorEastAsia" w:hAnsiTheme="minorHAnsi"/>
      <w:color w:val="272727" w:themeColor="text1" w:themeTint="D8"/>
    </w:rPr>
  </w:style>
  <w:style w:type="paragraph" w:styleId="Title">
    <w:name w:val="Title"/>
    <w:basedOn w:val="Normal"/>
    <w:next w:val="Normal"/>
    <w:link w:val="TitleChar"/>
    <w:uiPriority w:val="10"/>
    <w:qFormat/>
    <w:rsid w:val="00260025"/>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260025"/>
    <w:rPr>
      <w:rFonts w:asciiTheme="majorHAnsi" w:eastAsiaTheme="majorEastAsia" w:hAnsiTheme="majorHAnsi"/>
      <w:color w:val="auto"/>
      <w:spacing w:val="-10"/>
      <w:kern w:val="28"/>
      <w:sz w:val="56"/>
      <w:szCs w:val="56"/>
    </w:rPr>
  </w:style>
  <w:style w:type="paragraph" w:styleId="Subtitle">
    <w:name w:val="Subtitle"/>
    <w:basedOn w:val="Normal"/>
    <w:next w:val="Normal"/>
    <w:link w:val="SubtitleChar"/>
    <w:uiPriority w:val="11"/>
    <w:qFormat/>
    <w:rsid w:val="00260025"/>
    <w:pPr>
      <w:numPr>
        <w:ilvl w:val="1"/>
      </w:numPr>
      <w:spacing w:after="160"/>
      <w:ind w:firstLine="720"/>
    </w:pPr>
    <w:rPr>
      <w:rFonts w:asciiTheme="minorHAnsi" w:eastAsiaTheme="majorEastAsia" w:hAnsiTheme="minorHAnsi"/>
      <w:color w:val="595959" w:themeColor="text1" w:themeTint="A6"/>
      <w:spacing w:val="15"/>
      <w:sz w:val="28"/>
      <w:szCs w:val="28"/>
    </w:rPr>
  </w:style>
  <w:style w:type="character" w:customStyle="1" w:styleId="SubtitleChar">
    <w:name w:val="Subtitle Char"/>
    <w:basedOn w:val="DefaultParagraphFont"/>
    <w:link w:val="Subtitle"/>
    <w:uiPriority w:val="11"/>
    <w:rsid w:val="00260025"/>
    <w:rPr>
      <w:rFonts w:asciiTheme="minorHAnsi" w:eastAsiaTheme="majorEastAsia" w:hAnsiTheme="minorHAnsi"/>
      <w:color w:val="595959" w:themeColor="text1" w:themeTint="A6"/>
      <w:spacing w:val="15"/>
      <w:sz w:val="28"/>
      <w:szCs w:val="28"/>
    </w:rPr>
  </w:style>
  <w:style w:type="paragraph" w:styleId="Quote">
    <w:name w:val="Quote"/>
    <w:basedOn w:val="Normal"/>
    <w:next w:val="Normal"/>
    <w:link w:val="QuoteChar"/>
    <w:uiPriority w:val="29"/>
    <w:qFormat/>
    <w:rsid w:val="0026002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60025"/>
    <w:rPr>
      <w:i/>
      <w:iCs/>
      <w:color w:val="404040" w:themeColor="text1" w:themeTint="BF"/>
    </w:rPr>
  </w:style>
  <w:style w:type="paragraph" w:styleId="ListParagraph">
    <w:name w:val="List Paragraph"/>
    <w:basedOn w:val="Normal"/>
    <w:uiPriority w:val="34"/>
    <w:qFormat/>
    <w:rsid w:val="00260025"/>
    <w:pPr>
      <w:ind w:left="720"/>
      <w:contextualSpacing/>
    </w:pPr>
  </w:style>
  <w:style w:type="character" w:styleId="IntenseEmphasis">
    <w:name w:val="Intense Emphasis"/>
    <w:basedOn w:val="DefaultParagraphFont"/>
    <w:uiPriority w:val="21"/>
    <w:qFormat/>
    <w:rsid w:val="00260025"/>
    <w:rPr>
      <w:i/>
      <w:iCs/>
      <w:color w:val="0F4761" w:themeColor="accent1" w:themeShade="BF"/>
    </w:rPr>
  </w:style>
  <w:style w:type="paragraph" w:styleId="IntenseQuote">
    <w:name w:val="Intense Quote"/>
    <w:basedOn w:val="Normal"/>
    <w:next w:val="Normal"/>
    <w:link w:val="IntenseQuoteChar"/>
    <w:uiPriority w:val="30"/>
    <w:qFormat/>
    <w:rsid w:val="002600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0025"/>
    <w:rPr>
      <w:i/>
      <w:iCs/>
      <w:color w:val="0F4761" w:themeColor="accent1" w:themeShade="BF"/>
    </w:rPr>
  </w:style>
  <w:style w:type="character" w:styleId="IntenseReference">
    <w:name w:val="Intense Reference"/>
    <w:basedOn w:val="DefaultParagraphFont"/>
    <w:uiPriority w:val="32"/>
    <w:qFormat/>
    <w:rsid w:val="00260025"/>
    <w:rPr>
      <w:b/>
      <w:bCs/>
      <w:smallCaps/>
      <w:color w:val="0F4761" w:themeColor="accent1" w:themeShade="BF"/>
      <w:spacing w:val="5"/>
    </w:rPr>
  </w:style>
  <w:style w:type="character" w:styleId="Strong">
    <w:name w:val="Strong"/>
    <w:basedOn w:val="DefaultParagraphFont"/>
    <w:uiPriority w:val="22"/>
    <w:qFormat/>
    <w:rsid w:val="00260025"/>
    <w:rPr>
      <w:b/>
      <w:bCs/>
    </w:rPr>
  </w:style>
  <w:style w:type="character" w:customStyle="1" w:styleId="apple-converted-space">
    <w:name w:val="apple-converted-space"/>
    <w:basedOn w:val="DefaultParagraphFont"/>
    <w:rsid w:val="00260025"/>
  </w:style>
  <w:style w:type="paragraph" w:styleId="Footer">
    <w:name w:val="footer"/>
    <w:basedOn w:val="Normal"/>
    <w:link w:val="FooterChar"/>
    <w:uiPriority w:val="99"/>
    <w:unhideWhenUsed/>
    <w:rsid w:val="000035A4"/>
    <w:pPr>
      <w:tabs>
        <w:tab w:val="center" w:pos="4513"/>
        <w:tab w:val="right" w:pos="9026"/>
      </w:tabs>
      <w:spacing w:line="240" w:lineRule="auto"/>
    </w:pPr>
  </w:style>
  <w:style w:type="character" w:customStyle="1" w:styleId="FooterChar">
    <w:name w:val="Footer Char"/>
    <w:basedOn w:val="DefaultParagraphFont"/>
    <w:link w:val="Footer"/>
    <w:uiPriority w:val="99"/>
    <w:rsid w:val="000035A4"/>
  </w:style>
  <w:style w:type="character" w:styleId="PageNumber">
    <w:name w:val="page number"/>
    <w:basedOn w:val="DefaultParagraphFont"/>
    <w:uiPriority w:val="99"/>
    <w:semiHidden/>
    <w:unhideWhenUsed/>
    <w:rsid w:val="000035A4"/>
  </w:style>
  <w:style w:type="paragraph" w:styleId="NormalWeb">
    <w:name w:val="Normal (Web)"/>
    <w:basedOn w:val="Normal"/>
    <w:uiPriority w:val="99"/>
    <w:unhideWhenUsed/>
    <w:rsid w:val="00203ECB"/>
    <w:pPr>
      <w:spacing w:before="100" w:beforeAutospacing="1" w:after="100" w:afterAutospacing="1"/>
    </w:pPr>
  </w:style>
  <w:style w:type="table" w:styleId="TableGrid">
    <w:name w:val="Table Grid"/>
    <w:basedOn w:val="TableNormal"/>
    <w:uiPriority w:val="39"/>
    <w:rsid w:val="00526B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researchbriefings.files.parliament.uk/documents/CBP-9731/CBP-9731.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pmc.ncbi.nlm.nih.gov/articles/PMC11224887/?utm_source=chatgpt.com"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mc.ncbi.nlm.nih.gov/articles/PMC12374287/?utm_source=chatgpt.com" TargetMode="External"/><Relationship Id="rId5" Type="http://schemas.openxmlformats.org/officeDocument/2006/relationships/footnotes" Target="footnotes.xml"/><Relationship Id="rId15" Type="http://schemas.openxmlformats.org/officeDocument/2006/relationships/hyperlink" Target="https://www.legislation.gov.uk/ukpga/2010/15/contents?utm_source=chatgpt.com" TargetMode="External"/><Relationship Id="rId10" Type="http://schemas.openxmlformats.org/officeDocument/2006/relationships/image" Target="media/image3.sv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legislation.gov.uk/ukpga/2014/23/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30</TotalTime>
  <Pages>7</Pages>
  <Words>1497</Words>
  <Characters>8536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10013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 User</dc:creator>
  <cp:keywords/>
  <dc:description/>
  <cp:lastModifiedBy>Tosin Yusuf (2334371)</cp:lastModifiedBy>
  <cp:revision>4</cp:revision>
  <dcterms:created xsi:type="dcterms:W3CDTF">2025-12-11T19:13:00Z</dcterms:created>
  <dcterms:modified xsi:type="dcterms:W3CDTF">2025-12-13T18:16:00Z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602DA0C0-8FF1-4162-9B9A-3386D18FAA49</vt:lpwstr>
  </property>
</Properties>
</file>