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3D8E1" w14:textId="77777777" w:rsidR="008114C6" w:rsidRPr="00F7713A" w:rsidRDefault="008114C6" w:rsidP="008114C6">
      <w:pPr>
        <w:spacing w:line="480" w:lineRule="auto"/>
        <w:rPr>
          <w:rFonts w:ascii="Arial" w:hAnsi="Arial" w:cs="Arial"/>
          <w:b/>
          <w:bCs/>
          <w:sz w:val="28"/>
          <w:szCs w:val="28"/>
        </w:rPr>
      </w:pPr>
      <w:r w:rsidRPr="00424B42">
        <w:rPr>
          <w:rFonts w:ascii="Arial" w:hAnsi="Arial" w:cs="Arial"/>
          <w:b/>
          <w:bCs/>
          <w:sz w:val="28"/>
          <w:szCs w:val="28"/>
        </w:rPr>
        <w:t xml:space="preserve">Chapter </w:t>
      </w:r>
      <w:r>
        <w:rPr>
          <w:rFonts w:ascii="Arial" w:hAnsi="Arial" w:cs="Arial"/>
          <w:b/>
          <w:bCs/>
          <w:sz w:val="28"/>
          <w:szCs w:val="28"/>
        </w:rPr>
        <w:t>Three</w:t>
      </w:r>
      <w:r w:rsidRPr="00424B42">
        <w:rPr>
          <w:rFonts w:ascii="Arial" w:hAnsi="Arial" w:cs="Arial"/>
          <w:b/>
          <w:bCs/>
          <w:sz w:val="28"/>
          <w:szCs w:val="28"/>
        </w:rPr>
        <w:t xml:space="preserve"> – </w:t>
      </w:r>
      <w:r>
        <w:rPr>
          <w:rFonts w:ascii="Arial" w:hAnsi="Arial" w:cs="Arial"/>
          <w:b/>
          <w:bCs/>
          <w:sz w:val="28"/>
          <w:szCs w:val="28"/>
        </w:rPr>
        <w:t xml:space="preserve">Methodology </w:t>
      </w:r>
      <w:r w:rsidRPr="00424B42">
        <w:rPr>
          <w:rFonts w:ascii="Arial" w:hAnsi="Arial" w:cs="Arial"/>
          <w:b/>
          <w:bCs/>
          <w:sz w:val="28"/>
          <w:szCs w:val="28"/>
        </w:rPr>
        <w:t>(1500)</w:t>
      </w:r>
    </w:p>
    <w:p w14:paraId="2603F679" w14:textId="77777777" w:rsidR="008114C6" w:rsidRDefault="008114C6" w:rsidP="008114C6">
      <w:pPr>
        <w:spacing w:line="480" w:lineRule="auto"/>
        <w:jc w:val="both"/>
        <w:rPr>
          <w:rFonts w:ascii="Arial" w:hAnsi="Arial" w:cs="Arial"/>
        </w:rPr>
      </w:pPr>
      <w:r w:rsidRPr="008A2C64">
        <w:rPr>
          <w:rFonts w:ascii="Arial" w:hAnsi="Arial" w:cs="Arial"/>
        </w:rPr>
        <w:t>Upon the literature review that examined the arguments for and against raising the ACR and having investigated whether the media’s portrayal in the James Bugler case had an impact on the public’s perception of child offenders, the motivation for this section of the research is the comparative differences in which the media in the UK treated the offenders of James Bulger and the media in Norway responded to the murder of Silje Redergard. According to Green (2008) in 1994, Redergard was five at the time when she was beaten by three six-year-old boys and was abandoned in the snow and later died of hypothermia. The closeness in the way in which the murder was committed, the fact the murders occurred a year apart, the proximity of the ages of the offenders but were treated so differently within the media is intriguing. These cases in particular are the incentive for this research into whether the media vilifies child offenders in England and Wales.</w:t>
      </w:r>
    </w:p>
    <w:p w14:paraId="0113456B" w14:textId="77777777" w:rsidR="008114C6" w:rsidRPr="00F7713A" w:rsidRDefault="008114C6" w:rsidP="008114C6">
      <w:pPr>
        <w:spacing w:line="480" w:lineRule="auto"/>
        <w:jc w:val="both"/>
        <w:rPr>
          <w:rFonts w:ascii="Arial" w:hAnsi="Arial" w:cs="Arial"/>
        </w:rPr>
      </w:pPr>
    </w:p>
    <w:p w14:paraId="5B5ADBF5" w14:textId="77777777" w:rsidR="008114C6" w:rsidRDefault="008114C6" w:rsidP="008114C6">
      <w:pPr>
        <w:spacing w:line="480" w:lineRule="auto"/>
        <w:jc w:val="both"/>
        <w:rPr>
          <w:rFonts w:ascii="Arial" w:hAnsi="Arial" w:cs="Arial"/>
          <w:b/>
          <w:bCs/>
          <w:sz w:val="26"/>
          <w:szCs w:val="26"/>
        </w:rPr>
      </w:pPr>
      <w:r w:rsidRPr="008A2C64">
        <w:rPr>
          <w:rFonts w:ascii="Arial" w:hAnsi="Arial" w:cs="Arial"/>
          <w:b/>
          <w:bCs/>
          <w:sz w:val="26"/>
          <w:szCs w:val="26"/>
        </w:rPr>
        <w:t>3.1 Research Onion</w:t>
      </w:r>
    </w:p>
    <w:p w14:paraId="47B527C9" w14:textId="77777777" w:rsidR="008114C6" w:rsidRPr="008A2C64" w:rsidRDefault="008114C6" w:rsidP="008114C6">
      <w:pPr>
        <w:spacing w:line="480" w:lineRule="auto"/>
        <w:jc w:val="both"/>
        <w:rPr>
          <w:rFonts w:ascii="Arial" w:hAnsi="Arial" w:cs="Arial"/>
        </w:rPr>
      </w:pPr>
      <w:r w:rsidRPr="008A2C64">
        <w:rPr>
          <w:rFonts w:ascii="Arial" w:hAnsi="Arial" w:cs="Arial"/>
        </w:rPr>
        <w:t xml:space="preserve">According to Saunders et al (2019) the research onion is a methodology framework that divides each section, for researchers to select and justify their particular methods within a research project. Alturki (2021) also states that the research onion is a vital framework that aids to expand on the extensive consideration that is necessary to determine the best suited approach and procedures for a successful research project. See figure 3.1.1 (Saunders </w:t>
      </w:r>
      <w:r>
        <w:rPr>
          <w:rFonts w:ascii="Arial" w:hAnsi="Arial" w:cs="Arial"/>
        </w:rPr>
        <w:t xml:space="preserve">et al, </w:t>
      </w:r>
      <w:r w:rsidRPr="008A2C64">
        <w:rPr>
          <w:rFonts w:ascii="Arial" w:hAnsi="Arial" w:cs="Arial"/>
        </w:rPr>
        <w:t>201</w:t>
      </w:r>
      <w:r>
        <w:rPr>
          <w:rFonts w:ascii="Arial" w:hAnsi="Arial" w:cs="Arial"/>
        </w:rPr>
        <w:t>9</w:t>
      </w:r>
      <w:r w:rsidRPr="008A2C64">
        <w:rPr>
          <w:rFonts w:ascii="Arial" w:hAnsi="Arial" w:cs="Arial"/>
        </w:rPr>
        <w:t>). This study will follow the research onion to ensure the chosen research methods and procedures are beneficial to the study and produce substantial comprehensive results.</w:t>
      </w:r>
    </w:p>
    <w:p w14:paraId="0BC430E6" w14:textId="77777777" w:rsidR="008114C6" w:rsidRDefault="008114C6" w:rsidP="008114C6">
      <w:pPr>
        <w:spacing w:line="480" w:lineRule="auto"/>
        <w:jc w:val="both"/>
        <w:rPr>
          <w:rFonts w:ascii="Arial" w:hAnsi="Arial" w:cs="Arial"/>
          <w:sz w:val="22"/>
          <w:szCs w:val="22"/>
        </w:rPr>
      </w:pPr>
    </w:p>
    <w:p w14:paraId="0094AA18" w14:textId="77777777" w:rsidR="008114C6" w:rsidRDefault="008114C6" w:rsidP="008114C6">
      <w:pPr>
        <w:spacing w:line="480" w:lineRule="auto"/>
        <w:jc w:val="both"/>
        <w:rPr>
          <w:rFonts w:ascii="Arial" w:hAnsi="Arial" w:cs="Arial"/>
          <w:b/>
          <w:bCs/>
          <w:sz w:val="26"/>
          <w:szCs w:val="26"/>
        </w:rPr>
      </w:pPr>
      <w:r w:rsidRPr="008A2C64">
        <w:rPr>
          <w:rFonts w:ascii="Arial" w:hAnsi="Arial" w:cs="Arial"/>
          <w:b/>
          <w:bCs/>
          <w:sz w:val="26"/>
          <w:szCs w:val="26"/>
        </w:rPr>
        <w:t>3.2 Research Philosophy</w:t>
      </w:r>
    </w:p>
    <w:p w14:paraId="624E1995" w14:textId="77777777" w:rsidR="008114C6" w:rsidRPr="00AC1BA9" w:rsidRDefault="008114C6" w:rsidP="008114C6">
      <w:pPr>
        <w:spacing w:line="480" w:lineRule="auto"/>
        <w:jc w:val="both"/>
        <w:rPr>
          <w:rFonts w:ascii="Arial" w:hAnsi="Arial" w:cs="Arial"/>
          <w:b/>
          <w:bCs/>
          <w:sz w:val="26"/>
          <w:szCs w:val="26"/>
        </w:rPr>
      </w:pPr>
      <w:r w:rsidRPr="008A2C64">
        <w:rPr>
          <w:rFonts w:ascii="Arial" w:hAnsi="Arial" w:cs="Arial"/>
        </w:rPr>
        <w:lastRenderedPageBreak/>
        <w:t>According to Al-Ababneh (2020) the research philosophy is the perspective that corresponds with the selected research methods. Al-Ababneh (2020) also states that these perspectives also give</w:t>
      </w:r>
      <w:r>
        <w:rPr>
          <w:rFonts w:ascii="Arial" w:hAnsi="Arial" w:cs="Arial"/>
        </w:rPr>
        <w:t>s</w:t>
      </w:r>
      <w:r w:rsidRPr="008A2C64">
        <w:rPr>
          <w:rFonts w:ascii="Arial" w:hAnsi="Arial" w:cs="Arial"/>
        </w:rPr>
        <w:t xml:space="preserve"> an understanding to the base and foundation </w:t>
      </w:r>
      <w:r>
        <w:rPr>
          <w:rFonts w:ascii="Arial" w:hAnsi="Arial" w:cs="Arial"/>
        </w:rPr>
        <w:t>of</w:t>
      </w:r>
      <w:r w:rsidRPr="008A2C64">
        <w:rPr>
          <w:rFonts w:ascii="Arial" w:hAnsi="Arial" w:cs="Arial"/>
        </w:rPr>
        <w:t xml:space="preserve"> the research. This research is considered to have the interpretivism research philosophy. According to Alharahsheh and Pius (2020) the interpretivism perspective considers that reality is distinct and unique to an individual that can differ due to different circumstances. When considering what type of responses will be gathered from the research survey, there may be external variables that will influence the participants’ feedback. An example would be, if a participant has a child that has been in contact with the </w:t>
      </w:r>
      <w:r>
        <w:rPr>
          <w:rFonts w:ascii="Arial" w:hAnsi="Arial" w:cs="Arial"/>
        </w:rPr>
        <w:t>CJS and had a positive experience, this may result in a favourable response for the ACR to not be changed. The influence of the external variable may be changed if the child received a negative experience. The participants bias may also be changed if the participants child is young or older in age. If the participant is above the age of thirty, the participant may remember the devastating outrage that occurred across the nation when James Bulger was murdered, this can also influence the response to the survey. Therefore, it is important for the data to be conducted through the interpretivism perspective. According to Moon and Blackman (2014) the results from the research are examined and will consider the circumstantial variables, such as historical or cultural variables, which impact how the participant views and constructs their own perspective of their own world.</w:t>
      </w:r>
    </w:p>
    <w:p w14:paraId="6938522D" w14:textId="77777777" w:rsidR="008114C6" w:rsidRDefault="008114C6" w:rsidP="008114C6">
      <w:pPr>
        <w:spacing w:line="480" w:lineRule="auto"/>
        <w:jc w:val="both"/>
        <w:rPr>
          <w:rFonts w:ascii="Arial" w:hAnsi="Arial" w:cs="Arial"/>
        </w:rPr>
      </w:pPr>
    </w:p>
    <w:p w14:paraId="30B586FA" w14:textId="77777777" w:rsidR="008114C6" w:rsidRPr="00C970A9" w:rsidRDefault="008114C6" w:rsidP="008114C6">
      <w:pPr>
        <w:spacing w:line="480" w:lineRule="auto"/>
        <w:jc w:val="both"/>
        <w:rPr>
          <w:rFonts w:ascii="Arial" w:hAnsi="Arial" w:cs="Arial"/>
        </w:rPr>
      </w:pPr>
      <w:r w:rsidRPr="00C970A9">
        <w:rPr>
          <w:rFonts w:ascii="Arial" w:hAnsi="Arial" w:cs="Arial"/>
          <w:b/>
          <w:bCs/>
          <w:sz w:val="26"/>
          <w:szCs w:val="26"/>
        </w:rPr>
        <w:t>3.3 Research Approach</w:t>
      </w:r>
      <w:r>
        <w:rPr>
          <w:rFonts w:ascii="Arial" w:hAnsi="Arial" w:cs="Arial"/>
          <w:b/>
          <w:bCs/>
          <w:sz w:val="26"/>
          <w:szCs w:val="26"/>
        </w:rPr>
        <w:t xml:space="preserve">  </w:t>
      </w:r>
    </w:p>
    <w:p w14:paraId="3F07FD9C" w14:textId="77777777" w:rsidR="008114C6" w:rsidRPr="00236F93" w:rsidRDefault="008114C6" w:rsidP="008114C6">
      <w:pPr>
        <w:spacing w:line="480" w:lineRule="auto"/>
        <w:jc w:val="both"/>
        <w:rPr>
          <w:rFonts w:ascii="Arial" w:hAnsi="Arial" w:cs="Arial"/>
        </w:rPr>
      </w:pPr>
      <w:r>
        <w:rPr>
          <w:rFonts w:ascii="Arial" w:hAnsi="Arial" w:cs="Arial"/>
        </w:rPr>
        <w:t xml:space="preserve">Once establishing that the research philosophy has the interpretivism perspective, it is believed that the abductive reasoning approach would be the most beneficial for this study. According to Walton (2005) the abductive reasoning approach accumulates the </w:t>
      </w:r>
      <w:r>
        <w:rPr>
          <w:rFonts w:ascii="Arial" w:hAnsi="Arial" w:cs="Arial"/>
        </w:rPr>
        <w:lastRenderedPageBreak/>
        <w:t>evidence and offers the most appropriate logical explanation. Walton (2005) gives the example that when using eyewitness statements within the CJS, we trust that the witness is recalling the truth, which leads to a coherent explanation for a crime. This can be applied to this research study where the opinions of participant are believed to be their true opinions, using an interpretivist philosophy combined with an abductive approach to determine a rational conclusion. However, using the previous example, the eyewitness statements cannot be utilized as an absolute fact. Meyer and Lunnay (2013) explains that abductive reasoning, presents evidence and concludes it may or may not be true whereas other reasoning approaches such as the deductive approach aims to prove or disprove a hypothesis.</w:t>
      </w:r>
    </w:p>
    <w:p w14:paraId="30992CE1" w14:textId="77777777" w:rsidR="008114C6" w:rsidRDefault="008114C6" w:rsidP="008114C6">
      <w:pPr>
        <w:spacing w:line="480" w:lineRule="auto"/>
        <w:jc w:val="both"/>
        <w:rPr>
          <w:rFonts w:ascii="Arial" w:hAnsi="Arial" w:cs="Arial"/>
          <w:u w:val="single"/>
        </w:rPr>
      </w:pPr>
    </w:p>
    <w:p w14:paraId="7F5B7A18" w14:textId="77777777" w:rsidR="008114C6" w:rsidRPr="00F7713A" w:rsidRDefault="008114C6" w:rsidP="008114C6">
      <w:pPr>
        <w:spacing w:line="480" w:lineRule="auto"/>
        <w:jc w:val="both"/>
        <w:rPr>
          <w:rFonts w:ascii="Arial" w:hAnsi="Arial" w:cs="Arial"/>
          <w:b/>
          <w:bCs/>
          <w:sz w:val="26"/>
          <w:szCs w:val="26"/>
        </w:rPr>
      </w:pPr>
      <w:r w:rsidRPr="00FC6374">
        <w:rPr>
          <w:rFonts w:ascii="Arial" w:hAnsi="Arial" w:cs="Arial"/>
          <w:b/>
          <w:bCs/>
          <w:sz w:val="26"/>
          <w:szCs w:val="26"/>
        </w:rPr>
        <w:t xml:space="preserve">3.4 </w:t>
      </w:r>
      <w:r>
        <w:rPr>
          <w:rFonts w:ascii="Arial" w:hAnsi="Arial" w:cs="Arial"/>
          <w:b/>
          <w:bCs/>
          <w:sz w:val="26"/>
          <w:szCs w:val="26"/>
        </w:rPr>
        <w:t>Methodological Choice</w:t>
      </w:r>
    </w:p>
    <w:p w14:paraId="7367DA0F" w14:textId="77777777" w:rsidR="008114C6" w:rsidRDefault="008114C6" w:rsidP="008114C6">
      <w:pPr>
        <w:spacing w:line="480" w:lineRule="auto"/>
        <w:jc w:val="both"/>
        <w:rPr>
          <w:rFonts w:ascii="Arial" w:hAnsi="Arial" w:cs="Arial"/>
        </w:rPr>
      </w:pPr>
      <w:r>
        <w:rPr>
          <w:rFonts w:ascii="Arial" w:hAnsi="Arial" w:cs="Arial"/>
        </w:rPr>
        <w:t xml:space="preserve">The methodological choice according to Meyer (2016) determines if the research will consist of quantitative or qualitative data. Bailey (2008) explains that qualitative data can be in a written format, audio or visual recordings and can consist of great detail. Qualitative data is beneficial for research that examines the why or how, such as studying human behaviour. Whereas Albers (2017) describes that quantitative data is numerical, statistical data such as the mean age of participants. This research study aims to collect both quantitative and qualitative data. Saunders et al (2019) uses the term concurrent mixed methods for the use of quantitative and qualitative data that is gathered with a single method of data collection. </w:t>
      </w:r>
    </w:p>
    <w:p w14:paraId="72256EA7" w14:textId="77777777" w:rsidR="008114C6" w:rsidRDefault="008114C6" w:rsidP="008114C6">
      <w:pPr>
        <w:spacing w:line="480" w:lineRule="auto"/>
        <w:jc w:val="both"/>
        <w:rPr>
          <w:rFonts w:ascii="Arial" w:hAnsi="Arial" w:cs="Arial"/>
        </w:rPr>
      </w:pPr>
    </w:p>
    <w:p w14:paraId="2112EA97" w14:textId="77777777" w:rsidR="008114C6" w:rsidRPr="00F7713A" w:rsidRDefault="008114C6" w:rsidP="008114C6">
      <w:pPr>
        <w:spacing w:line="480" w:lineRule="auto"/>
        <w:jc w:val="both"/>
        <w:rPr>
          <w:rFonts w:ascii="Arial" w:hAnsi="Arial" w:cs="Arial"/>
        </w:rPr>
      </w:pPr>
      <w:r w:rsidRPr="002A4058">
        <w:rPr>
          <w:rFonts w:ascii="Arial" w:hAnsi="Arial" w:cs="Arial"/>
          <w:b/>
          <w:bCs/>
          <w:sz w:val="26"/>
          <w:szCs w:val="26"/>
        </w:rPr>
        <w:t>3.5 Research Strategy</w:t>
      </w:r>
    </w:p>
    <w:p w14:paraId="6DBE6850" w14:textId="77777777" w:rsidR="008114C6" w:rsidRDefault="008114C6" w:rsidP="008114C6">
      <w:pPr>
        <w:spacing w:line="480" w:lineRule="auto"/>
        <w:jc w:val="both"/>
        <w:rPr>
          <w:rFonts w:ascii="Arial" w:hAnsi="Arial" w:cs="Arial"/>
        </w:rPr>
      </w:pPr>
      <w:r>
        <w:rPr>
          <w:rFonts w:ascii="Arial" w:hAnsi="Arial" w:cs="Arial"/>
        </w:rPr>
        <w:t xml:space="preserve">According to Wedawatta et al (2011) the research strategy communicates the objective of the research and the technique in which the research is administered. This </w:t>
      </w:r>
      <w:r>
        <w:rPr>
          <w:rFonts w:ascii="Arial" w:hAnsi="Arial" w:cs="Arial"/>
        </w:rPr>
        <w:lastRenderedPageBreak/>
        <w:t xml:space="preserve">research strategy that has been determined for this study is a questionnaire survey. Aldridge and Levine (2001) describes that when using a survey, the same information is collected from all participants within the sample, while analysing and examining each response individually and contextually. The use of quantitative and qualitative surveys according to Glik et al (2016) blend and are supportive of each other, can offer the researcher further insight and provide a continual comparative method. </w:t>
      </w:r>
    </w:p>
    <w:p w14:paraId="3CB4AD83" w14:textId="77777777" w:rsidR="008114C6" w:rsidRDefault="008114C6" w:rsidP="008114C6">
      <w:pPr>
        <w:spacing w:line="480" w:lineRule="auto"/>
        <w:jc w:val="both"/>
        <w:rPr>
          <w:rFonts w:ascii="Arial" w:hAnsi="Arial" w:cs="Arial"/>
        </w:rPr>
      </w:pPr>
    </w:p>
    <w:p w14:paraId="7A715C85" w14:textId="77777777" w:rsidR="008114C6" w:rsidRPr="00A1567F" w:rsidRDefault="008114C6" w:rsidP="008114C6">
      <w:pPr>
        <w:spacing w:line="480" w:lineRule="auto"/>
        <w:jc w:val="both"/>
        <w:rPr>
          <w:rFonts w:ascii="Arial" w:hAnsi="Arial" w:cs="Arial"/>
          <w:b/>
          <w:bCs/>
          <w:sz w:val="26"/>
          <w:szCs w:val="26"/>
        </w:rPr>
      </w:pPr>
      <w:r w:rsidRPr="00A1567F">
        <w:rPr>
          <w:rFonts w:ascii="Arial" w:hAnsi="Arial" w:cs="Arial"/>
          <w:b/>
          <w:bCs/>
          <w:sz w:val="26"/>
          <w:szCs w:val="26"/>
        </w:rPr>
        <w:t>3.6 Time Horizon</w:t>
      </w:r>
    </w:p>
    <w:p w14:paraId="69F743AA" w14:textId="77777777" w:rsidR="008114C6" w:rsidRDefault="008114C6" w:rsidP="008114C6">
      <w:pPr>
        <w:spacing w:line="480" w:lineRule="auto"/>
        <w:jc w:val="both"/>
        <w:rPr>
          <w:rFonts w:ascii="Arial" w:hAnsi="Arial" w:cs="Arial"/>
        </w:rPr>
      </w:pPr>
      <w:r>
        <w:rPr>
          <w:rFonts w:ascii="Arial" w:hAnsi="Arial" w:cs="Arial"/>
        </w:rPr>
        <w:t>From the research onion provided by Saunders et al (2019) the inner circle suggests a time horizon to be selected. Saunders et al (2019) suggests that this determines if the research conducted will capture a compact level of results within a particular time or a larger series of data that has been taken periodically. This is described by Caruana et al (2015) which specifies that a longitudinal study is able to observe or study participants over a prolonged period of time, for months, years or decades. Whereas a cross sectional study collects relevant information over one phase of time such as a course of four weeks or four months (Kesmodel, 2018). Levin (2006) argues an advantages of a cross sectional research study is the data is collected quickly and completion of the study is short-term meaning multiple outcomes and risk factors are easily assessable. Therefore, it is logical for this research to be conducted as a cross sectional study to adhere to the time constraints of academic research deadlines.</w:t>
      </w:r>
    </w:p>
    <w:p w14:paraId="4DEBB995" w14:textId="77777777" w:rsidR="008114C6" w:rsidRDefault="008114C6" w:rsidP="008114C6">
      <w:pPr>
        <w:spacing w:line="480" w:lineRule="auto"/>
        <w:jc w:val="both"/>
        <w:rPr>
          <w:rFonts w:ascii="Arial" w:hAnsi="Arial" w:cs="Arial"/>
        </w:rPr>
      </w:pPr>
    </w:p>
    <w:p w14:paraId="673B6763" w14:textId="77777777" w:rsidR="008114C6" w:rsidRDefault="008114C6" w:rsidP="008114C6">
      <w:pPr>
        <w:spacing w:line="480" w:lineRule="auto"/>
        <w:jc w:val="both"/>
        <w:rPr>
          <w:rFonts w:ascii="Arial" w:hAnsi="Arial" w:cs="Arial"/>
          <w:b/>
          <w:bCs/>
          <w:sz w:val="26"/>
          <w:szCs w:val="26"/>
        </w:rPr>
      </w:pPr>
      <w:r w:rsidRPr="00414A92">
        <w:rPr>
          <w:rFonts w:ascii="Arial" w:hAnsi="Arial" w:cs="Arial"/>
          <w:b/>
          <w:bCs/>
          <w:sz w:val="26"/>
          <w:szCs w:val="26"/>
        </w:rPr>
        <w:t>3.7 Techniques for Data Collection, Processes and Analysis</w:t>
      </w:r>
    </w:p>
    <w:p w14:paraId="6CFA2E22" w14:textId="77777777" w:rsidR="008114C6" w:rsidRDefault="008114C6" w:rsidP="008114C6">
      <w:pPr>
        <w:spacing w:line="480" w:lineRule="auto"/>
        <w:jc w:val="both"/>
        <w:rPr>
          <w:rFonts w:ascii="Arial" w:hAnsi="Arial" w:cs="Arial"/>
        </w:rPr>
      </w:pPr>
      <w:r>
        <w:rPr>
          <w:rFonts w:ascii="Arial" w:hAnsi="Arial" w:cs="Arial"/>
        </w:rPr>
        <w:t xml:space="preserve">The research study, as a whole, will collect primary and secondary data. Primary data according to Institute for Work and Health (2015) is specific data that is collected for the researcher’s unique research question and is commonly collected by the </w:t>
      </w:r>
      <w:r>
        <w:rPr>
          <w:rFonts w:ascii="Arial" w:hAnsi="Arial" w:cs="Arial"/>
        </w:rPr>
        <w:lastRenderedPageBreak/>
        <w:t>researcher directly. This will be conducted in this research study through the use of the survey. Secondary data is the evaluation and analysis of another researcher’s primary evidence (Bermingham, 2020, A). This research will be collected within the literature review section of this study.</w:t>
      </w:r>
    </w:p>
    <w:p w14:paraId="54C8C124" w14:textId="77777777" w:rsidR="008114C6" w:rsidRPr="00F7713A" w:rsidRDefault="008114C6" w:rsidP="008114C6">
      <w:pPr>
        <w:spacing w:line="480" w:lineRule="auto"/>
        <w:jc w:val="both"/>
        <w:rPr>
          <w:rFonts w:ascii="Arial" w:hAnsi="Arial" w:cs="Arial"/>
          <w:b/>
          <w:bCs/>
          <w:sz w:val="26"/>
          <w:szCs w:val="26"/>
        </w:rPr>
      </w:pPr>
      <w:r>
        <w:rPr>
          <w:rFonts w:ascii="Arial" w:hAnsi="Arial" w:cs="Arial"/>
        </w:rPr>
        <w:t>For the primary data to be collected, the use of a survey as previously mentioned will be used to gather qualitative and quantitative data through open and closed questions. Open questions provide results with more detail whereas, closed questions receive a more direct response such as ‘yes’, ‘no’, ‘I am 19 years old’ etc. The survey will be conducted using the app created for distributing survey’s called ‘Survey Monkey’ to allow for sufficient quantity of participants to complete the survey. Coomber (2017) states that with the introduction of modern technology, the internet allows researchers to reach participants that would have been inaccessible when using a paper questionnaire.</w:t>
      </w:r>
    </w:p>
    <w:p w14:paraId="34A66668" w14:textId="77777777" w:rsidR="008114C6" w:rsidRDefault="008114C6" w:rsidP="008114C6">
      <w:pPr>
        <w:spacing w:line="480" w:lineRule="auto"/>
        <w:jc w:val="both"/>
        <w:rPr>
          <w:rFonts w:ascii="Arial" w:hAnsi="Arial" w:cs="Arial"/>
        </w:rPr>
      </w:pPr>
    </w:p>
    <w:p w14:paraId="6EB385EF" w14:textId="77777777" w:rsidR="008114C6" w:rsidRDefault="008114C6" w:rsidP="008114C6">
      <w:pPr>
        <w:spacing w:line="480" w:lineRule="auto"/>
        <w:jc w:val="both"/>
        <w:rPr>
          <w:rFonts w:ascii="Arial" w:hAnsi="Arial" w:cs="Arial"/>
          <w:b/>
          <w:bCs/>
          <w:sz w:val="26"/>
          <w:szCs w:val="26"/>
        </w:rPr>
      </w:pPr>
      <w:r w:rsidRPr="002B7998">
        <w:rPr>
          <w:rFonts w:ascii="Arial" w:hAnsi="Arial" w:cs="Arial"/>
          <w:b/>
          <w:bCs/>
          <w:sz w:val="26"/>
          <w:szCs w:val="26"/>
        </w:rPr>
        <w:t>3.7.1</w:t>
      </w:r>
      <w:r>
        <w:rPr>
          <w:rFonts w:ascii="Arial" w:hAnsi="Arial" w:cs="Arial"/>
          <w:b/>
          <w:bCs/>
          <w:sz w:val="26"/>
          <w:szCs w:val="26"/>
        </w:rPr>
        <w:t xml:space="preserve"> Sampling</w:t>
      </w:r>
    </w:p>
    <w:p w14:paraId="78262013" w14:textId="77777777" w:rsidR="008114C6" w:rsidRDefault="008114C6" w:rsidP="008114C6">
      <w:pPr>
        <w:spacing w:line="480" w:lineRule="auto"/>
        <w:jc w:val="both"/>
        <w:rPr>
          <w:rFonts w:ascii="Arial" w:hAnsi="Arial" w:cs="Arial"/>
        </w:rPr>
      </w:pPr>
      <w:r>
        <w:rPr>
          <w:rFonts w:ascii="Arial" w:hAnsi="Arial" w:cs="Arial"/>
        </w:rPr>
        <w:t xml:space="preserve">According to Turner (2020) the sample within a research study involves choosing participants to gather data from, as it is impractical to attempt to collect data from the whole population. This research will use the voluntary response sampling method, McCombes (2022) describes the method as rather than the researcher contacting and choosing participants will alternatively allow participants to volunteer their participation by responding to the online survey. </w:t>
      </w:r>
    </w:p>
    <w:p w14:paraId="69A97BA6" w14:textId="77777777" w:rsidR="008114C6" w:rsidRPr="002B7998" w:rsidRDefault="008114C6" w:rsidP="008114C6">
      <w:pPr>
        <w:spacing w:line="480" w:lineRule="auto"/>
        <w:jc w:val="both"/>
        <w:rPr>
          <w:rFonts w:ascii="Arial" w:hAnsi="Arial" w:cs="Arial"/>
          <w:b/>
          <w:bCs/>
          <w:sz w:val="26"/>
          <w:szCs w:val="26"/>
        </w:rPr>
      </w:pPr>
    </w:p>
    <w:p w14:paraId="25F98E29" w14:textId="77777777" w:rsidR="008114C6" w:rsidRDefault="008114C6" w:rsidP="008114C6">
      <w:pPr>
        <w:spacing w:line="480" w:lineRule="auto"/>
        <w:jc w:val="both"/>
        <w:rPr>
          <w:rFonts w:ascii="Arial" w:hAnsi="Arial" w:cs="Arial"/>
          <w:b/>
          <w:bCs/>
          <w:sz w:val="26"/>
          <w:szCs w:val="26"/>
        </w:rPr>
      </w:pPr>
      <w:r w:rsidRPr="00574C60">
        <w:rPr>
          <w:rFonts w:ascii="Arial" w:hAnsi="Arial" w:cs="Arial"/>
          <w:b/>
          <w:bCs/>
          <w:sz w:val="26"/>
          <w:szCs w:val="26"/>
        </w:rPr>
        <w:t>3.7.</w:t>
      </w:r>
      <w:r>
        <w:rPr>
          <w:rFonts w:ascii="Arial" w:hAnsi="Arial" w:cs="Arial"/>
          <w:b/>
          <w:bCs/>
          <w:sz w:val="26"/>
          <w:szCs w:val="26"/>
        </w:rPr>
        <w:t>2</w:t>
      </w:r>
      <w:r w:rsidRPr="00574C60">
        <w:rPr>
          <w:rFonts w:ascii="Arial" w:hAnsi="Arial" w:cs="Arial"/>
          <w:b/>
          <w:bCs/>
          <w:sz w:val="26"/>
          <w:szCs w:val="26"/>
        </w:rPr>
        <w:t xml:space="preserve"> Reliability and Validity</w:t>
      </w:r>
    </w:p>
    <w:p w14:paraId="71CF8239" w14:textId="77777777" w:rsidR="008114C6" w:rsidRPr="00D86C88" w:rsidRDefault="008114C6" w:rsidP="008114C6">
      <w:pPr>
        <w:spacing w:line="480" w:lineRule="auto"/>
        <w:jc w:val="both"/>
        <w:rPr>
          <w:rFonts w:ascii="Arial" w:hAnsi="Arial" w:cs="Arial"/>
        </w:rPr>
      </w:pPr>
      <w:r>
        <w:rPr>
          <w:rFonts w:ascii="Arial" w:hAnsi="Arial" w:cs="Arial"/>
        </w:rPr>
        <w:t xml:space="preserve">Reliability according to Bermingham (2020, B) is the emphasis on how precise the research is described and evaluated in order for the study to be duplicated, such as </w:t>
      </w:r>
      <w:r>
        <w:rPr>
          <w:rFonts w:ascii="Arial" w:hAnsi="Arial" w:cs="Arial"/>
        </w:rPr>
        <w:lastRenderedPageBreak/>
        <w:t>the research methods, techniques, research design in order to reproduce similar results. To ensure the reliability of the study, it is important to be clear and exact in the explanation of research methods and also within the survey questions. Lee (2004) demonstrates that reliability can be strengthened when research is not easily misinterpreted or difficult to understand. Validity, according to Sullivan (2011), is how effectively the research can answer the research question. For example, within this study, if the participants gave false opinions the results of the research would not be valid. Cobern and Adams (2020) also explains that the survey research questions need to be constructed in a way that accumulates information that is important to the research. Cobern and Adams (2020) argues that if the survey generates invalid results, it is likely due to respondent error, which is the participant answering the survey question differently from what the researcher was anticipating. For example, simply asking “how should children be punished?” would not generate valid answers concerning children within the CJS.</w:t>
      </w:r>
    </w:p>
    <w:p w14:paraId="40C3C1EA" w14:textId="77777777" w:rsidR="008114C6" w:rsidRPr="00985D32" w:rsidRDefault="008114C6" w:rsidP="008114C6">
      <w:pPr>
        <w:spacing w:line="480" w:lineRule="auto"/>
        <w:jc w:val="both"/>
        <w:rPr>
          <w:rFonts w:ascii="Arial" w:hAnsi="Arial" w:cs="Arial"/>
          <w:b/>
          <w:bCs/>
          <w:sz w:val="26"/>
          <w:szCs w:val="26"/>
        </w:rPr>
      </w:pPr>
    </w:p>
    <w:p w14:paraId="30F2F591" w14:textId="77777777" w:rsidR="008114C6" w:rsidRPr="00985D32" w:rsidRDefault="008114C6" w:rsidP="008114C6">
      <w:pPr>
        <w:spacing w:line="480" w:lineRule="auto"/>
        <w:jc w:val="both"/>
        <w:rPr>
          <w:rFonts w:ascii="Arial" w:hAnsi="Arial" w:cs="Arial"/>
          <w:b/>
          <w:bCs/>
          <w:sz w:val="26"/>
          <w:szCs w:val="26"/>
        </w:rPr>
      </w:pPr>
      <w:r w:rsidRPr="00574C60">
        <w:rPr>
          <w:rFonts w:ascii="Arial" w:hAnsi="Arial" w:cs="Arial"/>
          <w:b/>
          <w:bCs/>
          <w:sz w:val="26"/>
          <w:szCs w:val="26"/>
        </w:rPr>
        <w:t>3.7</w:t>
      </w:r>
      <w:r>
        <w:rPr>
          <w:rFonts w:ascii="Arial" w:hAnsi="Arial" w:cs="Arial"/>
          <w:b/>
          <w:bCs/>
          <w:sz w:val="26"/>
          <w:szCs w:val="26"/>
        </w:rPr>
        <w:t>.3</w:t>
      </w:r>
      <w:r w:rsidRPr="00574C60">
        <w:rPr>
          <w:rFonts w:ascii="Arial" w:hAnsi="Arial" w:cs="Arial"/>
          <w:b/>
          <w:bCs/>
          <w:sz w:val="26"/>
          <w:szCs w:val="26"/>
        </w:rPr>
        <w:t xml:space="preserve"> Limitations</w:t>
      </w:r>
    </w:p>
    <w:p w14:paraId="73C3810E" w14:textId="77777777" w:rsidR="008114C6" w:rsidRPr="00574C60" w:rsidRDefault="008114C6" w:rsidP="008114C6">
      <w:pPr>
        <w:spacing w:line="480" w:lineRule="auto"/>
        <w:jc w:val="both"/>
        <w:rPr>
          <w:rFonts w:ascii="Arial" w:hAnsi="Arial" w:cs="Arial"/>
          <w:b/>
          <w:bCs/>
          <w:sz w:val="26"/>
          <w:szCs w:val="26"/>
        </w:rPr>
      </w:pPr>
      <w:r w:rsidRPr="00574C60">
        <w:rPr>
          <w:rFonts w:ascii="Arial" w:hAnsi="Arial" w:cs="Arial"/>
          <w:b/>
          <w:bCs/>
          <w:sz w:val="26"/>
          <w:szCs w:val="26"/>
        </w:rPr>
        <w:t>3.8 Summary</w:t>
      </w:r>
    </w:p>
    <w:p w14:paraId="2E3AFDEF" w14:textId="77777777" w:rsidR="008114C6" w:rsidRDefault="008114C6" w:rsidP="008114C6">
      <w:pPr>
        <w:spacing w:line="480" w:lineRule="auto"/>
        <w:jc w:val="both"/>
        <w:rPr>
          <w:rFonts w:ascii="Arial" w:hAnsi="Arial" w:cs="Arial"/>
          <w:b/>
          <w:bCs/>
          <w:sz w:val="28"/>
          <w:szCs w:val="28"/>
        </w:rPr>
      </w:pPr>
    </w:p>
    <w:p w14:paraId="76FFA524" w14:textId="77777777" w:rsidR="00155354" w:rsidRDefault="00155354"/>
    <w:sectPr w:rsidR="001553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354"/>
    <w:rsid w:val="00155354"/>
    <w:rsid w:val="00811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CFE20C"/>
  <w15:chartTrackingRefBased/>
  <w15:docId w15:val="{1DF76422-9095-4742-B6D8-AF7E63ADC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4C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1495</Words>
  <Characters>8523</Characters>
  <Application>Microsoft Office Word</Application>
  <DocSecurity>0</DocSecurity>
  <Lines>71</Lines>
  <Paragraphs>19</Paragraphs>
  <ScaleCrop>false</ScaleCrop>
  <Company/>
  <LinksUpToDate>false</LinksUpToDate>
  <CharactersWithSpaces>9999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Jacey Punter (2004350)</dc:creator>
  <cp:keywords/>
  <dc:description/>
  <cp:lastModifiedBy>Jacey Punter (2004350)</cp:lastModifiedBy>
  <cp:revision>2</cp:revision>
  <dcterms:created xsi:type="dcterms:W3CDTF">2023-01-24T10:48:00Z</dcterms:created>
  <dcterms:modified xsi:type="dcterms:W3CDTF">2023-01-24T10:49:00Z</dcterms:modified>
</cp:coreProperties>
</file>