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34F" w:rsidRDefault="0024134F" w:rsidP="00681E2F">
      <w:pPr>
        <w:jc w:val="center"/>
        <w:rPr>
          <w:sz w:val="44"/>
          <w:szCs w:val="44"/>
        </w:rPr>
      </w:pPr>
    </w:p>
    <w:p w:rsidR="00681E2F" w:rsidRDefault="00681E2F" w:rsidP="00681E2F">
      <w:pPr>
        <w:jc w:val="center"/>
        <w:rPr>
          <w:sz w:val="44"/>
          <w:szCs w:val="44"/>
        </w:rPr>
      </w:pPr>
      <w:r>
        <w:rPr>
          <w:noProof/>
          <w:sz w:val="44"/>
          <w:szCs w:val="44"/>
          <w:lang w:eastAsia="en-GB"/>
        </w:rPr>
        <mc:AlternateContent>
          <mc:Choice Requires="wps">
            <w:drawing>
              <wp:inline distT="0" distB="0" distL="0" distR="0">
                <wp:extent cx="4732934" cy="2494483"/>
                <wp:effectExtent l="0" t="0" r="10795" b="20320"/>
                <wp:docPr id="1" name="Rounded Rectangle 1"/>
                <wp:cNvGraphicFramePr/>
                <a:graphic xmlns:a="http://schemas.openxmlformats.org/drawingml/2006/main">
                  <a:graphicData uri="http://schemas.microsoft.com/office/word/2010/wordprocessingShape">
                    <wps:wsp>
                      <wps:cNvSpPr/>
                      <wps:spPr>
                        <a:xfrm>
                          <a:off x="0" y="0"/>
                          <a:ext cx="4732934" cy="249448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E2F" w:rsidRPr="00681E2F" w:rsidRDefault="00681E2F" w:rsidP="00681E2F">
                            <w:pPr>
                              <w:jc w:val="center"/>
                              <w:rPr>
                                <w:sz w:val="72"/>
                                <w:szCs w:val="72"/>
                              </w:rPr>
                            </w:pPr>
                            <w:r w:rsidRPr="00681E2F">
                              <w:rPr>
                                <w:sz w:val="72"/>
                                <w:szCs w:val="72"/>
                              </w:rPr>
                              <w:t>Charging</w:t>
                            </w:r>
                          </w:p>
                          <w:p w:rsidR="00681E2F" w:rsidRPr="00681E2F" w:rsidRDefault="00681E2F" w:rsidP="00681E2F">
                            <w:pPr>
                              <w:jc w:val="center"/>
                              <w:rPr>
                                <w:sz w:val="72"/>
                                <w:szCs w:val="72"/>
                              </w:rPr>
                            </w:pPr>
                            <w:r w:rsidRPr="00681E2F">
                              <w:rPr>
                                <w:sz w:val="72"/>
                                <w:szCs w:val="72"/>
                              </w:rPr>
                              <w:t>Pre-Read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1" o:spid="_x0000_s1026" style="width:372.65pt;height:196.4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bGgwIAAFIFAAAOAAAAZHJzL2Uyb0RvYy54bWysVE1v2zAMvQ/YfxB0X52k7toGdYqgRYcB&#10;RRv0Az0rshQbkEWNUmJnv36U7LhFW+wwLAeFEskn8vlRF5ddY9hOoa/BFnx6NOFMWQllbTcFf366&#10;+XbGmQ/ClsKAVQXfK88vF1+/XLRurmZQgSkVMgKxft66glchuHmWeVmpRvgjcMqSUwM2ItAWN1mJ&#10;oiX0xmSzyeR71gKWDkEq7+n0unfyRcLXWslwr7VXgZmCU20hrZjWdVyzxYWYb1C4qpZDGeIfqmhE&#10;benSEepaBMG2WH+AamqJ4EGHIwlNBlrXUqUeqJvp5F03j5VwKvVC5Hg30uT/H6y8262Q1SV9O86s&#10;aOgTPcDWlqpkD0SesBuj2DTS1Do/p+hHt8Jh58mMPXcam/hP3bAuUbsfqVVdYJIO89Pj2flxzpkk&#10;3yw/z/Oz44iavaY79OGHgoZFo+AYy4g1JF7F7taHPv4QR8mxpr6KZIW9UbEQYx+Upqbo3lnKTnJS&#10;VwbZTpAQhJTKhmnvqkSp+uOTCf2GosaMVGICjMi6NmbEHgCiVD9i97UO8TFVJTWOyZO/FdYnjxnp&#10;ZrBhTG5qC/gZgKGuhpv7+ANJPTWRpdCtOwqJ5hrKPX19hH4svJM3NXF/K3xYCaQ5oImh2Q73tGgD&#10;bcFhsDirAH9/dh7jSZ7k5ayluSq4/7UVqDgzPy0J93ya53EQ0yY/OZ3RBt961m89dttcAX0xEidV&#10;l8wYH8zB1AjNCz0By3gruYSVdHfBZcDD5ir0806PiFTLZQqj4XMi3NpHJyN4JDjK6ql7EegGAQbS&#10;7h0cZlDM30mwj42ZFpbbALpO+nzldaCeBjdpaHhk4svwdp+iXp/CxR8AAAD//wMAUEsDBBQABgAI&#10;AAAAIQDQXja+2gAAAAUBAAAPAAAAZHJzL2Rvd25yZXYueG1sTI/BTsMwEETvSPyDtUjcqENDIYQ4&#10;VaHqiROBS2+beIkD8TqK3db8PYYLXFYazWjmbbWOdhRHmv3gWMH1IgNB3Dk9cK/g7XV3VYDwAVnj&#10;6JgUfJGHdX1+VmGp3Ylf6NiEXqQS9iUqMCFMpZS+M2TRL9xEnLx3N1sMSc691DOeUrkd5TLLbqXF&#10;gdOCwYmeDHWfzcEqsDqP2w/c7GlXNI/7VXzezqZV6vIibh5ABIrhLww/+Akd6sTUugNrL0YF6ZHw&#10;e5N3d7PKQbQK8vtlAbKu5H/6+hsAAP//AwBQSwECLQAUAAYACAAAACEAtoM4kv4AAADhAQAAEwAA&#10;AAAAAAAAAAAAAAAAAAAAW0NvbnRlbnRfVHlwZXNdLnhtbFBLAQItABQABgAIAAAAIQA4/SH/1gAA&#10;AJQBAAALAAAAAAAAAAAAAAAAAC8BAABfcmVscy8ucmVsc1BLAQItABQABgAIAAAAIQDnnPbGgwIA&#10;AFIFAAAOAAAAAAAAAAAAAAAAAC4CAABkcnMvZTJvRG9jLnhtbFBLAQItABQABgAIAAAAIQDQXja+&#10;2gAAAAUBAAAPAAAAAAAAAAAAAAAAAN0EAABkcnMvZG93bnJldi54bWxQSwUGAAAAAAQABADzAAAA&#10;5AUAAAAA&#10;" fillcolor="#5b9bd5 [3204]" strokecolor="#1f4d78 [1604]" strokeweight="1pt">
                <v:stroke joinstyle="miter"/>
                <v:textbox>
                  <w:txbxContent>
                    <w:p w:rsidR="00681E2F" w:rsidRPr="00681E2F" w:rsidRDefault="00681E2F" w:rsidP="00681E2F">
                      <w:pPr>
                        <w:jc w:val="center"/>
                        <w:rPr>
                          <w:sz w:val="72"/>
                          <w:szCs w:val="72"/>
                        </w:rPr>
                      </w:pPr>
                      <w:r w:rsidRPr="00681E2F">
                        <w:rPr>
                          <w:sz w:val="72"/>
                          <w:szCs w:val="72"/>
                        </w:rPr>
                        <w:t>Charging</w:t>
                      </w:r>
                    </w:p>
                    <w:p w:rsidR="00681E2F" w:rsidRPr="00681E2F" w:rsidRDefault="00681E2F" w:rsidP="00681E2F">
                      <w:pPr>
                        <w:jc w:val="center"/>
                        <w:rPr>
                          <w:sz w:val="72"/>
                          <w:szCs w:val="72"/>
                        </w:rPr>
                      </w:pPr>
                      <w:r w:rsidRPr="00681E2F">
                        <w:rPr>
                          <w:sz w:val="72"/>
                          <w:szCs w:val="72"/>
                        </w:rPr>
                        <w:t>Pre-Read</w:t>
                      </w:r>
                    </w:p>
                  </w:txbxContent>
                </v:textbox>
                <w10:anchorlock/>
              </v:roundrect>
            </w:pict>
          </mc:Fallback>
        </mc:AlternateContent>
      </w: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r>
        <w:rPr>
          <w:noProof/>
          <w:sz w:val="44"/>
          <w:szCs w:val="44"/>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2589251</wp:posOffset>
                </wp:positionH>
                <wp:positionV relativeFrom="paragraph">
                  <wp:posOffset>6706</wp:posOffset>
                </wp:positionV>
                <wp:extent cx="3518611" cy="1689811"/>
                <wp:effectExtent l="0" t="0" r="24765" b="24765"/>
                <wp:wrapNone/>
                <wp:docPr id="2" name="Rounded Rectangle 2"/>
                <wp:cNvGraphicFramePr/>
                <a:graphic xmlns:a="http://schemas.openxmlformats.org/drawingml/2006/main">
                  <a:graphicData uri="http://schemas.microsoft.com/office/word/2010/wordprocessingShape">
                    <wps:wsp>
                      <wps:cNvSpPr/>
                      <wps:spPr>
                        <a:xfrm>
                          <a:off x="0" y="0"/>
                          <a:ext cx="3518611" cy="168981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E2F" w:rsidRPr="00681E2F" w:rsidRDefault="00681E2F" w:rsidP="00681E2F">
                            <w:pPr>
                              <w:jc w:val="center"/>
                              <w:rPr>
                                <w:rFonts w:ascii="Arial Rounded MT Bold" w:hAnsi="Arial Rounded MT Bold"/>
                                <w:sz w:val="52"/>
                                <w:szCs w:val="52"/>
                              </w:rPr>
                            </w:pPr>
                            <w:r w:rsidRPr="00681E2F">
                              <w:rPr>
                                <w:rFonts w:ascii="Arial Rounded MT Bold" w:hAnsi="Arial Rounded MT Bold"/>
                                <w:sz w:val="52"/>
                                <w:szCs w:val="52"/>
                              </w:rPr>
                              <w:t>Gravity Matrix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 o:spid="_x0000_s1027" style="position:absolute;left:0;text-align:left;margin-left:203.9pt;margin-top:.55pt;width:277.05pt;height:133.0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51ChQIAAFkFAAAOAAAAZHJzL2Uyb0RvYy54bWysVFFP2zAQfp+0/2D5faTpgJWqKaqKmCYh&#10;QMDEs+vYTSTH553dJt2v39lJAwK0h2l9SH2+u8/fnb/z4rJrDNsr9DXYgucnE86UlVDWdlvwn0/X&#10;X2ac+SBsKQxYVfCD8vxy+fnTonVzNYUKTKmQEYj189YVvArBzbPMy0o1wp+AU5acGrARgUzcZiWK&#10;ltAbk00nk/OsBSwdglTe0+5V7+TLhK+1kuFOa68CMwUnbiF9MX038ZstF2K+ReGqWg40xD+waERt&#10;6dAR6koEwXZYv4NqaongQYcTCU0GWtdSpRqomnzypprHSjiVaqHmeDe2yf8/WHm7v0dWlwWfcmZF&#10;Q1f0ADtbqpI9UPOE3RrFprFNrfNzin509zhYnpax5k5jE/+pGtal1h7G1qouMEmbX8/y2XmecybJ&#10;l5/PLmZkEE72ku7Qh+8KGhYXBcdII3JIfRX7Gx/6+GMcJUdOPYu0CgejIhFjH5SmoujcacpOclJr&#10;g2wvSAhCSmVD3rsqUap++2xCv4HUmJEoJsCIrGtjRuwBIEr1PXbPdYiPqSqpcUye/I1YnzxmpJPB&#10;hjG5qS3gRwCGqhpO7uOPTepbE7sUuk2XLjxFxp0NlAcSAUI/Hd7J65qu4Eb4cC+QxoEGh0Y83NFH&#10;G2gLDsOKswrw90f7MZ5USl7OWhqvgvtfO4GKM/PDkn4v8tPTOI/JOD37NiUDX3s2rz1216yBLo70&#10;Q+zSMsYHc1xqhOaZXoJVPJVcwko6u+Ay4NFYh37s6S2RarVKYTSDToQb++hkBI99jup66p4FukGH&#10;gSR8C8dRFPM3SuxjY6aF1S6ArpNMX/o63ADNb5LS8NbEB+K1naJeXsTlHwAAAP//AwBQSwMEFAAG&#10;AAgAAAAhAK0Ti+TdAAAACQEAAA8AAABkcnMvZG93bnJldi54bWxMjzFPwzAQhXck/oN1SGzUSYC0&#10;DXGqQtWJicDSzYmPOBCfI9ttzb/HTHQ8fU/vfVdvopnYCZ0fLQnIFxkwpN6qkQYBH+/7uxUwHyQp&#10;OVlCAT/oYdNcX9WyUvZMb3hqw8BSCflKCtAhzBXnvtdopF/YGSmxT+uMDOl0A1dOnlO5mXiRZSU3&#10;cqS0oOWMLxr77/ZoBBh1H3dfcnvA/ap9PjzG153TnRC3N3H7BCxgDP9h+NNP6tAkp84eSXk2CXjI&#10;lkk9JJADS3xd5mtgnYCiXBbAm5pfftD8AgAA//8DAFBLAQItABQABgAIAAAAIQC2gziS/gAAAOEB&#10;AAATAAAAAAAAAAAAAAAAAAAAAABbQ29udGVudF9UeXBlc10ueG1sUEsBAi0AFAAGAAgAAAAhADj9&#10;If/WAAAAlAEAAAsAAAAAAAAAAAAAAAAALwEAAF9yZWxzLy5yZWxzUEsBAi0AFAAGAAgAAAAhAKpH&#10;nUKFAgAAWQUAAA4AAAAAAAAAAAAAAAAALgIAAGRycy9lMm9Eb2MueG1sUEsBAi0AFAAGAAgAAAAh&#10;AK0Ti+TdAAAACQEAAA8AAAAAAAAAAAAAAAAA3wQAAGRycy9kb3ducmV2LnhtbFBLBQYAAAAABAAE&#10;APMAAADpBQAAAAA=&#10;" fillcolor="#5b9bd5 [3204]" strokecolor="#1f4d78 [1604]" strokeweight="1pt">
                <v:stroke joinstyle="miter"/>
                <v:textbox>
                  <w:txbxContent>
                    <w:p w:rsidR="00681E2F" w:rsidRPr="00681E2F" w:rsidRDefault="00681E2F" w:rsidP="00681E2F">
                      <w:pPr>
                        <w:jc w:val="center"/>
                        <w:rPr>
                          <w:rFonts w:ascii="Arial Rounded MT Bold" w:hAnsi="Arial Rounded MT Bold"/>
                          <w:sz w:val="52"/>
                          <w:szCs w:val="52"/>
                        </w:rPr>
                      </w:pPr>
                      <w:r w:rsidRPr="00681E2F">
                        <w:rPr>
                          <w:rFonts w:ascii="Arial Rounded MT Bold" w:hAnsi="Arial Rounded MT Bold"/>
                          <w:sz w:val="52"/>
                          <w:szCs w:val="52"/>
                        </w:rPr>
                        <w:t>Gravity Matrix</w:t>
                      </w:r>
                    </w:p>
                  </w:txbxContent>
                </v:textbox>
              </v:roundrect>
            </w:pict>
          </mc:Fallback>
        </mc:AlternateContent>
      </w: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r>
        <w:rPr>
          <w:noProof/>
          <w:sz w:val="44"/>
          <w:szCs w:val="44"/>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7772</wp:posOffset>
                </wp:positionV>
                <wp:extent cx="6012510" cy="1243584"/>
                <wp:effectExtent l="0" t="0" r="26670" b="13970"/>
                <wp:wrapNone/>
                <wp:docPr id="3" name="Rounded Rectangle 3"/>
                <wp:cNvGraphicFramePr/>
                <a:graphic xmlns:a="http://schemas.openxmlformats.org/drawingml/2006/main">
                  <a:graphicData uri="http://schemas.microsoft.com/office/word/2010/wordprocessingShape">
                    <wps:wsp>
                      <wps:cNvSpPr/>
                      <wps:spPr>
                        <a:xfrm>
                          <a:off x="0" y="0"/>
                          <a:ext cx="6012510" cy="124358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E2F" w:rsidRPr="00681E2F" w:rsidRDefault="00681E2F" w:rsidP="00681E2F">
                            <w:pPr>
                              <w:spacing w:after="0"/>
                              <w:jc w:val="center"/>
                              <w:rPr>
                                <w:rFonts w:ascii="Arial Rounded MT Bold" w:hAnsi="Arial Rounded MT Bold"/>
                              </w:rPr>
                            </w:pPr>
                            <w:r w:rsidRPr="00681E2F">
                              <w:rPr>
                                <w:rFonts w:ascii="Arial Rounded MT Bold" w:hAnsi="Arial Rounded MT Bold"/>
                              </w:rPr>
                              <w:t>This matrix is a decision making tool to assist in deciding if an adult offender can be dealt with by the use of an Out of Court disposal. It is based on the offence committed, taking into account any aggravating or mitigating factors, as well as the harm that the offender may present based on their previous offending history. In addition where the victim’s views are obtainable, these should be taken into account.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8" style="position:absolute;left:0;text-align:left;margin-left:0;margin-top:.6pt;width:473.45pt;height:97.9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SdLhgIAAFkFAAAOAAAAZHJzL2Uyb0RvYy54bWysVN1P2zAQf5+0/8Hy+8gHLWMVKapATJMQ&#10;VMDEs+vYTSTb59luk+6v39lJAwK0h2l5cGzf3c/38bu7uOy1InvhfAumosVJTokwHOrWbCv68+nm&#10;yzklPjBTMwVGVPQgPL1cfv500dmFKKEBVQtHEMT4RWcr2oRgF1nmeSM08ydghUGhBKdZwKPbZrVj&#10;HaJrlZV5fpZ14GrrgAvv8fZ6ENJlwpdS8HAvpReBqIqibyGtLq2buGbLC7bYOmablo9usH/wQrPW&#10;4KMT1DULjOxc+w5Kt9yBBxlOOOgMpGy5SDFgNEX+JprHhlmRYsHkeDulyf8/WH63XzvS1hU9pcQw&#10;jSV6gJ2pRU0eMHnMbJUgpzFNnfUL1H60azeePG5jzL10Ov4xGtKn1B6m1Io+EI6XZ3lRzgusAEdZ&#10;Uc5O5+eziJq9mFvnw3cBmsRNRV10I/qQ8sr2tz4M+kc9NI4+DV6kXTgoER1R5kFIDArfLZN1opO4&#10;Uo7sGRKBcS5MKAZRw2oxXM9z/EanJovkYgKMyLJVasIeASJV32MPvo760VQkNk7G+d8cG4wni/Qy&#10;mDAZ69aA+whAYVTjy4P+MUlDamKWQr/pU8HLqBlvNlAfkAQOhu7wlt+0WIJb5sOaOWwHLBu2eLjH&#10;RSroKgrjjpIG3O+P7qM+shSllHTYXhX1v3bMCUrUD4P8/VbMZrEf02E2/1riwb2WbF5LzE5fARau&#10;wGFiedpG/aCOW+lAP+MkWMVXUcQMx7cryoM7Hq7C0PY4S7hYrZIa9qBl4dY8Wh7BY54ju576Z+bs&#10;yMOAFL6DYyuyxRsmDrrR0sBqF0C2iaYveR0rgP2bqDTOmjggXp+T1stEXP4BAAD//wMAUEsDBBQA&#10;BgAIAAAAIQCOWjGf2gAAAAYBAAAPAAAAZHJzL2Rvd25yZXYueG1sTI/BTsMwEETvSPyDtUjcqEOB&#10;0qRxqkLVEycCl96ceBsH4nUUu635e5YTPc7OauZNuU5uECecQu9Jwf0sA4HUetNTp+DzY3e3BBGi&#10;JqMHT6jgBwOsq+urUhfGn+kdT3XsBIdQKLQCG+NYSBlai06HmR+R2Dv4yenIcuqkmfSZw90g51m2&#10;kE73xA1Wj/hqsf2uj06BMw9p+6U3e9wt65f9U3rbTrZR6vYmbVYgIqb4/wx/+IwOFTM1/kgmiEEB&#10;D4l8nYNgM39c5CAa1vlzBrIq5SV+9QsAAP//AwBQSwECLQAUAAYACAAAACEAtoM4kv4AAADhAQAA&#10;EwAAAAAAAAAAAAAAAAAAAAAAW0NvbnRlbnRfVHlwZXNdLnhtbFBLAQItABQABgAIAAAAIQA4/SH/&#10;1gAAAJQBAAALAAAAAAAAAAAAAAAAAC8BAABfcmVscy8ucmVsc1BLAQItABQABgAIAAAAIQAfbSdL&#10;hgIAAFkFAAAOAAAAAAAAAAAAAAAAAC4CAABkcnMvZTJvRG9jLnhtbFBLAQItABQABgAIAAAAIQCO&#10;WjGf2gAAAAYBAAAPAAAAAAAAAAAAAAAAAOAEAABkcnMvZG93bnJldi54bWxQSwUGAAAAAAQABADz&#10;AAAA5wUAAAAA&#10;" fillcolor="#5b9bd5 [3204]" strokecolor="#1f4d78 [1604]" strokeweight="1pt">
                <v:stroke joinstyle="miter"/>
                <v:textbox>
                  <w:txbxContent>
                    <w:p w:rsidR="00681E2F" w:rsidRPr="00681E2F" w:rsidRDefault="00681E2F" w:rsidP="00681E2F">
                      <w:pPr>
                        <w:spacing w:after="0"/>
                        <w:jc w:val="center"/>
                        <w:rPr>
                          <w:rFonts w:ascii="Arial Rounded MT Bold" w:hAnsi="Arial Rounded MT Bold"/>
                        </w:rPr>
                      </w:pPr>
                      <w:r w:rsidRPr="00681E2F">
                        <w:rPr>
                          <w:rFonts w:ascii="Arial Rounded MT Bold" w:hAnsi="Arial Rounded MT Bold"/>
                        </w:rPr>
                        <w:t>This matrix is a decision making tool to assist in deciding if an adult offender can be dealt with by</w:t>
                      </w:r>
                      <w:r w:rsidRPr="00681E2F">
                        <w:rPr>
                          <w:rFonts w:ascii="Arial Rounded MT Bold" w:hAnsi="Arial Rounded MT Bold"/>
                        </w:rPr>
                        <w:t xml:space="preserve"> </w:t>
                      </w:r>
                      <w:r w:rsidRPr="00681E2F">
                        <w:rPr>
                          <w:rFonts w:ascii="Arial Rounded MT Bold" w:hAnsi="Arial Rounded MT Bold"/>
                        </w:rPr>
                        <w:t>the use of an Out of Court disposal. It is based on the offence committed, taking into account any</w:t>
                      </w:r>
                      <w:r w:rsidRPr="00681E2F">
                        <w:rPr>
                          <w:rFonts w:ascii="Arial Rounded MT Bold" w:hAnsi="Arial Rounded MT Bold"/>
                        </w:rPr>
                        <w:t xml:space="preserve"> </w:t>
                      </w:r>
                      <w:r w:rsidRPr="00681E2F">
                        <w:rPr>
                          <w:rFonts w:ascii="Arial Rounded MT Bold" w:hAnsi="Arial Rounded MT Bold"/>
                        </w:rPr>
                        <w:t>aggravating or mitigating factors, as well as the harm that the offender may present based on</w:t>
                      </w:r>
                      <w:r w:rsidRPr="00681E2F">
                        <w:rPr>
                          <w:rFonts w:ascii="Arial Rounded MT Bold" w:hAnsi="Arial Rounded MT Bold"/>
                        </w:rPr>
                        <w:t xml:space="preserve"> </w:t>
                      </w:r>
                      <w:r w:rsidRPr="00681E2F">
                        <w:rPr>
                          <w:rFonts w:ascii="Arial Rounded MT Bold" w:hAnsi="Arial Rounded MT Bold"/>
                        </w:rPr>
                        <w:t>their previous offending history. In addition where the victim’s views are obtainable, these should</w:t>
                      </w:r>
                      <w:r w:rsidRPr="00681E2F">
                        <w:rPr>
                          <w:rFonts w:ascii="Arial Rounded MT Bold" w:hAnsi="Arial Rounded MT Bold"/>
                        </w:rPr>
                        <w:t xml:space="preserve"> </w:t>
                      </w:r>
                      <w:r w:rsidRPr="00681E2F">
                        <w:rPr>
                          <w:rFonts w:ascii="Arial Rounded MT Bold" w:hAnsi="Arial Rounded MT Bold"/>
                        </w:rPr>
                        <w:t>be taken into account.</w:t>
                      </w:r>
                    </w:p>
                  </w:txbxContent>
                </v:textbox>
                <w10:wrap anchorx="margin"/>
              </v:roundrect>
            </w:pict>
          </mc:Fallback>
        </mc:AlternateContent>
      </w:r>
    </w:p>
    <w:p w:rsidR="00681E2F" w:rsidRDefault="00681E2F" w:rsidP="00681E2F">
      <w:pPr>
        <w:jc w:val="center"/>
        <w:rPr>
          <w:sz w:val="44"/>
          <w:szCs w:val="44"/>
        </w:rPr>
      </w:pPr>
    </w:p>
    <w:p w:rsidR="00681E2F" w:rsidRDefault="00681E2F" w:rsidP="00681E2F">
      <w:pPr>
        <w:jc w:val="center"/>
        <w:rPr>
          <w:sz w:val="44"/>
          <w:szCs w:val="44"/>
        </w:rPr>
      </w:pPr>
      <w:r>
        <w:rPr>
          <w:noProof/>
          <w:sz w:val="44"/>
          <w:szCs w:val="44"/>
          <w:lang w:eastAsia="en-GB"/>
        </w:rPr>
        <mc:AlternateContent>
          <mc:Choice Requires="wps">
            <w:drawing>
              <wp:anchor distT="0" distB="0" distL="114300" distR="114300" simplePos="0" relativeHeight="251661312" behindDoc="0" locked="0" layoutInCell="1" allowOverlap="1">
                <wp:simplePos x="0" y="0"/>
                <wp:positionH relativeFrom="column">
                  <wp:posOffset>1389888</wp:posOffset>
                </wp:positionH>
                <wp:positionV relativeFrom="paragraph">
                  <wp:posOffset>444449</wp:posOffset>
                </wp:positionV>
                <wp:extent cx="5968669" cy="1411834"/>
                <wp:effectExtent l="0" t="0" r="13335" b="17145"/>
                <wp:wrapNone/>
                <wp:docPr id="4" name="Rounded Rectangle 4"/>
                <wp:cNvGraphicFramePr/>
                <a:graphic xmlns:a="http://schemas.openxmlformats.org/drawingml/2006/main">
                  <a:graphicData uri="http://schemas.microsoft.com/office/word/2010/wordprocessingShape">
                    <wps:wsp>
                      <wps:cNvSpPr/>
                      <wps:spPr>
                        <a:xfrm>
                          <a:off x="0" y="0"/>
                          <a:ext cx="5968669" cy="141183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81E2F" w:rsidRPr="00681E2F" w:rsidRDefault="00681E2F" w:rsidP="00681E2F">
                            <w:pPr>
                              <w:spacing w:after="0"/>
                              <w:jc w:val="center"/>
                              <w:rPr>
                                <w:rFonts w:ascii="Arial Rounded MT Bold" w:hAnsi="Arial Rounded MT Bold"/>
                              </w:rPr>
                            </w:pPr>
                            <w:r w:rsidRPr="00681E2F">
                              <w:rPr>
                                <w:rFonts w:ascii="Arial Rounded MT Bold" w:hAnsi="Arial Rounded MT Bold"/>
                              </w:rPr>
                              <w:t>In compliance to the nationally agreed Out of Court Disposal Strategy, the matrix is based on two possible Out of Court options, namely: Conditional Cautions and Community Resolutions. The final outcome score should only be decided once the appropriate offence has been selected, consideration of aggravating or mitigating factors, and key factors checklist completed.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9" style="position:absolute;left:0;text-align:left;margin-left:109.45pt;margin-top:35pt;width:469.95pt;height:1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LeWiQIAAFkFAAAOAAAAZHJzL2Uyb0RvYy54bWysVN1P2zAQf5+0/8Hy+0hTSgcVKapATJMQ&#10;ID7Es+vYTSTH553dJt1fv7OTBgRoD9Py4Ph8d7/78O98ftE1hu0U+hpswfOjCWfKSihruyn489P1&#10;t1POfBC2FAasKvheeX6x/PrlvHULNYUKTKmQEYj1i9YVvArBLbLMy0o1wh+BU5aUGrARgUTcZCWK&#10;ltAbk00nk3nWApYOQSrv6fSqV/JlwtdayXCntVeBmYJTbiGtmNZ1XLPluVhsULiqlkMa4h+yaERt&#10;KegIdSWCYFusP0A1tUTwoMORhCYDrWupUg1UTT55V81jJZxKtVBzvBvb5P8frLzd3SOry4LPOLOi&#10;oSt6gK0tVckeqHnCboxis9im1vkFWT+6exwkT9tYc6exiX+qhnWptfuxtaoLTNLhydn8dD4/40yS&#10;Lp/l+elxQs1e3R368ENBw+Km4BjTiDmkvordjQ8Ul+wPdiTEnPos0i7sjYqJGPugNBVFcafJO9FJ&#10;XRpkO0FEEFIqG/JeVYlS9ccnE/piqRRk9EhSAozIujZmxB4AIlU/Yvcwg310VYmNo/Pkb4n1zqNH&#10;igw2jM5NbQE/AzBU1RC5tz80qW9N7FLo1l268OPDra6h3BMJEPrp8E5e13QFN8KHe4E0DjQ4NOLh&#10;jhZtoC04DDvOKsDfn51He2IpaTlrabwK7n9tBSrOzE9L/D3LZ7M4j0mYnXyfkoBvNeu3GrttLoEu&#10;LqfHxMm0jfbBHLYaoXmhl2AVo5JKWEmxCy4DHoTL0I89vSVSrVbJjGbQiXBjH52M4LHPkV1P3YtA&#10;N/AwEIVv4TCKYvGOib1t9LSw2gbQdaJp7HTf1+EGaH4TlYa3Jj4Qb+Vk9foiLv8AAAD//wMAUEsD&#10;BBQABgAIAAAAIQAIiNsm3gAAAAsBAAAPAAAAZHJzL2Rvd25yZXYueG1sTI8xT8MwEIV3JP6DdUhs&#10;1EmqQhriVIWqExOBpZsTH3EgtiPbbc2/5zrR8fSe3n1fvUlmYif0YXRWQL7IgKHtnRrtIODzY/9Q&#10;AgtRWiUnZ1HALwbYNLc3tayUO9t3PLVxYDRiQyUF6BjnivPQazQyLNyMlrIv542MdPqBKy/PNG4m&#10;XmTZIzdytPRByxlfNfY/7dEIMGqZdt9ye8B92b4cVult53UnxP1d2j4Di5jifxku+IQODTF17mhV&#10;YJOAIi/XVBXwlJHTpZCvSpLpKFoXS+BNza8dmj8AAAD//wMAUEsBAi0AFAAGAAgAAAAhALaDOJL+&#10;AAAA4QEAABMAAAAAAAAAAAAAAAAAAAAAAFtDb250ZW50X1R5cGVzXS54bWxQSwECLQAUAAYACAAA&#10;ACEAOP0h/9YAAACUAQAACwAAAAAAAAAAAAAAAAAvAQAAX3JlbHMvLnJlbHNQSwECLQAUAAYACAAA&#10;ACEAs8C3lokCAABZBQAADgAAAAAAAAAAAAAAAAAuAgAAZHJzL2Uyb0RvYy54bWxQSwECLQAUAAYA&#10;CAAAACEACIjbJt4AAAALAQAADwAAAAAAAAAAAAAAAADjBAAAZHJzL2Rvd25yZXYueG1sUEsFBgAA&#10;AAAEAAQA8wAAAO4FAAAAAA==&#10;" fillcolor="#5b9bd5 [3204]" strokecolor="#1f4d78 [1604]" strokeweight="1pt">
                <v:stroke joinstyle="miter"/>
                <v:textbox>
                  <w:txbxContent>
                    <w:p w:rsidR="00681E2F" w:rsidRPr="00681E2F" w:rsidRDefault="00681E2F" w:rsidP="00681E2F">
                      <w:pPr>
                        <w:spacing w:after="0"/>
                        <w:jc w:val="center"/>
                        <w:rPr>
                          <w:rFonts w:ascii="Arial Rounded MT Bold" w:hAnsi="Arial Rounded MT Bold"/>
                        </w:rPr>
                      </w:pPr>
                      <w:r w:rsidRPr="00681E2F">
                        <w:rPr>
                          <w:rFonts w:ascii="Arial Rounded MT Bold" w:hAnsi="Arial Rounded MT Bold"/>
                        </w:rPr>
                        <w:t>In compliance to the nationally agreed Out of Court Disposal Strategy, the matrix is based on two</w:t>
                      </w:r>
                      <w:r w:rsidRPr="00681E2F">
                        <w:rPr>
                          <w:rFonts w:ascii="Arial Rounded MT Bold" w:hAnsi="Arial Rounded MT Bold"/>
                        </w:rPr>
                        <w:t xml:space="preserve"> </w:t>
                      </w:r>
                      <w:r w:rsidRPr="00681E2F">
                        <w:rPr>
                          <w:rFonts w:ascii="Arial Rounded MT Bold" w:hAnsi="Arial Rounded MT Bold"/>
                        </w:rPr>
                        <w:t>possible Out of Court options, namely: Conditional Cautions and Community Resolutions. The</w:t>
                      </w:r>
                      <w:r w:rsidRPr="00681E2F">
                        <w:rPr>
                          <w:rFonts w:ascii="Arial Rounded MT Bold" w:hAnsi="Arial Rounded MT Bold"/>
                        </w:rPr>
                        <w:t xml:space="preserve"> </w:t>
                      </w:r>
                      <w:r w:rsidRPr="00681E2F">
                        <w:rPr>
                          <w:rFonts w:ascii="Arial Rounded MT Bold" w:hAnsi="Arial Rounded MT Bold"/>
                        </w:rPr>
                        <w:t>final outcome score should only be decided once the appropriate offence has been selected,</w:t>
                      </w:r>
                      <w:r w:rsidRPr="00681E2F">
                        <w:rPr>
                          <w:rFonts w:ascii="Arial Rounded MT Bold" w:hAnsi="Arial Rounded MT Bold"/>
                        </w:rPr>
                        <w:t xml:space="preserve"> </w:t>
                      </w:r>
                      <w:r w:rsidRPr="00681E2F">
                        <w:rPr>
                          <w:rFonts w:ascii="Arial Rounded MT Bold" w:hAnsi="Arial Rounded MT Bold"/>
                        </w:rPr>
                        <w:t>consideration of aggravating or mitigating factors, and key factors checklist completed.</w:t>
                      </w:r>
                    </w:p>
                  </w:txbxContent>
                </v:textbox>
              </v:roundrect>
            </w:pict>
          </mc:Fallback>
        </mc:AlternateContent>
      </w: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p w:rsidR="00681E2F" w:rsidRDefault="00681E2F" w:rsidP="00681E2F">
      <w:pPr>
        <w:jc w:val="center"/>
        <w:rPr>
          <w:sz w:val="44"/>
          <w:szCs w:val="44"/>
        </w:rPr>
      </w:pPr>
    </w:p>
    <w:tbl>
      <w:tblPr>
        <w:tblStyle w:val="TableGrid"/>
        <w:tblW w:w="0" w:type="auto"/>
        <w:tblLook w:val="04A0" w:firstRow="1" w:lastRow="0" w:firstColumn="1" w:lastColumn="0" w:noHBand="0" w:noVBand="1"/>
      </w:tblPr>
      <w:tblGrid>
        <w:gridCol w:w="2830"/>
        <w:gridCol w:w="11118"/>
      </w:tblGrid>
      <w:tr w:rsidR="00681E2F" w:rsidTr="00681E2F">
        <w:tc>
          <w:tcPr>
            <w:tcW w:w="2830" w:type="dxa"/>
            <w:shd w:val="clear" w:color="auto" w:fill="FFC000"/>
          </w:tcPr>
          <w:p w:rsidR="00681E2F" w:rsidRPr="00681E2F" w:rsidRDefault="00681E2F" w:rsidP="00681E2F">
            <w:pPr>
              <w:jc w:val="center"/>
              <w:rPr>
                <w:rFonts w:ascii="Arial Rounded MT Bold" w:hAnsi="Arial Rounded MT Bold"/>
                <w:sz w:val="44"/>
                <w:szCs w:val="44"/>
              </w:rPr>
            </w:pPr>
            <w:r w:rsidRPr="00681E2F">
              <w:rPr>
                <w:rFonts w:ascii="Arial Rounded MT Bold" w:hAnsi="Arial Rounded MT Bold"/>
                <w:sz w:val="44"/>
                <w:szCs w:val="44"/>
              </w:rPr>
              <w:lastRenderedPageBreak/>
              <w:t>Score</w:t>
            </w:r>
          </w:p>
        </w:tc>
        <w:tc>
          <w:tcPr>
            <w:tcW w:w="11118" w:type="dxa"/>
            <w:shd w:val="clear" w:color="auto" w:fill="FFC000"/>
          </w:tcPr>
          <w:p w:rsidR="00681E2F" w:rsidRPr="00681E2F" w:rsidRDefault="00681E2F" w:rsidP="00681E2F">
            <w:pPr>
              <w:jc w:val="center"/>
              <w:rPr>
                <w:rFonts w:ascii="Arial Rounded MT Bold" w:hAnsi="Arial Rounded MT Bold"/>
                <w:sz w:val="44"/>
                <w:szCs w:val="44"/>
              </w:rPr>
            </w:pPr>
            <w:r w:rsidRPr="00681E2F">
              <w:rPr>
                <w:rFonts w:ascii="Arial Rounded MT Bold" w:hAnsi="Arial Rounded MT Bold"/>
                <w:sz w:val="44"/>
                <w:szCs w:val="44"/>
              </w:rPr>
              <w:t>Action</w:t>
            </w:r>
          </w:p>
        </w:tc>
      </w:tr>
      <w:tr w:rsidR="00681E2F" w:rsidTr="00681E2F">
        <w:tc>
          <w:tcPr>
            <w:tcW w:w="2830" w:type="dxa"/>
          </w:tcPr>
          <w:p w:rsidR="00CD7E79" w:rsidRDefault="00CD7E79" w:rsidP="00681E2F">
            <w:pPr>
              <w:jc w:val="center"/>
              <w:rPr>
                <w:rFonts w:ascii="Arial Rounded MT Bold" w:hAnsi="Arial Rounded MT Bold"/>
                <w:sz w:val="44"/>
                <w:szCs w:val="44"/>
              </w:rPr>
            </w:pPr>
          </w:p>
          <w:p w:rsidR="00681E2F" w:rsidRPr="00681E2F" w:rsidRDefault="00CD7E79" w:rsidP="00681E2F">
            <w:pPr>
              <w:jc w:val="center"/>
              <w:rPr>
                <w:rFonts w:ascii="Arial Rounded MT Bold" w:hAnsi="Arial Rounded MT Bold"/>
                <w:sz w:val="44"/>
                <w:szCs w:val="44"/>
              </w:rPr>
            </w:pPr>
            <w:r>
              <w:rPr>
                <w:rFonts w:ascii="Arial Rounded MT Bold" w:hAnsi="Arial Rounded MT Bold"/>
                <w:sz w:val="44"/>
                <w:szCs w:val="44"/>
              </w:rPr>
              <w:t>4</w:t>
            </w:r>
          </w:p>
        </w:tc>
        <w:tc>
          <w:tcPr>
            <w:tcW w:w="11118" w:type="dxa"/>
          </w:tcPr>
          <w:p w:rsidR="00CD7E79" w:rsidRDefault="00CD7E79" w:rsidP="00681E2F">
            <w:pPr>
              <w:jc w:val="center"/>
              <w:rPr>
                <w:rFonts w:ascii="Arial Rounded MT Bold" w:hAnsi="Arial Rounded MT Bold"/>
                <w:sz w:val="24"/>
                <w:szCs w:val="24"/>
              </w:rPr>
            </w:pPr>
          </w:p>
          <w:p w:rsidR="00CD7E79" w:rsidRPr="00CD7E79" w:rsidRDefault="00CD7E79" w:rsidP="00681E2F">
            <w:pPr>
              <w:jc w:val="center"/>
              <w:rPr>
                <w:rFonts w:ascii="Arial Rounded MT Bold" w:hAnsi="Arial Rounded MT Bold"/>
              </w:rPr>
            </w:pPr>
            <w:r w:rsidRPr="00CD7E79">
              <w:rPr>
                <w:rFonts w:ascii="Arial Rounded MT Bold" w:hAnsi="Arial Rounded MT Bold"/>
              </w:rPr>
              <w:t xml:space="preserve">Always Charge </w:t>
            </w:r>
          </w:p>
          <w:p w:rsidR="00CD7E79" w:rsidRPr="00CD7E79" w:rsidRDefault="00CD7E79" w:rsidP="00681E2F">
            <w:pPr>
              <w:jc w:val="center"/>
              <w:rPr>
                <w:rFonts w:ascii="Arial Rounded MT Bold" w:hAnsi="Arial Rounded MT Bold"/>
              </w:rPr>
            </w:pPr>
            <w:r w:rsidRPr="00CD7E79">
              <w:rPr>
                <w:rFonts w:ascii="Arial Rounded MT Bold" w:hAnsi="Arial Rounded MT Bold"/>
              </w:rPr>
              <w:t xml:space="preserve"> </w:t>
            </w:r>
          </w:p>
          <w:p w:rsidR="00681E2F" w:rsidRPr="00CD7E79" w:rsidRDefault="00CD7E79" w:rsidP="00681E2F">
            <w:pPr>
              <w:jc w:val="center"/>
              <w:rPr>
                <w:rFonts w:ascii="Arial Rounded MT Bold" w:hAnsi="Arial Rounded MT Bold"/>
              </w:rPr>
            </w:pPr>
            <w:r w:rsidRPr="00CD7E79">
              <w:rPr>
                <w:rFonts w:ascii="Arial Rounded MT Bold" w:hAnsi="Arial Rounded MT Bold"/>
              </w:rPr>
              <w:t>A conditional caution would not usually be appropriate for a score of 4 however it could be considered in exceptional circumstances relating to the offence, the offender or the victim where it can be justified</w:t>
            </w:r>
          </w:p>
          <w:p w:rsidR="00CD7E79" w:rsidRPr="00CD7E79" w:rsidRDefault="00CD7E79" w:rsidP="00681E2F">
            <w:pPr>
              <w:jc w:val="center"/>
              <w:rPr>
                <w:rFonts w:ascii="Arial Rounded MT Bold" w:hAnsi="Arial Rounded MT Bold"/>
                <w:sz w:val="24"/>
                <w:szCs w:val="24"/>
              </w:rPr>
            </w:pPr>
          </w:p>
        </w:tc>
      </w:tr>
      <w:tr w:rsidR="00681E2F" w:rsidTr="00681E2F">
        <w:tc>
          <w:tcPr>
            <w:tcW w:w="2830" w:type="dxa"/>
          </w:tcPr>
          <w:p w:rsidR="00681E2F" w:rsidRDefault="00681E2F" w:rsidP="00681E2F">
            <w:pPr>
              <w:jc w:val="center"/>
              <w:rPr>
                <w:rFonts w:ascii="Arial Rounded MT Bold" w:hAnsi="Arial Rounded MT Bold"/>
                <w:sz w:val="44"/>
                <w:szCs w:val="44"/>
              </w:rPr>
            </w:pPr>
          </w:p>
          <w:p w:rsidR="00CD7E79" w:rsidRDefault="00CD7E79" w:rsidP="00681E2F">
            <w:pPr>
              <w:jc w:val="center"/>
              <w:rPr>
                <w:rFonts w:ascii="Arial Rounded MT Bold" w:hAnsi="Arial Rounded MT Bold"/>
                <w:sz w:val="44"/>
                <w:szCs w:val="44"/>
              </w:rPr>
            </w:pPr>
            <w:r>
              <w:rPr>
                <w:rFonts w:ascii="Arial Rounded MT Bold" w:hAnsi="Arial Rounded MT Bold"/>
                <w:sz w:val="44"/>
                <w:szCs w:val="44"/>
              </w:rPr>
              <w:t>3</w:t>
            </w:r>
          </w:p>
          <w:p w:rsidR="00CD7E79" w:rsidRPr="00681E2F" w:rsidRDefault="00CD7E79" w:rsidP="00681E2F">
            <w:pPr>
              <w:jc w:val="center"/>
              <w:rPr>
                <w:rFonts w:ascii="Arial Rounded MT Bold" w:hAnsi="Arial Rounded MT Bold"/>
                <w:sz w:val="44"/>
                <w:szCs w:val="44"/>
              </w:rPr>
            </w:pPr>
          </w:p>
        </w:tc>
        <w:tc>
          <w:tcPr>
            <w:tcW w:w="11118" w:type="dxa"/>
          </w:tcPr>
          <w:p w:rsidR="00CD7E79" w:rsidRDefault="00CD7E79" w:rsidP="00681E2F">
            <w:pPr>
              <w:jc w:val="center"/>
            </w:pPr>
          </w:p>
          <w:p w:rsidR="00CD7E79" w:rsidRDefault="00CD7E79" w:rsidP="00681E2F">
            <w:pPr>
              <w:jc w:val="center"/>
              <w:rPr>
                <w:rFonts w:ascii="Arial Rounded MT Bold" w:hAnsi="Arial Rounded MT Bold"/>
              </w:rPr>
            </w:pPr>
            <w:r w:rsidRPr="00CD7E79">
              <w:rPr>
                <w:rFonts w:ascii="Arial Rounded MT Bold" w:hAnsi="Arial Rounded MT Bold"/>
              </w:rPr>
              <w:t>Normally Charge</w:t>
            </w:r>
          </w:p>
          <w:p w:rsidR="00CD7E79" w:rsidRPr="00CD7E79" w:rsidRDefault="00CD7E79" w:rsidP="00681E2F">
            <w:pPr>
              <w:jc w:val="center"/>
              <w:rPr>
                <w:rFonts w:ascii="Arial Rounded MT Bold" w:hAnsi="Arial Rounded MT Bold"/>
              </w:rPr>
            </w:pPr>
            <w:r w:rsidRPr="00CD7E79">
              <w:rPr>
                <w:rFonts w:ascii="Arial Rounded MT Bold" w:hAnsi="Arial Rounded MT Bold"/>
              </w:rPr>
              <w:t xml:space="preserve">  </w:t>
            </w:r>
          </w:p>
          <w:p w:rsidR="00CD7E79" w:rsidRPr="00CD7E79" w:rsidRDefault="00CD7E79" w:rsidP="00681E2F">
            <w:pPr>
              <w:jc w:val="center"/>
              <w:rPr>
                <w:rFonts w:ascii="Arial Rounded MT Bold" w:hAnsi="Arial Rounded MT Bold"/>
              </w:rPr>
            </w:pPr>
            <w:r w:rsidRPr="00CD7E79">
              <w:rPr>
                <w:rFonts w:ascii="Arial Rounded MT Bold" w:hAnsi="Arial Rounded MT Bold"/>
              </w:rPr>
              <w:t xml:space="preserve">Consider a conditional caution if the circumstances fit and you as the decision maker can justify this  </w:t>
            </w:r>
          </w:p>
          <w:p w:rsidR="00681E2F" w:rsidRDefault="00CD7E79" w:rsidP="00681E2F">
            <w:pPr>
              <w:jc w:val="center"/>
              <w:rPr>
                <w:rFonts w:ascii="Arial Rounded MT Bold" w:hAnsi="Arial Rounded MT Bold"/>
              </w:rPr>
            </w:pPr>
            <w:r w:rsidRPr="00CD7E79">
              <w:rPr>
                <w:rFonts w:ascii="Arial Rounded MT Bold" w:hAnsi="Arial Rounded MT Bold"/>
              </w:rPr>
              <w:t xml:space="preserve"> A community resolution would rarely be suitable, but could be applied if the decision maker can fully justify this outcome</w:t>
            </w:r>
          </w:p>
          <w:p w:rsidR="00CD7E79" w:rsidRPr="00681E2F" w:rsidRDefault="00CD7E79" w:rsidP="00681E2F">
            <w:pPr>
              <w:jc w:val="center"/>
              <w:rPr>
                <w:rFonts w:ascii="Arial Rounded MT Bold" w:hAnsi="Arial Rounded MT Bold"/>
                <w:sz w:val="44"/>
                <w:szCs w:val="44"/>
              </w:rPr>
            </w:pPr>
          </w:p>
        </w:tc>
      </w:tr>
      <w:tr w:rsidR="00681E2F" w:rsidTr="00681E2F">
        <w:tc>
          <w:tcPr>
            <w:tcW w:w="2830" w:type="dxa"/>
          </w:tcPr>
          <w:p w:rsidR="00681E2F" w:rsidRDefault="00681E2F" w:rsidP="00681E2F">
            <w:pPr>
              <w:jc w:val="center"/>
              <w:rPr>
                <w:rFonts w:ascii="Arial Rounded MT Bold" w:hAnsi="Arial Rounded MT Bold"/>
                <w:sz w:val="44"/>
                <w:szCs w:val="44"/>
              </w:rPr>
            </w:pPr>
          </w:p>
          <w:p w:rsidR="00CD7E79" w:rsidRDefault="00CD7E79" w:rsidP="00681E2F">
            <w:pPr>
              <w:jc w:val="center"/>
              <w:rPr>
                <w:rFonts w:ascii="Arial Rounded MT Bold" w:hAnsi="Arial Rounded MT Bold"/>
                <w:sz w:val="44"/>
                <w:szCs w:val="44"/>
              </w:rPr>
            </w:pPr>
            <w:r>
              <w:rPr>
                <w:rFonts w:ascii="Arial Rounded MT Bold" w:hAnsi="Arial Rounded MT Bold"/>
                <w:sz w:val="44"/>
                <w:szCs w:val="44"/>
              </w:rPr>
              <w:t>2</w:t>
            </w:r>
          </w:p>
          <w:p w:rsidR="00CD7E79" w:rsidRPr="00681E2F" w:rsidRDefault="00CD7E79" w:rsidP="00681E2F">
            <w:pPr>
              <w:jc w:val="center"/>
              <w:rPr>
                <w:rFonts w:ascii="Arial Rounded MT Bold" w:hAnsi="Arial Rounded MT Bold"/>
                <w:sz w:val="44"/>
                <w:szCs w:val="44"/>
              </w:rPr>
            </w:pPr>
          </w:p>
        </w:tc>
        <w:tc>
          <w:tcPr>
            <w:tcW w:w="11118" w:type="dxa"/>
          </w:tcPr>
          <w:p w:rsidR="00CD7E79" w:rsidRDefault="00CD7E79" w:rsidP="00681E2F">
            <w:pPr>
              <w:jc w:val="center"/>
            </w:pPr>
          </w:p>
          <w:p w:rsidR="00CD7E79" w:rsidRPr="00CD7E79" w:rsidRDefault="00CD7E79" w:rsidP="00681E2F">
            <w:pPr>
              <w:jc w:val="center"/>
              <w:rPr>
                <w:rFonts w:ascii="Arial Rounded MT Bold" w:hAnsi="Arial Rounded MT Bold"/>
              </w:rPr>
            </w:pPr>
            <w:r w:rsidRPr="00CD7E79">
              <w:rPr>
                <w:rFonts w:ascii="Arial Rounded MT Bold" w:hAnsi="Arial Rounded MT Bold"/>
              </w:rPr>
              <w:t xml:space="preserve">Normally conditional caution </w:t>
            </w:r>
          </w:p>
          <w:p w:rsidR="00CD7E79" w:rsidRPr="00CD7E79" w:rsidRDefault="00CD7E79" w:rsidP="00681E2F">
            <w:pPr>
              <w:jc w:val="center"/>
              <w:rPr>
                <w:rFonts w:ascii="Arial Rounded MT Bold" w:hAnsi="Arial Rounded MT Bold"/>
              </w:rPr>
            </w:pPr>
          </w:p>
          <w:p w:rsidR="00681E2F" w:rsidRPr="00681E2F" w:rsidRDefault="00CD7E79" w:rsidP="00CD7E79">
            <w:pPr>
              <w:jc w:val="center"/>
              <w:rPr>
                <w:rFonts w:ascii="Arial Rounded MT Bold" w:hAnsi="Arial Rounded MT Bold"/>
                <w:sz w:val="44"/>
                <w:szCs w:val="44"/>
              </w:rPr>
            </w:pPr>
            <w:r w:rsidRPr="00CD7E79">
              <w:rPr>
                <w:rFonts w:ascii="Arial Rounded MT Bold" w:hAnsi="Arial Rounded MT Bold"/>
              </w:rPr>
              <w:t>consider charge if justified or community resolution if appropriate</w:t>
            </w:r>
          </w:p>
        </w:tc>
      </w:tr>
      <w:tr w:rsidR="00681E2F" w:rsidTr="00681E2F">
        <w:tc>
          <w:tcPr>
            <w:tcW w:w="2830" w:type="dxa"/>
          </w:tcPr>
          <w:p w:rsidR="00681E2F" w:rsidRDefault="00681E2F" w:rsidP="00681E2F">
            <w:pPr>
              <w:jc w:val="center"/>
              <w:rPr>
                <w:rFonts w:ascii="Arial Rounded MT Bold" w:hAnsi="Arial Rounded MT Bold"/>
                <w:sz w:val="44"/>
                <w:szCs w:val="44"/>
              </w:rPr>
            </w:pPr>
          </w:p>
          <w:p w:rsidR="00CD7E79" w:rsidRDefault="00CD7E79" w:rsidP="00681E2F">
            <w:pPr>
              <w:jc w:val="center"/>
              <w:rPr>
                <w:rFonts w:ascii="Arial Rounded MT Bold" w:hAnsi="Arial Rounded MT Bold"/>
                <w:sz w:val="44"/>
                <w:szCs w:val="44"/>
              </w:rPr>
            </w:pPr>
            <w:r>
              <w:rPr>
                <w:rFonts w:ascii="Arial Rounded MT Bold" w:hAnsi="Arial Rounded MT Bold"/>
                <w:sz w:val="44"/>
                <w:szCs w:val="44"/>
              </w:rPr>
              <w:t>1</w:t>
            </w:r>
          </w:p>
          <w:p w:rsidR="00CD7E79" w:rsidRPr="00681E2F" w:rsidRDefault="00CD7E79" w:rsidP="00681E2F">
            <w:pPr>
              <w:jc w:val="center"/>
              <w:rPr>
                <w:rFonts w:ascii="Arial Rounded MT Bold" w:hAnsi="Arial Rounded MT Bold"/>
                <w:sz w:val="44"/>
                <w:szCs w:val="44"/>
              </w:rPr>
            </w:pPr>
          </w:p>
        </w:tc>
        <w:tc>
          <w:tcPr>
            <w:tcW w:w="11118" w:type="dxa"/>
          </w:tcPr>
          <w:p w:rsidR="00CD7E79" w:rsidRDefault="00CD7E79" w:rsidP="00681E2F">
            <w:pPr>
              <w:jc w:val="center"/>
            </w:pPr>
          </w:p>
          <w:p w:rsidR="00CD7E79" w:rsidRPr="00CD7E79" w:rsidRDefault="00CD7E79" w:rsidP="00681E2F">
            <w:pPr>
              <w:jc w:val="center"/>
              <w:rPr>
                <w:rFonts w:ascii="Arial Rounded MT Bold" w:hAnsi="Arial Rounded MT Bold"/>
              </w:rPr>
            </w:pPr>
            <w:r w:rsidRPr="00CD7E79">
              <w:rPr>
                <w:rFonts w:ascii="Arial Rounded MT Bold" w:hAnsi="Arial Rounded MT Bold"/>
              </w:rPr>
              <w:t xml:space="preserve">Community Resolution </w:t>
            </w:r>
          </w:p>
          <w:p w:rsidR="00CD7E79" w:rsidRPr="00CD7E79" w:rsidRDefault="00CD7E79" w:rsidP="00681E2F">
            <w:pPr>
              <w:jc w:val="center"/>
              <w:rPr>
                <w:rFonts w:ascii="Arial Rounded MT Bold" w:hAnsi="Arial Rounded MT Bold"/>
              </w:rPr>
            </w:pPr>
          </w:p>
          <w:p w:rsidR="00681E2F" w:rsidRPr="00681E2F" w:rsidRDefault="00CD7E79" w:rsidP="00681E2F">
            <w:pPr>
              <w:jc w:val="center"/>
              <w:rPr>
                <w:rFonts w:ascii="Arial Rounded MT Bold" w:hAnsi="Arial Rounded MT Bold"/>
                <w:sz w:val="44"/>
                <w:szCs w:val="44"/>
              </w:rPr>
            </w:pPr>
            <w:r w:rsidRPr="00CD7E79">
              <w:rPr>
                <w:rFonts w:ascii="Arial Rounded MT Bold" w:hAnsi="Arial Rounded MT Bold"/>
              </w:rPr>
              <w:t>consider c</w:t>
            </w:r>
            <w:r>
              <w:rPr>
                <w:rFonts w:ascii="Arial Rounded MT Bold" w:hAnsi="Arial Rounded MT Bold"/>
              </w:rPr>
              <w:t>onditional caution if justified</w:t>
            </w:r>
          </w:p>
        </w:tc>
      </w:tr>
    </w:tbl>
    <w:p w:rsidR="00CD7E79" w:rsidRDefault="00CD7E79" w:rsidP="00681E2F">
      <w:pPr>
        <w:jc w:val="center"/>
        <w:rPr>
          <w:rFonts w:ascii="Arial Rounded MT Bold" w:hAnsi="Arial Rounded MT Bold"/>
        </w:rPr>
      </w:pPr>
      <w:r>
        <w:rPr>
          <w:rFonts w:ascii="Arial Rounded MT Bold" w:hAnsi="Arial Rounded MT Bold"/>
        </w:rPr>
        <w:t xml:space="preserve">Conditional Cautions: </w:t>
      </w:r>
      <w:r w:rsidRPr="00CD7E79">
        <w:rPr>
          <w:rFonts w:ascii="Arial Rounded MT Bold" w:hAnsi="Arial Rounded MT Bold"/>
        </w:rPr>
        <w:t xml:space="preserve"> If the offence is indictable only (IO) it</w:t>
      </w:r>
      <w:r>
        <w:rPr>
          <w:rFonts w:ascii="Arial Rounded MT Bold" w:hAnsi="Arial Rounded MT Bold"/>
        </w:rPr>
        <w:t xml:space="preserve"> requires CPS advice </w:t>
      </w:r>
    </w:p>
    <w:p w:rsidR="00681E2F" w:rsidRDefault="00CD7E79" w:rsidP="00681E2F">
      <w:pPr>
        <w:jc w:val="center"/>
        <w:rPr>
          <w:rFonts w:ascii="Arial Rounded MT Bold" w:hAnsi="Arial Rounded MT Bold"/>
        </w:rPr>
      </w:pPr>
      <w:r w:rsidRPr="00CD7E79">
        <w:rPr>
          <w:rFonts w:ascii="Arial Rounded MT Bold" w:hAnsi="Arial Rounded MT Bold"/>
        </w:rPr>
        <w:t>If it is one of the offences deemed exceptional circumstances in Annex A of the Director’s Guidance on Adult Conditional Cautions it requires an Inspectors authority</w:t>
      </w:r>
    </w:p>
    <w:tbl>
      <w:tblPr>
        <w:tblStyle w:val="TableGrid"/>
        <w:tblW w:w="0" w:type="auto"/>
        <w:tblLook w:val="04A0" w:firstRow="1" w:lastRow="0" w:firstColumn="1" w:lastColumn="0" w:noHBand="0" w:noVBand="1"/>
      </w:tblPr>
      <w:tblGrid>
        <w:gridCol w:w="13948"/>
      </w:tblGrid>
      <w:tr w:rsidR="00CD7E79" w:rsidTr="00CD7E79">
        <w:tc>
          <w:tcPr>
            <w:tcW w:w="13948" w:type="dxa"/>
            <w:shd w:val="clear" w:color="auto" w:fill="00B0F0"/>
          </w:tcPr>
          <w:p w:rsidR="00CD7E79" w:rsidRPr="00CD7E79" w:rsidRDefault="00CD7E79" w:rsidP="00CD7E79">
            <w:pPr>
              <w:jc w:val="center"/>
              <w:rPr>
                <w:rFonts w:ascii="Arial Rounded MT Bold" w:hAnsi="Arial Rounded MT Bold"/>
                <w:sz w:val="24"/>
                <w:szCs w:val="24"/>
              </w:rPr>
            </w:pPr>
            <w:r w:rsidRPr="00CD7E79">
              <w:rPr>
                <w:rFonts w:ascii="Arial Rounded MT Bold" w:hAnsi="Arial Rounded MT Bold"/>
                <w:sz w:val="24"/>
                <w:szCs w:val="24"/>
              </w:rPr>
              <w:lastRenderedPageBreak/>
              <w:t>As a general rule, summary only offences are a 1 or 2, either way offences are a 2 or 3, indictable only offences are a</w:t>
            </w:r>
            <w:r w:rsidR="00EA6EE9">
              <w:rPr>
                <w:rFonts w:ascii="Arial Rounded MT Bold" w:hAnsi="Arial Rounded MT Bold"/>
                <w:sz w:val="24"/>
                <w:szCs w:val="24"/>
              </w:rPr>
              <w:t>lways scored as</w:t>
            </w:r>
            <w:r w:rsidRPr="00CD7E79">
              <w:rPr>
                <w:rFonts w:ascii="Arial Rounded MT Bold" w:hAnsi="Arial Rounded MT Bold"/>
                <w:sz w:val="24"/>
                <w:szCs w:val="24"/>
              </w:rPr>
              <w:t xml:space="preserve"> 4. (Please refer to the Police National Legal Database for a full list of all offences) </w:t>
            </w:r>
          </w:p>
        </w:tc>
      </w:tr>
    </w:tbl>
    <w:p w:rsidR="00CD7E79" w:rsidRDefault="00CD7E79" w:rsidP="00681E2F">
      <w:pPr>
        <w:jc w:val="center"/>
        <w:rPr>
          <w:rFonts w:ascii="Arial Rounded MT Bold" w:hAnsi="Arial Rounded MT Bold"/>
          <w:sz w:val="44"/>
          <w:szCs w:val="44"/>
        </w:rPr>
      </w:pPr>
      <w:r>
        <w:rPr>
          <w:rFonts w:ascii="Arial Rounded MT Bold" w:hAnsi="Arial Rounded MT Bold"/>
          <w:sz w:val="44"/>
          <w:szCs w:val="44"/>
        </w:rPr>
        <w:t xml:space="preserve"> </w:t>
      </w:r>
    </w:p>
    <w:tbl>
      <w:tblPr>
        <w:tblStyle w:val="TableGrid"/>
        <w:tblW w:w="0" w:type="auto"/>
        <w:tblInd w:w="4353" w:type="dxa"/>
        <w:tblLook w:val="04A0" w:firstRow="1" w:lastRow="0" w:firstColumn="1" w:lastColumn="0" w:noHBand="0" w:noVBand="1"/>
      </w:tblPr>
      <w:tblGrid>
        <w:gridCol w:w="5240"/>
      </w:tblGrid>
      <w:tr w:rsidR="00CD7E79" w:rsidTr="00C544EF">
        <w:tc>
          <w:tcPr>
            <w:tcW w:w="5240" w:type="dxa"/>
          </w:tcPr>
          <w:p w:rsidR="00CD7E79" w:rsidRDefault="00CD7E79" w:rsidP="00CD7E79">
            <w:pPr>
              <w:jc w:val="center"/>
              <w:rPr>
                <w:rFonts w:ascii="Arial Rounded MT Bold" w:hAnsi="Arial Rounded MT Bold"/>
                <w:sz w:val="44"/>
                <w:szCs w:val="44"/>
              </w:rPr>
            </w:pPr>
            <w:r>
              <w:rPr>
                <w:rFonts w:ascii="Arial Rounded MT Bold" w:hAnsi="Arial Rounded MT Bold"/>
                <w:sz w:val="44"/>
                <w:szCs w:val="44"/>
              </w:rPr>
              <w:t>Community Resolutions: one of many names for Restorative Justice.</w:t>
            </w:r>
          </w:p>
        </w:tc>
      </w:tr>
    </w:tbl>
    <w:p w:rsidR="00CD7E79" w:rsidRDefault="00CD7E79" w:rsidP="00CD7E79">
      <w:pPr>
        <w:rPr>
          <w:rFonts w:ascii="Arial Rounded MT Bold" w:hAnsi="Arial Rounded MT Bold"/>
          <w:sz w:val="44"/>
          <w:szCs w:val="44"/>
        </w:rPr>
      </w:pPr>
    </w:p>
    <w:p w:rsidR="00C544EF" w:rsidRDefault="00C544EF" w:rsidP="00CD7E79">
      <w:pPr>
        <w:rPr>
          <w:rFonts w:ascii="Arial Rounded MT Bold" w:hAnsi="Arial Rounded MT Bold"/>
          <w:sz w:val="44"/>
          <w:szCs w:val="44"/>
        </w:rPr>
      </w:pPr>
      <w:r>
        <w:rPr>
          <w:rFonts w:ascii="Arial Rounded MT Bold" w:hAnsi="Arial Rounded MT Bold"/>
          <w:noProof/>
          <w:sz w:val="44"/>
          <w:szCs w:val="44"/>
          <w:lang w:eastAsia="en-GB"/>
        </w:rPr>
        <mc:AlternateContent>
          <mc:Choice Requires="wps">
            <w:drawing>
              <wp:anchor distT="0" distB="0" distL="114300" distR="114300" simplePos="0" relativeHeight="251662336" behindDoc="0" locked="0" layoutInCell="1" allowOverlap="1">
                <wp:simplePos x="0" y="0"/>
                <wp:positionH relativeFrom="column">
                  <wp:posOffset>2216353</wp:posOffset>
                </wp:positionH>
                <wp:positionV relativeFrom="paragraph">
                  <wp:posOffset>382905</wp:posOffset>
                </wp:positionV>
                <wp:extent cx="4505833" cy="1404417"/>
                <wp:effectExtent l="0" t="0" r="28575" b="24765"/>
                <wp:wrapNone/>
                <wp:docPr id="5" name="Rectangle 5"/>
                <wp:cNvGraphicFramePr/>
                <a:graphic xmlns:a="http://schemas.openxmlformats.org/drawingml/2006/main">
                  <a:graphicData uri="http://schemas.microsoft.com/office/word/2010/wordprocessingShape">
                    <wps:wsp>
                      <wps:cNvSpPr/>
                      <wps:spPr>
                        <a:xfrm>
                          <a:off x="0" y="0"/>
                          <a:ext cx="4505833" cy="14044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Decisions in relation to the gravity score come under two headings:</w:t>
                            </w:r>
                          </w:p>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Aggravating Factors</w:t>
                            </w:r>
                          </w:p>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&amp;</w:t>
                            </w:r>
                          </w:p>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Mitigating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0" style="position:absolute;margin-left:174.5pt;margin-top:30.15pt;width:354.8pt;height:1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6N5fgIAAEwFAAAOAAAAZHJzL2Uyb0RvYy54bWysVE1v2zAMvQ/YfxB0X22nztoFdYqgRYcB&#10;RRu0HXpWZCk2oK9RSuzs14+SHbdoix2G+SBTIvlIPpG6uOy1InsBvrWmosVJTokw3Nat2Vb059PN&#10;l3NKfGCmZsoaUdGD8PRy+fnTRecWYmYbq2oBBEGMX3Suok0IbpFlnjdCM39inTColBY0C7iFbVYD&#10;6xBdq2yW51+zzkLtwHLhPZ5eD0q6TPhSCh7upfQiEFVRzC2kFdK6iWu2vGCLLTDXtHxMg/1DFpq1&#10;BoNOUNcsMLKD9h2UbjlYb2U44VZnVsqWi1QDVlPkb6p5bJgTqRYkx7uJJv//YPndfg2krSs6p8Qw&#10;jVf0gKQxs1WCzCM9nfMLtHp0axh3HsVYay9Bxz9WQfpE6WGiVPSBcDws5/n8/PSUEo66oszLsjiL&#10;qNmLuwMfvgurSRQqChg+Ucn2tz4MpkcT9IvpDAkkKRyUiDko8yAk1oEhZ8k7dZC4UkD2DO+ecS5M&#10;KAZVw2oxHM9z/MZ8Jo+UXQKMyLJVasIeAWJ3vscech3to6tIDTg5539LbHCePFJka8LkrFtj4SMA&#10;hVWNkQf7I0kDNZGl0G/6dMdltIwnG1sf8N7BDgPhHb9pkf1b5sOaAU4AzgpOdbjHRSrbVdSOEiWN&#10;hd8fnUd7bEzUUtLhRFXU/9oxEJSoHwZb9ltRlnEE06acn81wA681m9cas9NXFi+uwPfD8SRG+6CO&#10;ogSrn3H4VzEqqpjhGLuiPMBxcxWGScfng4vVKpnh2DkWbs2j4xE88hy766l/ZuDGFgzYvXf2OH1s&#10;8aYTB9voaexqF6xsU5u+8DreAI5saqXxeYlvwut9snp5BJd/AAAA//8DAFBLAwQUAAYACAAAACEA&#10;r8NqLt4AAAALAQAADwAAAGRycy9kb3ducmV2LnhtbEyPwU7DMBBE70j8g7VI3KidloYQ4lSoEhck&#10;Di18gBsvcai9jmKnSf4e9wTH0Yxm3lS72Vl2wSF0niRkKwEMqfG6o1bC1+fbQwEsREVaWU8oYcEA&#10;u/r2plKl9hMd8HKMLUslFEolwcTYl5yHxqBTYeV7pOR9+8GpmOTQcj2oKZU7y9dC5NypjtKCUT3u&#10;DTbn4+jSiMLDkj1N+/OHmd87tMsPjouU93fz6wuwiHP8C8MVP6FDnZhOfiQdmJWweXxOX6KEXGyA&#10;XQNiW+TAThLWRbYFXlf8/4f6FwAA//8DAFBLAQItABQABgAIAAAAIQC2gziS/gAAAOEBAAATAAAA&#10;AAAAAAAAAAAAAAAAAABbQ29udGVudF9UeXBlc10ueG1sUEsBAi0AFAAGAAgAAAAhADj9If/WAAAA&#10;lAEAAAsAAAAAAAAAAAAAAAAALwEAAF9yZWxzLy5yZWxzUEsBAi0AFAAGAAgAAAAhAIIPo3l+AgAA&#10;TAUAAA4AAAAAAAAAAAAAAAAALgIAAGRycy9lMm9Eb2MueG1sUEsBAi0AFAAGAAgAAAAhAK/Dai7e&#10;AAAACwEAAA8AAAAAAAAAAAAAAAAA2AQAAGRycy9kb3ducmV2LnhtbFBLBQYAAAAABAAEAPMAAADj&#10;BQAAAAA=&#10;" fillcolor="#5b9bd5 [3204]" strokecolor="#1f4d78 [1604]" strokeweight="1pt">
                <v:textbox>
                  <w:txbxContent>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Decisions in relation to the gravity score come under two headings:</w:t>
                      </w:r>
                    </w:p>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Aggravating Factors</w:t>
                      </w:r>
                    </w:p>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&amp;</w:t>
                      </w:r>
                    </w:p>
                    <w:p w:rsidR="00CD7E79" w:rsidRPr="00C544EF" w:rsidRDefault="00CD7E79" w:rsidP="00C544EF">
                      <w:pPr>
                        <w:shd w:val="clear" w:color="auto" w:fill="FFFFFF" w:themeFill="background1"/>
                        <w:jc w:val="center"/>
                        <w:rPr>
                          <w:rFonts w:ascii="Arial Rounded MT Bold" w:hAnsi="Arial Rounded MT Bold"/>
                          <w:sz w:val="24"/>
                          <w:szCs w:val="24"/>
                        </w:rPr>
                      </w:pPr>
                      <w:r w:rsidRPr="00C544EF">
                        <w:rPr>
                          <w:rFonts w:ascii="Arial Rounded MT Bold" w:hAnsi="Arial Rounded MT Bold"/>
                          <w:sz w:val="24"/>
                          <w:szCs w:val="24"/>
                        </w:rPr>
                        <w:t>Mitigating Factors</w:t>
                      </w:r>
                    </w:p>
                  </w:txbxContent>
                </v:textbox>
              </v:rect>
            </w:pict>
          </mc:Fallback>
        </mc:AlternateContent>
      </w:r>
    </w:p>
    <w:p w:rsidR="00C544EF" w:rsidRDefault="00C544EF" w:rsidP="00CD7E79">
      <w:pPr>
        <w:rPr>
          <w:rFonts w:ascii="Arial Rounded MT Bold" w:hAnsi="Arial Rounded MT Bold"/>
          <w:sz w:val="44"/>
          <w:szCs w:val="44"/>
        </w:rPr>
      </w:pPr>
    </w:p>
    <w:p w:rsidR="00C544EF" w:rsidRDefault="00C544EF" w:rsidP="00CD7E79">
      <w:pPr>
        <w:rPr>
          <w:rFonts w:ascii="Arial Rounded MT Bold" w:hAnsi="Arial Rounded MT Bold"/>
          <w:sz w:val="44"/>
          <w:szCs w:val="44"/>
        </w:rPr>
      </w:pPr>
    </w:p>
    <w:p w:rsidR="00C544EF" w:rsidRDefault="00C544EF" w:rsidP="00CD7E79">
      <w:pPr>
        <w:rPr>
          <w:rFonts w:ascii="Arial Rounded MT Bold" w:hAnsi="Arial Rounded MT Bold"/>
          <w:sz w:val="44"/>
          <w:szCs w:val="44"/>
        </w:rPr>
      </w:pPr>
    </w:p>
    <w:p w:rsidR="00C544EF" w:rsidRDefault="00C544EF" w:rsidP="00CD7E79">
      <w:pPr>
        <w:rPr>
          <w:rFonts w:ascii="Arial Rounded MT Bold" w:hAnsi="Arial Rounded MT Bold"/>
          <w:sz w:val="44"/>
          <w:szCs w:val="44"/>
        </w:rPr>
      </w:pPr>
    </w:p>
    <w:p w:rsidR="00C544EF" w:rsidRDefault="00C544EF" w:rsidP="00CD7E79">
      <w:pPr>
        <w:rPr>
          <w:rFonts w:ascii="Arial Rounded MT Bold" w:hAnsi="Arial Rounded MT Bold"/>
          <w:sz w:val="44"/>
          <w:szCs w:val="44"/>
        </w:rPr>
      </w:pPr>
    </w:p>
    <w:p w:rsidR="00C544EF" w:rsidRDefault="00C544EF" w:rsidP="00CD7E79">
      <w:pPr>
        <w:rPr>
          <w:rFonts w:ascii="Arial Rounded MT Bold" w:hAnsi="Arial Rounded MT Bold"/>
          <w:sz w:val="44"/>
          <w:szCs w:val="44"/>
        </w:rPr>
      </w:pPr>
    </w:p>
    <w:tbl>
      <w:tblPr>
        <w:tblStyle w:val="TableGrid"/>
        <w:tblW w:w="0" w:type="auto"/>
        <w:tblLook w:val="04A0" w:firstRow="1" w:lastRow="0" w:firstColumn="1" w:lastColumn="0" w:noHBand="0" w:noVBand="1"/>
      </w:tblPr>
      <w:tblGrid>
        <w:gridCol w:w="1129"/>
        <w:gridCol w:w="12819"/>
      </w:tblGrid>
      <w:tr w:rsidR="00C544EF" w:rsidTr="00C544EF">
        <w:tc>
          <w:tcPr>
            <w:tcW w:w="1129" w:type="dxa"/>
            <w:shd w:val="clear" w:color="auto" w:fill="FFFFFF" w:themeFill="background1"/>
          </w:tcPr>
          <w:p w:rsidR="00C544EF" w:rsidRDefault="00C544EF" w:rsidP="00C544EF">
            <w:pPr>
              <w:jc w:val="center"/>
              <w:rPr>
                <w:rFonts w:ascii="Arial Rounded MT Bold" w:hAnsi="Arial Rounded MT Bold"/>
                <w:sz w:val="36"/>
                <w:szCs w:val="36"/>
              </w:rPr>
            </w:pPr>
          </w:p>
        </w:tc>
        <w:tc>
          <w:tcPr>
            <w:tcW w:w="12819" w:type="dxa"/>
            <w:shd w:val="clear" w:color="auto" w:fill="FFC000"/>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List Of Aggravating Factors</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1</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Conviction is likely to result in significant sentence</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2</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Weapon used or violence threatened during commission of offence</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3</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Offence against public servant (e.g. police, nurse, council employee, etc.).</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4</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 xml:space="preserve">Offender abused a position of trust – e.g. carer, employee </w:t>
            </w:r>
            <w:proofErr w:type="spellStart"/>
            <w:r w:rsidRPr="00C544EF">
              <w:rPr>
                <w:rFonts w:ascii="Arial Rounded MT Bold" w:hAnsi="Arial Rounded MT Bold"/>
                <w:sz w:val="36"/>
                <w:szCs w:val="36"/>
              </w:rPr>
              <w:t>etc</w:t>
            </w:r>
            <w:proofErr w:type="spellEnd"/>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5</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Offender was ringleader / organizer.</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6</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Evidence of premeditation</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7</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Offender was part of an Organised team or offence was committed by a group</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8</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Victim was vulnerable, deliberately put in considerable fear or suffered personal attack, damage, disturbance, or domestic abuse</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9</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Victim was targeted because of their vulnerability</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10</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There are grounds for believing the offence is likely to be repeated or continued – e.g. by a history of recurring conduct</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11</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Evidence of exploitation</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12</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The offence, though minor, is an issue for the local; area and is supported by an impact Statement</w:t>
            </w:r>
          </w:p>
        </w:tc>
      </w:tr>
      <w:tr w:rsidR="00C544EF" w:rsidTr="00C544EF">
        <w:tc>
          <w:tcPr>
            <w:tcW w:w="1129" w:type="dxa"/>
            <w:shd w:val="clear" w:color="auto" w:fill="9CC2E5" w:themeFill="accent1" w:themeFillTint="99"/>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13</w:t>
            </w:r>
          </w:p>
        </w:tc>
        <w:tc>
          <w:tcPr>
            <w:tcW w:w="12819" w:type="dxa"/>
          </w:tcPr>
          <w:p w:rsidR="00C544EF" w:rsidRPr="00C544EF" w:rsidRDefault="00C544EF" w:rsidP="00C544EF">
            <w:pPr>
              <w:jc w:val="center"/>
              <w:rPr>
                <w:rFonts w:ascii="Arial Rounded MT Bold" w:hAnsi="Arial Rounded MT Bold"/>
                <w:sz w:val="36"/>
                <w:szCs w:val="36"/>
              </w:rPr>
            </w:pPr>
            <w:r w:rsidRPr="00C544EF">
              <w:rPr>
                <w:rFonts w:ascii="Arial Rounded MT Bold" w:hAnsi="Arial Rounded MT Bold"/>
                <w:sz w:val="36"/>
                <w:szCs w:val="36"/>
              </w:rPr>
              <w:t>Directed, influenced or coerced a vulnerable person to commit the offence</w:t>
            </w:r>
          </w:p>
        </w:tc>
      </w:tr>
    </w:tbl>
    <w:p w:rsidR="00CD7E79" w:rsidRDefault="00CD7E79" w:rsidP="00CD7E79">
      <w:pPr>
        <w:rPr>
          <w:rFonts w:ascii="Arial Rounded MT Bold" w:hAnsi="Arial Rounded MT Bold"/>
          <w:sz w:val="44"/>
          <w:szCs w:val="44"/>
        </w:rPr>
      </w:pPr>
    </w:p>
    <w:tbl>
      <w:tblPr>
        <w:tblStyle w:val="TableGrid"/>
        <w:tblW w:w="0" w:type="auto"/>
        <w:tblLook w:val="04A0" w:firstRow="1" w:lastRow="0" w:firstColumn="1" w:lastColumn="0" w:noHBand="0" w:noVBand="1"/>
      </w:tblPr>
      <w:tblGrid>
        <w:gridCol w:w="1129"/>
        <w:gridCol w:w="12819"/>
      </w:tblGrid>
      <w:tr w:rsidR="00C544EF" w:rsidRPr="00C544EF" w:rsidTr="007607A4">
        <w:tc>
          <w:tcPr>
            <w:tcW w:w="1129" w:type="dxa"/>
            <w:shd w:val="clear" w:color="auto" w:fill="FFFFFF" w:themeFill="background1"/>
          </w:tcPr>
          <w:p w:rsidR="00C544EF" w:rsidRDefault="00C544EF" w:rsidP="007607A4">
            <w:pPr>
              <w:jc w:val="center"/>
              <w:rPr>
                <w:rFonts w:ascii="Arial Rounded MT Bold" w:hAnsi="Arial Rounded MT Bold"/>
                <w:sz w:val="36"/>
                <w:szCs w:val="36"/>
              </w:rPr>
            </w:pPr>
          </w:p>
        </w:tc>
        <w:tc>
          <w:tcPr>
            <w:tcW w:w="12819" w:type="dxa"/>
            <w:shd w:val="clear" w:color="auto" w:fill="FFC000"/>
          </w:tcPr>
          <w:p w:rsidR="00C544EF" w:rsidRPr="00C544EF" w:rsidRDefault="00C544EF" w:rsidP="00C544EF">
            <w:pPr>
              <w:jc w:val="center"/>
              <w:rPr>
                <w:rFonts w:ascii="Arial Rounded MT Bold" w:hAnsi="Arial Rounded MT Bold"/>
                <w:sz w:val="36"/>
                <w:szCs w:val="36"/>
              </w:rPr>
            </w:pPr>
            <w:r>
              <w:rPr>
                <w:rFonts w:ascii="Arial Rounded MT Bold" w:hAnsi="Arial Rounded MT Bold"/>
                <w:sz w:val="36"/>
                <w:szCs w:val="36"/>
              </w:rPr>
              <w:t>List Of Mitigating Factors</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1</w:t>
            </w:r>
          </w:p>
        </w:tc>
        <w:tc>
          <w:tcPr>
            <w:tcW w:w="12819" w:type="dxa"/>
          </w:tcPr>
          <w:p w:rsidR="00C544EF" w:rsidRPr="00C43783" w:rsidRDefault="00C544EF" w:rsidP="007607A4">
            <w:pPr>
              <w:jc w:val="center"/>
              <w:rPr>
                <w:rFonts w:ascii="Arial Rounded MT Bold" w:hAnsi="Arial Rounded MT Bold"/>
                <w:sz w:val="32"/>
                <w:szCs w:val="32"/>
              </w:rPr>
            </w:pPr>
            <w:r w:rsidRPr="00C43783">
              <w:rPr>
                <w:rFonts w:ascii="Arial Rounded MT Bold" w:hAnsi="Arial Rounded MT Bold"/>
                <w:sz w:val="32"/>
                <w:szCs w:val="32"/>
              </w:rPr>
              <w:t>Conviction is likely to result in unusually small or nominal penalty</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2</w:t>
            </w:r>
          </w:p>
        </w:tc>
        <w:tc>
          <w:tcPr>
            <w:tcW w:w="12819" w:type="dxa"/>
          </w:tcPr>
          <w:p w:rsidR="00C544EF" w:rsidRPr="00C43783" w:rsidRDefault="00C544EF" w:rsidP="007607A4">
            <w:pPr>
              <w:jc w:val="center"/>
              <w:rPr>
                <w:rFonts w:ascii="Arial Rounded MT Bold" w:hAnsi="Arial Rounded MT Bold"/>
                <w:sz w:val="32"/>
                <w:szCs w:val="32"/>
              </w:rPr>
            </w:pPr>
            <w:r w:rsidRPr="00C43783">
              <w:rPr>
                <w:rFonts w:ascii="Arial Rounded MT Bold" w:hAnsi="Arial Rounded MT Bold"/>
                <w:sz w:val="32"/>
                <w:szCs w:val="32"/>
              </w:rPr>
              <w:t>Prosecution is likely to have detrimental effect on victim's physical or mental health.</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3</w:t>
            </w:r>
          </w:p>
        </w:tc>
        <w:tc>
          <w:tcPr>
            <w:tcW w:w="12819" w:type="dxa"/>
          </w:tcPr>
          <w:p w:rsidR="00C544EF" w:rsidRPr="00C43783" w:rsidRDefault="00C544EF" w:rsidP="007607A4">
            <w:pPr>
              <w:jc w:val="center"/>
              <w:rPr>
                <w:rFonts w:ascii="Arial Rounded MT Bold" w:hAnsi="Arial Rounded MT Bold"/>
                <w:sz w:val="32"/>
                <w:szCs w:val="32"/>
              </w:rPr>
            </w:pPr>
            <w:r w:rsidRPr="00C43783">
              <w:rPr>
                <w:rFonts w:ascii="Arial Rounded MT Bold" w:hAnsi="Arial Rounded MT Bold"/>
                <w:sz w:val="32"/>
                <w:szCs w:val="32"/>
              </w:rPr>
              <w:t>Offender supplied information which reduced risk, loss or harm to others</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4</w:t>
            </w:r>
          </w:p>
        </w:tc>
        <w:tc>
          <w:tcPr>
            <w:tcW w:w="12819" w:type="dxa"/>
          </w:tcPr>
          <w:p w:rsidR="00C544EF" w:rsidRPr="00C43783" w:rsidRDefault="00C544EF" w:rsidP="007607A4">
            <w:pPr>
              <w:jc w:val="center"/>
              <w:rPr>
                <w:rFonts w:ascii="Arial Rounded MT Bold" w:hAnsi="Arial Rounded MT Bold"/>
                <w:sz w:val="32"/>
                <w:szCs w:val="32"/>
              </w:rPr>
            </w:pPr>
            <w:r w:rsidRPr="00C43783">
              <w:rPr>
                <w:rFonts w:ascii="Arial Rounded MT Bold" w:hAnsi="Arial Rounded MT Bold"/>
                <w:sz w:val="32"/>
                <w:szCs w:val="32"/>
              </w:rPr>
              <w:t>Offender was influenced by others more criminally sophisticated</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5</w:t>
            </w:r>
          </w:p>
        </w:tc>
        <w:tc>
          <w:tcPr>
            <w:tcW w:w="12819" w:type="dxa"/>
          </w:tcPr>
          <w:p w:rsidR="00C544EF" w:rsidRPr="00C43783" w:rsidRDefault="00C544EF" w:rsidP="007607A4">
            <w:pPr>
              <w:jc w:val="center"/>
              <w:rPr>
                <w:rFonts w:ascii="Arial Rounded MT Bold" w:hAnsi="Arial Rounded MT Bold"/>
                <w:sz w:val="32"/>
                <w:szCs w:val="32"/>
              </w:rPr>
            </w:pPr>
            <w:r w:rsidRPr="00C43783">
              <w:rPr>
                <w:rFonts w:ascii="Arial Rounded MT Bold" w:hAnsi="Arial Rounded MT Bold"/>
                <w:sz w:val="32"/>
                <w:szCs w:val="32"/>
              </w:rPr>
              <w:t>Genuine mistake or misunderstanding</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6</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Vulnerability of the offender</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7</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Provocation from victim or victim’s group and offender reacted impulsively</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8</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The offence is minor</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9</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Offender is or was at time of offence suffering from significant mental or physical ill-health and offence is not likely to be repeated</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10</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The offence is unlikely to recur or the offender is unlikely to reoffend, Referral options available for the offender to be diverted at an early opportunity</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11</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The offence is so old that the relevance of any response is minimised</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12</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The offender wants to engage in the Restorative/Rehabilitative process</w:t>
            </w:r>
          </w:p>
        </w:tc>
      </w:tr>
      <w:tr w:rsidR="00C544EF" w:rsidRPr="00C544EF" w:rsidTr="007607A4">
        <w:tc>
          <w:tcPr>
            <w:tcW w:w="1129" w:type="dxa"/>
            <w:shd w:val="clear" w:color="auto" w:fill="9CC2E5" w:themeFill="accent1" w:themeFillTint="99"/>
          </w:tcPr>
          <w:p w:rsidR="00C544EF" w:rsidRPr="00C544EF" w:rsidRDefault="00C544EF" w:rsidP="007607A4">
            <w:pPr>
              <w:jc w:val="center"/>
              <w:rPr>
                <w:rFonts w:ascii="Arial Rounded MT Bold" w:hAnsi="Arial Rounded MT Bold"/>
                <w:sz w:val="36"/>
                <w:szCs w:val="36"/>
              </w:rPr>
            </w:pPr>
            <w:r>
              <w:rPr>
                <w:rFonts w:ascii="Arial Rounded MT Bold" w:hAnsi="Arial Rounded MT Bold"/>
                <w:sz w:val="36"/>
                <w:szCs w:val="36"/>
              </w:rPr>
              <w:t>13</w:t>
            </w:r>
          </w:p>
        </w:tc>
        <w:tc>
          <w:tcPr>
            <w:tcW w:w="12819" w:type="dxa"/>
          </w:tcPr>
          <w:p w:rsidR="00C544EF" w:rsidRPr="00C43783" w:rsidRDefault="00C43783" w:rsidP="007607A4">
            <w:pPr>
              <w:jc w:val="center"/>
              <w:rPr>
                <w:rFonts w:ascii="Arial Rounded MT Bold" w:hAnsi="Arial Rounded MT Bold"/>
                <w:sz w:val="32"/>
                <w:szCs w:val="32"/>
              </w:rPr>
            </w:pPr>
            <w:r w:rsidRPr="00C43783">
              <w:rPr>
                <w:rFonts w:ascii="Arial Rounded MT Bold" w:hAnsi="Arial Rounded MT Bold"/>
                <w:sz w:val="32"/>
                <w:szCs w:val="32"/>
              </w:rPr>
              <w:t>The offender has put right harm or loss caused; has expressed regret; offered reparation or compensation</w:t>
            </w:r>
          </w:p>
        </w:tc>
      </w:tr>
    </w:tbl>
    <w:p w:rsidR="00C544EF" w:rsidRDefault="00C544EF" w:rsidP="00CD7E79">
      <w:pPr>
        <w:rPr>
          <w:rFonts w:ascii="Arial Rounded MT Bold" w:hAnsi="Arial Rounded MT Bold"/>
          <w:sz w:val="44"/>
          <w:szCs w:val="44"/>
        </w:rPr>
      </w:pPr>
    </w:p>
    <w:p w:rsidR="00C43783" w:rsidRDefault="00C43783" w:rsidP="00CD7E79">
      <w:pPr>
        <w:rPr>
          <w:rFonts w:ascii="Arial Rounded MT Bold" w:hAnsi="Arial Rounded MT Bold"/>
          <w:sz w:val="44"/>
          <w:szCs w:val="44"/>
        </w:rPr>
      </w:pPr>
    </w:p>
    <w:tbl>
      <w:tblPr>
        <w:tblStyle w:val="TableGrid"/>
        <w:tblW w:w="0" w:type="auto"/>
        <w:tblLook w:val="04A0" w:firstRow="1" w:lastRow="0" w:firstColumn="1" w:lastColumn="0" w:noHBand="0" w:noVBand="1"/>
      </w:tblPr>
      <w:tblGrid>
        <w:gridCol w:w="13948"/>
      </w:tblGrid>
      <w:tr w:rsidR="00C43783" w:rsidTr="00C43783">
        <w:tc>
          <w:tcPr>
            <w:tcW w:w="13948" w:type="dxa"/>
            <w:shd w:val="clear" w:color="auto" w:fill="FFFF00"/>
          </w:tcPr>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lastRenderedPageBreak/>
              <w:t>There are a number of Aggravating and Mitigating Factors for domestic Abuse</w:t>
            </w:r>
          </w:p>
        </w:tc>
      </w:tr>
      <w:tr w:rsidR="00C43783" w:rsidTr="00C43783">
        <w:tc>
          <w:tcPr>
            <w:tcW w:w="13948" w:type="dxa"/>
            <w:shd w:val="clear" w:color="auto" w:fill="FFFFFF" w:themeFill="background1"/>
          </w:tcPr>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Things to remember in relation to the Aggravation:</w:t>
            </w:r>
          </w:p>
          <w:p w:rsidR="00C43783" w:rsidRDefault="00C43783" w:rsidP="00C43783">
            <w:pPr>
              <w:jc w:val="center"/>
              <w:rPr>
                <w:rFonts w:ascii="Arial Rounded MT Bold" w:hAnsi="Arial Rounded MT Bold"/>
                <w:sz w:val="44"/>
                <w:szCs w:val="44"/>
              </w:rPr>
            </w:pP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Abuse of trust and power</w:t>
            </w: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Vulnerability at all times</w:t>
            </w: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Impact on children (ACE)</w:t>
            </w: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Use of contact arrangements to instigate an offence</w:t>
            </w: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History of suspect</w:t>
            </w: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Victim forced to leave home or been prevented from reporting</w:t>
            </w:r>
          </w:p>
          <w:p w:rsidR="00C43783" w:rsidRDefault="00C43783" w:rsidP="00C43783">
            <w:pPr>
              <w:jc w:val="center"/>
              <w:rPr>
                <w:rFonts w:ascii="Arial Rounded MT Bold" w:hAnsi="Arial Rounded MT Bold"/>
                <w:sz w:val="44"/>
                <w:szCs w:val="44"/>
              </w:rPr>
            </w:pP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In mitigation:</w:t>
            </w:r>
          </w:p>
          <w:p w:rsidR="00C43783" w:rsidRDefault="00C43783" w:rsidP="00C43783">
            <w:pPr>
              <w:jc w:val="center"/>
              <w:rPr>
                <w:rFonts w:ascii="Arial Rounded MT Bold" w:hAnsi="Arial Rounded MT Bold"/>
                <w:sz w:val="44"/>
                <w:szCs w:val="44"/>
              </w:rPr>
            </w:pP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Previous good character – the court will take this into consideration</w:t>
            </w:r>
          </w:p>
          <w:p w:rsidR="00C43783" w:rsidRDefault="00C43783" w:rsidP="00C43783">
            <w:pPr>
              <w:jc w:val="center"/>
              <w:rPr>
                <w:rFonts w:ascii="Arial Rounded MT Bold" w:hAnsi="Arial Rounded MT Bold"/>
                <w:sz w:val="44"/>
                <w:szCs w:val="44"/>
              </w:rPr>
            </w:pPr>
            <w:r>
              <w:rPr>
                <w:rFonts w:ascii="Arial Rounded MT Bold" w:hAnsi="Arial Rounded MT Bold"/>
                <w:sz w:val="44"/>
                <w:szCs w:val="44"/>
              </w:rPr>
              <w:t>Genuine recognition of the need to change and/or receiving help toward making that change</w:t>
            </w:r>
          </w:p>
        </w:tc>
      </w:tr>
    </w:tbl>
    <w:p w:rsidR="00C43783" w:rsidRDefault="00C43783" w:rsidP="00CD7E79">
      <w:pPr>
        <w:rPr>
          <w:rFonts w:ascii="Arial Rounded MT Bold" w:hAnsi="Arial Rounded MT Bold"/>
          <w:sz w:val="44"/>
          <w:szCs w:val="44"/>
        </w:rPr>
      </w:pPr>
      <w:r w:rsidRPr="00FB1526">
        <w:rPr>
          <w:rFonts w:ascii="Arial Rounded MT Bold" w:hAnsi="Arial Rounded MT Bold"/>
          <w:noProof/>
          <w:sz w:val="44"/>
          <w:szCs w:val="44"/>
          <w:shd w:val="clear" w:color="auto" w:fill="FFFFFF" w:themeFill="background1"/>
          <w:lang w:eastAsia="en-GB"/>
        </w:rPr>
        <w:lastRenderedPageBreak/>
        <w:drawing>
          <wp:inline distT="0" distB="0" distL="0" distR="0">
            <wp:extent cx="9070848" cy="3200400"/>
            <wp:effectExtent l="19050" t="0" r="3556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C67C15" w:rsidRDefault="00C67C15" w:rsidP="00CD7E79">
      <w:pPr>
        <w:rPr>
          <w:rFonts w:ascii="Arial Rounded MT Bold" w:hAnsi="Arial Rounded MT Bold"/>
          <w:sz w:val="44"/>
          <w:szCs w:val="44"/>
        </w:rPr>
      </w:pPr>
      <w:r>
        <w:rPr>
          <w:rFonts w:ascii="Arial Rounded MT Bold" w:hAnsi="Arial Rounded MT Bold"/>
          <w:sz w:val="44"/>
          <w:szCs w:val="44"/>
        </w:rPr>
        <w:t xml:space="preserve">The National Police Chief’s Council website have a full list of offences and subsequent scoring. It is aimed at providing officers and custody units a way of dealing with offences Out of Court – Out of Court Disposal. </w:t>
      </w:r>
    </w:p>
    <w:p w:rsidR="00C67C15" w:rsidRDefault="00C67C15" w:rsidP="00CD7E79">
      <w:pPr>
        <w:rPr>
          <w:rFonts w:ascii="Arial Rounded MT Bold" w:hAnsi="Arial Rounded MT Bold"/>
          <w:sz w:val="44"/>
          <w:szCs w:val="44"/>
        </w:rPr>
      </w:pPr>
      <w:r>
        <w:rPr>
          <w:rFonts w:ascii="Arial Rounded MT Bold" w:hAnsi="Arial Rounded MT Bold"/>
          <w:sz w:val="44"/>
          <w:szCs w:val="44"/>
        </w:rPr>
        <w:t>It can speed up the process whilst dealing with crimes, however, does not take away your power to arrest if so justified.</w:t>
      </w:r>
    </w:p>
    <w:p w:rsidR="00EA6EE9" w:rsidRDefault="00EA6EE9" w:rsidP="00EA6EE9">
      <w:pPr>
        <w:pStyle w:val="ListParagraph"/>
        <w:rPr>
          <w:rFonts w:ascii="Arial Rounded MT Bold" w:hAnsi="Arial Rounded MT Bold"/>
          <w:sz w:val="44"/>
          <w:szCs w:val="44"/>
        </w:rPr>
      </w:pPr>
      <w:r>
        <w:rPr>
          <w:rFonts w:ascii="Arial Rounded MT Bold" w:hAnsi="Arial Rounded MT Bold"/>
          <w:noProof/>
          <w:sz w:val="44"/>
          <w:szCs w:val="44"/>
          <w:lang w:eastAsia="en-GB"/>
        </w:rPr>
        <w:lastRenderedPageBreak/>
        <mc:AlternateContent>
          <mc:Choice Requires="wps">
            <w:drawing>
              <wp:anchor distT="0" distB="0" distL="114300" distR="114300" simplePos="0" relativeHeight="251663360" behindDoc="0" locked="0" layoutInCell="1" allowOverlap="1">
                <wp:simplePos x="0" y="0"/>
                <wp:positionH relativeFrom="column">
                  <wp:posOffset>2677363</wp:posOffset>
                </wp:positionH>
                <wp:positionV relativeFrom="paragraph">
                  <wp:posOffset>-160934</wp:posOffset>
                </wp:positionV>
                <wp:extent cx="3343047" cy="497433"/>
                <wp:effectExtent l="0" t="0" r="10160" b="17145"/>
                <wp:wrapNone/>
                <wp:docPr id="6" name="Rectangle 6"/>
                <wp:cNvGraphicFramePr/>
                <a:graphic xmlns:a="http://schemas.openxmlformats.org/drawingml/2006/main">
                  <a:graphicData uri="http://schemas.microsoft.com/office/word/2010/wordprocessingShape">
                    <wps:wsp>
                      <wps:cNvSpPr/>
                      <wps:spPr>
                        <a:xfrm>
                          <a:off x="0" y="0"/>
                          <a:ext cx="3343047" cy="49743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A6EE9" w:rsidRPr="00EA6EE9" w:rsidRDefault="00EA6EE9" w:rsidP="00EA6EE9">
                            <w:pPr>
                              <w:jc w:val="center"/>
                              <w:rPr>
                                <w:rFonts w:ascii="Arial Rounded MT Bold" w:hAnsi="Arial Rounded MT Bold"/>
                                <w:sz w:val="40"/>
                                <w:szCs w:val="40"/>
                              </w:rPr>
                            </w:pPr>
                            <w:r w:rsidRPr="00EA6EE9">
                              <w:rPr>
                                <w:rFonts w:ascii="Arial Rounded MT Bold" w:hAnsi="Arial Rounded MT Bold"/>
                                <w:sz w:val="40"/>
                                <w:szCs w:val="40"/>
                              </w:rPr>
                              <w:t>Youth Matrix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31" style="position:absolute;left:0;text-align:left;margin-left:210.8pt;margin-top:-12.65pt;width:263.25pt;height:39.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qufQIAAEsFAAAOAAAAZHJzL2Uyb0RvYy54bWysVEtv2zAMvg/YfxB0X+0k7iuIUwQpOgwo&#10;2qLt0LMiS7EBvUYpsbNfP0p23KItdhjmg0yJ5EfyE6nFVacV2QvwjTUlnZzklAjDbdWYbUl/Pt98&#10;u6DEB2YqpqwRJT0IT6+WX78sWjcXU1tbVQkgCGL8vHUlrUNw8yzzvBaa+RPrhEGltKBZwC1sswpY&#10;i+haZdM8P8taC5UDy4X3eHrdK+ky4UspeLiX0otAVEkxt5BWSOsmrtlyweZbYK5u+JAG+4csNGsM&#10;Bh2hrllgZAfNByjdcLDeynDCrc6slA0XqQasZpK/q+apZk6kWpAc70aa/P+D5Xf7ByBNVdIzSgzT&#10;eEWPSBozWyXIWaSndX6OVk/uAYadRzHW2knQ8Y9VkC5RehgpFV0gHA9ns2KWF+eUcNQVl+fFbBZB&#10;s1dvBz58F1aTKJQUMHpiku1vfehNjyboF7Pp4ycpHJSIKSjzKCSWgRGnyTs1kFgrIHuGV884FyZM&#10;elXNKtEfn+b4DfmMHim7BBiRZaPUiD0AxOb8iN3nOthHV5H6b3TO/5ZY7zx6pMjWhNFZN8bCZwAK&#10;qxoi9/ZHknpqIkuh23Tpik+jZTzZ2OqA1w62nwfv+E2D7N8yHx4Y4ADgqOBQh3tcpLJtSe0gUVJb&#10;+P3ZebTHvkQtJS0OVEn9rx0DQYn6YbBjLydFEScwbYrT8ylu4K1m81Zjdnpt8eIm+Hw4nsRoH9RR&#10;lGD1C87+KkZFFTMcY5eUBzhu1qEfdHw9uFitkhlOnWPh1jw5HsEjz7G7nrsXBm5owYDNe2ePw8fm&#10;7zqxt42exq52wcomtekrr8MN4MSmVhpel/gkvN0nq9c3cPkHAAD//wMAUEsDBBQABgAIAAAAIQDc&#10;e0IB3wAAAAoBAAAPAAAAZHJzL2Rvd25yZXYueG1sTI/LTsMwEEX3SPyDNUjsWifpgxLiVKgSGyQW&#10;bfmAaTwkoX5EsdMkf8+wguXoHt17pthP1ogb9aH1TkG6TECQq7xuXa3g8/y22IEIEZ1G4x0pmCnA&#10;vry/KzDXfnRHup1iLbjEhRwVNDF2uZShashiWPqOHGdfvrcY+exrqXscudwamSXJVlpsHS802NGh&#10;oep6GiyPIB3n9Gk8XD+a6b0lM3/TMCv1+DC9voCINMU/GH71WR1Kdrr4wekgjIJ1lm4ZVbDINisQ&#10;TDyvdymIi4LNKgFZFvL/C+UPAAAA//8DAFBLAQItABQABgAIAAAAIQC2gziS/gAAAOEBAAATAAAA&#10;AAAAAAAAAAAAAAAAAABbQ29udGVudF9UeXBlc10ueG1sUEsBAi0AFAAGAAgAAAAhADj9If/WAAAA&#10;lAEAAAsAAAAAAAAAAAAAAAAALwEAAF9yZWxzLy5yZWxzUEsBAi0AFAAGAAgAAAAhAC3DKq59AgAA&#10;SwUAAA4AAAAAAAAAAAAAAAAALgIAAGRycy9lMm9Eb2MueG1sUEsBAi0AFAAGAAgAAAAhANx7QgHf&#10;AAAACgEAAA8AAAAAAAAAAAAAAAAA1wQAAGRycy9kb3ducmV2LnhtbFBLBQYAAAAABAAEAPMAAADj&#10;BQAAAAA=&#10;" fillcolor="#5b9bd5 [3204]" strokecolor="#1f4d78 [1604]" strokeweight="1pt">
                <v:textbox>
                  <w:txbxContent>
                    <w:p w:rsidR="00EA6EE9" w:rsidRPr="00EA6EE9" w:rsidRDefault="00EA6EE9" w:rsidP="00EA6EE9">
                      <w:pPr>
                        <w:jc w:val="center"/>
                        <w:rPr>
                          <w:rFonts w:ascii="Arial Rounded MT Bold" w:hAnsi="Arial Rounded MT Bold"/>
                          <w:sz w:val="40"/>
                          <w:szCs w:val="40"/>
                        </w:rPr>
                      </w:pPr>
                      <w:r w:rsidRPr="00EA6EE9">
                        <w:rPr>
                          <w:rFonts w:ascii="Arial Rounded MT Bold" w:hAnsi="Arial Rounded MT Bold"/>
                          <w:sz w:val="40"/>
                          <w:szCs w:val="40"/>
                        </w:rPr>
                        <w:t>Youth Matrix</w:t>
                      </w:r>
                    </w:p>
                  </w:txbxContent>
                </v:textbox>
              </v:rect>
            </w:pict>
          </mc:Fallback>
        </mc:AlternateContent>
      </w:r>
    </w:p>
    <w:p w:rsidR="00C67C15" w:rsidRDefault="00C67C15" w:rsidP="00C67C15">
      <w:pPr>
        <w:pStyle w:val="ListParagraph"/>
        <w:numPr>
          <w:ilvl w:val="0"/>
          <w:numId w:val="1"/>
        </w:numPr>
        <w:rPr>
          <w:rFonts w:ascii="Arial Rounded MT Bold" w:hAnsi="Arial Rounded MT Bold"/>
          <w:sz w:val="44"/>
          <w:szCs w:val="44"/>
        </w:rPr>
      </w:pPr>
      <w:r>
        <w:rPr>
          <w:rFonts w:ascii="Arial Rounded MT Bold" w:hAnsi="Arial Rounded MT Bold"/>
          <w:sz w:val="44"/>
          <w:szCs w:val="44"/>
        </w:rPr>
        <w:t>When a youth commits a crime, the most appropriate way to deal with it is by diverting or ‘triaging’ them away from the Criminal Justice System</w:t>
      </w:r>
    </w:p>
    <w:p w:rsidR="00C67C15" w:rsidRDefault="00C67C15" w:rsidP="00C67C15">
      <w:pPr>
        <w:pStyle w:val="ListParagraph"/>
        <w:numPr>
          <w:ilvl w:val="0"/>
          <w:numId w:val="1"/>
        </w:numPr>
        <w:rPr>
          <w:rFonts w:ascii="Arial Rounded MT Bold" w:hAnsi="Arial Rounded MT Bold"/>
          <w:sz w:val="44"/>
          <w:szCs w:val="44"/>
        </w:rPr>
      </w:pPr>
      <w:r>
        <w:rPr>
          <w:rFonts w:ascii="Arial Rounded MT Bold" w:hAnsi="Arial Rounded MT Bold"/>
          <w:sz w:val="44"/>
          <w:szCs w:val="44"/>
        </w:rPr>
        <w:t xml:space="preserve">This can prevent escalation in behaviour and the Youth Offending Team’s interaction can be classed as an Out Of Court Disposal. </w:t>
      </w:r>
    </w:p>
    <w:p w:rsidR="00C67C15" w:rsidRDefault="00C67C15" w:rsidP="00C67C15">
      <w:pPr>
        <w:pStyle w:val="ListParagraph"/>
        <w:numPr>
          <w:ilvl w:val="0"/>
          <w:numId w:val="1"/>
        </w:numPr>
        <w:rPr>
          <w:rFonts w:ascii="Arial Rounded MT Bold" w:hAnsi="Arial Rounded MT Bold"/>
          <w:sz w:val="44"/>
          <w:szCs w:val="44"/>
        </w:rPr>
      </w:pPr>
      <w:r>
        <w:rPr>
          <w:rFonts w:ascii="Arial Rounded MT Bold" w:hAnsi="Arial Rounded MT Bold"/>
          <w:sz w:val="44"/>
          <w:szCs w:val="44"/>
        </w:rPr>
        <w:t>Some of these disposals are:</w:t>
      </w:r>
    </w:p>
    <w:p w:rsidR="00C67C15" w:rsidRDefault="00C67C15" w:rsidP="00C67C15">
      <w:pPr>
        <w:pStyle w:val="ListParagraph"/>
        <w:numPr>
          <w:ilvl w:val="0"/>
          <w:numId w:val="2"/>
        </w:numPr>
        <w:rPr>
          <w:rFonts w:ascii="Arial Rounded MT Bold" w:hAnsi="Arial Rounded MT Bold"/>
          <w:sz w:val="44"/>
          <w:szCs w:val="44"/>
        </w:rPr>
      </w:pPr>
      <w:r>
        <w:rPr>
          <w:rFonts w:ascii="Arial Rounded MT Bold" w:hAnsi="Arial Rounded MT Bold"/>
          <w:sz w:val="44"/>
          <w:szCs w:val="44"/>
        </w:rPr>
        <w:t>No further action</w:t>
      </w:r>
    </w:p>
    <w:p w:rsidR="00C67C15" w:rsidRDefault="00C67C15" w:rsidP="00C67C15">
      <w:pPr>
        <w:pStyle w:val="ListParagraph"/>
        <w:numPr>
          <w:ilvl w:val="0"/>
          <w:numId w:val="2"/>
        </w:numPr>
        <w:rPr>
          <w:rFonts w:ascii="Arial Rounded MT Bold" w:hAnsi="Arial Rounded MT Bold"/>
          <w:sz w:val="44"/>
          <w:szCs w:val="44"/>
        </w:rPr>
      </w:pPr>
      <w:r>
        <w:rPr>
          <w:rFonts w:ascii="Arial Rounded MT Bold" w:hAnsi="Arial Rounded MT Bold"/>
          <w:sz w:val="44"/>
          <w:szCs w:val="44"/>
        </w:rPr>
        <w:t>Community Resolution</w:t>
      </w:r>
    </w:p>
    <w:p w:rsidR="00C67C15" w:rsidRDefault="00C67C15" w:rsidP="00C67C15">
      <w:pPr>
        <w:pStyle w:val="ListParagraph"/>
        <w:numPr>
          <w:ilvl w:val="0"/>
          <w:numId w:val="2"/>
        </w:numPr>
        <w:rPr>
          <w:rFonts w:ascii="Arial Rounded MT Bold" w:hAnsi="Arial Rounded MT Bold"/>
          <w:sz w:val="44"/>
          <w:szCs w:val="44"/>
        </w:rPr>
      </w:pPr>
      <w:r>
        <w:rPr>
          <w:rFonts w:ascii="Arial Rounded MT Bold" w:hAnsi="Arial Rounded MT Bold"/>
          <w:sz w:val="44"/>
          <w:szCs w:val="44"/>
        </w:rPr>
        <w:t>Youth Caution</w:t>
      </w:r>
    </w:p>
    <w:p w:rsidR="00C67C15" w:rsidRDefault="00C67C15" w:rsidP="00C67C15">
      <w:pPr>
        <w:pStyle w:val="ListParagraph"/>
        <w:numPr>
          <w:ilvl w:val="0"/>
          <w:numId w:val="2"/>
        </w:numPr>
        <w:rPr>
          <w:rFonts w:ascii="Arial Rounded MT Bold" w:hAnsi="Arial Rounded MT Bold"/>
          <w:sz w:val="44"/>
          <w:szCs w:val="44"/>
        </w:rPr>
      </w:pPr>
      <w:r>
        <w:rPr>
          <w:rFonts w:ascii="Arial Rounded MT Bold" w:hAnsi="Arial Rounded MT Bold"/>
          <w:sz w:val="44"/>
          <w:szCs w:val="44"/>
        </w:rPr>
        <w:t>Youth Conditional Caution</w:t>
      </w:r>
    </w:p>
    <w:p w:rsidR="00C67C15" w:rsidRDefault="00C67C15" w:rsidP="00C67C15">
      <w:pPr>
        <w:rPr>
          <w:rFonts w:ascii="Arial Rounded MT Bold" w:hAnsi="Arial Rounded MT Bold"/>
          <w:sz w:val="44"/>
          <w:szCs w:val="44"/>
        </w:rPr>
      </w:pPr>
      <w:r>
        <w:rPr>
          <w:rFonts w:ascii="Arial Rounded MT Bold" w:hAnsi="Arial Rounded MT Bold"/>
          <w:sz w:val="44"/>
          <w:szCs w:val="44"/>
        </w:rPr>
        <w:t xml:space="preserve">There may be occasions when a decision is made to charge the youth straight to </w:t>
      </w:r>
      <w:r w:rsidR="00EA6EE9">
        <w:rPr>
          <w:rFonts w:ascii="Arial Rounded MT Bold" w:hAnsi="Arial Rounded MT Bold"/>
          <w:sz w:val="44"/>
          <w:szCs w:val="44"/>
        </w:rPr>
        <w:t>a Youth C</w:t>
      </w:r>
      <w:r>
        <w:rPr>
          <w:rFonts w:ascii="Arial Rounded MT Bold" w:hAnsi="Arial Rounded MT Bold"/>
          <w:sz w:val="44"/>
          <w:szCs w:val="44"/>
        </w:rPr>
        <w:t xml:space="preserve">ourt dependant on crime and offending history. </w:t>
      </w:r>
    </w:p>
    <w:p w:rsidR="00C67C15" w:rsidRDefault="00C67C15" w:rsidP="00C67C15">
      <w:pPr>
        <w:rPr>
          <w:rFonts w:ascii="Arial Rounded MT Bold" w:hAnsi="Arial Rounded MT Bold"/>
          <w:sz w:val="44"/>
          <w:szCs w:val="44"/>
        </w:rPr>
      </w:pPr>
    </w:p>
    <w:tbl>
      <w:tblPr>
        <w:tblW w:w="14459" w:type="dxa"/>
        <w:tblInd w:w="-1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278"/>
        <w:gridCol w:w="12181"/>
      </w:tblGrid>
      <w:tr w:rsidR="00CA659E" w:rsidRPr="00CA659E" w:rsidTr="00CA659E">
        <w:trPr>
          <w:trHeight w:val="304"/>
        </w:trPr>
        <w:tc>
          <w:tcPr>
            <w:tcW w:w="2278" w:type="dxa"/>
            <w:tcBorders>
              <w:top w:val="single" w:sz="8" w:space="0" w:color="000000"/>
              <w:left w:val="single" w:sz="8" w:space="0" w:color="000000"/>
              <w:bottom w:val="single" w:sz="6" w:space="0" w:color="000000"/>
              <w:right w:val="single" w:sz="18" w:space="0" w:color="000000"/>
            </w:tcBorders>
            <w:shd w:val="clear" w:color="auto" w:fill="99CCFF"/>
          </w:tcPr>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color w:val="000000"/>
                <w:sz w:val="28"/>
                <w:szCs w:val="28"/>
                <w:lang w:eastAsia="en-GB"/>
              </w:rPr>
            </w:pPr>
            <w:r w:rsidRPr="00CA659E">
              <w:rPr>
                <w:rFonts w:ascii="Arial Rounded MT Bold" w:eastAsia="Times New Roman" w:hAnsi="Arial Rounded MT Bold" w:cs="Arial"/>
                <w:bCs/>
                <w:color w:val="000000"/>
                <w:sz w:val="28"/>
                <w:szCs w:val="28"/>
                <w:lang w:eastAsia="en-GB"/>
              </w:rPr>
              <w:t xml:space="preserve">FINAL SCORE </w:t>
            </w:r>
          </w:p>
        </w:tc>
        <w:tc>
          <w:tcPr>
            <w:tcW w:w="12181" w:type="dxa"/>
            <w:tcBorders>
              <w:top w:val="single" w:sz="8" w:space="0" w:color="000000"/>
              <w:left w:val="single" w:sz="18" w:space="0" w:color="000000"/>
              <w:bottom w:val="single" w:sz="6" w:space="0" w:color="000000"/>
              <w:right w:val="single" w:sz="8" w:space="0" w:color="000000"/>
            </w:tcBorders>
            <w:shd w:val="clear" w:color="auto" w:fill="99CCFF"/>
          </w:tcPr>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color w:val="000000"/>
                <w:sz w:val="28"/>
                <w:szCs w:val="28"/>
                <w:lang w:eastAsia="en-GB"/>
              </w:rPr>
            </w:pPr>
            <w:r w:rsidRPr="00CA659E">
              <w:rPr>
                <w:rFonts w:ascii="Arial Rounded MT Bold" w:eastAsia="Times New Roman" w:hAnsi="Arial Rounded MT Bold" w:cs="Arial"/>
                <w:bCs/>
                <w:color w:val="000000"/>
                <w:sz w:val="28"/>
                <w:szCs w:val="28"/>
                <w:lang w:eastAsia="en-GB"/>
              </w:rPr>
              <w:t>ACTION</w:t>
            </w:r>
          </w:p>
        </w:tc>
      </w:tr>
      <w:tr w:rsidR="00CA659E" w:rsidRPr="00CA659E" w:rsidTr="00CA659E">
        <w:trPr>
          <w:trHeight w:val="166"/>
        </w:trPr>
        <w:tc>
          <w:tcPr>
            <w:tcW w:w="2278" w:type="dxa"/>
            <w:tcBorders>
              <w:top w:val="single" w:sz="6" w:space="0" w:color="000000"/>
              <w:left w:val="single" w:sz="8" w:space="0" w:color="000000"/>
              <w:bottom w:val="single" w:sz="8" w:space="0" w:color="000000"/>
              <w:right w:val="single" w:sz="16" w:space="0" w:color="000000"/>
            </w:tcBorders>
          </w:tcPr>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r w:rsidRPr="00CA659E">
              <w:rPr>
                <w:rFonts w:ascii="Arial Rounded MT Bold" w:eastAsia="Times New Roman" w:hAnsi="Arial Rounded MT Bold" w:cs="Arial"/>
                <w:bCs/>
                <w:color w:val="000000"/>
                <w:sz w:val="28"/>
                <w:szCs w:val="28"/>
                <w:lang w:eastAsia="en-GB"/>
              </w:rPr>
              <w:t>4</w:t>
            </w: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color w:val="000000"/>
                <w:sz w:val="28"/>
                <w:szCs w:val="28"/>
                <w:lang w:eastAsia="en-GB"/>
              </w:rPr>
            </w:pPr>
          </w:p>
        </w:tc>
        <w:tc>
          <w:tcPr>
            <w:tcW w:w="12181" w:type="dxa"/>
            <w:tcBorders>
              <w:top w:val="single" w:sz="6" w:space="0" w:color="000000"/>
              <w:left w:val="single" w:sz="6" w:space="0" w:color="000000"/>
              <w:bottom w:val="single" w:sz="8" w:space="0" w:color="000000"/>
              <w:right w:val="single" w:sz="8" w:space="0" w:color="000000"/>
            </w:tcBorders>
          </w:tcPr>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bCs/>
                <w:color w:val="000000"/>
                <w:sz w:val="28"/>
                <w:szCs w:val="28"/>
                <w:lang w:eastAsia="en-GB"/>
              </w:rPr>
            </w:pPr>
            <w:r w:rsidRPr="00CA659E">
              <w:rPr>
                <w:rFonts w:ascii="Arial Rounded MT Bold" w:eastAsia="Times New Roman" w:hAnsi="Arial Rounded MT Bold" w:cs="Arial"/>
                <w:bCs/>
                <w:color w:val="000000"/>
                <w:sz w:val="28"/>
                <w:szCs w:val="28"/>
                <w:lang w:eastAsia="en-GB"/>
              </w:rPr>
              <w:t xml:space="preserve">Normally result in charge-. </w:t>
            </w:r>
          </w:p>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color w:val="000000"/>
                <w:sz w:val="28"/>
                <w:szCs w:val="28"/>
                <w:lang w:eastAsia="en-GB"/>
              </w:rPr>
            </w:pPr>
          </w:p>
        </w:tc>
      </w:tr>
      <w:tr w:rsidR="00CA659E" w:rsidRPr="00CA659E" w:rsidTr="00CA659E">
        <w:trPr>
          <w:trHeight w:val="580"/>
        </w:trPr>
        <w:tc>
          <w:tcPr>
            <w:tcW w:w="2278" w:type="dxa"/>
            <w:tcBorders>
              <w:top w:val="single" w:sz="8" w:space="0" w:color="000000"/>
              <w:left w:val="single" w:sz="8" w:space="0" w:color="000000"/>
              <w:bottom w:val="single" w:sz="8" w:space="0" w:color="000000"/>
              <w:right w:val="single" w:sz="16" w:space="0" w:color="000000"/>
            </w:tcBorders>
          </w:tcPr>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color w:val="000000"/>
                <w:sz w:val="28"/>
                <w:szCs w:val="28"/>
                <w:lang w:eastAsia="en-GB"/>
              </w:rPr>
            </w:pPr>
            <w:r w:rsidRPr="00CA659E">
              <w:rPr>
                <w:rFonts w:ascii="Arial Rounded MT Bold" w:eastAsia="Times New Roman" w:hAnsi="Arial Rounded MT Bold" w:cs="Arial"/>
                <w:bCs/>
                <w:color w:val="000000"/>
                <w:sz w:val="28"/>
                <w:szCs w:val="28"/>
                <w:lang w:eastAsia="en-GB"/>
              </w:rPr>
              <w:t>2 / 3</w:t>
            </w:r>
          </w:p>
        </w:tc>
        <w:tc>
          <w:tcPr>
            <w:tcW w:w="12181" w:type="dxa"/>
            <w:tcBorders>
              <w:top w:val="single" w:sz="8" w:space="0" w:color="000000"/>
              <w:left w:val="single" w:sz="6" w:space="0" w:color="000000"/>
              <w:bottom w:val="single" w:sz="8" w:space="0" w:color="000000"/>
              <w:right w:val="single" w:sz="8" w:space="0" w:color="000000"/>
            </w:tcBorders>
          </w:tcPr>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bCs/>
                <w:color w:val="000000"/>
                <w:sz w:val="28"/>
                <w:szCs w:val="28"/>
                <w:lang w:eastAsia="en-GB"/>
              </w:rPr>
            </w:pPr>
            <w:r w:rsidRPr="00CA659E">
              <w:rPr>
                <w:rFonts w:ascii="Arial Rounded MT Bold" w:eastAsia="Times New Roman" w:hAnsi="Arial Rounded MT Bold" w:cs="Arial"/>
                <w:bCs/>
                <w:color w:val="000000"/>
                <w:sz w:val="28"/>
                <w:szCs w:val="28"/>
                <w:lang w:eastAsia="en-GB"/>
              </w:rPr>
              <w:t xml:space="preserve">Normally a youth caution. If the offending behaviour cannot be satisfactorily addressed by a caution consider Youth Conditional Caution.  If neither of these address the offending behaviour or provides the necessary support then charge. </w:t>
            </w:r>
          </w:p>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color w:val="000000"/>
                <w:sz w:val="28"/>
                <w:szCs w:val="28"/>
                <w:lang w:eastAsia="en-GB"/>
              </w:rPr>
            </w:pPr>
          </w:p>
        </w:tc>
      </w:tr>
      <w:tr w:rsidR="00CA659E" w:rsidRPr="00CA659E" w:rsidTr="00CA659E">
        <w:trPr>
          <w:trHeight w:val="994"/>
        </w:trPr>
        <w:tc>
          <w:tcPr>
            <w:tcW w:w="2278" w:type="dxa"/>
            <w:tcBorders>
              <w:top w:val="single" w:sz="8" w:space="0" w:color="000000"/>
              <w:left w:val="single" w:sz="8" w:space="0" w:color="000000"/>
              <w:bottom w:val="single" w:sz="8" w:space="0" w:color="000000"/>
              <w:right w:val="single" w:sz="16" w:space="0" w:color="000000"/>
            </w:tcBorders>
          </w:tcPr>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jc w:val="center"/>
              <w:rPr>
                <w:rFonts w:ascii="Arial Rounded MT Bold" w:eastAsia="Times New Roman" w:hAnsi="Arial Rounded MT Bold" w:cs="Arial"/>
                <w:color w:val="000000"/>
                <w:sz w:val="28"/>
                <w:szCs w:val="28"/>
                <w:lang w:eastAsia="en-GB"/>
              </w:rPr>
            </w:pPr>
            <w:r w:rsidRPr="00CA659E">
              <w:rPr>
                <w:rFonts w:ascii="Arial Rounded MT Bold" w:eastAsia="Times New Roman" w:hAnsi="Arial Rounded MT Bold" w:cs="Arial"/>
                <w:bCs/>
                <w:color w:val="000000"/>
                <w:sz w:val="28"/>
                <w:szCs w:val="28"/>
                <w:lang w:eastAsia="en-GB"/>
              </w:rPr>
              <w:t>1</w:t>
            </w:r>
          </w:p>
        </w:tc>
        <w:tc>
          <w:tcPr>
            <w:tcW w:w="12181" w:type="dxa"/>
            <w:tcBorders>
              <w:top w:val="single" w:sz="8" w:space="0" w:color="000000"/>
              <w:left w:val="single" w:sz="6" w:space="0" w:color="000000"/>
              <w:bottom w:val="single" w:sz="8" w:space="0" w:color="000000"/>
              <w:right w:val="single" w:sz="8" w:space="0" w:color="000000"/>
            </w:tcBorders>
          </w:tcPr>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bCs/>
                <w:color w:val="000000"/>
                <w:sz w:val="28"/>
                <w:szCs w:val="28"/>
                <w:lang w:eastAsia="en-GB"/>
              </w:rPr>
            </w:pPr>
          </w:p>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bCs/>
                <w:color w:val="000000"/>
                <w:sz w:val="28"/>
                <w:szCs w:val="28"/>
                <w:lang w:eastAsia="en-GB"/>
              </w:rPr>
            </w:pPr>
            <w:r w:rsidRPr="00CA659E">
              <w:rPr>
                <w:rFonts w:ascii="Arial Rounded MT Bold" w:eastAsia="Times New Roman" w:hAnsi="Arial Rounded MT Bold" w:cs="Arial"/>
                <w:bCs/>
                <w:color w:val="000000"/>
                <w:sz w:val="28"/>
                <w:szCs w:val="28"/>
                <w:lang w:eastAsia="en-GB"/>
              </w:rPr>
              <w:t xml:space="preserve">Always the minimum response applicable to the individual offender, i.e. Community Resolution or caution, youth conditional caution or charge. </w:t>
            </w:r>
          </w:p>
          <w:p w:rsidR="00CA659E" w:rsidRPr="00CA659E" w:rsidRDefault="00CA659E" w:rsidP="00CA659E">
            <w:pPr>
              <w:autoSpaceDE w:val="0"/>
              <w:autoSpaceDN w:val="0"/>
              <w:adjustRightInd w:val="0"/>
              <w:spacing w:after="0" w:line="240" w:lineRule="auto"/>
              <w:rPr>
                <w:rFonts w:ascii="Arial Rounded MT Bold" w:eastAsia="Times New Roman" w:hAnsi="Arial Rounded MT Bold" w:cs="Arial"/>
                <w:color w:val="000000"/>
                <w:sz w:val="28"/>
                <w:szCs w:val="28"/>
                <w:lang w:eastAsia="en-GB"/>
              </w:rPr>
            </w:pPr>
          </w:p>
        </w:tc>
      </w:tr>
    </w:tbl>
    <w:p w:rsidR="00CA659E" w:rsidRDefault="00CA659E" w:rsidP="00C67C15">
      <w:pPr>
        <w:rPr>
          <w:rFonts w:ascii="Arial Rounded MT Bold" w:hAnsi="Arial Rounded MT Bold"/>
          <w:sz w:val="44"/>
          <w:szCs w:val="44"/>
        </w:rPr>
      </w:pPr>
    </w:p>
    <w:p w:rsidR="00C67C15" w:rsidRDefault="00C67C15" w:rsidP="00C67C15">
      <w:pPr>
        <w:rPr>
          <w:rFonts w:ascii="Arial Rounded MT Bold" w:hAnsi="Arial Rounded MT Bold"/>
          <w:sz w:val="44"/>
          <w:szCs w:val="44"/>
        </w:rPr>
      </w:pPr>
      <w:r>
        <w:rPr>
          <w:rFonts w:ascii="Arial Rounded MT Bold" w:hAnsi="Arial Rounded MT Bold"/>
          <w:sz w:val="44"/>
          <w:szCs w:val="44"/>
        </w:rPr>
        <w:t xml:space="preserve">There are many ways of also dealing with minor offences involving alcohol called the 18-25 triage system, whereby the subject will engage with a process to reduce re-offending and make them aware of their behaviour whilst drunk. </w:t>
      </w:r>
    </w:p>
    <w:p w:rsidR="00C67C15" w:rsidRDefault="00CA659E" w:rsidP="00C67C15">
      <w:pPr>
        <w:rPr>
          <w:rFonts w:ascii="Arial Rounded MT Bold" w:hAnsi="Arial Rounded MT Bold"/>
          <w:sz w:val="44"/>
          <w:szCs w:val="44"/>
        </w:rPr>
      </w:pPr>
      <w:r>
        <w:rPr>
          <w:rFonts w:ascii="Arial Rounded MT Bold" w:hAnsi="Arial Rounded MT Bold"/>
          <w:sz w:val="44"/>
          <w:szCs w:val="44"/>
        </w:rPr>
        <w:t>This process is also an Out Of Court Disposal.</w:t>
      </w:r>
    </w:p>
    <w:p w:rsidR="00EA6EE9" w:rsidRDefault="00EA6EE9" w:rsidP="00C67C15">
      <w:pPr>
        <w:rPr>
          <w:rFonts w:ascii="Arial Rounded MT Bold" w:hAnsi="Arial Rounded MT Bold"/>
          <w:sz w:val="44"/>
          <w:szCs w:val="44"/>
        </w:rPr>
      </w:pPr>
      <w:r>
        <w:rPr>
          <w:rFonts w:ascii="Arial Rounded MT Bold" w:hAnsi="Arial Rounded MT Bold"/>
          <w:noProof/>
          <w:sz w:val="44"/>
          <w:szCs w:val="44"/>
          <w:lang w:eastAsia="en-GB"/>
        </w:rPr>
        <w:lastRenderedPageBreak/>
        <mc:AlternateContent>
          <mc:Choice Requires="wps">
            <w:drawing>
              <wp:anchor distT="0" distB="0" distL="114300" distR="114300" simplePos="0" relativeHeight="251664384" behindDoc="0" locked="0" layoutInCell="1" allowOverlap="1">
                <wp:simplePos x="0" y="0"/>
                <wp:positionH relativeFrom="column">
                  <wp:posOffset>117043</wp:posOffset>
                </wp:positionH>
                <wp:positionV relativeFrom="paragraph">
                  <wp:posOffset>-21946</wp:posOffset>
                </wp:positionV>
                <wp:extent cx="3994099" cy="1192378"/>
                <wp:effectExtent l="0" t="0" r="26035" b="27305"/>
                <wp:wrapNone/>
                <wp:docPr id="8" name="Horizontal Scroll 8"/>
                <wp:cNvGraphicFramePr/>
                <a:graphic xmlns:a="http://schemas.openxmlformats.org/drawingml/2006/main">
                  <a:graphicData uri="http://schemas.microsoft.com/office/word/2010/wordprocessingShape">
                    <wps:wsp>
                      <wps:cNvSpPr/>
                      <wps:spPr>
                        <a:xfrm>
                          <a:off x="0" y="0"/>
                          <a:ext cx="3994099" cy="1192378"/>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A6EE9" w:rsidRPr="00EA6EE9" w:rsidRDefault="00EA6EE9" w:rsidP="00EA6EE9">
                            <w:pPr>
                              <w:jc w:val="center"/>
                              <w:rPr>
                                <w:rFonts w:ascii="Arial Rounded MT Bold" w:hAnsi="Arial Rounded MT Bold"/>
                                <w:sz w:val="44"/>
                                <w:szCs w:val="44"/>
                              </w:rPr>
                            </w:pPr>
                            <w:r w:rsidRPr="00EA6EE9">
                              <w:rPr>
                                <w:rFonts w:ascii="Arial Rounded MT Bold" w:hAnsi="Arial Rounded MT Bold"/>
                                <w:sz w:val="44"/>
                                <w:szCs w:val="44"/>
                              </w:rPr>
                              <w:t>Further 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8" o:spid="_x0000_s1032" type="#_x0000_t98" style="position:absolute;margin-left:9.2pt;margin-top:-1.75pt;width:314.5pt;height:93.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Ft6hgIAAGAFAAAOAAAAZHJzL2Uyb0RvYy54bWysVF9P2zAQf5+072D5fSQphdGKFFUgtkkI&#10;0MrEs+vY1JLj82y3Sfn0O9tpQID2MC0Pjs9397v/d37Rt5rshPMKTE2ro5ISYTg0yjzV9NfD9Zcz&#10;SnxgpmEajKjpXnh6sfj86byzczGBDehGOIIgxs87W9NNCHZeFJ5vRMv8EVhhkCnBtSwg6Z6KxrEO&#10;0VtdTMrytOjANdYBF97j61Vm0kXCl1LwcCelF4HomqJvIZ0unet4FotzNn9yzG4UH9xg/+BFy5RB&#10;oyPUFQuMbJ16B9Uq7sCDDEcc2gKkVFykGDCaqnwTzWrDrEixYHK8HdPk/x8sv93dO6KammKhDGux&#10;RN/BqWcwgWmyQme1JmcxTZ31c5Re2Xs3UB6vMeZeujb+MRrSp9Tux9SKPhCOj8ez2bSczSjhyKuq&#10;2eT4a0ItXtSt8+GbgJbEC0Y4upG9SOlluxsf0DyqHcSRiK5lZ9It7LWI/mjzU0iMDc1PknbqKnGp&#10;Hdkx7AfGuTChyqwNa0R+PinxixGjkVEjUQkwIkul9Yg9AMSOfY+dYQb5qCpSU47K5d8cy8qjRrKM&#10;hRmVW2XAfQSgMarBcpY/JCmnJmYp9Os+1f30UNw1NHvsBQd5SLzl1worccN8uGcOpwLnByc93OEh&#10;NXQ1heFGCRbr+aP3KJ9K+UxJh1NWU/97y5ygRP8w2MazajqNY5mI6cnXCRLuNWf9mmO27SVg4Src&#10;KZana5QP+nCVDtpHXAjLaBVZzHD0rKY8uANxGfL040rhYrlMYjiKloUbs7I8gsc8x+566B+Zs0M7&#10;BuzkWzhMJJu/6cQsGzUNLLcBpEptGjOd8zpUAMc4tdKwcuKeeE0nqZfFuPgDAAD//wMAUEsDBBQA&#10;BgAIAAAAIQA3WnRq3gAAAAkBAAAPAAAAZHJzL2Rvd25yZXYueG1sTI/BTsMwEETvSPyDtUjcWoc0&#10;NCXEqQoSUiXEgRZ6duMliYjXwXbb9O9ZuMBx9o1mZ8rlaHtxRB86RwpupgkIpNqZjhoFb9unyQJE&#10;iJqM7h2hgjMGWFaXF6UujDvRKx43sREcQqHQCtoYh0LKULdodZi6AYnZh/NWR5a+kcbrE4fbXqZJ&#10;MpdWd8QfWj3gY4v15+ZgFaR35+3DLl2/PGPu3nerr7XPMVPq+mpc3YOIOMY/M/zU5+pQcae9O5AJ&#10;ome9yNipYDK7BcF8nuV82P+CGciqlP8XVN8AAAD//wMAUEsBAi0AFAAGAAgAAAAhALaDOJL+AAAA&#10;4QEAABMAAAAAAAAAAAAAAAAAAAAAAFtDb250ZW50X1R5cGVzXS54bWxQSwECLQAUAAYACAAAACEA&#10;OP0h/9YAAACUAQAACwAAAAAAAAAAAAAAAAAvAQAAX3JlbHMvLnJlbHNQSwECLQAUAAYACAAAACEA&#10;xbRbeoYCAABgBQAADgAAAAAAAAAAAAAAAAAuAgAAZHJzL2Uyb0RvYy54bWxQSwECLQAUAAYACAAA&#10;ACEAN1p0at4AAAAJAQAADwAAAAAAAAAAAAAAAADgBAAAZHJzL2Rvd25yZXYueG1sUEsFBgAAAAAE&#10;AAQA8wAAAOsFAAAAAA==&#10;" fillcolor="#5b9bd5 [3204]" strokecolor="#1f4d78 [1604]" strokeweight="1pt">
                <v:stroke joinstyle="miter"/>
                <v:textbox>
                  <w:txbxContent>
                    <w:p w:rsidR="00EA6EE9" w:rsidRPr="00EA6EE9" w:rsidRDefault="00EA6EE9" w:rsidP="00EA6EE9">
                      <w:pPr>
                        <w:jc w:val="center"/>
                        <w:rPr>
                          <w:rFonts w:ascii="Arial Rounded MT Bold" w:hAnsi="Arial Rounded MT Bold"/>
                          <w:sz w:val="44"/>
                          <w:szCs w:val="44"/>
                        </w:rPr>
                      </w:pPr>
                      <w:r w:rsidRPr="00EA6EE9">
                        <w:rPr>
                          <w:rFonts w:ascii="Arial Rounded MT Bold" w:hAnsi="Arial Rounded MT Bold"/>
                          <w:sz w:val="44"/>
                          <w:szCs w:val="44"/>
                        </w:rPr>
                        <w:t>Further Reading</w:t>
                      </w:r>
                    </w:p>
                  </w:txbxContent>
                </v:textbox>
              </v:shape>
            </w:pict>
          </mc:Fallback>
        </mc:AlternateContent>
      </w:r>
    </w:p>
    <w:p w:rsidR="00EA6EE9" w:rsidRDefault="00EA6EE9" w:rsidP="00EA6EE9">
      <w:pPr>
        <w:tabs>
          <w:tab w:val="left" w:pos="7592"/>
        </w:tabs>
        <w:rPr>
          <w:rFonts w:ascii="Arial Rounded MT Bold" w:hAnsi="Arial Rounded MT Bold"/>
          <w:sz w:val="44"/>
          <w:szCs w:val="44"/>
        </w:rPr>
      </w:pPr>
      <w:r>
        <w:rPr>
          <w:rFonts w:ascii="Arial Rounded MT Bold" w:hAnsi="Arial Rounded MT Bold"/>
          <w:sz w:val="44"/>
          <w:szCs w:val="44"/>
        </w:rPr>
        <w:tab/>
        <w:t xml:space="preserve"> </w:t>
      </w:r>
    </w:p>
    <w:p w:rsidR="00EA6EE9" w:rsidRDefault="00EA6EE9" w:rsidP="00EA6EE9">
      <w:pPr>
        <w:tabs>
          <w:tab w:val="left" w:pos="7592"/>
        </w:tabs>
        <w:rPr>
          <w:rFonts w:ascii="Arial Rounded MT Bold" w:hAnsi="Arial Rounded MT Bold"/>
          <w:sz w:val="44"/>
          <w:szCs w:val="44"/>
        </w:rPr>
      </w:pPr>
    </w:p>
    <w:p w:rsidR="00EA6EE9" w:rsidRDefault="00F96676" w:rsidP="00EA6EE9">
      <w:pPr>
        <w:tabs>
          <w:tab w:val="left" w:pos="7592"/>
        </w:tabs>
      </w:pPr>
      <w:hyperlink r:id="rId12" w:history="1">
        <w:r w:rsidR="00EA6EE9">
          <w:rPr>
            <w:rStyle w:val="Hyperlink"/>
          </w:rPr>
          <w:t>ACPO Youth Gravity Matrix - Youth Justice Resource Hub (yjresourcehub.uk)</w:t>
        </w:r>
      </w:hyperlink>
    </w:p>
    <w:p w:rsidR="00EA6EE9" w:rsidRDefault="00F96676" w:rsidP="00EA6EE9">
      <w:pPr>
        <w:tabs>
          <w:tab w:val="left" w:pos="7592"/>
        </w:tabs>
      </w:pPr>
      <w:hyperlink r:id="rId13" w:history="1">
        <w:r w:rsidR="00EA6EE9">
          <w:rPr>
            <w:rStyle w:val="Hyperlink"/>
          </w:rPr>
          <w:t>Gravity matrix (Adult) (npcc.police.uk)</w:t>
        </w:r>
      </w:hyperlink>
    </w:p>
    <w:p w:rsidR="00EA6EE9" w:rsidRDefault="00F96676" w:rsidP="00EA6EE9">
      <w:pPr>
        <w:tabs>
          <w:tab w:val="left" w:pos="7592"/>
        </w:tabs>
      </w:pPr>
      <w:hyperlink r:id="rId14" w:history="1">
        <w:r w:rsidR="00EA6EE9">
          <w:rPr>
            <w:rStyle w:val="Hyperlink"/>
          </w:rPr>
          <w:t>Cautioning and Diversion | The Crown Prosecution Service (cps.gov.uk)</w:t>
        </w:r>
      </w:hyperlink>
    </w:p>
    <w:p w:rsidR="00EA6EE9" w:rsidRDefault="00EA6EE9" w:rsidP="00EA6EE9">
      <w:pPr>
        <w:tabs>
          <w:tab w:val="left" w:pos="7592"/>
        </w:tabs>
      </w:pPr>
      <w:r>
        <w:t xml:space="preserve">Local force intranet </w:t>
      </w:r>
    </w:p>
    <w:p w:rsidR="00EA6EE9" w:rsidRPr="00EA6EE9" w:rsidRDefault="00EA6EE9" w:rsidP="00EA6EE9">
      <w:pPr>
        <w:tabs>
          <w:tab w:val="left" w:pos="7592"/>
        </w:tabs>
        <w:rPr>
          <w:rFonts w:ascii="Arial Rounded MT Bold" w:hAnsi="Arial Rounded MT Bold"/>
          <w:sz w:val="44"/>
          <w:szCs w:val="44"/>
        </w:rPr>
      </w:pPr>
      <w:r>
        <w:t>Local Council Based websites</w:t>
      </w:r>
      <w:r w:rsidR="00FE4BE4">
        <w:t xml:space="preserve"> </w:t>
      </w:r>
    </w:p>
    <w:sectPr w:rsidR="00EA6EE9" w:rsidRPr="00EA6EE9" w:rsidSect="00681E2F">
      <w:headerReference w:type="even" r:id="rId15"/>
      <w:headerReference w:type="default" r:id="rId16"/>
      <w:footerReference w:type="even" r:id="rId17"/>
      <w:footerReference w:type="default" r:id="rId18"/>
      <w:headerReference w:type="first" r:id="rId19"/>
      <w:footerReference w:type="firs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676" w:rsidRDefault="00F96676" w:rsidP="00F96676">
      <w:pPr>
        <w:spacing w:after="0" w:line="240" w:lineRule="auto"/>
      </w:pPr>
      <w:r>
        <w:separator/>
      </w:r>
    </w:p>
  </w:endnote>
  <w:endnote w:type="continuationSeparator" w:id="0">
    <w:p w:rsidR="00F96676" w:rsidRDefault="00F96676" w:rsidP="00F9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76" w:rsidRDefault="00F96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76" w:rsidRPr="00F96676" w:rsidRDefault="00F96676" w:rsidP="00F96676">
    <w:pPr>
      <w:tabs>
        <w:tab w:val="center" w:pos="4153"/>
        <w:tab w:val="right" w:pos="8306"/>
      </w:tabs>
      <w:spacing w:after="0" w:line="240" w:lineRule="auto"/>
      <w:jc w:val="center"/>
      <w:rPr>
        <w:rFonts w:ascii="Verdana" w:eastAsia="Times New Roman" w:hAnsi="Verdana" w:cs="Times New Roman"/>
        <w:b/>
        <w:color w:val="FF0000"/>
        <w:sz w:val="20"/>
        <w:szCs w:val="20"/>
        <w:lang w:val="x-none" w:eastAsia="x-none"/>
      </w:rPr>
    </w:pPr>
    <w:r w:rsidRPr="00F96676">
      <w:rPr>
        <w:rFonts w:ascii="Arial" w:eastAsia="Times New Roman" w:hAnsi="Arial" w:cs="Times New Roman"/>
        <w:b/>
        <w:lang w:val="x-none" w:eastAsia="x-none"/>
      </w:rPr>
      <w:t>Version 1.0</w:t>
    </w:r>
  </w:p>
  <w:p w:rsidR="00F96676" w:rsidRPr="00F96676" w:rsidRDefault="00F96676" w:rsidP="00F96676">
    <w:pPr>
      <w:tabs>
        <w:tab w:val="center" w:pos="4153"/>
        <w:tab w:val="right" w:pos="8306"/>
      </w:tabs>
      <w:spacing w:after="0" w:line="240" w:lineRule="auto"/>
      <w:jc w:val="center"/>
      <w:rPr>
        <w:rFonts w:ascii="Arial" w:eastAsia="Times New Roman" w:hAnsi="Arial" w:cs="Times New Roman"/>
        <w:b/>
        <w:sz w:val="20"/>
        <w:szCs w:val="20"/>
        <w:lang w:val="x-none" w:eastAsia="x-none"/>
      </w:rPr>
    </w:pPr>
    <w:r w:rsidRPr="00F96676">
      <w:rPr>
        <w:rFonts w:ascii="Arial" w:eastAsia="Times New Roman" w:hAnsi="Arial" w:cs="Times New Roman"/>
        <w:b/>
        <w:sz w:val="20"/>
        <w:szCs w:val="20"/>
        <w:lang w:val="x-none" w:eastAsia="x-none"/>
      </w:rPr>
      <w:t xml:space="preserve">South Wales Police &amp; Gwent Police </w:t>
    </w:r>
    <w:r w:rsidRPr="00F96676">
      <w:rPr>
        <w:rFonts w:ascii="Arial" w:eastAsia="Times New Roman" w:hAnsi="Arial" w:cs="Times New Roman"/>
        <w:b/>
        <w:sz w:val="20"/>
        <w:szCs w:val="20"/>
        <w:lang w:eastAsia="x-none"/>
      </w:rPr>
      <w:t>December 2020</w:t>
    </w:r>
    <w:r w:rsidRPr="00F96676">
      <w:rPr>
        <w:rFonts w:ascii="Arial" w:eastAsia="Times New Roman" w:hAnsi="Arial" w:cs="Times New Roman"/>
        <w:b/>
        <w:sz w:val="20"/>
        <w:szCs w:val="20"/>
        <w:lang w:val="x-none" w:eastAsia="x-none"/>
      </w:rPr>
      <w:t xml:space="preserve"> </w:t>
    </w:r>
  </w:p>
  <w:p w:rsidR="00F96676" w:rsidRDefault="00F96676" w:rsidP="00F96676">
    <w:pPr>
      <w:pStyle w:val="Footer"/>
      <w:jc w:val="cen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76" w:rsidRDefault="00F96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676" w:rsidRDefault="00F96676" w:rsidP="00F96676">
      <w:pPr>
        <w:spacing w:after="0" w:line="240" w:lineRule="auto"/>
      </w:pPr>
      <w:r>
        <w:separator/>
      </w:r>
    </w:p>
  </w:footnote>
  <w:footnote w:type="continuationSeparator" w:id="0">
    <w:p w:rsidR="00F96676" w:rsidRDefault="00F96676" w:rsidP="00F9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76" w:rsidRDefault="00F96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76" w:rsidRDefault="00F966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76" w:rsidRDefault="00F96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55E14"/>
    <w:multiLevelType w:val="hybridMultilevel"/>
    <w:tmpl w:val="0CDA833C"/>
    <w:lvl w:ilvl="0" w:tplc="D95E6AF8">
      <w:start w:val="3"/>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186435"/>
    <w:multiLevelType w:val="hybridMultilevel"/>
    <w:tmpl w:val="3CB45A68"/>
    <w:lvl w:ilvl="0" w:tplc="BBFA10EA">
      <w:start w:val="1"/>
      <w:numFmt w:val="upp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E2F"/>
    <w:rsid w:val="0024134F"/>
    <w:rsid w:val="00681E2F"/>
    <w:rsid w:val="00C43783"/>
    <w:rsid w:val="00C544EF"/>
    <w:rsid w:val="00C67C15"/>
    <w:rsid w:val="00CA659E"/>
    <w:rsid w:val="00CD7E79"/>
    <w:rsid w:val="00E774BA"/>
    <w:rsid w:val="00EA6EE9"/>
    <w:rsid w:val="00F96676"/>
    <w:rsid w:val="00FB1526"/>
    <w:rsid w:val="00FE4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1675C6-A133-4B25-B3D4-243CB0E43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7C15"/>
    <w:pPr>
      <w:ind w:left="720"/>
      <w:contextualSpacing/>
    </w:pPr>
  </w:style>
  <w:style w:type="character" w:styleId="Hyperlink">
    <w:name w:val="Hyperlink"/>
    <w:basedOn w:val="DefaultParagraphFont"/>
    <w:uiPriority w:val="99"/>
    <w:semiHidden/>
    <w:unhideWhenUsed/>
    <w:rsid w:val="00EA6EE9"/>
    <w:rPr>
      <w:color w:val="0000FF"/>
      <w:u w:val="single"/>
    </w:rPr>
  </w:style>
  <w:style w:type="paragraph" w:styleId="Header">
    <w:name w:val="header"/>
    <w:basedOn w:val="Normal"/>
    <w:link w:val="HeaderChar"/>
    <w:uiPriority w:val="99"/>
    <w:unhideWhenUsed/>
    <w:rsid w:val="00F96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676"/>
  </w:style>
  <w:style w:type="paragraph" w:styleId="Footer">
    <w:name w:val="footer"/>
    <w:basedOn w:val="Normal"/>
    <w:link w:val="FooterChar"/>
    <w:uiPriority w:val="99"/>
    <w:unhideWhenUsed/>
    <w:rsid w:val="00F96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25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npcc.police.uk/2019%20FOI/Counter%20Terrorism/061%2019%20Gravity%20Matrix.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hyperlink" Target="https://yjresourcehub.uk/out-of-court-disposals-and-prevention/item/625-acpo-youth-gravity-matrix.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Colors" Target="diagrams/colors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cps.gov.uk/legal-guidance/cautioning-and-diversion"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F72712-4382-459D-9538-F762464528F7}"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5220E730-178F-4473-B0CE-096396AF212F}">
      <dgm:prSet phldrT="[Text]"/>
      <dgm:spPr/>
      <dgm:t>
        <a:bodyPr/>
        <a:lstStyle/>
        <a:p>
          <a:pPr algn="ctr"/>
          <a:r>
            <a:rPr lang="en-US"/>
            <a:t>Hate Crime</a:t>
          </a:r>
        </a:p>
      </dgm:t>
    </dgm:pt>
    <dgm:pt modelId="{BDA8A377-18DB-4A99-9A9D-2398073C44F7}" type="parTrans" cxnId="{A04C89B6-797C-4F67-A6C1-14BF74A17DB5}">
      <dgm:prSet/>
      <dgm:spPr/>
      <dgm:t>
        <a:bodyPr/>
        <a:lstStyle/>
        <a:p>
          <a:endParaRPr lang="en-US"/>
        </a:p>
      </dgm:t>
    </dgm:pt>
    <dgm:pt modelId="{2948A436-ECAB-483D-89C3-8AB9F2398C91}" type="sibTrans" cxnId="{A04C89B6-797C-4F67-A6C1-14BF74A17DB5}">
      <dgm:prSet/>
      <dgm:spPr/>
      <dgm:t>
        <a:bodyPr/>
        <a:lstStyle/>
        <a:p>
          <a:endParaRPr lang="en-US"/>
        </a:p>
      </dgm:t>
    </dgm:pt>
    <dgm:pt modelId="{C9C805DD-3A18-43F6-9E5C-27C9F7FD0F2F}">
      <dgm:prSet phldrT="[Text]"/>
      <dgm:spPr/>
      <dgm:t>
        <a:bodyPr/>
        <a:lstStyle/>
        <a:p>
          <a:r>
            <a:rPr lang="en-US"/>
            <a:t>Hate crime will always be an aggravating factor, and therefore, consider raising the gravity score</a:t>
          </a:r>
        </a:p>
      </dgm:t>
    </dgm:pt>
    <dgm:pt modelId="{F29AD175-1940-49D0-A8D4-70B895050814}" type="parTrans" cxnId="{D80BFA75-F165-4387-B687-815F4760B631}">
      <dgm:prSet/>
      <dgm:spPr/>
      <dgm:t>
        <a:bodyPr/>
        <a:lstStyle/>
        <a:p>
          <a:endParaRPr lang="en-US"/>
        </a:p>
      </dgm:t>
    </dgm:pt>
    <dgm:pt modelId="{12DD25D1-ACD0-4638-9606-51D85136A495}" type="sibTrans" cxnId="{D80BFA75-F165-4387-B687-815F4760B631}">
      <dgm:prSet/>
      <dgm:spPr/>
      <dgm:t>
        <a:bodyPr/>
        <a:lstStyle/>
        <a:p>
          <a:endParaRPr lang="en-US"/>
        </a:p>
      </dgm:t>
    </dgm:pt>
    <dgm:pt modelId="{807E86E7-5CE8-4400-BE39-096C8C2A2F72}">
      <dgm:prSet phldrT="[Text]"/>
      <dgm:spPr/>
      <dgm:t>
        <a:bodyPr/>
        <a:lstStyle/>
        <a:p>
          <a:r>
            <a:rPr lang="en-US"/>
            <a:t>Hate can be part fo any crime, and is suppemental to the plain crime, as in, it adds to the seriousness of crime</a:t>
          </a:r>
        </a:p>
      </dgm:t>
    </dgm:pt>
    <dgm:pt modelId="{90B1C7ED-2785-4FFF-A6F7-0523BC9FB07C}" type="parTrans" cxnId="{E6A506C4-3E31-475E-AB61-12AE074781B4}">
      <dgm:prSet/>
      <dgm:spPr/>
      <dgm:t>
        <a:bodyPr/>
        <a:lstStyle/>
        <a:p>
          <a:endParaRPr lang="en-US"/>
        </a:p>
      </dgm:t>
    </dgm:pt>
    <dgm:pt modelId="{B849AC8F-382F-4907-A5D1-20FDEAE13FB9}" type="sibTrans" cxnId="{E6A506C4-3E31-475E-AB61-12AE074781B4}">
      <dgm:prSet/>
      <dgm:spPr/>
      <dgm:t>
        <a:bodyPr/>
        <a:lstStyle/>
        <a:p>
          <a:endParaRPr lang="en-US"/>
        </a:p>
      </dgm:t>
    </dgm:pt>
    <dgm:pt modelId="{4DE74F33-79F8-41A6-A98C-3662B779D53D}">
      <dgm:prSet phldrT="[Text]"/>
      <dgm:spPr/>
      <dgm:t>
        <a:bodyPr/>
        <a:lstStyle/>
        <a:p>
          <a:r>
            <a:rPr lang="en-US"/>
            <a:t>the five protected characteristics are:</a:t>
          </a:r>
        </a:p>
        <a:p>
          <a:r>
            <a:rPr lang="en-US"/>
            <a:t>Race; Religion; Gender Identity;</a:t>
          </a:r>
        </a:p>
        <a:p>
          <a:r>
            <a:rPr lang="en-US"/>
            <a:t>Sexual Orientation and disability</a:t>
          </a:r>
        </a:p>
      </dgm:t>
    </dgm:pt>
    <dgm:pt modelId="{6A5D6973-3D65-4C1E-AC9A-8EF4E757EF56}" type="parTrans" cxnId="{3EA5002E-293C-4952-8A65-6604BD03BEDE}">
      <dgm:prSet/>
      <dgm:spPr/>
      <dgm:t>
        <a:bodyPr/>
        <a:lstStyle/>
        <a:p>
          <a:endParaRPr lang="en-US"/>
        </a:p>
      </dgm:t>
    </dgm:pt>
    <dgm:pt modelId="{43FACEEE-E92B-49AD-9E95-D19DF5A66797}" type="sibTrans" cxnId="{3EA5002E-293C-4952-8A65-6604BD03BEDE}">
      <dgm:prSet/>
      <dgm:spPr/>
      <dgm:t>
        <a:bodyPr/>
        <a:lstStyle/>
        <a:p>
          <a:endParaRPr lang="en-US"/>
        </a:p>
      </dgm:t>
    </dgm:pt>
    <dgm:pt modelId="{1FEB63CF-03AB-4B8D-ABCF-B8C4BE6668E9}">
      <dgm:prSet phldrT="[Text]"/>
      <dgm:spPr/>
      <dgm:t>
        <a:bodyPr/>
        <a:lstStyle/>
        <a:p>
          <a:r>
            <a:rPr lang="en-US"/>
            <a:t>remember to complete the hate crime risk assessments and also signpost to support agencies. </a:t>
          </a:r>
        </a:p>
        <a:p>
          <a:r>
            <a:rPr lang="en-US"/>
            <a:t>consider vulnerability</a:t>
          </a:r>
        </a:p>
      </dgm:t>
    </dgm:pt>
    <dgm:pt modelId="{62C90E94-45BB-4048-A210-36A4AB7A7694}" type="parTrans" cxnId="{BC2CDF88-33C5-468A-8B30-7E0E0C648FCF}">
      <dgm:prSet/>
      <dgm:spPr/>
      <dgm:t>
        <a:bodyPr/>
        <a:lstStyle/>
        <a:p>
          <a:endParaRPr lang="en-US"/>
        </a:p>
      </dgm:t>
    </dgm:pt>
    <dgm:pt modelId="{E2DBCA88-0BDA-4E4A-9CC3-05B23BCEBA56}" type="sibTrans" cxnId="{BC2CDF88-33C5-468A-8B30-7E0E0C648FCF}">
      <dgm:prSet/>
      <dgm:spPr/>
      <dgm:t>
        <a:bodyPr/>
        <a:lstStyle/>
        <a:p>
          <a:endParaRPr lang="en-US"/>
        </a:p>
      </dgm:t>
    </dgm:pt>
    <dgm:pt modelId="{C1E67773-8829-4671-8CB9-6B19D482DD9C}" type="pres">
      <dgm:prSet presAssocID="{FCF72712-4382-459D-9538-F762464528F7}" presName="diagram" presStyleCnt="0">
        <dgm:presLayoutVars>
          <dgm:chMax val="1"/>
          <dgm:dir/>
          <dgm:animLvl val="ctr"/>
          <dgm:resizeHandles val="exact"/>
        </dgm:presLayoutVars>
      </dgm:prSet>
      <dgm:spPr/>
      <dgm:t>
        <a:bodyPr/>
        <a:lstStyle/>
        <a:p>
          <a:endParaRPr lang="en-US"/>
        </a:p>
      </dgm:t>
    </dgm:pt>
    <dgm:pt modelId="{1C914F7C-5206-49F1-ABA1-400F5E345B4E}" type="pres">
      <dgm:prSet presAssocID="{FCF72712-4382-459D-9538-F762464528F7}" presName="matrix" presStyleCnt="0"/>
      <dgm:spPr/>
    </dgm:pt>
    <dgm:pt modelId="{C8E9C7C4-35D4-437E-8E44-5EFAC13AF1AF}" type="pres">
      <dgm:prSet presAssocID="{FCF72712-4382-459D-9538-F762464528F7}" presName="tile1" presStyleLbl="node1" presStyleIdx="0" presStyleCnt="4"/>
      <dgm:spPr/>
      <dgm:t>
        <a:bodyPr/>
        <a:lstStyle/>
        <a:p>
          <a:endParaRPr lang="en-US"/>
        </a:p>
      </dgm:t>
    </dgm:pt>
    <dgm:pt modelId="{74EEE35E-DD7B-41FE-BFCF-C1151F311988}" type="pres">
      <dgm:prSet presAssocID="{FCF72712-4382-459D-9538-F762464528F7}" presName="tile1text" presStyleLbl="node1" presStyleIdx="0" presStyleCnt="4">
        <dgm:presLayoutVars>
          <dgm:chMax val="0"/>
          <dgm:chPref val="0"/>
          <dgm:bulletEnabled val="1"/>
        </dgm:presLayoutVars>
      </dgm:prSet>
      <dgm:spPr/>
      <dgm:t>
        <a:bodyPr/>
        <a:lstStyle/>
        <a:p>
          <a:endParaRPr lang="en-US"/>
        </a:p>
      </dgm:t>
    </dgm:pt>
    <dgm:pt modelId="{413F6749-4C51-48F2-9805-431A0F297940}" type="pres">
      <dgm:prSet presAssocID="{FCF72712-4382-459D-9538-F762464528F7}" presName="tile2" presStyleLbl="node1" presStyleIdx="1" presStyleCnt="4"/>
      <dgm:spPr/>
      <dgm:t>
        <a:bodyPr/>
        <a:lstStyle/>
        <a:p>
          <a:endParaRPr lang="en-US"/>
        </a:p>
      </dgm:t>
    </dgm:pt>
    <dgm:pt modelId="{8F5083FB-5F0F-4983-AD8B-315E89F43F4D}" type="pres">
      <dgm:prSet presAssocID="{FCF72712-4382-459D-9538-F762464528F7}" presName="tile2text" presStyleLbl="node1" presStyleIdx="1" presStyleCnt="4">
        <dgm:presLayoutVars>
          <dgm:chMax val="0"/>
          <dgm:chPref val="0"/>
          <dgm:bulletEnabled val="1"/>
        </dgm:presLayoutVars>
      </dgm:prSet>
      <dgm:spPr/>
      <dgm:t>
        <a:bodyPr/>
        <a:lstStyle/>
        <a:p>
          <a:endParaRPr lang="en-US"/>
        </a:p>
      </dgm:t>
    </dgm:pt>
    <dgm:pt modelId="{266C2E77-822B-469B-A4CF-8958E173B4A1}" type="pres">
      <dgm:prSet presAssocID="{FCF72712-4382-459D-9538-F762464528F7}" presName="tile3" presStyleLbl="node1" presStyleIdx="2" presStyleCnt="4"/>
      <dgm:spPr/>
      <dgm:t>
        <a:bodyPr/>
        <a:lstStyle/>
        <a:p>
          <a:endParaRPr lang="en-US"/>
        </a:p>
      </dgm:t>
    </dgm:pt>
    <dgm:pt modelId="{289F04C7-67F5-44FF-B74E-BD6574B2341C}" type="pres">
      <dgm:prSet presAssocID="{FCF72712-4382-459D-9538-F762464528F7}" presName="tile3text" presStyleLbl="node1" presStyleIdx="2" presStyleCnt="4">
        <dgm:presLayoutVars>
          <dgm:chMax val="0"/>
          <dgm:chPref val="0"/>
          <dgm:bulletEnabled val="1"/>
        </dgm:presLayoutVars>
      </dgm:prSet>
      <dgm:spPr/>
      <dgm:t>
        <a:bodyPr/>
        <a:lstStyle/>
        <a:p>
          <a:endParaRPr lang="en-US"/>
        </a:p>
      </dgm:t>
    </dgm:pt>
    <dgm:pt modelId="{1D07D2F9-6861-4BAB-9A2D-B4CD97602859}" type="pres">
      <dgm:prSet presAssocID="{FCF72712-4382-459D-9538-F762464528F7}" presName="tile4" presStyleLbl="node1" presStyleIdx="3" presStyleCnt="4"/>
      <dgm:spPr/>
      <dgm:t>
        <a:bodyPr/>
        <a:lstStyle/>
        <a:p>
          <a:endParaRPr lang="en-US"/>
        </a:p>
      </dgm:t>
    </dgm:pt>
    <dgm:pt modelId="{498D420B-D74F-4176-A487-56D9E014106A}" type="pres">
      <dgm:prSet presAssocID="{FCF72712-4382-459D-9538-F762464528F7}" presName="tile4text" presStyleLbl="node1" presStyleIdx="3" presStyleCnt="4">
        <dgm:presLayoutVars>
          <dgm:chMax val="0"/>
          <dgm:chPref val="0"/>
          <dgm:bulletEnabled val="1"/>
        </dgm:presLayoutVars>
      </dgm:prSet>
      <dgm:spPr/>
      <dgm:t>
        <a:bodyPr/>
        <a:lstStyle/>
        <a:p>
          <a:endParaRPr lang="en-US"/>
        </a:p>
      </dgm:t>
    </dgm:pt>
    <dgm:pt modelId="{03CA4472-AF09-4BC5-9D1F-29E6C8027550}" type="pres">
      <dgm:prSet presAssocID="{FCF72712-4382-459D-9538-F762464528F7}" presName="centerTile" presStyleLbl="fgShp" presStyleIdx="0" presStyleCnt="1">
        <dgm:presLayoutVars>
          <dgm:chMax val="0"/>
          <dgm:chPref val="0"/>
        </dgm:presLayoutVars>
      </dgm:prSet>
      <dgm:spPr/>
      <dgm:t>
        <a:bodyPr/>
        <a:lstStyle/>
        <a:p>
          <a:endParaRPr lang="en-US"/>
        </a:p>
      </dgm:t>
    </dgm:pt>
  </dgm:ptLst>
  <dgm:cxnLst>
    <dgm:cxn modelId="{F6EEBC6A-CD3F-4A62-8F56-FA72BBC3F635}" type="presOf" srcId="{FCF72712-4382-459D-9538-F762464528F7}" destId="{C1E67773-8829-4671-8CB9-6B19D482DD9C}" srcOrd="0" destOrd="0" presId="urn:microsoft.com/office/officeart/2005/8/layout/matrix1"/>
    <dgm:cxn modelId="{196756AD-F4E5-4E90-9724-531AC44591D6}" type="presOf" srcId="{807E86E7-5CE8-4400-BE39-096C8C2A2F72}" destId="{413F6749-4C51-48F2-9805-431A0F297940}" srcOrd="0" destOrd="0" presId="urn:microsoft.com/office/officeart/2005/8/layout/matrix1"/>
    <dgm:cxn modelId="{0BC2BDCD-746A-4B8F-8FC5-1317AC566C8C}" type="presOf" srcId="{C9C805DD-3A18-43F6-9E5C-27C9F7FD0F2F}" destId="{74EEE35E-DD7B-41FE-BFCF-C1151F311988}" srcOrd="1" destOrd="0" presId="urn:microsoft.com/office/officeart/2005/8/layout/matrix1"/>
    <dgm:cxn modelId="{D80BFA75-F165-4387-B687-815F4760B631}" srcId="{5220E730-178F-4473-B0CE-096396AF212F}" destId="{C9C805DD-3A18-43F6-9E5C-27C9F7FD0F2F}" srcOrd="0" destOrd="0" parTransId="{F29AD175-1940-49D0-A8D4-70B895050814}" sibTransId="{12DD25D1-ACD0-4638-9606-51D85136A495}"/>
    <dgm:cxn modelId="{9E7B2298-4BA3-4A59-943C-9ED28E842C47}" type="presOf" srcId="{4DE74F33-79F8-41A6-A98C-3662B779D53D}" destId="{266C2E77-822B-469B-A4CF-8958E173B4A1}" srcOrd="0" destOrd="0" presId="urn:microsoft.com/office/officeart/2005/8/layout/matrix1"/>
    <dgm:cxn modelId="{A04C89B6-797C-4F67-A6C1-14BF74A17DB5}" srcId="{FCF72712-4382-459D-9538-F762464528F7}" destId="{5220E730-178F-4473-B0CE-096396AF212F}" srcOrd="0" destOrd="0" parTransId="{BDA8A377-18DB-4A99-9A9D-2398073C44F7}" sibTransId="{2948A436-ECAB-483D-89C3-8AB9F2398C91}"/>
    <dgm:cxn modelId="{E6A506C4-3E31-475E-AB61-12AE074781B4}" srcId="{5220E730-178F-4473-B0CE-096396AF212F}" destId="{807E86E7-5CE8-4400-BE39-096C8C2A2F72}" srcOrd="1" destOrd="0" parTransId="{90B1C7ED-2785-4FFF-A6F7-0523BC9FB07C}" sibTransId="{B849AC8F-382F-4907-A5D1-20FDEAE13FB9}"/>
    <dgm:cxn modelId="{3EA5002E-293C-4952-8A65-6604BD03BEDE}" srcId="{5220E730-178F-4473-B0CE-096396AF212F}" destId="{4DE74F33-79F8-41A6-A98C-3662B779D53D}" srcOrd="2" destOrd="0" parTransId="{6A5D6973-3D65-4C1E-AC9A-8EF4E757EF56}" sibTransId="{43FACEEE-E92B-49AD-9E95-D19DF5A66797}"/>
    <dgm:cxn modelId="{9E435FF0-C0A5-4B52-9DA3-D52AF2ED83F8}" type="presOf" srcId="{807E86E7-5CE8-4400-BE39-096C8C2A2F72}" destId="{8F5083FB-5F0F-4983-AD8B-315E89F43F4D}" srcOrd="1" destOrd="0" presId="urn:microsoft.com/office/officeart/2005/8/layout/matrix1"/>
    <dgm:cxn modelId="{882B2490-8118-468B-869E-C51BF6CC296C}" type="presOf" srcId="{1FEB63CF-03AB-4B8D-ABCF-B8C4BE6668E9}" destId="{1D07D2F9-6861-4BAB-9A2D-B4CD97602859}" srcOrd="0" destOrd="0" presId="urn:microsoft.com/office/officeart/2005/8/layout/matrix1"/>
    <dgm:cxn modelId="{1CE8294A-2A05-4E3A-91FF-30606931D08A}" type="presOf" srcId="{4DE74F33-79F8-41A6-A98C-3662B779D53D}" destId="{289F04C7-67F5-44FF-B74E-BD6574B2341C}" srcOrd="1" destOrd="0" presId="urn:microsoft.com/office/officeart/2005/8/layout/matrix1"/>
    <dgm:cxn modelId="{BC2CDF88-33C5-468A-8B30-7E0E0C648FCF}" srcId="{5220E730-178F-4473-B0CE-096396AF212F}" destId="{1FEB63CF-03AB-4B8D-ABCF-B8C4BE6668E9}" srcOrd="3" destOrd="0" parTransId="{62C90E94-45BB-4048-A210-36A4AB7A7694}" sibTransId="{E2DBCA88-0BDA-4E4A-9CC3-05B23BCEBA56}"/>
    <dgm:cxn modelId="{0798319E-2F16-4CEC-8C1F-BA57B36582F8}" type="presOf" srcId="{1FEB63CF-03AB-4B8D-ABCF-B8C4BE6668E9}" destId="{498D420B-D74F-4176-A487-56D9E014106A}" srcOrd="1" destOrd="0" presId="urn:microsoft.com/office/officeart/2005/8/layout/matrix1"/>
    <dgm:cxn modelId="{8FA908CB-C27D-4395-9C46-76B718F78066}" type="presOf" srcId="{5220E730-178F-4473-B0CE-096396AF212F}" destId="{03CA4472-AF09-4BC5-9D1F-29E6C8027550}" srcOrd="0" destOrd="0" presId="urn:microsoft.com/office/officeart/2005/8/layout/matrix1"/>
    <dgm:cxn modelId="{20465B06-747E-469C-A12B-722F47F11958}" type="presOf" srcId="{C9C805DD-3A18-43F6-9E5C-27C9F7FD0F2F}" destId="{C8E9C7C4-35D4-437E-8E44-5EFAC13AF1AF}" srcOrd="0" destOrd="0" presId="urn:microsoft.com/office/officeart/2005/8/layout/matrix1"/>
    <dgm:cxn modelId="{F246DB8F-3E12-4CF8-A233-18DAB2C24B42}" type="presParOf" srcId="{C1E67773-8829-4671-8CB9-6B19D482DD9C}" destId="{1C914F7C-5206-49F1-ABA1-400F5E345B4E}" srcOrd="0" destOrd="0" presId="urn:microsoft.com/office/officeart/2005/8/layout/matrix1"/>
    <dgm:cxn modelId="{E652C942-A6DD-4EF7-8987-D4912FEC368C}" type="presParOf" srcId="{1C914F7C-5206-49F1-ABA1-400F5E345B4E}" destId="{C8E9C7C4-35D4-437E-8E44-5EFAC13AF1AF}" srcOrd="0" destOrd="0" presId="urn:microsoft.com/office/officeart/2005/8/layout/matrix1"/>
    <dgm:cxn modelId="{D17865CA-DD6A-49FF-B95A-1E7F9CBB4D80}" type="presParOf" srcId="{1C914F7C-5206-49F1-ABA1-400F5E345B4E}" destId="{74EEE35E-DD7B-41FE-BFCF-C1151F311988}" srcOrd="1" destOrd="0" presId="urn:microsoft.com/office/officeart/2005/8/layout/matrix1"/>
    <dgm:cxn modelId="{43D99DEA-F51E-4238-B982-5EA0FDB335A8}" type="presParOf" srcId="{1C914F7C-5206-49F1-ABA1-400F5E345B4E}" destId="{413F6749-4C51-48F2-9805-431A0F297940}" srcOrd="2" destOrd="0" presId="urn:microsoft.com/office/officeart/2005/8/layout/matrix1"/>
    <dgm:cxn modelId="{D07F587A-50E5-4C52-981C-AB83E509BD3A}" type="presParOf" srcId="{1C914F7C-5206-49F1-ABA1-400F5E345B4E}" destId="{8F5083FB-5F0F-4983-AD8B-315E89F43F4D}" srcOrd="3" destOrd="0" presId="urn:microsoft.com/office/officeart/2005/8/layout/matrix1"/>
    <dgm:cxn modelId="{72A3EC36-695F-4DCD-B41E-7F89CA420679}" type="presParOf" srcId="{1C914F7C-5206-49F1-ABA1-400F5E345B4E}" destId="{266C2E77-822B-469B-A4CF-8958E173B4A1}" srcOrd="4" destOrd="0" presId="urn:microsoft.com/office/officeart/2005/8/layout/matrix1"/>
    <dgm:cxn modelId="{91DD9467-2883-4FF7-A899-06AF030B9B39}" type="presParOf" srcId="{1C914F7C-5206-49F1-ABA1-400F5E345B4E}" destId="{289F04C7-67F5-44FF-B74E-BD6574B2341C}" srcOrd="5" destOrd="0" presId="urn:microsoft.com/office/officeart/2005/8/layout/matrix1"/>
    <dgm:cxn modelId="{911D9498-10A3-478B-AC0D-6865E6705D2B}" type="presParOf" srcId="{1C914F7C-5206-49F1-ABA1-400F5E345B4E}" destId="{1D07D2F9-6861-4BAB-9A2D-B4CD97602859}" srcOrd="6" destOrd="0" presId="urn:microsoft.com/office/officeart/2005/8/layout/matrix1"/>
    <dgm:cxn modelId="{C88467DA-5D4A-4B2B-8D96-DC5BE623DB75}" type="presParOf" srcId="{1C914F7C-5206-49F1-ABA1-400F5E345B4E}" destId="{498D420B-D74F-4176-A487-56D9E014106A}" srcOrd="7" destOrd="0" presId="urn:microsoft.com/office/officeart/2005/8/layout/matrix1"/>
    <dgm:cxn modelId="{5D954D2D-CA52-4B65-888C-C801F713EEE5}" type="presParOf" srcId="{C1E67773-8829-4671-8CB9-6B19D482DD9C}" destId="{03CA4472-AF09-4BC5-9D1F-29E6C8027550}"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E9C7C4-35D4-437E-8E44-5EFAC13AF1AF}">
      <dsp:nvSpPr>
        <dsp:cNvPr id="0" name=""/>
        <dsp:cNvSpPr/>
      </dsp:nvSpPr>
      <dsp:spPr>
        <a:xfrm rot="16200000">
          <a:off x="1467611" y="-1467611"/>
          <a:ext cx="1600200" cy="453542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a:t>Hate crime will always be an aggravating factor, and therefore, consider raising the gravity score</a:t>
          </a:r>
        </a:p>
      </dsp:txBody>
      <dsp:txXfrm rot="5400000">
        <a:off x="-1" y="1"/>
        <a:ext cx="4535424" cy="1200150"/>
      </dsp:txXfrm>
    </dsp:sp>
    <dsp:sp modelId="{413F6749-4C51-48F2-9805-431A0F297940}">
      <dsp:nvSpPr>
        <dsp:cNvPr id="0" name=""/>
        <dsp:cNvSpPr/>
      </dsp:nvSpPr>
      <dsp:spPr>
        <a:xfrm>
          <a:off x="4535424" y="0"/>
          <a:ext cx="4535424"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a:t>Hate can be part fo any crime, and is suppemental to the plain crime, as in, it adds to the seriousness of crime</a:t>
          </a:r>
        </a:p>
      </dsp:txBody>
      <dsp:txXfrm>
        <a:off x="4535424" y="0"/>
        <a:ext cx="4535424" cy="1200150"/>
      </dsp:txXfrm>
    </dsp:sp>
    <dsp:sp modelId="{266C2E77-822B-469B-A4CF-8958E173B4A1}">
      <dsp:nvSpPr>
        <dsp:cNvPr id="0" name=""/>
        <dsp:cNvSpPr/>
      </dsp:nvSpPr>
      <dsp:spPr>
        <a:xfrm rot="10800000">
          <a:off x="0" y="1600200"/>
          <a:ext cx="4535424"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a:t>the five protected characteristics are:</a:t>
          </a:r>
        </a:p>
        <a:p>
          <a:pPr lvl="0" algn="ctr" defTabSz="711200">
            <a:lnSpc>
              <a:spcPct val="90000"/>
            </a:lnSpc>
            <a:spcBef>
              <a:spcPct val="0"/>
            </a:spcBef>
            <a:spcAft>
              <a:spcPct val="35000"/>
            </a:spcAft>
          </a:pPr>
          <a:r>
            <a:rPr lang="en-US" sz="1600" kern="1200"/>
            <a:t>Race; Religion; Gender Identity;</a:t>
          </a:r>
        </a:p>
        <a:p>
          <a:pPr lvl="0" algn="ctr" defTabSz="711200">
            <a:lnSpc>
              <a:spcPct val="90000"/>
            </a:lnSpc>
            <a:spcBef>
              <a:spcPct val="0"/>
            </a:spcBef>
            <a:spcAft>
              <a:spcPct val="35000"/>
            </a:spcAft>
          </a:pPr>
          <a:r>
            <a:rPr lang="en-US" sz="1600" kern="1200"/>
            <a:t>Sexual Orientation and disability</a:t>
          </a:r>
        </a:p>
      </dsp:txBody>
      <dsp:txXfrm rot="10800000">
        <a:off x="0" y="2000250"/>
        <a:ext cx="4535424" cy="1200150"/>
      </dsp:txXfrm>
    </dsp:sp>
    <dsp:sp modelId="{1D07D2F9-6861-4BAB-9A2D-B4CD97602859}">
      <dsp:nvSpPr>
        <dsp:cNvPr id="0" name=""/>
        <dsp:cNvSpPr/>
      </dsp:nvSpPr>
      <dsp:spPr>
        <a:xfrm rot="5400000">
          <a:off x="6003035" y="132588"/>
          <a:ext cx="1600200" cy="453542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a:t>remember to complete the hate crime risk assessments and also signpost to support agencies. </a:t>
          </a:r>
        </a:p>
        <a:p>
          <a:pPr lvl="0" algn="ctr" defTabSz="711200">
            <a:lnSpc>
              <a:spcPct val="90000"/>
            </a:lnSpc>
            <a:spcBef>
              <a:spcPct val="0"/>
            </a:spcBef>
            <a:spcAft>
              <a:spcPct val="35000"/>
            </a:spcAft>
          </a:pPr>
          <a:r>
            <a:rPr lang="en-US" sz="1600" kern="1200"/>
            <a:t>consider vulnerability</a:t>
          </a:r>
        </a:p>
      </dsp:txBody>
      <dsp:txXfrm rot="-5400000">
        <a:off x="4535423" y="2000250"/>
        <a:ext cx="4535424" cy="1200150"/>
      </dsp:txXfrm>
    </dsp:sp>
    <dsp:sp modelId="{03CA4472-AF09-4BC5-9D1F-29E6C8027550}">
      <dsp:nvSpPr>
        <dsp:cNvPr id="0" name=""/>
        <dsp:cNvSpPr/>
      </dsp:nvSpPr>
      <dsp:spPr>
        <a:xfrm>
          <a:off x="3174796" y="1200150"/>
          <a:ext cx="2721254"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Hate Crime</a:t>
          </a:r>
        </a:p>
      </dsp:txBody>
      <dsp:txXfrm>
        <a:off x="3213854" y="1239208"/>
        <a:ext cx="2643138"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11</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Darren Hembrow</cp:lastModifiedBy>
  <cp:revision>4</cp:revision>
  <dcterms:created xsi:type="dcterms:W3CDTF">2020-12-03T13:15:00Z</dcterms:created>
  <dcterms:modified xsi:type="dcterms:W3CDTF">2021-01-25T08:36:00Z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5d34d168-2079-444d-9fe5-7e0358bb6a9d</vt:lpwstr>
  </property>
</Properties>
</file>