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744D0C9">
      <w:pPr>
        <w:spacing w:line="360" w:lineRule="auto"/>
        <w:jc w:val="center"/>
        <w:rPr>
          <w:rFonts w:ascii="Arial" w:hAnsi="Arial" w:eastAsia="Arial Unicode MS" w:cs="Arial"/>
          <w:b/>
          <w:bCs/>
          <w:kern w:val="0"/>
          <w:sz w:val="24"/>
        </w:rPr>
      </w:pPr>
      <w:r>
        <w:rPr>
          <w:rFonts w:ascii="Arial" w:hAnsi="Arial" w:eastAsia="Arial Unicode MS" w:cs="Arial"/>
          <w:b/>
          <w:bCs/>
          <w:kern w:val="0"/>
          <w:sz w:val="24"/>
        </w:rPr>
        <w:t>Challenges and Sensitivities of Doing Business with Germany: A British Perspective on Intercultural Communication Theories</w:t>
      </w:r>
    </w:p>
    <w:p w14:paraId="77BDAB8E">
      <w:pPr>
        <w:spacing w:line="360" w:lineRule="auto"/>
        <w:rPr>
          <w:rFonts w:ascii="Arial" w:hAnsi="Arial" w:eastAsia="Arial Unicode MS" w:cs="Arial"/>
          <w:sz w:val="24"/>
        </w:rPr>
      </w:pPr>
    </w:p>
    <w:p w14:paraId="4C3951E5">
      <w:pPr>
        <w:widowControl/>
        <w:adjustRightInd w:val="0"/>
        <w:snapToGrid w:val="0"/>
        <w:spacing w:line="360" w:lineRule="auto"/>
        <w:jc w:val="center"/>
        <w:rPr>
          <w:rFonts w:ascii="Arial" w:hAnsi="Arial" w:eastAsia="Arial Unicode MS" w:cs="Arial"/>
          <w:b/>
          <w:bCs/>
          <w:kern w:val="0"/>
          <w:sz w:val="24"/>
          <w:lang w:val="en-GB" w:eastAsia="en-US"/>
        </w:rPr>
      </w:pPr>
      <w:r>
        <w:rPr>
          <w:rFonts w:ascii="Arial" w:hAnsi="Arial" w:eastAsia="Arial Unicode MS" w:cs="Arial"/>
          <w:b/>
          <w:bCs/>
          <w:kern w:val="0"/>
          <w:sz w:val="24"/>
          <w:lang w:val="en-GB" w:eastAsia="en-US"/>
        </w:rPr>
        <w:t>Abstract</w:t>
      </w:r>
    </w:p>
    <w:p w14:paraId="2FA0A97E">
      <w:pPr>
        <w:spacing w:line="360" w:lineRule="auto"/>
        <w:rPr>
          <w:rFonts w:ascii="Arial" w:hAnsi="Arial" w:eastAsia="Arial Unicode MS" w:cs="Arial"/>
          <w:kern w:val="0"/>
          <w:sz w:val="24"/>
          <w:lang w:val="en-GB" w:eastAsia="en-US"/>
        </w:rPr>
      </w:pPr>
      <w:r>
        <w:rPr>
          <w:rFonts w:ascii="Arial" w:hAnsi="Arial" w:eastAsia="Arial Unicode MS" w:cs="Arial"/>
          <w:kern w:val="0"/>
          <w:sz w:val="24"/>
          <w:lang w:val="en-GB" w:eastAsia="en-US"/>
        </w:rPr>
        <w:t>Doing business across borders often presents unique challenges and sensitivities, particularly when cultural, linguistic, and historical differences come into play. In this reflective essay, I will explore the challenges and sensitivities of doing business with Germany from a British perspective. Germany, as one of Europe's leading economies, has strong historical and cultural ties with the United Kingdom, yet significant differences remain that can impact business interactions. Drawing on intercultural communication theories, I will analyze these differences and propose strategies to overcome potential challenges in business communication.</w:t>
      </w:r>
    </w:p>
    <w:p w14:paraId="4A73D444">
      <w:pPr>
        <w:spacing w:line="360" w:lineRule="auto"/>
        <w:rPr>
          <w:rFonts w:ascii="Arial" w:hAnsi="Arial" w:eastAsia="Arial Unicode MS" w:cs="Arial"/>
          <w:sz w:val="24"/>
        </w:rPr>
      </w:pPr>
      <w:r>
        <w:rPr>
          <w:rFonts w:ascii="Arial" w:hAnsi="Arial" w:eastAsia="Arial Unicode MS" w:cs="Arial"/>
          <w:b/>
          <w:bCs/>
          <w:sz w:val="24"/>
        </w:rPr>
        <w:t>Keywords:</w:t>
      </w:r>
      <w:r>
        <w:rPr>
          <w:rFonts w:ascii="Arial" w:hAnsi="Arial" w:eastAsia="Arial Unicode MS" w:cs="Arial"/>
          <w:kern w:val="0"/>
          <w:sz w:val="24"/>
          <w:lang w:val="en-GB" w:eastAsia="en-US"/>
        </w:rPr>
        <w:t>Google Schola</w:t>
      </w:r>
      <w:r>
        <w:rPr>
          <w:rFonts w:ascii="Arial" w:hAnsi="Arial" w:eastAsia="Arial Unicode MS" w:cs="Arial"/>
          <w:kern w:val="0"/>
          <w:sz w:val="24"/>
        </w:rPr>
        <w:t>;</w:t>
      </w:r>
      <w:r>
        <w:rPr>
          <w:rFonts w:ascii="Arial" w:hAnsi="Arial" w:eastAsia="Arial Unicode MS" w:cs="Arial"/>
          <w:kern w:val="0"/>
          <w:sz w:val="24"/>
          <w:lang w:val="en-GB" w:eastAsia="en-US"/>
        </w:rPr>
        <w:t>Globalization</w:t>
      </w:r>
      <w:r>
        <w:rPr>
          <w:rFonts w:ascii="Arial" w:hAnsi="Arial" w:eastAsia="Arial Unicode MS" w:cs="Arial"/>
          <w:kern w:val="0"/>
          <w:sz w:val="24"/>
        </w:rPr>
        <w:t>;</w:t>
      </w:r>
      <w:r>
        <w:rPr>
          <w:rFonts w:ascii="Arial" w:hAnsi="Arial" w:eastAsia="Arial Unicode MS" w:cs="Arial"/>
          <w:kern w:val="0"/>
          <w:sz w:val="24"/>
          <w:lang w:val="en-GB" w:eastAsia="en-US"/>
        </w:rPr>
        <w:t xml:space="preserve">international business </w:t>
      </w:r>
    </w:p>
    <w:p w14:paraId="047ED3F4">
      <w:pPr>
        <w:spacing w:line="360" w:lineRule="auto"/>
        <w:rPr>
          <w:rFonts w:ascii="Arial" w:hAnsi="Arial" w:eastAsia="Arial Unicode MS" w:cs="Arial"/>
          <w:sz w:val="24"/>
        </w:rPr>
      </w:pPr>
    </w:p>
    <w:p w14:paraId="694A79DB">
      <w:pPr>
        <w:widowControl/>
        <w:adjustRightInd w:val="0"/>
        <w:snapToGrid w:val="0"/>
        <w:spacing w:line="360" w:lineRule="auto"/>
        <w:jc w:val="center"/>
        <w:rPr>
          <w:rFonts w:ascii="Arial" w:hAnsi="Arial" w:eastAsia="Arial Unicode MS" w:cs="Arial"/>
          <w:b/>
          <w:bCs/>
          <w:kern w:val="0"/>
          <w:sz w:val="24"/>
          <w:lang w:val="en-GB" w:eastAsia="en-US"/>
        </w:rPr>
      </w:pPr>
      <w:r>
        <w:rPr>
          <w:rFonts w:ascii="Arial" w:hAnsi="Arial" w:eastAsia="Arial Unicode MS" w:cs="Arial"/>
          <w:b/>
          <w:bCs/>
          <w:kern w:val="0"/>
          <w:sz w:val="24"/>
          <w:lang w:val="en-GB" w:eastAsia="en-US"/>
        </w:rPr>
        <w:t>I.Introduction</w:t>
      </w:r>
    </w:p>
    <w:p w14:paraId="6504F1D3">
      <w:pPr>
        <w:widowControl/>
        <w:adjustRightInd w:val="0"/>
        <w:snapToGrid w:val="0"/>
        <w:spacing w:line="360" w:lineRule="auto"/>
        <w:rPr>
          <w:rFonts w:ascii="Arial" w:hAnsi="Arial" w:eastAsia="Arial Unicode MS" w:cs="Arial"/>
          <w:kern w:val="0"/>
          <w:sz w:val="24"/>
          <w:lang w:val="en-GB" w:eastAsia="en-US"/>
        </w:rPr>
      </w:pPr>
      <w:r>
        <w:rPr>
          <w:rFonts w:ascii="Arial" w:hAnsi="Arial" w:eastAsia="Arial Unicode MS" w:cs="Arial"/>
          <w:kern w:val="0"/>
          <w:sz w:val="24"/>
          <w:lang w:val="en-GB" w:eastAsia="en-US"/>
        </w:rPr>
        <w:t>Visola and Abduganieva navigates that the intricacies of cross-cultural communication is crucial for British businesses seeking to operate effectively in the German market. The relationship between Britain and Germany is historically significant and is characterized by economic cooperation, but is often hampered by cultural misunderstandings.</w:t>
      </w:r>
      <w:r>
        <w:rPr>
          <w:rFonts w:ascii="Arial" w:hAnsi="Arial" w:eastAsia="Arial Unicode MS" w:cs="Arial"/>
          <w:kern w:val="0"/>
          <w:sz w:val="24"/>
          <w:vertAlign w:val="superscript"/>
          <w:lang w:val="en-GB" w:eastAsia="en-US"/>
        </w:rPr>
        <w:t xml:space="preserve"> </w:t>
      </w:r>
      <w:r>
        <w:rPr>
          <w:rFonts w:hint="default" w:ascii="Arial" w:hAnsi="Arial" w:eastAsia="Arial Unicode MS" w:cs="Arial"/>
          <w:kern w:val="0"/>
          <w:sz w:val="24"/>
          <w:vertAlign w:val="baseline"/>
          <w:lang w:val="en-US" w:eastAsia="en-US"/>
        </w:rPr>
        <w:t xml:space="preserve">According to </w:t>
      </w:r>
      <w:r>
        <w:rPr>
          <w:rFonts w:ascii="Arial" w:hAnsi="Arial" w:eastAsia="Arial Unicode MS" w:cs="Arial"/>
          <w:kern w:val="0"/>
          <w:sz w:val="24"/>
        </w:rPr>
        <w:t>Bosch and Schmitz-Kießler (2020</w:t>
      </w:r>
      <w:r>
        <w:rPr>
          <w:rFonts w:hint="default" w:ascii="Arial" w:hAnsi="Arial" w:eastAsia="Arial Unicode MS" w:cs="Arial"/>
          <w:kern w:val="0"/>
          <w:sz w:val="24"/>
          <w:lang w:val="en-US"/>
        </w:rPr>
        <w:t>), a</w:t>
      </w:r>
      <w:r>
        <w:rPr>
          <w:rFonts w:ascii="Arial" w:hAnsi="Arial" w:eastAsia="Arial Unicode MS" w:cs="Arial"/>
          <w:kern w:val="0"/>
          <w:sz w:val="24"/>
          <w:lang w:val="en-GB" w:eastAsia="en-US"/>
        </w:rPr>
        <w:t>s globalization promotes interdependence among nations, it is critical to understand the challenges and sensitivities inherent in cross-cultural interactions. Kosse (2022) points out that british professionals have to work hard to adapt to unique German values such as formality, precision and emphasis on structure, in contrast to the flexible and informal approach that the British usually prefer. In addition, different attitudes towards hierarchy and directness in dialogue can lead to misunderstandings. Addressing these cross-cultural nuances can not only improve the potential for successful business investments, but also foster stronger relationships that ultimately contribute to a more harmonious economic environment between the two countries.</w:t>
      </w:r>
    </w:p>
    <w:p w14:paraId="3DA267E1">
      <w:pPr>
        <w:widowControl/>
        <w:adjustRightInd w:val="0"/>
        <w:snapToGrid w:val="0"/>
        <w:spacing w:line="360" w:lineRule="auto"/>
        <w:rPr>
          <w:rFonts w:ascii="Arial" w:hAnsi="Arial" w:eastAsia="Arial Unicode MS" w:cs="Arial"/>
          <w:kern w:val="0"/>
          <w:sz w:val="24"/>
          <w:lang w:val="en-GB" w:eastAsia="en-US"/>
        </w:rPr>
      </w:pPr>
      <w:r>
        <w:rPr>
          <w:rFonts w:ascii="Arial" w:hAnsi="Arial" w:eastAsia="Arial Unicode MS" w:cs="Arial"/>
          <w:kern w:val="0"/>
          <w:sz w:val="24"/>
          <w:lang w:val="en-GB" w:eastAsia="en-US"/>
        </w:rPr>
        <w:t>Thapliyal (2022)</w:t>
      </w:r>
      <w:r>
        <w:rPr>
          <w:rFonts w:ascii="Arial" w:hAnsi="Arial" w:eastAsia="Arial Unicode MS" w:cs="Arial"/>
          <w:kern w:val="0"/>
          <w:sz w:val="24"/>
        </w:rPr>
        <w:t xml:space="preserve"> says that </w:t>
      </w:r>
      <w:r>
        <w:rPr>
          <w:rFonts w:ascii="Arial" w:hAnsi="Arial" w:eastAsia="Arial Unicode MS" w:cs="Arial"/>
          <w:kern w:val="0"/>
          <w:sz w:val="24"/>
          <w:lang w:val="en-GB" w:eastAsia="en-US"/>
        </w:rPr>
        <w:t xml:space="preserve">Cross-cultural communication plays a vital role in international business because it embodies the complex interaction between different cultural backgrounds. This complexity is particularly important in the context of doing business with Germany, where understanding cultural nuances can have a profound impact on negotiations and cooperation. Effective cross-cultural communication promotes trust and cooperation, which are essential elements of business success. For example, Brinker </w:t>
      </w:r>
      <w:r>
        <w:rPr>
          <w:rFonts w:ascii="Arial" w:hAnsi="Arial" w:eastAsia="Arial Unicode MS" w:cs="Arial"/>
          <w:kern w:val="0"/>
          <w:sz w:val="24"/>
          <w:lang w:val="en-GB"/>
        </w:rPr>
        <w:t>and</w:t>
      </w:r>
      <w:r>
        <w:rPr>
          <w:rFonts w:ascii="Arial" w:hAnsi="Arial" w:eastAsia="Arial Unicode MS" w:cs="Arial"/>
          <w:kern w:val="0"/>
          <w:sz w:val="24"/>
          <w:lang w:val="en-GB" w:eastAsia="en-US"/>
        </w:rPr>
        <w:t xml:space="preserve"> Satchwell</w:t>
      </w:r>
      <w:r>
        <w:rPr>
          <w:rFonts w:hint="default" w:ascii="Arial" w:hAnsi="Arial" w:eastAsia="Arial Unicode MS" w:cs="Arial"/>
          <w:kern w:val="0"/>
          <w:sz w:val="24"/>
          <w:lang w:val="en-US" w:eastAsia="en-US"/>
        </w:rPr>
        <w:t xml:space="preserve"> </w:t>
      </w:r>
      <w:r>
        <w:rPr>
          <w:rFonts w:ascii="Arial" w:hAnsi="Arial" w:eastAsia="Arial Unicode MS" w:cs="Arial"/>
          <w:kern w:val="0"/>
          <w:sz w:val="24"/>
          <w:lang w:val="en-GB" w:eastAsia="en-US"/>
        </w:rPr>
        <w:t>(2020</w:t>
      </w:r>
      <w:r>
        <w:rPr>
          <w:rFonts w:hint="default" w:ascii="Arial" w:hAnsi="Arial" w:eastAsia="Arial Unicode MS" w:cs="Arial"/>
          <w:kern w:val="0"/>
          <w:sz w:val="24"/>
          <w:lang w:val="en-US" w:eastAsia="en-US"/>
        </w:rPr>
        <w:t xml:space="preserve">) </w:t>
      </w:r>
      <w:r>
        <w:rPr>
          <w:rFonts w:ascii="Arial" w:hAnsi="Arial" w:eastAsia="Arial Unicode MS" w:cs="Arial"/>
          <w:kern w:val="0"/>
          <w:sz w:val="24"/>
        </w:rPr>
        <w:t>think</w:t>
      </w:r>
      <w:r>
        <w:rPr>
          <w:rFonts w:ascii="Arial" w:hAnsi="Arial" w:eastAsia="Arial Unicode MS" w:cs="Arial"/>
          <w:kern w:val="0"/>
          <w:sz w:val="24"/>
          <w:lang w:val="en-GB" w:eastAsia="en-US"/>
        </w:rPr>
        <w:t xml:space="preserve"> the concept of face, which refers to an individual's social status and respect within a cultural framework, is crucial when assessing cross-border communication strategies. In addition, the need for linguistic and cultural competence among translators and business professionals emphasizes the importance of accurately conveying linguistic and cultural context. This capability ensures that information is not only accurately delivered, but also properly received, ultimately improving the effectiveness of international business relationships and reducing the potential for misunderstanding.</w:t>
      </w:r>
    </w:p>
    <w:p w14:paraId="08EC572D">
      <w:pPr>
        <w:widowControl/>
        <w:adjustRightInd w:val="0"/>
        <w:snapToGrid w:val="0"/>
        <w:spacing w:line="360" w:lineRule="auto"/>
        <w:rPr>
          <w:rFonts w:ascii="Arial" w:hAnsi="Arial" w:eastAsia="Arial Unicode MS" w:cs="Arial"/>
          <w:kern w:val="0"/>
          <w:sz w:val="24"/>
          <w:lang w:val="en-GB" w:eastAsia="en-US"/>
        </w:rPr>
      </w:pPr>
    </w:p>
    <w:p w14:paraId="28703AE3">
      <w:pPr>
        <w:widowControl/>
        <w:adjustRightInd w:val="0"/>
        <w:snapToGrid w:val="0"/>
        <w:spacing w:line="360" w:lineRule="auto"/>
        <w:jc w:val="center"/>
        <w:rPr>
          <w:rStyle w:val="9"/>
          <w:rFonts w:ascii="Arial" w:hAnsi="Arial" w:eastAsia="Arial Unicode MS" w:cs="Arial"/>
          <w:b/>
          <w:bCs/>
          <w:i w:val="0"/>
          <w:kern w:val="0"/>
          <w:sz w:val="24"/>
          <w:lang w:val="en-GB" w:eastAsia="en-US"/>
        </w:rPr>
      </w:pPr>
      <w:r>
        <w:rPr>
          <w:rStyle w:val="9"/>
          <w:rFonts w:ascii="Arial" w:hAnsi="Arial" w:eastAsia="Arial Unicode MS" w:cs="Arial"/>
          <w:b/>
          <w:bCs/>
          <w:i w:val="0"/>
          <w:kern w:val="0"/>
          <w:sz w:val="24"/>
          <w:lang w:val="en-GB" w:eastAsia="en-US"/>
        </w:rPr>
        <w:t>II.Understanding Cultural Differences</w:t>
      </w:r>
    </w:p>
    <w:p w14:paraId="0AED25A1">
      <w:pPr>
        <w:widowControl/>
        <w:adjustRightInd w:val="0"/>
        <w:snapToGrid w:val="0"/>
        <w:spacing w:line="360" w:lineRule="auto"/>
        <w:rPr>
          <w:rFonts w:ascii="Arial" w:hAnsi="Arial" w:eastAsia="Arial Unicode MS" w:cs="Arial"/>
          <w:kern w:val="0"/>
          <w:sz w:val="24"/>
          <w:lang w:val="en-GB" w:eastAsia="en-US"/>
        </w:rPr>
      </w:pPr>
      <w:r>
        <w:rPr>
          <w:rFonts w:ascii="Arial" w:hAnsi="Arial" w:eastAsia="Arial Unicode MS" w:cs="Arial"/>
          <w:kern w:val="0"/>
          <w:sz w:val="24"/>
          <w:lang w:val="en-GB" w:eastAsia="en-US"/>
        </w:rPr>
        <w:t>Karami</w:t>
      </w:r>
      <w:r>
        <w:rPr>
          <w:rFonts w:hint="default" w:ascii="Arial" w:hAnsi="Arial" w:eastAsia="Arial Unicode MS" w:cs="Arial"/>
          <w:kern w:val="0"/>
          <w:sz w:val="24"/>
          <w:lang w:val="en-US" w:eastAsia="en-US"/>
        </w:rPr>
        <w:t xml:space="preserve"> </w:t>
      </w:r>
      <w:r>
        <w:rPr>
          <w:rFonts w:ascii="Arial" w:hAnsi="Arial" w:eastAsia="Arial Unicode MS" w:cs="Arial"/>
          <w:kern w:val="0"/>
          <w:sz w:val="24"/>
          <w:lang w:val="en-GB"/>
        </w:rPr>
        <w:t>and</w:t>
      </w:r>
      <w:r>
        <w:rPr>
          <w:rFonts w:ascii="Arial" w:hAnsi="Arial" w:eastAsia="Arial Unicode MS" w:cs="Arial"/>
          <w:kern w:val="0"/>
          <w:sz w:val="24"/>
          <w:lang w:val="en-GB" w:eastAsia="en-US"/>
        </w:rPr>
        <w:t xml:space="preserve"> Madlener</w:t>
      </w:r>
      <w:r>
        <w:rPr>
          <w:rFonts w:hint="default" w:ascii="Arial" w:hAnsi="Arial" w:eastAsia="Arial Unicode MS" w:cs="Arial"/>
          <w:kern w:val="0"/>
          <w:sz w:val="24"/>
          <w:lang w:val="en-US" w:eastAsia="en-US"/>
        </w:rPr>
        <w:t xml:space="preserve"> </w:t>
      </w:r>
      <w:r>
        <w:rPr>
          <w:rFonts w:ascii="Arial" w:hAnsi="Arial" w:eastAsia="Arial Unicode MS" w:cs="Arial"/>
          <w:kern w:val="0"/>
          <w:sz w:val="24"/>
          <w:lang w:val="en-GB" w:eastAsia="en-US"/>
        </w:rPr>
        <w:t>(2022</w:t>
      </w:r>
      <w:r>
        <w:rPr>
          <w:rFonts w:hint="default" w:ascii="Arial" w:hAnsi="Arial" w:eastAsia="Arial Unicode MS" w:cs="Arial"/>
          <w:kern w:val="0"/>
          <w:sz w:val="24"/>
          <w:lang w:val="en-US" w:eastAsia="en-US"/>
        </w:rPr>
        <w:t>) pointed out</w:t>
      </w:r>
      <w:r>
        <w:rPr>
          <w:rFonts w:ascii="Arial" w:hAnsi="Arial" w:eastAsia="Arial Unicode MS" w:cs="Arial"/>
          <w:kern w:val="0"/>
          <w:sz w:val="24"/>
        </w:rPr>
        <w:t xml:space="preserve"> that </w:t>
      </w:r>
      <w:r>
        <w:rPr>
          <w:rFonts w:ascii="Arial" w:hAnsi="Arial" w:eastAsia="Arial Unicode MS" w:cs="Arial"/>
          <w:kern w:val="0"/>
          <w:sz w:val="24"/>
          <w:lang w:val="en-GB" w:eastAsia="en-US"/>
        </w:rPr>
        <w:t>Intercultural communication theories provide a framework for understanding how cultural differences can impact communication and business interactions.  Key theories include Hofstede's cultural dimensions, Hall's high- and low-context cultures, and Ting-Toomey's face-saving theory.</w:t>
      </w:r>
    </w:p>
    <w:p w14:paraId="0B77BF50">
      <w:pPr>
        <w:widowControl/>
        <w:adjustRightInd w:val="0"/>
        <w:snapToGrid w:val="0"/>
        <w:spacing w:line="360" w:lineRule="auto"/>
        <w:rPr>
          <w:rFonts w:ascii="Arial" w:hAnsi="Arial" w:eastAsia="Arial Unicode MS" w:cs="Arial"/>
          <w:kern w:val="0"/>
          <w:sz w:val="24"/>
          <w:lang w:val="en-GB" w:eastAsia="en-US"/>
        </w:rPr>
      </w:pPr>
      <w:r>
        <w:rPr>
          <w:rFonts w:ascii="Arial" w:hAnsi="Arial" w:eastAsia="Arial Unicode MS" w:cs="Arial"/>
          <w:kern w:val="0"/>
          <w:sz w:val="24"/>
          <w:lang w:val="en-GB" w:eastAsia="en-US"/>
        </w:rPr>
        <w:t>Hofstede's cultural dimensions offer a quantitative approach to comparing cultures across six dimensions: power distance, individualism-collectivism, masculinity-femininity, uncertainty avoidance, long-term orientation, and indulgence-restraint. According to Hofstede</w:t>
      </w:r>
      <w:r>
        <w:rPr>
          <w:rFonts w:hint="default" w:ascii="Arial" w:hAnsi="Arial" w:eastAsia="Arial Unicode MS" w:cs="Arial"/>
          <w:kern w:val="0"/>
          <w:sz w:val="24"/>
          <w:lang w:val="en-US" w:eastAsia="en-US"/>
        </w:rPr>
        <w:t xml:space="preserve"> (2020)</w:t>
      </w:r>
      <w:r>
        <w:rPr>
          <w:rFonts w:ascii="Arial" w:hAnsi="Arial" w:eastAsia="Arial Unicode MS" w:cs="Arial"/>
          <w:kern w:val="0"/>
          <w:sz w:val="24"/>
          <w:lang w:val="en-GB" w:eastAsia="en-US"/>
        </w:rPr>
        <w:t>, Germany scores high on power distance, indicating a strong hierarchical structure and respect for authority.  Germany also scores high on uncertainty avoidance, which reflects a preference for structure, rules, and predictability.</w:t>
      </w:r>
    </w:p>
    <w:p w14:paraId="75D11BAE">
      <w:pPr>
        <w:widowControl/>
        <w:adjustRightInd w:val="0"/>
        <w:snapToGrid w:val="0"/>
        <w:spacing w:line="360" w:lineRule="auto"/>
        <w:rPr>
          <w:rFonts w:ascii="Arial" w:hAnsi="Arial" w:eastAsia="Arial Unicode MS" w:cs="Arial"/>
          <w:kern w:val="0"/>
          <w:sz w:val="24"/>
          <w:lang w:val="en-GB" w:eastAsia="en-US"/>
        </w:rPr>
      </w:pPr>
      <w:r>
        <w:rPr>
          <w:rFonts w:ascii="Arial" w:hAnsi="Arial" w:eastAsia="Arial Unicode MS" w:cs="Arial"/>
          <w:kern w:val="0"/>
          <w:sz w:val="24"/>
          <w:lang w:val="en-GB" w:eastAsia="en-US"/>
        </w:rPr>
        <w:t>Kovalchuk (2024</w:t>
      </w:r>
      <w:r>
        <w:rPr>
          <w:rFonts w:hint="default" w:ascii="Arial" w:hAnsi="Arial" w:eastAsia="Arial Unicode MS" w:cs="Arial"/>
          <w:kern w:val="0"/>
          <w:sz w:val="24"/>
          <w:lang w:val="en-US" w:eastAsia="en-US"/>
        </w:rPr>
        <w:t xml:space="preserve">) </w:t>
      </w:r>
      <w:r>
        <w:rPr>
          <w:rFonts w:ascii="Arial" w:hAnsi="Arial" w:eastAsia="Arial Unicode MS" w:cs="Arial"/>
          <w:kern w:val="0"/>
          <w:sz w:val="24"/>
        </w:rPr>
        <w:t>face</w:t>
      </w:r>
      <w:r>
        <w:rPr>
          <w:rFonts w:hint="default" w:ascii="Arial" w:hAnsi="Arial" w:eastAsia="Arial Unicode MS" w:cs="Arial"/>
          <w:kern w:val="0"/>
          <w:sz w:val="24"/>
          <w:lang w:val="en-US"/>
        </w:rPr>
        <w:t>d</w:t>
      </w:r>
      <w:r>
        <w:rPr>
          <w:rFonts w:ascii="Arial" w:hAnsi="Arial" w:eastAsia="Arial Unicode MS" w:cs="Arial"/>
          <w:kern w:val="0"/>
          <w:sz w:val="24"/>
        </w:rPr>
        <w:t xml:space="preserve"> </w:t>
      </w:r>
      <w:r>
        <w:rPr>
          <w:rFonts w:ascii="Arial" w:hAnsi="Arial" w:eastAsia="Arial Unicode MS" w:cs="Arial"/>
          <w:kern w:val="0"/>
          <w:sz w:val="24"/>
          <w:lang w:val="en-GB" w:eastAsia="en-US"/>
        </w:rPr>
        <w:t>Hall's distinction between high- and low-context cultures highlights the degree to which meaning is derived from the context or the words themselves.  Germany is considered a high-context culture, where communication relies heavily on implicit messages, shared assumptions, and nonverbal cues.  This contrasts with the UK, which tends towards a low-context culture, where explicit communication and directness are valued.</w:t>
      </w:r>
    </w:p>
    <w:p w14:paraId="3E2289F1">
      <w:pPr>
        <w:widowControl/>
        <w:adjustRightInd w:val="0"/>
        <w:snapToGrid w:val="0"/>
        <w:spacing w:line="360" w:lineRule="auto"/>
        <w:rPr>
          <w:rFonts w:ascii="Arial" w:hAnsi="Arial" w:eastAsia="Arial Unicode MS" w:cs="Arial"/>
          <w:kern w:val="0"/>
          <w:sz w:val="24"/>
          <w:lang w:val="en-GB" w:eastAsia="en-US"/>
        </w:rPr>
      </w:pPr>
      <w:r>
        <w:rPr>
          <w:rFonts w:hint="default" w:ascii="Arial" w:hAnsi="Arial" w:eastAsia="Arial Unicode MS" w:cs="Arial"/>
          <w:kern w:val="0"/>
          <w:sz w:val="24"/>
          <w:lang w:val="en-US" w:eastAsia="en-US"/>
        </w:rPr>
        <w:t>Li</w:t>
      </w:r>
      <w:r>
        <w:rPr>
          <w:rFonts w:ascii="Arial" w:hAnsi="Arial" w:eastAsia="Arial Unicode MS" w:cs="Arial"/>
          <w:kern w:val="0"/>
          <w:sz w:val="24"/>
          <w:lang w:val="en-GB" w:eastAsia="en-US"/>
        </w:rPr>
        <w:t xml:space="preserve"> </w:t>
      </w:r>
      <w:r>
        <w:rPr>
          <w:rFonts w:hint="default" w:ascii="Arial" w:hAnsi="Arial" w:eastAsia="Arial Unicode MS" w:cs="Arial"/>
          <w:kern w:val="0"/>
          <w:sz w:val="24"/>
          <w:lang w:val="en-US" w:eastAsia="en-US"/>
        </w:rPr>
        <w:t>(2023) points out that</w:t>
      </w:r>
      <w:r>
        <w:rPr>
          <w:rFonts w:ascii="Arial" w:hAnsi="Arial" w:eastAsia="Arial Unicode MS" w:cs="Arial"/>
          <w:kern w:val="0"/>
          <w:sz w:val="24"/>
          <w:lang w:val="en-GB" w:eastAsia="en-US"/>
        </w:rPr>
        <w:t xml:space="preserve"> face-saving theory focuses on the importance of maintaining one's dignity and self-worth in communication.  In high-face cultures, such as Germany, individuals prioritize saving face and avoiding conflict, which can lead to indirect communication and a tendency to avoid direct confrontation.</w:t>
      </w:r>
    </w:p>
    <w:p w14:paraId="44CAAB7E">
      <w:pPr>
        <w:widowControl/>
        <w:adjustRightInd w:val="0"/>
        <w:snapToGrid w:val="0"/>
        <w:spacing w:line="360" w:lineRule="auto"/>
        <w:rPr>
          <w:rFonts w:ascii="Arial" w:hAnsi="Arial" w:eastAsia="Arial Unicode MS" w:cs="Arial"/>
          <w:kern w:val="0"/>
          <w:sz w:val="24"/>
          <w:lang w:val="en-GB" w:eastAsia="en-US"/>
        </w:rPr>
      </w:pPr>
      <w:r>
        <w:rPr>
          <w:rFonts w:ascii="Arial" w:hAnsi="Arial" w:eastAsia="Arial Unicode MS" w:cs="Arial"/>
          <w:kern w:val="0"/>
          <w:sz w:val="24"/>
          <w:lang w:val="en-GB" w:eastAsia="en-US"/>
        </w:rPr>
        <w:t>Navigating cultural differences is crucial for effective business interactions, particularly between British and German entities. Understanding nuances such as attitudes towards hierarchy, communication styles, and negotiation practices can significantly impact business outcomes. For instance, Germans often favor direct communication and clarity, which contrasts with the more indirect approach commonly found in British settings. This divergence can lead to misunderstandings if not recognized and addressed. Furthermore, the cultural emphasis on punctuality and thorough preparation in Germany reflects a broader societal penchant for efficiency that contrasts with the British preference for flexibility and adaptability in discussions. As highlighted in studies pertaining to intercultural communication theories, the importance of acknowledging and respecting these differences cannot be overstated, as failing to do so may result in project delays or deteriorated relationships between partners . Thus, fostering a deep appreciation of cultural variances is essential for successful cross-cultural collaborations.</w:t>
      </w:r>
    </w:p>
    <w:p w14:paraId="7BDDC14B">
      <w:pPr>
        <w:widowControl/>
        <w:adjustRightInd w:val="0"/>
        <w:snapToGrid w:val="0"/>
        <w:spacing w:line="360" w:lineRule="auto"/>
        <w:rPr>
          <w:rFonts w:ascii="Arial" w:hAnsi="Arial" w:eastAsia="Arial Unicode MS" w:cs="Arial"/>
          <w:kern w:val="0"/>
          <w:sz w:val="24"/>
          <w:lang w:val="en-GB" w:eastAsia="en-US"/>
        </w:rPr>
      </w:pPr>
      <w:r>
        <w:rPr>
          <w:rFonts w:ascii="Arial" w:hAnsi="Arial" w:eastAsia="Arial Unicode MS" w:cs="Arial"/>
          <w:kern w:val="0"/>
          <w:sz w:val="24"/>
          <w:lang w:val="en-GB" w:eastAsia="en-US"/>
        </w:rPr>
        <w:t>Key cultural dimensions between British and German business practices</w:t>
      </w:r>
      <w:r>
        <w:rPr>
          <w:rFonts w:hint="default" w:ascii="Arial" w:hAnsi="Arial" w:eastAsia="Arial Unicode MS" w:cs="Arial"/>
          <w:kern w:val="0"/>
          <w:sz w:val="24"/>
          <w:lang w:val="en-US" w:eastAsia="en-US"/>
        </w:rPr>
        <w:t xml:space="preserve">. </w:t>
      </w:r>
      <w:r>
        <w:rPr>
          <w:rFonts w:ascii="Arial" w:hAnsi="Arial" w:eastAsia="Arial Unicode MS" w:cs="Arial"/>
          <w:kern w:val="0"/>
          <w:sz w:val="24"/>
          <w:lang w:val="en-GB" w:eastAsia="en-US"/>
        </w:rPr>
        <w:t>Understanding the key cultural dimensions between British and German business practices is critical for successful intercultural communication. One notable distinction lies in the approach to hierarchy and authority, with Germany exhibiting a more structured and formal corporate environment compared to the relatively egalitarian British setting. British businesses often emphasize individualism and personal relationships, while German practices tend to focus on collective responsibility and adherence to rules and procedures. This divergence can lead to misunderstandings; for instance, British informality may be perceived as a lack of seriousness by German counterparts. The significance of these cultural dimensions is further highlighted in the context of electronic communications, where cultural gaps can exacerbate miscommunication. As stated in (Chase et al.), cyberspace has its own culture, complicating interactions and necessitating a deeper awareness of underlying cultural norms to foster trust and clarity in business dealings. Hence, adapting to these differences is essential for effective collaboration.</w:t>
      </w:r>
    </w:p>
    <w:p w14:paraId="2275706A">
      <w:pPr>
        <w:spacing w:line="360" w:lineRule="auto"/>
        <w:rPr>
          <w:rFonts w:ascii="Arial" w:hAnsi="Arial" w:eastAsia="Arial Unicode MS" w:cs="Arial"/>
          <w:sz w:val="24"/>
        </w:rPr>
      </w:pPr>
    </w:p>
    <w:p w14:paraId="0A3B8224">
      <w:pPr>
        <w:widowControl/>
        <w:adjustRightInd w:val="0"/>
        <w:snapToGrid w:val="0"/>
        <w:spacing w:line="360" w:lineRule="auto"/>
        <w:jc w:val="center"/>
        <w:rPr>
          <w:rStyle w:val="9"/>
          <w:rFonts w:ascii="Arial" w:hAnsi="Arial" w:eastAsia="Arial Unicode MS" w:cs="Arial"/>
          <w:b/>
          <w:bCs/>
          <w:i w:val="0"/>
          <w:kern w:val="0"/>
          <w:sz w:val="24"/>
          <w:lang w:val="en-GB" w:eastAsia="en-US"/>
        </w:rPr>
      </w:pPr>
      <w:r>
        <w:rPr>
          <w:rStyle w:val="9"/>
          <w:rFonts w:ascii="Arial" w:hAnsi="Arial" w:eastAsia="Arial Unicode MS" w:cs="Arial"/>
          <w:b/>
          <w:bCs/>
          <w:i w:val="0"/>
          <w:kern w:val="0"/>
          <w:sz w:val="24"/>
          <w:lang w:val="en-GB" w:eastAsia="en-US"/>
        </w:rPr>
        <w:t>III.Communication Styles and Their Impact</w:t>
      </w:r>
    </w:p>
    <w:p w14:paraId="73BFEC72">
      <w:pPr>
        <w:widowControl/>
        <w:adjustRightInd w:val="0"/>
        <w:snapToGrid w:val="0"/>
        <w:spacing w:line="360" w:lineRule="auto"/>
        <w:rPr>
          <w:rFonts w:ascii="Arial" w:hAnsi="Arial" w:eastAsia="Arial Unicode MS" w:cs="Arial"/>
          <w:kern w:val="0"/>
          <w:sz w:val="24"/>
          <w:lang w:val="en-GB" w:eastAsia="en-US"/>
        </w:rPr>
      </w:pPr>
      <w:r>
        <w:rPr>
          <w:rFonts w:ascii="Arial" w:hAnsi="Arial" w:eastAsia="Arial Unicode MS" w:cs="Arial"/>
          <w:kern w:val="0"/>
          <w:sz w:val="24"/>
          <w:lang w:val="en-GB" w:eastAsia="en-US"/>
        </w:rPr>
        <w:t>Kovalchuk (2024)</w:t>
      </w:r>
      <w:r>
        <w:rPr>
          <w:rFonts w:hint="default" w:ascii="Arial" w:hAnsi="Arial" w:eastAsia="Arial Unicode MS" w:cs="Arial"/>
          <w:kern w:val="0"/>
          <w:sz w:val="24"/>
          <w:lang w:val="en-US" w:eastAsia="en-US"/>
        </w:rPr>
        <w:t xml:space="preserve"> pointed out that </w:t>
      </w:r>
      <w:r>
        <w:rPr>
          <w:rFonts w:ascii="Arial" w:hAnsi="Arial" w:eastAsia="Arial Unicode MS" w:cs="Arial"/>
          <w:kern w:val="0"/>
          <w:sz w:val="24"/>
          <w:lang w:val="en-GB" w:eastAsia="en-US"/>
        </w:rPr>
        <w:t xml:space="preserve">Understanding communication styles is pivotal when navigating the complexities of intercultural business relations, particularly between British and German professionals. Differences in communication approaches can significantly impact negotiations and collaboration outcomes. For instance, while Germans tend to favor direct and explicit communication, valuing clarity and detail in exchanges, British communicators often rely on more indirect styles that encompass nuance and context. This divergence can lead to misunderstandings, particularly in high-stakes business scenarios where clarity is paramount Moreover, the online environment exacerbates these challenges; as highlighted in studies, the inherent limitations of digital communication deprive users of essential non-verbal cues, complicating cross-cultural interactions further </w:t>
      </w:r>
      <w:r>
        <w:rPr>
          <w:rFonts w:ascii="Arial" w:hAnsi="Arial" w:eastAsia="Arial Unicode MS" w:cs="Arial"/>
          <w:kern w:val="0"/>
          <w:sz w:val="24"/>
        </w:rPr>
        <w:t>.</w:t>
      </w:r>
      <w:r>
        <w:rPr>
          <w:rFonts w:ascii="Arial" w:hAnsi="Arial" w:eastAsia="Arial Unicode MS" w:cs="Arial"/>
          <w:kern w:val="0"/>
          <w:sz w:val="24"/>
          <w:lang w:val="en-GB" w:eastAsia="en-US"/>
        </w:rPr>
        <w:t xml:space="preserve"> Consequently, recognizing and adapting to these contrasting communication styles is essential for successful engagement, fostering a more effective and mutually respectful business dialogue between British and German counterparts.</w:t>
      </w:r>
      <w:r>
        <w:rPr>
          <w:rFonts w:hint="default" w:ascii="Arial" w:hAnsi="Arial" w:eastAsia="Arial Unicode MS" w:cs="Arial"/>
          <w:kern w:val="0"/>
          <w:sz w:val="24"/>
          <w:lang w:val="en-US" w:eastAsia="en-US"/>
        </w:rPr>
        <w:t xml:space="preserve"> </w:t>
      </w:r>
      <w:r>
        <w:rPr>
          <w:rFonts w:ascii="Arial" w:hAnsi="Arial" w:eastAsia="Arial Unicode MS" w:cs="Arial"/>
          <w:kern w:val="0"/>
          <w:sz w:val="24"/>
          <w:lang w:val="en-GB" w:eastAsia="en-US"/>
        </w:rPr>
        <w:t>Haveman</w:t>
      </w:r>
      <w:r>
        <w:rPr>
          <w:rFonts w:hint="default" w:ascii="Arial" w:hAnsi="Arial" w:eastAsia="Arial Unicode MS" w:cs="Arial"/>
          <w:kern w:val="0"/>
          <w:sz w:val="24"/>
          <w:lang w:val="en-US" w:eastAsia="en-US"/>
        </w:rPr>
        <w:t xml:space="preserve"> </w:t>
      </w:r>
      <w:r>
        <w:rPr>
          <w:rFonts w:ascii="Arial" w:hAnsi="Arial" w:eastAsia="Arial Unicode MS" w:cs="Arial"/>
          <w:kern w:val="0"/>
          <w:sz w:val="24"/>
          <w:lang w:val="en-GB"/>
        </w:rPr>
        <w:t>and</w:t>
      </w:r>
      <w:r>
        <w:rPr>
          <w:rFonts w:ascii="Arial" w:hAnsi="Arial" w:eastAsia="Arial Unicode MS" w:cs="Arial"/>
          <w:kern w:val="0"/>
          <w:sz w:val="24"/>
          <w:lang w:val="en-GB" w:eastAsia="en-US"/>
        </w:rPr>
        <w:t xml:space="preserve"> Nedzhvetskaya (2022)</w:t>
      </w:r>
      <w:r>
        <w:rPr>
          <w:rFonts w:hint="default" w:ascii="Arial" w:hAnsi="Arial" w:eastAsia="Arial Unicode MS" w:cs="Arial"/>
          <w:kern w:val="0"/>
          <w:sz w:val="24"/>
          <w:lang w:val="en-US" w:eastAsia="en-US"/>
        </w:rPr>
        <w:t xml:space="preserve"> claims that</w:t>
      </w:r>
      <w:r>
        <w:rPr>
          <w:rFonts w:ascii="Arial" w:hAnsi="Arial" w:eastAsia="Arial Unicode MS" w:cs="Arial"/>
          <w:kern w:val="0"/>
          <w:sz w:val="24"/>
          <w:lang w:val="en-GB" w:eastAsia="en-US"/>
        </w:rPr>
        <w:t xml:space="preserve"> indirect communication for </w:t>
      </w:r>
      <w:r>
        <w:rPr>
          <w:rFonts w:hint="default" w:ascii="Arial" w:hAnsi="Arial" w:eastAsia="Arial Unicode MS" w:cs="Arial"/>
          <w:kern w:val="0"/>
          <w:sz w:val="24"/>
          <w:lang w:val="en-US" w:eastAsia="en-US"/>
        </w:rPr>
        <w:t>b</w:t>
      </w:r>
      <w:r>
        <w:rPr>
          <w:rFonts w:ascii="Arial" w:hAnsi="Arial" w:eastAsia="Arial Unicode MS" w:cs="Arial"/>
          <w:kern w:val="0"/>
          <w:sz w:val="24"/>
          <w:lang w:val="en-GB" w:eastAsia="en-US"/>
        </w:rPr>
        <w:t>ritish businesses in Germany</w:t>
      </w:r>
      <w:r>
        <w:rPr>
          <w:rFonts w:ascii="Arial" w:hAnsi="Arial" w:eastAsia="Arial Unicode MS" w:cs="Arial"/>
          <w:kern w:val="0"/>
          <w:sz w:val="24"/>
        </w:rPr>
        <w:t xml:space="preserve"> </w:t>
      </w:r>
      <w:r>
        <w:rPr>
          <w:rFonts w:ascii="Arial" w:hAnsi="Arial" w:eastAsia="Arial Unicode MS" w:cs="Arial"/>
          <w:kern w:val="0"/>
          <w:sz w:val="24"/>
          <w:lang w:val="en-GB" w:eastAsia="en-US"/>
        </w:rPr>
        <w:t xml:space="preserve">In the context of doing business in Germany, </w:t>
      </w:r>
      <w:r>
        <w:rPr>
          <w:rFonts w:hint="default" w:ascii="Arial" w:hAnsi="Arial" w:eastAsia="Arial Unicode MS" w:cs="Arial"/>
          <w:kern w:val="0"/>
          <w:sz w:val="24"/>
          <w:lang w:val="en-US" w:eastAsia="en-US"/>
        </w:rPr>
        <w:t>b</w:t>
      </w:r>
      <w:r>
        <w:rPr>
          <w:rFonts w:ascii="Arial" w:hAnsi="Arial" w:eastAsia="Arial Unicode MS" w:cs="Arial"/>
          <w:kern w:val="0"/>
          <w:sz w:val="24"/>
          <w:lang w:val="en-GB" w:eastAsia="en-US"/>
        </w:rPr>
        <w:t>ritish enterprises must navigate the intricate dynamics of direct versus indirect communication styles, which can significantly impact interpersonal and organizational interactions. German communication tends to be more direct, valuing clarity and straightforwardness, while British communication often nuances with subtleties and implied meanings. Djauha</w:t>
      </w:r>
      <w:r>
        <w:rPr>
          <w:rFonts w:hint="default" w:ascii="Arial" w:hAnsi="Arial" w:eastAsia="Arial Unicode MS" w:cs="Arial"/>
          <w:kern w:val="0"/>
          <w:sz w:val="24"/>
          <w:lang w:val="en-US" w:eastAsia="en-US"/>
        </w:rPr>
        <w:t>r and</w:t>
      </w:r>
      <w:r>
        <w:rPr>
          <w:rFonts w:ascii="Arial" w:hAnsi="Arial" w:eastAsia="Arial Unicode MS" w:cs="Arial"/>
          <w:kern w:val="0"/>
          <w:sz w:val="24"/>
          <w:lang w:val="en-GB" w:eastAsia="en-US"/>
        </w:rPr>
        <w:t xml:space="preserve"> Oktadiana</w:t>
      </w:r>
      <w:r>
        <w:rPr>
          <w:rFonts w:hint="default" w:ascii="Arial" w:hAnsi="Arial" w:eastAsia="Arial Unicode MS" w:cs="Arial"/>
          <w:kern w:val="0"/>
          <w:sz w:val="24"/>
          <w:lang w:val="en-US" w:eastAsia="en-US"/>
        </w:rPr>
        <w:t xml:space="preserve"> (2022) observe that t</w:t>
      </w:r>
      <w:r>
        <w:rPr>
          <w:rFonts w:ascii="Arial" w:hAnsi="Arial" w:eastAsia="Arial Unicode MS" w:cs="Arial"/>
          <w:kern w:val="0"/>
          <w:sz w:val="24"/>
          <w:lang w:val="en-GB" w:eastAsia="en-US"/>
        </w:rPr>
        <w:t>his cultural dissonance can lead to misunderstandings</w:t>
      </w:r>
      <w:r>
        <w:rPr>
          <w:rFonts w:hint="default" w:ascii="Arial" w:hAnsi="Arial" w:eastAsia="Arial Unicode MS" w:cs="Arial"/>
          <w:kern w:val="0"/>
          <w:sz w:val="24"/>
          <w:lang w:val="en-US" w:eastAsia="en-US"/>
        </w:rPr>
        <w:t>, b</w:t>
      </w:r>
      <w:r>
        <w:rPr>
          <w:rFonts w:ascii="Arial" w:hAnsi="Arial" w:eastAsia="Arial Unicode MS" w:cs="Arial"/>
          <w:kern w:val="0"/>
          <w:sz w:val="24"/>
          <w:lang w:val="en-GB" w:eastAsia="en-US"/>
        </w:rPr>
        <w:t>ritish businesses may be</w:t>
      </w:r>
      <w:r>
        <w:rPr>
          <w:rFonts w:ascii="Arial" w:hAnsi="Arial" w:eastAsia="Arial Unicode MS" w:cs="Arial"/>
          <w:kern w:val="0"/>
          <w:sz w:val="24"/>
        </w:rPr>
        <w:t xml:space="preserve"> </w:t>
      </w:r>
      <w:r>
        <w:rPr>
          <w:rFonts w:ascii="Arial" w:hAnsi="Arial" w:eastAsia="Arial Unicode MS" w:cs="Arial"/>
          <w:kern w:val="0"/>
          <w:sz w:val="24"/>
          <w:lang w:val="en-GB" w:eastAsia="en-US"/>
        </w:rPr>
        <w:t>perceived as evasive or lacking decisiveness, while Germans might come off as overly blunt or insensitive. Such differences underscore the necessity for British firms to adopt a more direct approach when engaging with German counterparts, facilitating a more harmonious business environment . Consequently, recognizing and adapting to these contrasting communication preferences not only enhances operational efficiency but also fosters stronger professional relationships, ultimately supporting the goal of effective intercultural collaboration in a multicultural marketplace.</w:t>
      </w:r>
    </w:p>
    <w:p w14:paraId="22E77599">
      <w:pPr>
        <w:spacing w:line="360" w:lineRule="auto"/>
        <w:rPr>
          <w:rFonts w:ascii="Arial" w:hAnsi="Arial" w:eastAsia="Arial Unicode MS" w:cs="Arial"/>
          <w:sz w:val="24"/>
        </w:rPr>
      </w:pPr>
    </w:p>
    <w:p w14:paraId="52B2C51D">
      <w:pPr>
        <w:widowControl/>
        <w:adjustRightInd w:val="0"/>
        <w:snapToGrid w:val="0"/>
        <w:spacing w:line="360" w:lineRule="auto"/>
        <w:jc w:val="center"/>
        <w:rPr>
          <w:rStyle w:val="9"/>
          <w:rFonts w:ascii="Arial" w:hAnsi="Arial" w:eastAsia="Arial Unicode MS" w:cs="Arial"/>
          <w:b/>
          <w:bCs/>
          <w:i w:val="0"/>
          <w:kern w:val="0"/>
          <w:sz w:val="24"/>
        </w:rPr>
      </w:pPr>
      <w:r>
        <w:rPr>
          <w:rStyle w:val="9"/>
          <w:rFonts w:ascii="Arial" w:hAnsi="Arial" w:eastAsia="Arial Unicode MS" w:cs="Arial"/>
          <w:b/>
          <w:bCs/>
          <w:i w:val="0"/>
          <w:kern w:val="0"/>
          <w:sz w:val="24"/>
        </w:rPr>
        <w:t>IV.German service trade theory research</w:t>
      </w:r>
    </w:p>
    <w:p w14:paraId="3BA2D04C">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 xml:space="preserve">The negative impact of cultural differences on international trade is mainly caused by the cultural backgrounds and calendars of different countriesHistorical tradition and customs are different, which leads to consumers in the consumption concept and consumption habits have a big differenceThe existence of these differences makes the negative impact of cultural differences on international trade particularly prominent. </w:t>
      </w:r>
      <w:r>
        <w:rPr>
          <w:rFonts w:hint="eastAsia" w:ascii="Arial" w:hAnsi="Arial" w:eastAsia="Arial Unicode MS" w:cs="Arial"/>
          <w:kern w:val="0"/>
          <w:sz w:val="24"/>
        </w:rPr>
        <w:t>Civelek</w:t>
      </w:r>
      <w:r>
        <w:rPr>
          <w:rFonts w:hint="default" w:ascii="Arial" w:hAnsi="Arial" w:eastAsia="Arial Unicode MS" w:cs="Arial"/>
          <w:kern w:val="0"/>
          <w:sz w:val="24"/>
          <w:lang w:val="en-US"/>
        </w:rPr>
        <w:t xml:space="preserve"> and </w:t>
      </w:r>
      <w:r>
        <w:rPr>
          <w:rFonts w:hint="default" w:ascii="Arial" w:hAnsi="Arial" w:eastAsia="宋体" w:cs="Arial"/>
          <w:i w:val="0"/>
          <w:iCs w:val="0"/>
          <w:caps w:val="0"/>
          <w:color w:val="222222"/>
          <w:spacing w:val="0"/>
          <w:sz w:val="24"/>
          <w:szCs w:val="24"/>
          <w:shd w:val="clear" w:fill="FFFFFF"/>
        </w:rPr>
        <w:t>Krajčík</w:t>
      </w:r>
      <w:r>
        <w:rPr>
          <w:rFonts w:ascii="Arial" w:hAnsi="Arial" w:eastAsia="Arial Unicode MS" w:cs="Arial"/>
          <w:kern w:val="0"/>
          <w:sz w:val="24"/>
        </w:rPr>
        <w:t xml:space="preserve"> find that cultural differences will have a negative impact on the market selection of export enterprises. </w:t>
      </w:r>
      <w:r>
        <w:rPr>
          <w:rFonts w:hint="eastAsia" w:ascii="Arial" w:hAnsi="Arial" w:eastAsia="Arial Unicode MS" w:cs="Arial"/>
          <w:kern w:val="0"/>
          <w:sz w:val="24"/>
        </w:rPr>
        <w:t>Gupta and Chauhan</w:t>
      </w:r>
      <w:r>
        <w:rPr>
          <w:rFonts w:hint="default" w:ascii="Arial" w:hAnsi="Arial" w:eastAsia="Arial Unicode MS" w:cs="Arial"/>
          <w:kern w:val="0"/>
          <w:sz w:val="24"/>
          <w:lang w:val="en-US"/>
        </w:rPr>
        <w:t xml:space="preserve"> (2021) emphasize that t</w:t>
      </w:r>
      <w:r>
        <w:rPr>
          <w:rFonts w:ascii="Arial" w:hAnsi="Arial" w:eastAsia="Arial Unicode MS" w:cs="Arial"/>
          <w:kern w:val="0"/>
          <w:sz w:val="24"/>
        </w:rPr>
        <w:t>he growth of export trade is negatively correlated with the degree of cultural differences. They believe that immigration can promote the development of trade between different countriesCultural exchange is conducive to the development of export trade.</w:t>
      </w:r>
      <w:r>
        <w:rPr>
          <w:rFonts w:hint="default" w:ascii="Arial" w:hAnsi="Arial" w:eastAsia="Arial Unicode MS" w:cs="Arial"/>
          <w:kern w:val="0"/>
          <w:sz w:val="24"/>
          <w:lang w:val="en-US"/>
        </w:rPr>
        <w:t xml:space="preserve"> </w:t>
      </w:r>
      <w:r>
        <w:rPr>
          <w:rFonts w:hint="eastAsia" w:ascii="Arial" w:hAnsi="Arial" w:eastAsia="Arial Unicode MS" w:cs="Arial"/>
          <w:kern w:val="0"/>
          <w:sz w:val="24"/>
        </w:rPr>
        <w:t>In this paper, Zinchenko (2023) assumed trust, respect and control as indicators to conduct gravity regression analysis and investigate the impact of cultural proximity on bilateral trade flows</w:t>
      </w:r>
      <w:r>
        <w:rPr>
          <w:rFonts w:ascii="Arial" w:hAnsi="Arial" w:eastAsia="Arial Unicode MS" w:cs="Arial"/>
          <w:kern w:val="0"/>
          <w:sz w:val="24"/>
        </w:rPr>
        <w:t>.</w:t>
      </w:r>
      <w:r>
        <w:rPr>
          <w:rFonts w:hint="default" w:ascii="Arial" w:hAnsi="Arial" w:eastAsia="Arial Unicode MS" w:cs="Arial"/>
          <w:kern w:val="0"/>
          <w:sz w:val="24"/>
          <w:lang w:val="en-US"/>
        </w:rPr>
        <w:t xml:space="preserve"> </w:t>
      </w:r>
      <w:r>
        <w:rPr>
          <w:rFonts w:ascii="Arial" w:hAnsi="Arial" w:eastAsia="Arial Unicode MS" w:cs="Arial"/>
          <w:kern w:val="0"/>
          <w:sz w:val="24"/>
        </w:rPr>
        <w:t>It is found that cultural differences will restrain the growth of trade volume and reduce cultural differences, which is conducive to improving the trade between different countries Easy situation. Hendrith (2020) studied the impact of cultural differences on film, television and music productsThe influence of trade points out that the trade volume of film, television and music products will change with the degree of cultural differencesThe greater the cultural differences between countries, the smaller the trade volume will be. Chinese scholars study the impact of cultural differences on international tradeRing, also mainly from its negative effects.</w:t>
      </w:r>
    </w:p>
    <w:p w14:paraId="711D3943">
      <w:pPr>
        <w:spacing w:line="360" w:lineRule="auto"/>
        <w:rPr>
          <w:rFonts w:ascii="Arial" w:hAnsi="Arial" w:eastAsia="Arial Unicode MS" w:cs="Arial"/>
          <w:sz w:val="24"/>
        </w:rPr>
      </w:pPr>
    </w:p>
    <w:p w14:paraId="144AC028">
      <w:pPr>
        <w:widowControl/>
        <w:adjustRightInd w:val="0"/>
        <w:snapToGrid w:val="0"/>
        <w:spacing w:line="360" w:lineRule="auto"/>
        <w:jc w:val="center"/>
        <w:rPr>
          <w:rStyle w:val="9"/>
          <w:rFonts w:ascii="Arial" w:hAnsi="Arial" w:eastAsia="Arial Unicode MS" w:cs="Arial"/>
          <w:b/>
          <w:bCs/>
          <w:i w:val="0"/>
          <w:kern w:val="0"/>
          <w:sz w:val="24"/>
        </w:rPr>
      </w:pPr>
      <w:r>
        <w:rPr>
          <w:rStyle w:val="9"/>
          <w:rFonts w:ascii="Arial" w:hAnsi="Arial" w:eastAsia="Arial Unicode MS" w:cs="Arial"/>
          <w:b/>
          <w:bCs/>
          <w:i w:val="0"/>
          <w:kern w:val="0"/>
          <w:sz w:val="24"/>
        </w:rPr>
        <w:t>V.Service trade</w:t>
      </w:r>
    </w:p>
    <w:p w14:paraId="380BF68F">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Jan Ter Wengel</w:t>
      </w:r>
      <w:r>
        <w:rPr>
          <w:rFonts w:hint="default" w:ascii="Arial" w:hAnsi="Arial" w:eastAsia="Arial Unicode MS" w:cs="Arial"/>
          <w:kern w:val="0"/>
          <w:sz w:val="24"/>
          <w:lang w:val="en-US"/>
        </w:rPr>
        <w:t xml:space="preserve"> </w:t>
      </w:r>
      <w:r>
        <w:rPr>
          <w:rFonts w:ascii="Arial" w:hAnsi="Arial" w:eastAsia="Arial Unicode MS" w:cs="Arial"/>
          <w:kern w:val="0"/>
          <w:sz w:val="24"/>
        </w:rPr>
        <w:t>(2022) conducted an empirical analysis on transportation, insurance and other service trade based on the difference in factor endowments, and concluded according to the regression results that the adequacy of a country's physical capital and human capital have an important impact on its transportation service and other private services respectively. In other words, Factor endowment status determines the development of a country's service trade .</w:t>
      </w:r>
    </w:p>
    <w:p w14:paraId="777FC3E8">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Rashidov and Kholmirzayev (2023) argue that although we should pay attention to the differences between services and goods, the traditional theory of comparative advantage itself has a strong logic that can make the impact of these differences negligible, so the theory is applicable to the field of service trade .</w:t>
      </w:r>
    </w:p>
    <w:p w14:paraId="79907C17">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Brinker and Satchwell (2020) hold that the traditional theory of comparative advantage requires that production factors cannot flow between countries, and the occurrence of trade in services is generally based on the spatial proximity between the two sides, which is not in line with its basic assumption. Therefore, the theory is not applicable to the field of service trade</w:t>
      </w:r>
    </w:p>
    <w:p w14:paraId="0E41C639">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Alan starting from factor prices and considering some characteristics of services, such as the trade of immovable factors, adopted the traditional H-0 model for analysis, systematically demonstrated the comparative advantages of trade in services, and further demonstrated the interdependence and inseparability of trade in goods and services. Forbes</w:t>
      </w:r>
      <w:r>
        <w:rPr>
          <w:rFonts w:hint="default" w:ascii="Arial" w:hAnsi="Arial" w:eastAsia="Arial Unicode MS" w:cs="Arial"/>
          <w:kern w:val="0"/>
          <w:sz w:val="24"/>
          <w:lang w:val="en-US"/>
        </w:rPr>
        <w:t xml:space="preserve"> </w:t>
      </w:r>
      <w:r>
        <w:rPr>
          <w:rFonts w:ascii="Arial" w:hAnsi="Arial" w:eastAsia="Arial Unicode MS" w:cs="Arial"/>
          <w:kern w:val="0"/>
          <w:sz w:val="24"/>
        </w:rPr>
        <w:t>(2020) analyzed the equilibrium of service factors and service product market, and concluded that the position of service product supply curve depends ona country's technology and specific service factor endowment, and the demand curve reflects the endowment of all factors in a country. The change direction of service sector output caused by service demand trade and service product trade is completely opposite: the difference of service factor endowment has a greater impact on a country's welfare than the impact of its technology difference: When the government opens up service trade, it not only needs to consider the domestic and foreign price difference of service product and service factor. Consideration should also be given to whether the country has a comparative technological advantage in the service sector. Silvia introduced technical differences into the traditional H-0-S model, making the revised model more consistent with the characteristics of service trade. Using 0LS to analyze the sample data of 44 countries in 1977, it was found that the comparative advantages of financial service trade came from skilled labor and technical differences. Relatively sufficient cultivated land and physical capital endowment have a negative impact on the comparative advantage of financial services trade, while the impact of non-skilled labor is unclear.</w:t>
      </w:r>
    </w:p>
    <w:p w14:paraId="6D2EE9DC">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Beck, Krauß and Weidenbach (2019) constructed a general equilibrium model to measure the main factors that cause service price differences among countries. The research found that factor endowments in agricultural land, minerals and capital, trade deficit, prices of traded products, population positively correlated with service prices, and population were the following factors: Labor force is negatively correlated with service price. The strength of the extremely competitive trade in services comes from the difference in service prices caused by the different factor endowments of countries.</w:t>
      </w:r>
    </w:p>
    <w:p w14:paraId="581E84E7">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Belitski, Guenther, Kritikos</w:t>
      </w:r>
      <w:r>
        <w:rPr>
          <w:rFonts w:hint="default" w:ascii="Arial" w:hAnsi="Arial" w:eastAsia="Arial Unicode MS" w:cs="Arial"/>
          <w:kern w:val="0"/>
          <w:sz w:val="24"/>
          <w:lang w:val="en-US"/>
        </w:rPr>
        <w:t xml:space="preserve"> </w:t>
      </w:r>
      <w:r>
        <w:rPr>
          <w:rFonts w:ascii="Arial" w:hAnsi="Arial" w:eastAsia="Arial Unicode MS" w:cs="Arial"/>
          <w:kern w:val="0"/>
          <w:sz w:val="24"/>
        </w:rPr>
        <w:t>and Thurik (2022) concluded that the economic scale of a country is an important factor affecting its banking service export (for example, the form of banking service export, countries with large economic scale choose to establish overseas branches first). Specifically, Clauss, Abebe, Tangpong</w:t>
      </w:r>
      <w:r>
        <w:rPr>
          <w:rFonts w:hint="default" w:ascii="Arial" w:hAnsi="Arial" w:eastAsia="Arial Unicode MS" w:cs="Arial"/>
          <w:kern w:val="0"/>
          <w:sz w:val="24"/>
          <w:lang w:val="en-US"/>
        </w:rPr>
        <w:t xml:space="preserve"> </w:t>
      </w:r>
      <w:r>
        <w:rPr>
          <w:rFonts w:ascii="Arial" w:hAnsi="Arial" w:eastAsia="Arial Unicode MS" w:cs="Arial"/>
          <w:kern w:val="0"/>
          <w:sz w:val="24"/>
        </w:rPr>
        <w:t>and Hock (2019) the economic scale of a country can be derived from the operation of the foreign exchange market, and the good operation of the foreign exchange market can improve the comparative advantage of its banking service trade.</w:t>
      </w:r>
    </w:p>
    <w:p w14:paraId="115356A0">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Through empirical analysis, Hayakawa</w:t>
      </w:r>
      <w:r>
        <w:rPr>
          <w:rFonts w:hint="default" w:ascii="Arial" w:hAnsi="Arial" w:eastAsia="Arial Unicode MS" w:cs="Arial"/>
          <w:kern w:val="0"/>
          <w:sz w:val="24"/>
          <w:lang w:val="en-US"/>
        </w:rPr>
        <w:t xml:space="preserve"> </w:t>
      </w:r>
      <w:r>
        <w:rPr>
          <w:rFonts w:ascii="Arial" w:hAnsi="Arial" w:eastAsia="Arial Unicode MS" w:cs="Arial"/>
          <w:kern w:val="0"/>
          <w:sz w:val="24"/>
        </w:rPr>
        <w:t xml:space="preserve">and Mukunoki (2021) found that the domestic market structure of a country's transport industry has a significant contribution to the profit and liberalization of its transport service trade, because the access rate of transport service market largely depends on the degree of competition within the transport industry </w:t>
      </w:r>
    </w:p>
    <w:p w14:paraId="22ADFEB5">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Based on the data of 0ECD, Li, Lan</w:t>
      </w:r>
      <w:r>
        <w:rPr>
          <w:rFonts w:hint="default" w:ascii="Arial" w:hAnsi="Arial" w:eastAsia="Arial Unicode MS" w:cs="Arial"/>
          <w:kern w:val="0"/>
          <w:sz w:val="24"/>
          <w:lang w:val="en-US"/>
        </w:rPr>
        <w:t xml:space="preserve"> </w:t>
      </w:r>
      <w:r>
        <w:rPr>
          <w:rFonts w:ascii="Arial" w:hAnsi="Arial" w:eastAsia="Arial Unicode MS" w:cs="Arial"/>
          <w:kern w:val="0"/>
          <w:sz w:val="24"/>
        </w:rPr>
        <w:t>and Ouyang (2020) conducted an empirical analysis and found that the structure of a country's manufacturing industry and information and communication technology are important factors affecting the competitiveness and specialization of its productive services (especially finance, communication and business services)</w:t>
      </w:r>
    </w:p>
    <w:p w14:paraId="06184BD0">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Lian (2022) made an empirical analysis of sample data from 28 countries by using gravity model and found that bilateral trade in goods, geographical and linguistic proximity, and regional trade arrangements are the key factors determining bilateral trade in services between two countries</w:t>
      </w:r>
    </w:p>
    <w:p w14:paraId="6FC0624E">
      <w:pPr>
        <w:spacing w:line="360" w:lineRule="auto"/>
        <w:rPr>
          <w:rFonts w:ascii="Arial" w:hAnsi="Arial" w:eastAsia="Arial Unicode MS" w:cs="Arial"/>
          <w:sz w:val="24"/>
        </w:rPr>
      </w:pPr>
    </w:p>
    <w:p w14:paraId="11C36F18">
      <w:pPr>
        <w:spacing w:line="360" w:lineRule="auto"/>
        <w:rPr>
          <w:rFonts w:ascii="Arial" w:hAnsi="Arial" w:eastAsia="Arial Unicode MS" w:cs="Arial"/>
          <w:sz w:val="24"/>
        </w:rPr>
      </w:pPr>
    </w:p>
    <w:p w14:paraId="7F38212F">
      <w:pPr>
        <w:widowControl/>
        <w:adjustRightInd w:val="0"/>
        <w:snapToGrid w:val="0"/>
        <w:spacing w:line="360" w:lineRule="auto"/>
        <w:jc w:val="center"/>
        <w:rPr>
          <w:rStyle w:val="9"/>
          <w:rFonts w:ascii="Arial" w:hAnsi="Arial" w:eastAsia="Arial Unicode MS" w:cs="Arial"/>
          <w:b/>
          <w:bCs/>
          <w:i w:val="0"/>
          <w:kern w:val="0"/>
          <w:sz w:val="24"/>
        </w:rPr>
      </w:pPr>
      <w:r>
        <w:rPr>
          <w:rStyle w:val="9"/>
          <w:rFonts w:ascii="Arial" w:hAnsi="Arial" w:eastAsia="Arial Unicode MS" w:cs="Arial"/>
          <w:b/>
          <w:bCs/>
          <w:i w:val="0"/>
          <w:kern w:val="0"/>
          <w:sz w:val="24"/>
        </w:rPr>
        <w:t>VI.Conclusion</w:t>
      </w:r>
    </w:p>
    <w:p w14:paraId="0845DE59">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Navigating the complex landscape of intercultural communication in the context of British-German business interactions necessitates a profound understanding of cultural nuances and sensitivities. The challenges identified, such as differing communication styles and business practices, underscore the necessity for British businesses to cultivate cultural awareness and sensitivity. As highlighted by the importance of appreciating cultural diversity, managers can significantly benefit from leveraging cross-cultural communication theories to foster an inclusive workplace that enhances collaboration and productivity However, the theoretical recognition of diversity often falls short of practical implementation, leading to miscommunication and barriers that can inhibit organizational success . Thus, for British enterprises aiming to thrive in Germany, embracing cultural intelligence as a core component of their operational strategy is imperative, facilitating not only better business negotiations but also long-lasting professional relationships built on mutual understanding.</w:t>
      </w:r>
    </w:p>
    <w:p w14:paraId="17D1AAE2">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A.Summary of challenges and recommendations for effective intercultural communication in business dealings with Germany</w:t>
      </w:r>
    </w:p>
    <w:p w14:paraId="31634477">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to deepen China's opening up pattern and boost domestic economic development.</w:t>
      </w:r>
    </w:p>
    <w:p w14:paraId="06D301D8">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At the same time, in view of the gradually increasing trade competition, it is necessary to recognize the harm of vicious competition and guide the development of relevant industries. The government should deepen the reform of the trade system, create a fairer market environment, avoid occupying the market solely by relying on the price advantage of export products, actively improve the cross-border trade coordination mechanism, and establish and improve the long-term mechanism of trade consultation and cooperation. To solve bilateral trade disputes in a more fair and just form, at the same time, domestic enterprises should grasp the development trend of the industry, identify their own positioning in international trade, and vigorously develop a "specialized and special new" product system to avoid blind tendencies in development, so as to further enhance the trade complementarity between the two countries and avoid vicious competition.</w:t>
      </w:r>
    </w:p>
    <w:p w14:paraId="2E808007">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Reflecting on this essay, I have gained a deeper understanding of the challenges and sensitivities of doing business with Germany from a British perspective. The intercultural communication theories I have discussed provide a valuable framework for analyzing cultural differences and developing strategies to overcome potential barriers.</w:t>
      </w:r>
    </w:p>
    <w:p w14:paraId="43828E5B">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One of the key insights I have gained is the importance of developing cultural awareness and sensitivity. Understanding and respecting cultural differences is crucial for building successful collaborations and avoiding misunderstandings. This involves not only learning about the target culture but also being open to feedback and learning from colleagues and experts in that culture.</w:t>
      </w:r>
    </w:p>
    <w:p w14:paraId="7B76FF03">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Another key insight is the need for flexibility and adaptability in communication styles and business practices. While the UK and Germany share many common values and interests, significant differences remain in areas such as communication styles, hierarchical structures, and legal and regulatory environments. British businesses must be prepared to adapt their approaches to suit the German context and be open to feedback and learning from German colleagues.</w:t>
      </w:r>
    </w:p>
    <w:p w14:paraId="7DCC4616">
      <w:pPr>
        <w:widowControl/>
        <w:adjustRightInd w:val="0"/>
        <w:snapToGrid w:val="0"/>
        <w:spacing w:line="360" w:lineRule="auto"/>
        <w:rPr>
          <w:rFonts w:ascii="Arial" w:hAnsi="Arial" w:eastAsia="Arial Unicode MS" w:cs="Arial"/>
          <w:kern w:val="0"/>
          <w:sz w:val="24"/>
        </w:rPr>
      </w:pPr>
      <w:r>
        <w:rPr>
          <w:rFonts w:ascii="Arial" w:hAnsi="Arial" w:eastAsia="Arial Unicode MS" w:cs="Arial"/>
          <w:kern w:val="0"/>
          <w:sz w:val="24"/>
        </w:rPr>
        <w:t>Finally, I have realized the importance of leveraging common values and interests to build stronger relationships with German counterparts. By emphasizing shared goals and values, British businesses can create a common ground for collaboration and achieve mutual success. this essay has provided me with a valuable opportunity to reflect on the challenges and sensitivities of doing business with Germany from a British perspective. By applying the insights and strategies</w:t>
      </w:r>
    </w:p>
    <w:p w14:paraId="10B29DB6">
      <w:pPr>
        <w:spacing w:line="360" w:lineRule="auto"/>
        <w:rPr>
          <w:rFonts w:ascii="Arial" w:hAnsi="Arial" w:eastAsia="Arial Unicode MS" w:cs="Arial"/>
          <w:sz w:val="24"/>
        </w:rPr>
      </w:pPr>
    </w:p>
    <w:p w14:paraId="7424BB31">
      <w:pPr>
        <w:widowControl/>
        <w:adjustRightInd w:val="0"/>
        <w:snapToGrid w:val="0"/>
        <w:spacing w:line="360" w:lineRule="auto"/>
        <w:jc w:val="center"/>
        <w:rPr>
          <w:rStyle w:val="9"/>
          <w:rFonts w:ascii="Arial" w:hAnsi="Arial" w:eastAsia="Arial Unicode MS" w:cs="Arial"/>
          <w:b/>
          <w:bCs/>
          <w:i w:val="0"/>
          <w:kern w:val="0"/>
          <w:sz w:val="24"/>
          <w:lang w:val="en-GB" w:eastAsia="en-US"/>
        </w:rPr>
      </w:pPr>
    </w:p>
    <w:p w14:paraId="17B633E0">
      <w:pPr>
        <w:widowControl/>
        <w:adjustRightInd w:val="0"/>
        <w:snapToGrid w:val="0"/>
        <w:spacing w:line="360" w:lineRule="auto"/>
        <w:jc w:val="center"/>
        <w:rPr>
          <w:rStyle w:val="9"/>
          <w:rFonts w:ascii="Arial" w:hAnsi="Arial" w:eastAsia="Arial Unicode MS" w:cs="Arial"/>
          <w:b/>
          <w:bCs/>
          <w:i w:val="0"/>
          <w:kern w:val="0"/>
          <w:sz w:val="24"/>
          <w:lang w:val="en-GB" w:eastAsia="en-US"/>
        </w:rPr>
      </w:pPr>
    </w:p>
    <w:p w14:paraId="4F3CA449">
      <w:pPr>
        <w:widowControl/>
        <w:adjustRightInd w:val="0"/>
        <w:snapToGrid w:val="0"/>
        <w:spacing w:line="360" w:lineRule="auto"/>
        <w:jc w:val="center"/>
        <w:rPr>
          <w:rStyle w:val="9"/>
          <w:rFonts w:ascii="Arial" w:hAnsi="Arial" w:eastAsia="Arial Unicode MS" w:cs="Arial"/>
          <w:b/>
          <w:bCs/>
          <w:i w:val="0"/>
          <w:kern w:val="0"/>
          <w:sz w:val="24"/>
          <w:lang w:val="en-GB" w:eastAsia="en-US"/>
        </w:rPr>
      </w:pPr>
    </w:p>
    <w:p w14:paraId="2202BE69">
      <w:pPr>
        <w:widowControl/>
        <w:adjustRightInd w:val="0"/>
        <w:snapToGrid w:val="0"/>
        <w:spacing w:line="360" w:lineRule="auto"/>
        <w:jc w:val="center"/>
        <w:rPr>
          <w:rFonts w:ascii="Arial" w:hAnsi="Arial" w:eastAsia="Arial Unicode MS" w:cs="Arial"/>
          <w:b w:val="0"/>
          <w:bCs w:val="0"/>
          <w:lang w:val="en-GB" w:eastAsia="en-US"/>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Unicode MS">
    <w:panose1 w:val="020B0604020202020204"/>
    <w:charset w:val="86"/>
    <w:family w:val="swiss"/>
    <w:pitch w:val="default"/>
    <w:sig w:usb0="FFFFFFFF" w:usb1="E9FFFFFF" w:usb2="0000003F" w:usb3="00000000" w:csb0="603F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624B"/>
    <w:rsid w:val="00205077"/>
    <w:rsid w:val="00530674"/>
    <w:rsid w:val="00B4624B"/>
    <w:rsid w:val="00C96705"/>
    <w:rsid w:val="021B6523"/>
    <w:rsid w:val="0EE85E61"/>
    <w:rsid w:val="177F07B4"/>
    <w:rsid w:val="2358601A"/>
    <w:rsid w:val="2A203AAA"/>
    <w:rsid w:val="31A64832"/>
    <w:rsid w:val="33784CD4"/>
    <w:rsid w:val="447D5B19"/>
    <w:rsid w:val="55F53DB2"/>
    <w:rsid w:val="63836281"/>
    <w:rsid w:val="7EB461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宋体"/>
      <w:kern w:val="2"/>
      <w:sz w:val="21"/>
      <w:szCs w:val="24"/>
      <w:lang w:val="en-US" w:eastAsia="zh-CN" w:bidi="ar-SA"/>
    </w:rPr>
  </w:style>
  <w:style w:type="paragraph" w:styleId="2">
    <w:name w:val="heading 2"/>
    <w:basedOn w:val="1"/>
    <w:next w:val="1"/>
    <w:qFormat/>
    <w:uiPriority w:val="0"/>
    <w:pPr>
      <w:spacing w:beforeAutospacing="1" w:afterAutospacing="1"/>
      <w:jc w:val="left"/>
      <w:outlineLvl w:val="1"/>
    </w:pPr>
    <w:rPr>
      <w:rFonts w:hint="eastAsia" w:ascii="宋体" w:hAnsi="宋体"/>
      <w:b/>
      <w:bCs/>
      <w:kern w:val="0"/>
      <w:sz w:val="36"/>
      <w:szCs w:val="36"/>
    </w:rPr>
  </w:style>
  <w:style w:type="paragraph" w:styleId="3">
    <w:name w:val="heading 3"/>
    <w:basedOn w:val="1"/>
    <w:next w:val="1"/>
    <w:qFormat/>
    <w:uiPriority w:val="0"/>
    <w:pPr>
      <w:spacing w:beforeAutospacing="1" w:afterAutospacing="1"/>
      <w:jc w:val="left"/>
      <w:outlineLvl w:val="2"/>
    </w:pPr>
    <w:rPr>
      <w:rFonts w:hint="eastAsia" w:ascii="宋体" w:hAnsi="宋体"/>
      <w:b/>
      <w:bCs/>
      <w:kern w:val="0"/>
      <w:sz w:val="27"/>
      <w:szCs w:val="27"/>
    </w:rPr>
  </w:style>
  <w:style w:type="paragraph" w:styleId="4">
    <w:name w:val="heading 4"/>
    <w:basedOn w:val="1"/>
    <w:next w:val="1"/>
    <w:qFormat/>
    <w:uiPriority w:val="0"/>
    <w:pPr>
      <w:spacing w:beforeAutospacing="1" w:afterAutospacing="1"/>
      <w:jc w:val="left"/>
      <w:outlineLvl w:val="3"/>
    </w:pPr>
    <w:rPr>
      <w:rFonts w:hint="eastAsia" w:ascii="宋体" w:hAnsi="宋体"/>
      <w:b/>
      <w:bCs/>
      <w:kern w:val="0"/>
      <w:sz w:val="24"/>
    </w:rPr>
  </w:style>
  <w:style w:type="character" w:default="1" w:styleId="7">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5">
    <w:name w:val="Normal (Web)"/>
    <w:basedOn w:val="1"/>
    <w:qFormat/>
    <w:uiPriority w:val="0"/>
    <w:pPr>
      <w:spacing w:beforeAutospacing="1" w:afterAutospacing="1"/>
      <w:jc w:val="left"/>
    </w:pPr>
    <w:rPr>
      <w:kern w:val="0"/>
      <w:sz w:val="24"/>
    </w:rPr>
  </w:style>
  <w:style w:type="character" w:styleId="8">
    <w:name w:val="Strong"/>
    <w:basedOn w:val="7"/>
    <w:qFormat/>
    <w:uiPriority w:val="0"/>
    <w:rPr>
      <w:b/>
    </w:rPr>
  </w:style>
  <w:style w:type="character" w:styleId="9">
    <w:name w:val="Emphasis"/>
    <w:basedOn w:val="7"/>
    <w:qFormat/>
    <w:uiPriority w:val="0"/>
    <w:rPr>
      <w:i/>
      <w:iCs/>
    </w:rPr>
  </w:style>
  <w:style w:type="character" w:styleId="10">
    <w:name w:val="Hyperlink"/>
    <w:basedOn w:val="7"/>
    <w:qFormat/>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Win10_64</Company>
  <Pages>9</Pages>
  <Words>3267</Words>
  <Characters>20622</Characters>
  <Lines>178</Lines>
  <Paragraphs>50</Paragraphs>
  <TotalTime>96</TotalTime>
  <ScaleCrop>false</ScaleCrop>
  <LinksUpToDate>false</LinksUpToDate>
  <CharactersWithSpaces>23822</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2024-12-26T13:17:00Z</dcterms:created>
  <dc:creator>阳光男孩</dc:creator>
  <cp:lastModifiedBy>　　南方酒馆</cp:lastModifiedBy>
  <dcterms:modified xsi:type="dcterms:W3CDTF">2025-01-10T11:57:01Z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62B40E658EFE45AE8FAF65EB81E80E7B_13</vt:lpwstr>
  </property>
  <property fmtid="{D5CDD505-2E9C-101B-9397-08002B2CF9AE}" pid="4" name="KSOTemplateDocerSaveRecord">
    <vt:lpwstr>eyJoZGlkIjoiNTM1YjU3MTEzMTFmMGVjYThkODE5OTAzMDQ4ZjIwZjEiLCJ1c2VySWQiOiI3NjkzNDk2MjMifQ==</vt:lpwstr>
  </property>
</Properties>
</file>