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63F8966" w:rsidR="00ED5964" w:rsidRDefault="00ED5964" w:rsidP="00ED5964">
      <w:pPr>
        <w:jc w:val="both"/>
        <w:rPr>
          <w:rFonts w:asciiTheme="minorBidi" w:hAnsiTheme="minorBidi"/>
          <w:sz w:val="28"/>
          <w:szCs w:val="28"/>
        </w:rPr>
      </w:pPr>
      <w:r>
        <w:rPr>
          <w:rFonts w:asciiTheme="minorBidi" w:hAnsiTheme="minorBidi"/>
          <w:sz w:val="28"/>
          <w:szCs w:val="28"/>
        </w:rPr>
        <w:t xml:space="preserve">Name: </w:t>
      </w:r>
    </w:p>
    <w:p w14:paraId="485B6F49" w14:textId="46D272A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p>
    <w:p w14:paraId="3C1E7A20" w14:textId="50C1AABD"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p>
    <w:p w14:paraId="4EEB2DA3" w14:textId="4F9C808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p>
    <w:p w14:paraId="112342CB" w14:textId="5118D657"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3C1D422E"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Bidi"/>
          <w:bCs w:val="0"/>
          <w:color w:val="auto"/>
          <w:kern w:val="2"/>
          <w:sz w:val="20"/>
          <w:szCs w:val="22"/>
          <w:lang w:val="en-GB" w:eastAsia="zh-CN"/>
          <w14:ligatures w14:val="standardContextual"/>
        </w:rPr>
        <w:id w:val="100920263"/>
        <w:docPartObj>
          <w:docPartGallery w:val="Table of Contents"/>
          <w:docPartUnique/>
        </w:docPartObj>
      </w:sdtPr>
      <w:sdtEndPr>
        <w:rPr>
          <w:b/>
          <w:noProof/>
        </w:rPr>
      </w:sdtEndPr>
      <w:sdtContent>
        <w:p w14:paraId="69A45AB4" w14:textId="1BC22B3F" w:rsidR="00184A9A" w:rsidRPr="002976D4" w:rsidRDefault="00184A9A">
          <w:pPr>
            <w:pStyle w:val="TOCHeading"/>
            <w:rPr>
              <w:color w:val="4472C4" w:themeColor="accent1"/>
            </w:rPr>
          </w:pPr>
          <w:r w:rsidRPr="002976D4">
            <w:rPr>
              <w:color w:val="4472C4" w:themeColor="accent1"/>
            </w:rPr>
            <w:t>Table of Contents</w:t>
          </w:r>
        </w:p>
        <w:p w14:paraId="47836CD8" w14:textId="3C22A317" w:rsidR="00183CB9" w:rsidRDefault="00184A9A">
          <w:pPr>
            <w:pStyle w:val="TOC1"/>
            <w:tabs>
              <w:tab w:val="right" w:leader="dot" w:pos="9016"/>
            </w:tabs>
            <w:rPr>
              <w:rFonts w:asciiTheme="minorHAnsi" w:hAnsiTheme="minorHAnsi" w:cstheme="minorBidi"/>
              <w:b w:val="0"/>
              <w:bCs w:val="0"/>
              <w:i w:val="0"/>
              <w:iCs w:val="0"/>
              <w:noProof/>
            </w:rPr>
          </w:pPr>
          <w:r w:rsidRPr="00242974">
            <w:rPr>
              <w:b w:val="0"/>
              <w:bCs w:val="0"/>
            </w:rPr>
            <w:fldChar w:fldCharType="begin"/>
          </w:r>
          <w:r w:rsidRPr="00242974">
            <w:instrText xml:space="preserve"> TOC \o "1-3" \h \z \u </w:instrText>
          </w:r>
          <w:r w:rsidRPr="00242974">
            <w:rPr>
              <w:b w:val="0"/>
              <w:bCs w:val="0"/>
            </w:rPr>
            <w:fldChar w:fldCharType="separate"/>
          </w:r>
          <w:hyperlink w:anchor="_Toc212100517" w:history="1">
            <w:r w:rsidR="00183CB9" w:rsidRPr="00CC44F1">
              <w:rPr>
                <w:rStyle w:val="Hyperlink"/>
                <w:noProof/>
              </w:rPr>
              <w:t>1: Written Report</w:t>
            </w:r>
            <w:r w:rsidR="00183CB9">
              <w:rPr>
                <w:noProof/>
                <w:webHidden/>
              </w:rPr>
              <w:tab/>
            </w:r>
            <w:r w:rsidR="00183CB9">
              <w:rPr>
                <w:noProof/>
                <w:webHidden/>
              </w:rPr>
              <w:fldChar w:fldCharType="begin"/>
            </w:r>
            <w:r w:rsidR="00183CB9">
              <w:rPr>
                <w:noProof/>
                <w:webHidden/>
              </w:rPr>
              <w:instrText xml:space="preserve"> PAGEREF _Toc212100517 \h </w:instrText>
            </w:r>
            <w:r w:rsidR="00183CB9">
              <w:rPr>
                <w:noProof/>
                <w:webHidden/>
              </w:rPr>
            </w:r>
            <w:r w:rsidR="00183CB9">
              <w:rPr>
                <w:noProof/>
                <w:webHidden/>
              </w:rPr>
              <w:fldChar w:fldCharType="separate"/>
            </w:r>
            <w:r w:rsidR="00183CB9">
              <w:rPr>
                <w:noProof/>
                <w:webHidden/>
              </w:rPr>
              <w:t>3</w:t>
            </w:r>
            <w:r w:rsidR="00183CB9">
              <w:rPr>
                <w:noProof/>
                <w:webHidden/>
              </w:rPr>
              <w:fldChar w:fldCharType="end"/>
            </w:r>
          </w:hyperlink>
        </w:p>
        <w:p w14:paraId="17F37CB4" w14:textId="41DF4631" w:rsidR="00183CB9" w:rsidRDefault="00183CB9">
          <w:pPr>
            <w:pStyle w:val="TOC2"/>
            <w:tabs>
              <w:tab w:val="right" w:leader="dot" w:pos="9016"/>
            </w:tabs>
            <w:rPr>
              <w:rFonts w:asciiTheme="minorHAnsi" w:hAnsiTheme="minorHAnsi" w:cstheme="minorBidi"/>
              <w:b w:val="0"/>
              <w:bCs w:val="0"/>
              <w:noProof/>
              <w:sz w:val="24"/>
              <w:szCs w:val="24"/>
            </w:rPr>
          </w:pPr>
          <w:hyperlink w:anchor="_Toc212100518" w:history="1">
            <w:r w:rsidRPr="00CC44F1">
              <w:rPr>
                <w:rStyle w:val="Hyperlink"/>
                <w:noProof/>
              </w:rPr>
              <w:t>1.1 Introduction</w:t>
            </w:r>
            <w:r>
              <w:rPr>
                <w:noProof/>
                <w:webHidden/>
              </w:rPr>
              <w:tab/>
            </w:r>
            <w:r>
              <w:rPr>
                <w:noProof/>
                <w:webHidden/>
              </w:rPr>
              <w:fldChar w:fldCharType="begin"/>
            </w:r>
            <w:r>
              <w:rPr>
                <w:noProof/>
                <w:webHidden/>
              </w:rPr>
              <w:instrText xml:space="preserve"> PAGEREF _Toc212100518 \h </w:instrText>
            </w:r>
            <w:r>
              <w:rPr>
                <w:noProof/>
                <w:webHidden/>
              </w:rPr>
            </w:r>
            <w:r>
              <w:rPr>
                <w:noProof/>
                <w:webHidden/>
              </w:rPr>
              <w:fldChar w:fldCharType="separate"/>
            </w:r>
            <w:r>
              <w:rPr>
                <w:noProof/>
                <w:webHidden/>
              </w:rPr>
              <w:t>3</w:t>
            </w:r>
            <w:r>
              <w:rPr>
                <w:noProof/>
                <w:webHidden/>
              </w:rPr>
              <w:fldChar w:fldCharType="end"/>
            </w:r>
          </w:hyperlink>
        </w:p>
        <w:p w14:paraId="7303BDE2" w14:textId="36956C97" w:rsidR="00183CB9" w:rsidRDefault="00183CB9">
          <w:pPr>
            <w:pStyle w:val="TOC2"/>
            <w:tabs>
              <w:tab w:val="right" w:leader="dot" w:pos="9016"/>
            </w:tabs>
            <w:rPr>
              <w:rFonts w:asciiTheme="minorHAnsi" w:hAnsiTheme="minorHAnsi" w:cstheme="minorBidi"/>
              <w:b w:val="0"/>
              <w:bCs w:val="0"/>
              <w:noProof/>
              <w:sz w:val="24"/>
              <w:szCs w:val="24"/>
            </w:rPr>
          </w:pPr>
          <w:hyperlink w:anchor="_Toc212100519" w:history="1">
            <w:r w:rsidRPr="00CC44F1">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_Toc212100519 \h </w:instrText>
            </w:r>
            <w:r>
              <w:rPr>
                <w:noProof/>
                <w:webHidden/>
              </w:rPr>
            </w:r>
            <w:r>
              <w:rPr>
                <w:noProof/>
                <w:webHidden/>
              </w:rPr>
              <w:fldChar w:fldCharType="separate"/>
            </w:r>
            <w:r>
              <w:rPr>
                <w:noProof/>
                <w:webHidden/>
              </w:rPr>
              <w:t>3</w:t>
            </w:r>
            <w:r>
              <w:rPr>
                <w:noProof/>
                <w:webHidden/>
              </w:rPr>
              <w:fldChar w:fldCharType="end"/>
            </w:r>
          </w:hyperlink>
        </w:p>
        <w:p w14:paraId="719885A7" w14:textId="7C3470D3" w:rsidR="00183CB9" w:rsidRDefault="00183CB9">
          <w:pPr>
            <w:pStyle w:val="TOC2"/>
            <w:tabs>
              <w:tab w:val="right" w:leader="dot" w:pos="9016"/>
            </w:tabs>
            <w:rPr>
              <w:rFonts w:asciiTheme="minorHAnsi" w:hAnsiTheme="minorHAnsi" w:cstheme="minorBidi"/>
              <w:b w:val="0"/>
              <w:bCs w:val="0"/>
              <w:noProof/>
              <w:sz w:val="24"/>
              <w:szCs w:val="24"/>
            </w:rPr>
          </w:pPr>
          <w:hyperlink w:anchor="_Toc212100520" w:history="1">
            <w:r w:rsidRPr="00CC44F1">
              <w:rPr>
                <w:rStyle w:val="Hyperlink"/>
                <w:noProof/>
              </w:rPr>
              <w:t>1.4 Strategies to improve the skills for [Your Role]</w:t>
            </w:r>
            <w:r>
              <w:rPr>
                <w:noProof/>
                <w:webHidden/>
              </w:rPr>
              <w:tab/>
            </w:r>
            <w:r>
              <w:rPr>
                <w:noProof/>
                <w:webHidden/>
              </w:rPr>
              <w:fldChar w:fldCharType="begin"/>
            </w:r>
            <w:r>
              <w:rPr>
                <w:noProof/>
                <w:webHidden/>
              </w:rPr>
              <w:instrText xml:space="preserve"> PAGEREF _Toc212100520 \h </w:instrText>
            </w:r>
            <w:r>
              <w:rPr>
                <w:noProof/>
                <w:webHidden/>
              </w:rPr>
            </w:r>
            <w:r>
              <w:rPr>
                <w:noProof/>
                <w:webHidden/>
              </w:rPr>
              <w:fldChar w:fldCharType="separate"/>
            </w:r>
            <w:r>
              <w:rPr>
                <w:noProof/>
                <w:webHidden/>
              </w:rPr>
              <w:t>3</w:t>
            </w:r>
            <w:r>
              <w:rPr>
                <w:noProof/>
                <w:webHidden/>
              </w:rPr>
              <w:fldChar w:fldCharType="end"/>
            </w:r>
          </w:hyperlink>
        </w:p>
        <w:p w14:paraId="034C4FEF" w14:textId="6268BF45" w:rsidR="00183CB9" w:rsidRDefault="00183CB9">
          <w:pPr>
            <w:pStyle w:val="TOC2"/>
            <w:tabs>
              <w:tab w:val="right" w:leader="dot" w:pos="9016"/>
            </w:tabs>
            <w:rPr>
              <w:rFonts w:asciiTheme="minorHAnsi" w:hAnsiTheme="minorHAnsi" w:cstheme="minorBidi"/>
              <w:b w:val="0"/>
              <w:bCs w:val="0"/>
              <w:noProof/>
              <w:sz w:val="24"/>
              <w:szCs w:val="24"/>
            </w:rPr>
          </w:pPr>
          <w:hyperlink w:anchor="_Toc212100521" w:history="1">
            <w:r w:rsidRPr="00CC44F1">
              <w:rPr>
                <w:rStyle w:val="Hyperlink"/>
                <w:noProof/>
              </w:rPr>
              <w:t>1.4 Conclusion</w:t>
            </w:r>
            <w:r>
              <w:rPr>
                <w:noProof/>
                <w:webHidden/>
              </w:rPr>
              <w:tab/>
            </w:r>
            <w:r>
              <w:rPr>
                <w:noProof/>
                <w:webHidden/>
              </w:rPr>
              <w:fldChar w:fldCharType="begin"/>
            </w:r>
            <w:r>
              <w:rPr>
                <w:noProof/>
                <w:webHidden/>
              </w:rPr>
              <w:instrText xml:space="preserve"> PAGEREF _Toc212100521 \h </w:instrText>
            </w:r>
            <w:r>
              <w:rPr>
                <w:noProof/>
                <w:webHidden/>
              </w:rPr>
            </w:r>
            <w:r>
              <w:rPr>
                <w:noProof/>
                <w:webHidden/>
              </w:rPr>
              <w:fldChar w:fldCharType="separate"/>
            </w:r>
            <w:r>
              <w:rPr>
                <w:noProof/>
                <w:webHidden/>
              </w:rPr>
              <w:t>3</w:t>
            </w:r>
            <w:r>
              <w:rPr>
                <w:noProof/>
                <w:webHidden/>
              </w:rPr>
              <w:fldChar w:fldCharType="end"/>
            </w:r>
          </w:hyperlink>
        </w:p>
        <w:p w14:paraId="21A32578" w14:textId="02BCFD41" w:rsidR="00183CB9" w:rsidRDefault="00183CB9">
          <w:pPr>
            <w:pStyle w:val="TOC2"/>
            <w:tabs>
              <w:tab w:val="right" w:leader="dot" w:pos="9016"/>
            </w:tabs>
            <w:rPr>
              <w:rFonts w:asciiTheme="minorHAnsi" w:hAnsiTheme="minorHAnsi" w:cstheme="minorBidi"/>
              <w:b w:val="0"/>
              <w:bCs w:val="0"/>
              <w:noProof/>
              <w:sz w:val="24"/>
              <w:szCs w:val="24"/>
            </w:rPr>
          </w:pPr>
          <w:hyperlink w:anchor="_Toc212100522" w:history="1">
            <w:r w:rsidRPr="00CC44F1">
              <w:rPr>
                <w:rStyle w:val="Hyperlink"/>
                <w:noProof/>
              </w:rPr>
              <w:t>1.5 Reference List</w:t>
            </w:r>
            <w:r>
              <w:rPr>
                <w:noProof/>
                <w:webHidden/>
              </w:rPr>
              <w:tab/>
            </w:r>
            <w:r>
              <w:rPr>
                <w:noProof/>
                <w:webHidden/>
              </w:rPr>
              <w:fldChar w:fldCharType="begin"/>
            </w:r>
            <w:r>
              <w:rPr>
                <w:noProof/>
                <w:webHidden/>
              </w:rPr>
              <w:instrText xml:space="preserve"> PAGEREF _Toc212100522 \h </w:instrText>
            </w:r>
            <w:r>
              <w:rPr>
                <w:noProof/>
                <w:webHidden/>
              </w:rPr>
            </w:r>
            <w:r>
              <w:rPr>
                <w:noProof/>
                <w:webHidden/>
              </w:rPr>
              <w:fldChar w:fldCharType="separate"/>
            </w:r>
            <w:r>
              <w:rPr>
                <w:noProof/>
                <w:webHidden/>
              </w:rPr>
              <w:t>4</w:t>
            </w:r>
            <w:r>
              <w:rPr>
                <w:noProof/>
                <w:webHidden/>
              </w:rPr>
              <w:fldChar w:fldCharType="end"/>
            </w:r>
          </w:hyperlink>
        </w:p>
        <w:p w14:paraId="6138A55F" w14:textId="0AE1356E" w:rsidR="00184A9A" w:rsidRPr="00242974" w:rsidRDefault="00184A9A">
          <w:r w:rsidRPr="00242974">
            <w:rPr>
              <w:b/>
              <w:bCs/>
              <w:noProof/>
            </w:rPr>
            <w:fldChar w:fldCharType="end"/>
          </w:r>
        </w:p>
      </w:sdtContent>
    </w:sdt>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7C18CB4" w14:textId="04172E19" w:rsidR="00933720" w:rsidRPr="002976D4" w:rsidRDefault="00AA77C8" w:rsidP="00F36ADC">
      <w:pPr>
        <w:pStyle w:val="Heading1"/>
        <w:rPr>
          <w:color w:val="4472C4" w:themeColor="accent1"/>
        </w:rPr>
      </w:pPr>
      <w:bookmarkStart w:id="0" w:name="_Toc212100517"/>
      <w:r w:rsidRPr="002976D4">
        <w:rPr>
          <w:color w:val="4472C4" w:themeColor="accent1"/>
        </w:rPr>
        <w:lastRenderedPageBreak/>
        <w:t>1</w:t>
      </w:r>
      <w:r w:rsidR="00A035CD" w:rsidRPr="002976D4">
        <w:rPr>
          <w:color w:val="4472C4" w:themeColor="accent1"/>
        </w:rPr>
        <w:t xml:space="preserve">: </w:t>
      </w:r>
      <w:r w:rsidR="00A513B0" w:rsidRPr="002976D4">
        <w:rPr>
          <w:color w:val="4472C4" w:themeColor="accent1"/>
        </w:rPr>
        <w:t>Written Report</w:t>
      </w:r>
      <w:bookmarkEnd w:id="0"/>
    </w:p>
    <w:p w14:paraId="7E817B09" w14:textId="50F31860" w:rsidR="00A035CD" w:rsidRPr="002976D4" w:rsidRDefault="00AA77C8" w:rsidP="00500295">
      <w:pPr>
        <w:pStyle w:val="Heading2"/>
        <w:rPr>
          <w:color w:val="4472C4" w:themeColor="accent1"/>
        </w:rPr>
      </w:pPr>
      <w:bookmarkStart w:id="1" w:name="_Toc21210051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1"/>
    </w:p>
    <w:p w14:paraId="4CC61BC1" w14:textId="09BEA9A0" w:rsidR="00F36ADC" w:rsidRPr="00AE28B6" w:rsidRDefault="00AE28B6" w:rsidP="00AE28B6">
      <w:pPr>
        <w:spacing w:after="0" w:line="240" w:lineRule="auto"/>
        <w:jc w:val="both"/>
        <w:rPr>
          <w:sz w:val="21"/>
          <w:szCs w:val="21"/>
          <w:lang w:val="en-US"/>
        </w:rPr>
      </w:pPr>
      <w:r w:rsidRPr="00AE28B6">
        <w:rPr>
          <w:sz w:val="21"/>
          <w:szCs w:val="21"/>
          <w:lang w:val="en-US"/>
        </w:rPr>
        <w:t>Nursing is an essential profession in the healthcare system, and it is a key to providing safe, effective, and patient-centred care in various environments in the United Kingdom (Royal College of Nursing [RCN], 2022). Patients frequently have nurses as a major point of contact, where clinical and emotional assistance are often given (Vaismoradi et al., 2020). The role has been chosen because it makes a big difference in terms of patient outcome and healthcare quality. Nursing remains a significant profession that has been gaining prominence with rising healthcare requirements and challenges. In this report, the role and duties of nurses will be described, essential competencies nurses should have to work effectively will be assessed, and the ways to improve those competencies in healthcare facilities will be discussed.</w:t>
      </w:r>
    </w:p>
    <w:p w14:paraId="50A9FBC6" w14:textId="69796A4E" w:rsidR="008B0B22" w:rsidRPr="002976D4" w:rsidRDefault="00AA77C8" w:rsidP="008B0B22">
      <w:pPr>
        <w:pStyle w:val="Heading2"/>
        <w:rPr>
          <w:color w:val="4472C4" w:themeColor="accent1"/>
          <w:szCs w:val="24"/>
        </w:rPr>
      </w:pPr>
      <w:bookmarkStart w:id="2" w:name="_Toc212100519"/>
      <w:r w:rsidRPr="002976D4">
        <w:rPr>
          <w:color w:val="4472C4" w:themeColor="accent1"/>
          <w:szCs w:val="24"/>
        </w:rPr>
        <w:t>1</w:t>
      </w:r>
      <w:r w:rsidR="002370CE" w:rsidRPr="002976D4">
        <w:rPr>
          <w:color w:val="4472C4" w:themeColor="accent1"/>
          <w:szCs w:val="24"/>
        </w:rPr>
        <w:t xml:space="preserve">.2 </w:t>
      </w:r>
      <w:r w:rsidR="006912C4" w:rsidRPr="002976D4">
        <w:rPr>
          <w:color w:val="4472C4" w:themeColor="accent1"/>
          <w:szCs w:val="24"/>
        </w:rPr>
        <w:t>Description</w:t>
      </w:r>
      <w:r w:rsidR="00070818" w:rsidRPr="002976D4">
        <w:rPr>
          <w:color w:val="4472C4" w:themeColor="accent1"/>
          <w:szCs w:val="24"/>
        </w:rPr>
        <w:t xml:space="preserve"> of</w:t>
      </w:r>
      <w:r w:rsidR="006912C4" w:rsidRPr="002976D4">
        <w:rPr>
          <w:color w:val="4472C4" w:themeColor="accent1"/>
          <w:szCs w:val="24"/>
        </w:rPr>
        <w:t>, and background to</w:t>
      </w:r>
      <w:r w:rsidR="00CD4774">
        <w:rPr>
          <w:color w:val="4472C4" w:themeColor="accent1"/>
          <w:szCs w:val="24"/>
        </w:rPr>
        <w:t>,</w:t>
      </w:r>
      <w:r w:rsidR="00070818" w:rsidRPr="002976D4">
        <w:rPr>
          <w:color w:val="4472C4" w:themeColor="accent1"/>
          <w:szCs w:val="24"/>
        </w:rPr>
        <w:t xml:space="preserve"> </w:t>
      </w:r>
      <w:r w:rsidR="00AE28B6">
        <w:rPr>
          <w:color w:val="4472C4" w:themeColor="accent1"/>
          <w:szCs w:val="24"/>
        </w:rPr>
        <w:t>Nursing</w:t>
      </w:r>
      <w:r w:rsidR="008B0B22" w:rsidRPr="002976D4">
        <w:rPr>
          <w:color w:val="4472C4" w:themeColor="accent1"/>
          <w:szCs w:val="24"/>
        </w:rPr>
        <w:t xml:space="preserve"> in Healthcare</w:t>
      </w:r>
      <w:bookmarkEnd w:id="2"/>
      <w:r w:rsidR="008B0B22" w:rsidRPr="002976D4">
        <w:rPr>
          <w:color w:val="4472C4" w:themeColor="accent1"/>
          <w:szCs w:val="24"/>
        </w:rPr>
        <w:t xml:space="preserve"> </w:t>
      </w:r>
    </w:p>
    <w:p w14:paraId="5D504293" w14:textId="77777777" w:rsidR="00AE28B6" w:rsidRPr="00AE28B6" w:rsidRDefault="00AE28B6" w:rsidP="00AE28B6">
      <w:pPr>
        <w:spacing w:after="0" w:line="240" w:lineRule="auto"/>
        <w:jc w:val="both"/>
        <w:rPr>
          <w:sz w:val="21"/>
          <w:szCs w:val="21"/>
          <w:lang w:val="en-US"/>
        </w:rPr>
      </w:pPr>
      <w:r w:rsidRPr="00AE28B6">
        <w:rPr>
          <w:sz w:val="21"/>
          <w:szCs w:val="21"/>
          <w:lang w:val="en-US"/>
        </w:rPr>
        <w:t>Nurses are necessary care providers who provide direct care to patients, promote health, prevent disease, and facilitate healing. They are to administer medication, observe vital signs, keep patient records, help with medical procedures, and work with multidisciplinary teams (NHS, 2023). Patient and family education in the area of health conditions, treatments, and changes in their lifestyle is also a crucial role of nurses, which results in better health outcomes for them in the long term (Cusack, Thornton, and Brytan, 2022).</w:t>
      </w:r>
    </w:p>
    <w:p w14:paraId="68F0D3A8" w14:textId="1C519346" w:rsidR="00AE28B6" w:rsidRPr="00AE28B6" w:rsidRDefault="00AE28B6" w:rsidP="00AE28B6">
      <w:pPr>
        <w:spacing w:after="0" w:line="240" w:lineRule="auto"/>
        <w:jc w:val="both"/>
        <w:rPr>
          <w:sz w:val="21"/>
          <w:szCs w:val="21"/>
          <w:lang w:val="en-US"/>
        </w:rPr>
      </w:pPr>
      <w:r w:rsidRPr="00AE28B6">
        <w:rPr>
          <w:sz w:val="21"/>
          <w:szCs w:val="21"/>
          <w:lang w:val="en-US"/>
        </w:rPr>
        <w:t>Nursing is important because it has a direct influence on patient safety and quality of care. As patient champions, nurses will prioritise the provision of care that is both ethical and effective and does not ignore the aspect of dignity and respect (Nursing and Midwifery Council [NMC], 2018). In the UK, the growing complexity of patients' needs, especially those at older age and with enduring conditions, has further reinforced the role of skilled nursing practice (Royal College of Nursing [RCN], 2022).</w:t>
      </w:r>
      <w:r>
        <w:rPr>
          <w:sz w:val="21"/>
          <w:szCs w:val="21"/>
          <w:lang w:val="en-US"/>
        </w:rPr>
        <w:t xml:space="preserve"> </w:t>
      </w:r>
      <w:r w:rsidRPr="00AE28B6">
        <w:rPr>
          <w:sz w:val="21"/>
          <w:szCs w:val="21"/>
          <w:lang w:val="en-US"/>
        </w:rPr>
        <w:t>Nurses must have a mix of clinical, interpersonal, and critical thinking skills in order to execute their duties adequately. Communication, clinical competence, and empathy are key competencies that play a crucial role in ensuring the provision of interdisciplinary care and positive patient experiences (Vaismoradi et al., 2020).</w:t>
      </w:r>
    </w:p>
    <w:p w14:paraId="4010C35E" w14:textId="60873BFD" w:rsidR="00EC7EBE" w:rsidRPr="002976D4" w:rsidRDefault="00676FEB" w:rsidP="00676FEB">
      <w:pPr>
        <w:spacing w:after="0" w:line="240" w:lineRule="auto"/>
        <w:jc w:val="both"/>
        <w:rPr>
          <w:color w:val="4472C4" w:themeColor="accent1"/>
          <w:sz w:val="28"/>
          <w:szCs w:val="28"/>
        </w:rPr>
      </w:pPr>
      <w:r w:rsidRPr="002976D4">
        <w:rPr>
          <w:color w:val="4472C4" w:themeColor="accent1"/>
          <w:sz w:val="28"/>
          <w:szCs w:val="28"/>
        </w:rPr>
        <w:t xml:space="preserve">1.3 </w:t>
      </w:r>
      <w:r w:rsidR="00805726" w:rsidRPr="002976D4">
        <w:rPr>
          <w:color w:val="4472C4" w:themeColor="accent1"/>
          <w:sz w:val="28"/>
          <w:szCs w:val="28"/>
        </w:rPr>
        <w:t xml:space="preserve">Evaluation of the </w:t>
      </w:r>
      <w:r w:rsidR="00D4006B" w:rsidRPr="002976D4">
        <w:rPr>
          <w:color w:val="4472C4" w:themeColor="accent1"/>
          <w:sz w:val="28"/>
          <w:szCs w:val="28"/>
        </w:rPr>
        <w:t xml:space="preserve">skills needed for </w:t>
      </w:r>
      <w:r w:rsidR="00AE28B6" w:rsidRPr="00AE28B6">
        <w:rPr>
          <w:color w:val="4472C4" w:themeColor="accent1"/>
          <w:sz w:val="28"/>
          <w:szCs w:val="28"/>
        </w:rPr>
        <w:t xml:space="preserve">Nursing </w:t>
      </w:r>
      <w:r w:rsidR="007138EF" w:rsidRPr="002976D4">
        <w:rPr>
          <w:color w:val="4472C4" w:themeColor="accent1"/>
          <w:sz w:val="28"/>
          <w:szCs w:val="28"/>
        </w:rPr>
        <w:t>in Healthcare</w:t>
      </w:r>
    </w:p>
    <w:p w14:paraId="2B724E38" w14:textId="13855506" w:rsidR="00AE28B6" w:rsidRPr="00AE28B6" w:rsidRDefault="00AE28B6" w:rsidP="00AE28B6">
      <w:pPr>
        <w:spacing w:after="0" w:line="240" w:lineRule="auto"/>
        <w:jc w:val="both"/>
        <w:rPr>
          <w:sz w:val="21"/>
          <w:szCs w:val="21"/>
          <w:lang w:val="en-US"/>
        </w:rPr>
      </w:pPr>
      <w:r w:rsidRPr="00AE28B6">
        <w:rPr>
          <w:sz w:val="21"/>
          <w:szCs w:val="21"/>
          <w:lang w:val="en-US"/>
        </w:rPr>
        <w:t>The success of nursing practice depends on various critical skills that guarantee patient safety, promote the quality of care, and support professional work (Cusack, Thornton, and Brytan, 2022). Of them, communication, clinical competence, and empathy are regarded as the most important.</w:t>
      </w:r>
      <w:r>
        <w:rPr>
          <w:sz w:val="21"/>
          <w:szCs w:val="21"/>
          <w:lang w:val="en-US"/>
        </w:rPr>
        <w:t xml:space="preserve"> </w:t>
      </w:r>
      <w:r w:rsidRPr="00AE28B6">
        <w:rPr>
          <w:sz w:val="21"/>
          <w:szCs w:val="21"/>
          <w:lang w:val="en-US"/>
        </w:rPr>
        <w:t>Community, particularly in the nursing field, communication skills play a crucial role in ensuring that there is a clear and precise flow of information among patients, families, and professionals. Communication can help patients to learn about their conditions and treatments, which improves adherence and outcomes (Flaubert et al., 2021). To illustrate, in patient handovers, accurate communication minimises the chances of mistakes and ensures continuity in care. On the other hand, ineffective communication may cause misunderstanding, medication errors, and patient safety issues (Cusack, Thornton, and Brytan, 2022).</w:t>
      </w:r>
    </w:p>
    <w:p w14:paraId="5B2F72EA" w14:textId="77777777" w:rsidR="00AE28B6" w:rsidRPr="00AE28B6" w:rsidRDefault="00AE28B6" w:rsidP="00AE28B6">
      <w:pPr>
        <w:spacing w:after="0" w:line="240" w:lineRule="auto"/>
        <w:jc w:val="both"/>
        <w:rPr>
          <w:sz w:val="21"/>
          <w:szCs w:val="21"/>
          <w:lang w:val="en-US"/>
        </w:rPr>
      </w:pPr>
      <w:r w:rsidRPr="00AE28B6">
        <w:rPr>
          <w:sz w:val="21"/>
          <w:szCs w:val="21"/>
          <w:lang w:val="en-US"/>
        </w:rPr>
        <w:t>Another necessary skill is clinical competence, which involves the skills and technical knowledge needed to conduct the nursing activity safely and effectively. It involves prescribing medication, assessing patients, and utilising medical equipment in the most appropriate ways (Vaismoradi et al., 2020). Effective nurses can make prompt choices and react to the alteration of patient conditions. Insufficient clinical competence can lead to severe effects, such as improper prescriptions, slow responses, and a rise in patient risk of harm (Flaubert et al., 2021).</w:t>
      </w:r>
    </w:p>
    <w:p w14:paraId="4687F152" w14:textId="241A7B3D" w:rsidR="00AE28B6" w:rsidRPr="00AE28B6" w:rsidRDefault="00AE28B6" w:rsidP="00AE28B6">
      <w:pPr>
        <w:spacing w:after="0" w:line="240" w:lineRule="auto"/>
        <w:jc w:val="both"/>
        <w:rPr>
          <w:sz w:val="21"/>
          <w:szCs w:val="21"/>
          <w:lang w:val="en-US"/>
        </w:rPr>
      </w:pPr>
      <w:r w:rsidRPr="00AE28B6">
        <w:rPr>
          <w:sz w:val="21"/>
          <w:szCs w:val="21"/>
          <w:lang w:val="en-US"/>
        </w:rPr>
        <w:t xml:space="preserve">Essential conditions are empathy and compassion, which help nurses to comprehend and address the emotional and psychological needs of patients. Empathy can foster trust and enhance the quality of the relationship between the nurse and the patient, which is paramount when providing </w:t>
      </w:r>
      <w:r w:rsidRPr="00AE28B6">
        <w:rPr>
          <w:sz w:val="21"/>
          <w:szCs w:val="21"/>
          <w:lang w:val="en-US"/>
        </w:rPr>
        <w:lastRenderedPageBreak/>
        <w:t>person-centred care (Sinclair et al., 2017). As an example, offering emotional care to patients with anxiety or distress can have a strong positive impact on their health experience in general (Flaubert et al., 2021). In the absence of empathy, care might turn utilitarian instead of patient-centred, which will result in dissatisfaction and lower quality of care.</w:t>
      </w:r>
      <w:r>
        <w:rPr>
          <w:sz w:val="21"/>
          <w:szCs w:val="21"/>
          <w:lang w:val="en-US"/>
        </w:rPr>
        <w:t xml:space="preserve"> </w:t>
      </w:r>
      <w:r w:rsidRPr="00AE28B6">
        <w:rPr>
          <w:sz w:val="21"/>
          <w:szCs w:val="21"/>
          <w:lang w:val="en-US"/>
        </w:rPr>
        <w:t>These three skills are chosen as they collectively relate to the three components of the clinical, interpersonal, and emotional aspects of nursing practice. The two together guarantee that care is effective, safe, and compassionate and responsive to the needs of individual patients.</w:t>
      </w:r>
    </w:p>
    <w:p w14:paraId="7338813D" w14:textId="77777777" w:rsidR="00C85A7C" w:rsidRPr="00242974" w:rsidRDefault="00C85A7C" w:rsidP="00C85A7C">
      <w:pPr>
        <w:spacing w:after="0" w:line="240" w:lineRule="auto"/>
        <w:jc w:val="both"/>
        <w:rPr>
          <w:sz w:val="21"/>
          <w:szCs w:val="21"/>
        </w:rPr>
      </w:pPr>
    </w:p>
    <w:p w14:paraId="01C49510" w14:textId="05AA95D9" w:rsidR="002370CE" w:rsidRPr="002976D4" w:rsidRDefault="00AA77C8" w:rsidP="00774092">
      <w:pPr>
        <w:pStyle w:val="Heading2"/>
        <w:rPr>
          <w:color w:val="4472C4" w:themeColor="accent1"/>
          <w:szCs w:val="24"/>
        </w:rPr>
      </w:pPr>
      <w:bookmarkStart w:id="3" w:name="_Toc212100520"/>
      <w:r w:rsidRPr="002976D4">
        <w:rPr>
          <w:color w:val="4472C4" w:themeColor="accent1"/>
          <w:szCs w:val="24"/>
        </w:rPr>
        <w:t>1</w:t>
      </w:r>
      <w:r w:rsidR="00774092" w:rsidRPr="002976D4">
        <w:rPr>
          <w:color w:val="4472C4" w:themeColor="accent1"/>
          <w:szCs w:val="24"/>
        </w:rPr>
        <w:t>.</w:t>
      </w:r>
      <w:r w:rsidR="00E1725A" w:rsidRPr="002976D4">
        <w:rPr>
          <w:color w:val="4472C4" w:themeColor="accent1"/>
          <w:szCs w:val="24"/>
        </w:rPr>
        <w:t>4</w:t>
      </w:r>
      <w:r w:rsidR="005D5457" w:rsidRPr="002976D4">
        <w:rPr>
          <w:color w:val="4472C4" w:themeColor="accent1"/>
          <w:szCs w:val="24"/>
        </w:rPr>
        <w:t xml:space="preserve"> </w:t>
      </w:r>
      <w:r w:rsidR="003003FD">
        <w:rPr>
          <w:color w:val="4472C4" w:themeColor="accent1"/>
          <w:szCs w:val="24"/>
        </w:rPr>
        <w:t>Strategies</w:t>
      </w:r>
      <w:r w:rsidR="00183CB9">
        <w:rPr>
          <w:color w:val="4472C4" w:themeColor="accent1"/>
          <w:szCs w:val="24"/>
        </w:rPr>
        <w:t xml:space="preserve"> to improve the skills</w:t>
      </w:r>
      <w:r w:rsidR="005D5457" w:rsidRPr="002976D4">
        <w:rPr>
          <w:color w:val="4472C4" w:themeColor="accent1"/>
          <w:szCs w:val="24"/>
        </w:rPr>
        <w:t xml:space="preserve"> </w:t>
      </w:r>
      <w:r w:rsidR="00070818" w:rsidRPr="002976D4">
        <w:rPr>
          <w:color w:val="4472C4" w:themeColor="accent1"/>
          <w:szCs w:val="24"/>
        </w:rPr>
        <w:t xml:space="preserve">for </w:t>
      </w:r>
      <w:bookmarkEnd w:id="3"/>
      <w:r w:rsidR="00AE28B6">
        <w:rPr>
          <w:color w:val="4472C4" w:themeColor="accent1"/>
          <w:szCs w:val="24"/>
        </w:rPr>
        <w:t>Nursing</w:t>
      </w:r>
    </w:p>
    <w:p w14:paraId="7487F07C" w14:textId="0702E93B" w:rsidR="00AE28B6" w:rsidRPr="00AE28B6" w:rsidRDefault="00AE28B6" w:rsidP="00AE28B6">
      <w:pPr>
        <w:spacing w:after="0"/>
        <w:rPr>
          <w:sz w:val="21"/>
          <w:szCs w:val="21"/>
          <w:lang w:val="en-US"/>
        </w:rPr>
      </w:pPr>
      <w:r w:rsidRPr="00AE28B6">
        <w:rPr>
          <w:sz w:val="21"/>
          <w:szCs w:val="21"/>
          <w:lang w:val="en-US"/>
        </w:rPr>
        <w:t>To sustain high-quality care and respond to changing healthcare needs, the upgrade of nursing skills is necessary (Alwuthaynani et al., 2024). Key competencies can be fostered with several strategies, such as continuous professional development, reflective practice, and mentorship.</w:t>
      </w:r>
      <w:r>
        <w:rPr>
          <w:sz w:val="21"/>
          <w:szCs w:val="21"/>
          <w:lang w:val="en-US"/>
        </w:rPr>
        <w:t xml:space="preserve"> </w:t>
      </w:r>
      <w:r w:rsidRPr="00AE28B6">
        <w:rPr>
          <w:sz w:val="21"/>
          <w:szCs w:val="21"/>
          <w:lang w:val="en-US"/>
        </w:rPr>
        <w:t>Continuous professional development (CPD) is an organised lifelong learning model that helps nurses refresh their knowledge of skills based on recent evidence and best practices (Alwuthaynani et al., 2024). CPD in the UK is a course of the NMC, which mandates consistent competence (NMC, 2018). Workshops, online courses, and clinical training sessions are the activities by which nurses can improve their clinical skills and keep up with new treatments and technologies (RCN, 2022). To illustrate an example, patient safety and infection control reduction can be enhanced by participating in training on infection control.</w:t>
      </w:r>
    </w:p>
    <w:p w14:paraId="1E21AC86" w14:textId="77777777" w:rsidR="00AE28B6" w:rsidRPr="00AE28B6" w:rsidRDefault="00AE28B6" w:rsidP="00AE28B6">
      <w:pPr>
        <w:spacing w:after="0"/>
        <w:rPr>
          <w:sz w:val="21"/>
          <w:szCs w:val="21"/>
          <w:lang w:val="en-US"/>
        </w:rPr>
      </w:pPr>
      <w:r w:rsidRPr="00AE28B6">
        <w:rPr>
          <w:sz w:val="21"/>
          <w:szCs w:val="21"/>
          <w:lang w:val="en-US"/>
        </w:rPr>
        <w:t>Another useful tool is reflective practice, which includes examining experience in order to recognise a set of strengths and areas to work on. Some models, like the Reflective Cycle developed by Gibbs, would promote nurses to think critically about their work and learn through practice (Adeani, Febriani, and Syafryadin, 2020). Reflective practice will boost self-awareness and help develop communication and empathy skills (Alwuthaynani et al., 2024). An example is how a nurse may analyse in detail a difficult interaction with a patient and then determine how to better communicate with such a patient in the future.</w:t>
      </w:r>
    </w:p>
    <w:p w14:paraId="2703A512" w14:textId="3FED8AE0" w:rsidR="00500295" w:rsidRDefault="00AE28B6" w:rsidP="00AE28B6">
      <w:pPr>
        <w:spacing w:after="0"/>
        <w:rPr>
          <w:sz w:val="21"/>
          <w:szCs w:val="21"/>
          <w:lang w:val="en-US"/>
        </w:rPr>
      </w:pPr>
      <w:r w:rsidRPr="00AE28B6">
        <w:rPr>
          <w:sz w:val="21"/>
          <w:szCs w:val="21"/>
          <w:lang w:val="en-US"/>
        </w:rPr>
        <w:t>Mentorship and supervision are also important in the development of skills, especially among newly qualified nurses. Nurses with experience offer mentorship, coaching, and reassurance, enabling the less experienced ones to develop self-confidence and proficiency (RCN, 2022). Mentorship helps to create a conducive learning atmosphere and develop professionalism. For example, a mentor can show useful communication methods or introduce a nurse to intricate clinical practices (Alwuthaynani et al., 2024).</w:t>
      </w:r>
      <w:r>
        <w:rPr>
          <w:sz w:val="21"/>
          <w:szCs w:val="21"/>
          <w:lang w:val="en-US"/>
        </w:rPr>
        <w:t xml:space="preserve"> </w:t>
      </w:r>
      <w:r w:rsidRPr="00AE28B6">
        <w:rPr>
          <w:sz w:val="21"/>
          <w:szCs w:val="21"/>
          <w:lang w:val="en-US"/>
        </w:rPr>
        <w:t xml:space="preserve">These </w:t>
      </w:r>
      <w:r>
        <w:rPr>
          <w:sz w:val="21"/>
          <w:szCs w:val="21"/>
          <w:lang w:val="en-US"/>
        </w:rPr>
        <w:t>strategies</w:t>
      </w:r>
      <w:r w:rsidRPr="00AE28B6">
        <w:rPr>
          <w:sz w:val="21"/>
          <w:szCs w:val="21"/>
          <w:lang w:val="en-US"/>
        </w:rPr>
        <w:t xml:space="preserve"> work well considering that they involve integration of theoretical learning with practical practice and professional guidance. Through CPD, reflection, and mentorship, nurses are able to update their proficiency, optimise patient care, and address professional requirements.</w:t>
      </w:r>
    </w:p>
    <w:p w14:paraId="16D2AD44" w14:textId="77777777" w:rsidR="00AE28B6" w:rsidRPr="002976D4" w:rsidRDefault="00AE28B6" w:rsidP="00AE28B6">
      <w:pPr>
        <w:pStyle w:val="Heading2"/>
        <w:rPr>
          <w:color w:val="4472C4" w:themeColor="accent1"/>
          <w:szCs w:val="24"/>
        </w:rPr>
      </w:pPr>
      <w:bookmarkStart w:id="4" w:name="_Toc212100521"/>
      <w:r w:rsidRPr="002976D4">
        <w:rPr>
          <w:color w:val="4472C4" w:themeColor="accent1"/>
          <w:szCs w:val="24"/>
        </w:rPr>
        <w:t>1.4 Conclusion</w:t>
      </w:r>
      <w:bookmarkEnd w:id="4"/>
    </w:p>
    <w:p w14:paraId="2B4DD169" w14:textId="77777777" w:rsidR="00AE28B6" w:rsidRPr="00AE28B6" w:rsidRDefault="00AE28B6" w:rsidP="00AE28B6">
      <w:pPr>
        <w:pStyle w:val="Heading2"/>
        <w:rPr>
          <w:color w:val="000000" w:themeColor="text1"/>
          <w:sz w:val="21"/>
          <w:szCs w:val="21"/>
          <w:lang w:val="en-US"/>
        </w:rPr>
      </w:pPr>
      <w:r w:rsidRPr="00AE28B6">
        <w:rPr>
          <w:color w:val="000000" w:themeColor="text1"/>
          <w:sz w:val="21"/>
          <w:szCs w:val="21"/>
          <w:lang w:val="en-US"/>
        </w:rPr>
        <w:t>In conclusion, nurses contribute significantly to the provision of safe, effective, and compassionate healthcare in the UK. They are not only involved in clinical work but also in patient advocacy, communication, and emotional support. Such important skills as communication, clinical competency, and empathy are necessary to provide high-quality care and positive patient outcomes. Additionally, continuous professional development, reflection, and mentorship strategies play a significant role in sustaining and enhancing these competencies. Ultimately, the effectiveness of nursing practice directly influences patient safety and healthcare quality, highlighting the importance of ongoing skill development in delivering person-centred care.</w:t>
      </w:r>
    </w:p>
    <w:p w14:paraId="756B2156" w14:textId="77777777" w:rsidR="00AE28B6" w:rsidRPr="00AE28B6" w:rsidRDefault="00AE28B6" w:rsidP="00AE28B6">
      <w:pPr>
        <w:spacing w:after="0"/>
        <w:rPr>
          <w:sz w:val="21"/>
          <w:szCs w:val="21"/>
          <w:lang w:val="en-US"/>
        </w:rPr>
      </w:pPr>
    </w:p>
    <w:p w14:paraId="6C4B494D" w14:textId="763B24A0" w:rsidR="00226D31" w:rsidRPr="002976D4" w:rsidRDefault="00AA77C8" w:rsidP="00226D31">
      <w:pPr>
        <w:pStyle w:val="Heading2"/>
        <w:rPr>
          <w:color w:val="4472C4" w:themeColor="accent1"/>
          <w:szCs w:val="24"/>
        </w:rPr>
      </w:pPr>
      <w:bookmarkStart w:id="5" w:name="_Toc212100522"/>
      <w:r w:rsidRPr="002976D4">
        <w:rPr>
          <w:color w:val="4472C4" w:themeColor="accent1"/>
          <w:szCs w:val="24"/>
        </w:rPr>
        <w:lastRenderedPageBreak/>
        <w:t>1</w:t>
      </w:r>
      <w:r w:rsidR="00226D31" w:rsidRPr="002976D4">
        <w:rPr>
          <w:color w:val="4472C4" w:themeColor="accent1"/>
          <w:szCs w:val="24"/>
        </w:rPr>
        <w:t>.5 Reference List</w:t>
      </w:r>
      <w:bookmarkEnd w:id="5"/>
    </w:p>
    <w:p w14:paraId="370F0064" w14:textId="77777777" w:rsidR="00AE28B6" w:rsidRPr="00AE28B6" w:rsidRDefault="00AE28B6" w:rsidP="00AE28B6">
      <w:pPr>
        <w:rPr>
          <w:sz w:val="21"/>
          <w:szCs w:val="21"/>
          <w:lang w:val="en-US"/>
        </w:rPr>
      </w:pPr>
      <w:r w:rsidRPr="00AE28B6">
        <w:rPr>
          <w:sz w:val="21"/>
          <w:szCs w:val="21"/>
          <w:lang w:val="en-US"/>
        </w:rPr>
        <w:t xml:space="preserve">Adeani, I.S., Febriani, R.B. and Syafryadin, S. (2020) “USING GIBBS REFLECTIVE CYCLE IN MAKING REFLECTIONS OF LITERARY ANALYSIS,” </w:t>
      </w:r>
      <w:r w:rsidRPr="00AE28B6">
        <w:rPr>
          <w:i/>
          <w:iCs/>
          <w:sz w:val="21"/>
          <w:szCs w:val="21"/>
          <w:lang w:val="en-US"/>
        </w:rPr>
        <w:t>Indonesian EFL Journal</w:t>
      </w:r>
      <w:r w:rsidRPr="00AE28B6">
        <w:rPr>
          <w:sz w:val="21"/>
          <w:szCs w:val="21"/>
          <w:lang w:val="en-US"/>
        </w:rPr>
        <w:t xml:space="preserve">, 6(2), p. 139. Available at: </w:t>
      </w:r>
      <w:hyperlink r:id="rId9" w:history="1">
        <w:r w:rsidRPr="00AE28B6">
          <w:rPr>
            <w:rStyle w:val="Hyperlink"/>
            <w:sz w:val="21"/>
            <w:szCs w:val="21"/>
            <w:lang w:val="en-US"/>
          </w:rPr>
          <w:t>https://doi.org/10.25134/ieflj.v6i2.3382</w:t>
        </w:r>
      </w:hyperlink>
      <w:r w:rsidRPr="00AE28B6">
        <w:rPr>
          <w:sz w:val="21"/>
          <w:szCs w:val="21"/>
          <w:lang w:val="en-US"/>
        </w:rPr>
        <w:t>.</w:t>
      </w:r>
    </w:p>
    <w:p w14:paraId="558EBA71" w14:textId="77777777" w:rsidR="00AE28B6" w:rsidRPr="00AE28B6" w:rsidRDefault="00AE28B6" w:rsidP="00AE28B6">
      <w:pPr>
        <w:rPr>
          <w:sz w:val="21"/>
          <w:szCs w:val="21"/>
          <w:lang w:val="en-US"/>
        </w:rPr>
      </w:pPr>
      <w:r w:rsidRPr="00AE28B6">
        <w:rPr>
          <w:sz w:val="21"/>
          <w:szCs w:val="21"/>
          <w:lang w:val="en-US"/>
        </w:rPr>
        <w:t xml:space="preserve">Alwuthaynani, J.H., Barnawi, K.Z., Alneami, W.Y., Alresheedi, A.I., Altamimi, O.S., Al-Jaloud, A.S.F., Alshammeri, E.H., Alanazi, M.S.M., Altamimi, S.M.Z. and Alshammry, A.H. (2024) “The role of Nursing in Advancing Healthcare Quality and Patient Safety: A Comprehensive Review of Evidence-Based Practices and Systemic Impacts,” </w:t>
      </w:r>
      <w:r w:rsidRPr="00AE28B6">
        <w:rPr>
          <w:i/>
          <w:iCs/>
          <w:sz w:val="21"/>
          <w:szCs w:val="21"/>
          <w:lang w:val="en-US"/>
        </w:rPr>
        <w:t>Journal of Posthumanism</w:t>
      </w:r>
      <w:r w:rsidRPr="00AE28B6">
        <w:rPr>
          <w:sz w:val="21"/>
          <w:szCs w:val="21"/>
          <w:lang w:val="en-US"/>
        </w:rPr>
        <w:t>, 4(3). Available at: https://doi.org/10.63332/joph.v4i3.3448.</w:t>
      </w:r>
    </w:p>
    <w:p w14:paraId="5F937124" w14:textId="77777777" w:rsidR="00AE28B6" w:rsidRPr="00AE28B6" w:rsidRDefault="00AE28B6" w:rsidP="00AE28B6">
      <w:pPr>
        <w:rPr>
          <w:sz w:val="21"/>
          <w:szCs w:val="21"/>
          <w:lang w:val="en-US"/>
        </w:rPr>
      </w:pPr>
      <w:r w:rsidRPr="00AE28B6">
        <w:rPr>
          <w:sz w:val="21"/>
          <w:szCs w:val="21"/>
          <w:lang w:val="en-US"/>
        </w:rPr>
        <w:t xml:space="preserve">Cusack, L., Thornton, K. and Brytan, J. (2022) “Exploring responsibilities for delivering quality nursing care using the Healthcare Quality Framework,” </w:t>
      </w:r>
      <w:r w:rsidRPr="00AE28B6">
        <w:rPr>
          <w:i/>
          <w:iCs/>
          <w:sz w:val="21"/>
          <w:szCs w:val="21"/>
          <w:lang w:val="en-US"/>
        </w:rPr>
        <w:t>Collegian Journal of the Royal College of Nursing Australia</w:t>
      </w:r>
      <w:r w:rsidRPr="00AE28B6">
        <w:rPr>
          <w:sz w:val="21"/>
          <w:szCs w:val="21"/>
          <w:lang w:val="en-US"/>
        </w:rPr>
        <w:t>, 30(1), pp. 47–52. Available at: https://doi.org/10.1016/j.colegn.2022.07.004.</w:t>
      </w:r>
    </w:p>
    <w:p w14:paraId="36686817" w14:textId="77777777" w:rsidR="00AE28B6" w:rsidRPr="00AE28B6" w:rsidRDefault="00AE28B6" w:rsidP="00AE28B6">
      <w:pPr>
        <w:rPr>
          <w:sz w:val="21"/>
          <w:szCs w:val="21"/>
          <w:lang w:val="en-US"/>
        </w:rPr>
      </w:pPr>
      <w:r w:rsidRPr="00AE28B6">
        <w:rPr>
          <w:sz w:val="21"/>
          <w:szCs w:val="21"/>
          <w:lang w:val="en-US"/>
        </w:rPr>
        <w:t xml:space="preserve">Flaubert, J.L., Menestrel, S.L., Williams, D.R. and Wakefield, M.K. (2021) </w:t>
      </w:r>
      <w:r w:rsidRPr="00AE28B6">
        <w:rPr>
          <w:i/>
          <w:iCs/>
          <w:sz w:val="21"/>
          <w:szCs w:val="21"/>
          <w:lang w:val="en-US"/>
        </w:rPr>
        <w:t>The role of nurses in improving health care access and quality</w:t>
      </w:r>
      <w:r w:rsidRPr="00AE28B6">
        <w:rPr>
          <w:sz w:val="21"/>
          <w:szCs w:val="21"/>
          <w:lang w:val="en-US"/>
        </w:rPr>
        <w:t xml:space="preserve">, </w:t>
      </w:r>
      <w:r w:rsidRPr="00AE28B6">
        <w:rPr>
          <w:i/>
          <w:iCs/>
          <w:sz w:val="21"/>
          <w:szCs w:val="21"/>
          <w:lang w:val="en-US"/>
        </w:rPr>
        <w:t>The Future of Nursing 2020-2030 - NCBI Bookshelf</w:t>
      </w:r>
      <w:r w:rsidRPr="00AE28B6">
        <w:rPr>
          <w:sz w:val="21"/>
          <w:szCs w:val="21"/>
          <w:lang w:val="en-US"/>
        </w:rPr>
        <w:t>. Available at: https://www.ncbi.nlm.nih.gov/books/NBK573910/.</w:t>
      </w:r>
    </w:p>
    <w:p w14:paraId="5E6E176A" w14:textId="77777777" w:rsidR="00AE28B6" w:rsidRPr="00AE28B6" w:rsidRDefault="00AE28B6" w:rsidP="00AE28B6">
      <w:pPr>
        <w:rPr>
          <w:sz w:val="21"/>
          <w:szCs w:val="21"/>
          <w:lang w:val="en-US"/>
        </w:rPr>
      </w:pPr>
      <w:r w:rsidRPr="00AE28B6">
        <w:rPr>
          <w:sz w:val="21"/>
          <w:szCs w:val="21"/>
          <w:lang w:val="en-US"/>
        </w:rPr>
        <w:t xml:space="preserve">NHS (2023) </w:t>
      </w:r>
      <w:r w:rsidRPr="00AE28B6">
        <w:rPr>
          <w:i/>
          <w:iCs/>
          <w:sz w:val="21"/>
          <w:szCs w:val="21"/>
          <w:lang w:val="en-US"/>
        </w:rPr>
        <w:t>The role of a nurse</w:t>
      </w:r>
      <w:r w:rsidRPr="00AE28B6">
        <w:rPr>
          <w:sz w:val="21"/>
          <w:szCs w:val="21"/>
          <w:lang w:val="en-US"/>
        </w:rPr>
        <w:t xml:space="preserve">. Available at: </w:t>
      </w:r>
      <w:hyperlink r:id="rId10" w:history="1">
        <w:r w:rsidRPr="00AE28B6">
          <w:rPr>
            <w:rStyle w:val="Hyperlink"/>
            <w:sz w:val="21"/>
            <w:szCs w:val="21"/>
            <w:lang w:val="en-US"/>
          </w:rPr>
          <w:t>https://www.nhsemployers.org/publications/nursing-associate-roles-health-and-care</w:t>
        </w:r>
      </w:hyperlink>
      <w:r w:rsidRPr="00AE28B6">
        <w:rPr>
          <w:sz w:val="21"/>
          <w:szCs w:val="21"/>
          <w:lang w:val="en-US"/>
        </w:rPr>
        <w:t xml:space="preserve">  (Accessed: 20 March 2026).</w:t>
      </w:r>
    </w:p>
    <w:p w14:paraId="40852E46" w14:textId="77777777" w:rsidR="00AE28B6" w:rsidRPr="00AE28B6" w:rsidRDefault="00AE28B6" w:rsidP="00AE28B6">
      <w:pPr>
        <w:rPr>
          <w:sz w:val="21"/>
          <w:szCs w:val="21"/>
          <w:lang w:val="en-US"/>
        </w:rPr>
      </w:pPr>
      <w:r w:rsidRPr="00AE28B6">
        <w:rPr>
          <w:sz w:val="21"/>
          <w:szCs w:val="21"/>
          <w:lang w:val="en-US"/>
        </w:rPr>
        <w:t xml:space="preserve">NMC (2018) The Code. Available at: </w:t>
      </w:r>
      <w:hyperlink r:id="rId11" w:history="1">
        <w:r w:rsidRPr="00AE28B6">
          <w:rPr>
            <w:rStyle w:val="Hyperlink"/>
            <w:sz w:val="21"/>
            <w:szCs w:val="21"/>
            <w:lang w:val="en-US"/>
          </w:rPr>
          <w:t>https://www.nmc.org.uk/standards/code/</w:t>
        </w:r>
      </w:hyperlink>
      <w:r w:rsidRPr="00AE28B6">
        <w:rPr>
          <w:sz w:val="21"/>
          <w:szCs w:val="21"/>
          <w:lang w:val="en-US"/>
        </w:rPr>
        <w:t xml:space="preserve"> (Accessed: 20 Mar, 2026).</w:t>
      </w:r>
    </w:p>
    <w:p w14:paraId="504D1B6E" w14:textId="77777777" w:rsidR="00AE28B6" w:rsidRPr="00AE28B6" w:rsidRDefault="00AE28B6" w:rsidP="00AE28B6">
      <w:pPr>
        <w:rPr>
          <w:sz w:val="21"/>
          <w:szCs w:val="21"/>
          <w:lang w:val="en-US"/>
        </w:rPr>
      </w:pPr>
      <w:r w:rsidRPr="00AE28B6">
        <w:rPr>
          <w:sz w:val="21"/>
          <w:szCs w:val="21"/>
          <w:lang w:val="en-US"/>
        </w:rPr>
        <w:t xml:space="preserve">Royal College of Nursing (RCN) (2022) </w:t>
      </w:r>
      <w:r w:rsidRPr="00AE28B6">
        <w:rPr>
          <w:i/>
          <w:iCs/>
          <w:sz w:val="21"/>
          <w:szCs w:val="21"/>
          <w:lang w:val="en-US"/>
        </w:rPr>
        <w:t>The nursing workforce in the UK</w:t>
      </w:r>
      <w:r w:rsidRPr="00AE28B6">
        <w:rPr>
          <w:sz w:val="21"/>
          <w:szCs w:val="21"/>
          <w:lang w:val="en-US"/>
        </w:rPr>
        <w:t xml:space="preserve">. Available at: </w:t>
      </w:r>
      <w:hyperlink r:id="rId12" w:history="1">
        <w:r w:rsidRPr="00AE28B6">
          <w:rPr>
            <w:rStyle w:val="Hyperlink"/>
            <w:sz w:val="21"/>
            <w:szCs w:val="21"/>
            <w:lang w:val="en-US"/>
          </w:rPr>
          <w:t>https://www.rcn.org.uk/Professional-Development/Nursing-Workforce-Standards</w:t>
        </w:r>
      </w:hyperlink>
      <w:r w:rsidRPr="00AE28B6">
        <w:rPr>
          <w:sz w:val="21"/>
          <w:szCs w:val="21"/>
          <w:lang w:val="en-US"/>
        </w:rPr>
        <w:t xml:space="preserve">  (Accessed: 20 Mar, 2026).</w:t>
      </w:r>
    </w:p>
    <w:p w14:paraId="3922294C" w14:textId="77777777" w:rsidR="00AE28B6" w:rsidRPr="00AE28B6" w:rsidRDefault="00AE28B6" w:rsidP="00AE28B6">
      <w:pPr>
        <w:rPr>
          <w:sz w:val="21"/>
          <w:szCs w:val="21"/>
          <w:lang w:val="en-US"/>
        </w:rPr>
      </w:pPr>
      <w:r w:rsidRPr="00AE28B6">
        <w:rPr>
          <w:sz w:val="21"/>
          <w:szCs w:val="21"/>
          <w:lang w:val="en-US"/>
        </w:rPr>
        <w:t xml:space="preserve">Sinclair, S., McClement, S., Raffin-Bouchal, S., Hack, T.F., Hagen, N.A., McConnell, S. and Chochinov, H.M. (2016) “Compassion in Health Care: </w:t>
      </w:r>
      <w:proofErr w:type="gramStart"/>
      <w:r w:rsidRPr="00AE28B6">
        <w:rPr>
          <w:sz w:val="21"/>
          <w:szCs w:val="21"/>
          <w:lang w:val="en-US"/>
        </w:rPr>
        <w:t>an</w:t>
      </w:r>
      <w:proofErr w:type="gramEnd"/>
      <w:r w:rsidRPr="00AE28B6">
        <w:rPr>
          <w:sz w:val="21"/>
          <w:szCs w:val="21"/>
          <w:lang w:val="en-US"/>
        </w:rPr>
        <w:t xml:space="preserve"> Empirical model,” </w:t>
      </w:r>
      <w:r w:rsidRPr="00AE28B6">
        <w:rPr>
          <w:i/>
          <w:iCs/>
          <w:sz w:val="21"/>
          <w:szCs w:val="21"/>
          <w:lang w:val="en-US"/>
        </w:rPr>
        <w:t>Journal of Pain and Symptom Management</w:t>
      </w:r>
      <w:r w:rsidRPr="00AE28B6">
        <w:rPr>
          <w:sz w:val="21"/>
          <w:szCs w:val="21"/>
          <w:lang w:val="en-US"/>
        </w:rPr>
        <w:t>, 51(2), pp. 193–203. Available at: https://doi.org/10.1016/j.jpainsymman.2015.10.009.</w:t>
      </w:r>
    </w:p>
    <w:p w14:paraId="6E971662" w14:textId="77777777" w:rsidR="00AE28B6" w:rsidRPr="00AE28B6" w:rsidRDefault="00AE28B6" w:rsidP="00AE28B6">
      <w:pPr>
        <w:rPr>
          <w:sz w:val="21"/>
          <w:szCs w:val="21"/>
          <w:lang w:val="en-US"/>
        </w:rPr>
      </w:pPr>
      <w:r w:rsidRPr="00AE28B6">
        <w:rPr>
          <w:sz w:val="21"/>
          <w:szCs w:val="21"/>
          <w:lang w:val="en-US"/>
        </w:rPr>
        <w:t xml:space="preserve">Vaismoradi, M., Tella, S., Logan, P.A., Khakurel, J. and Vizcaya-Moreno, F. (2020) “Nurses’ Adherence to Patient Safety Principles: A Systematic review,” </w:t>
      </w:r>
      <w:r w:rsidRPr="00AE28B6">
        <w:rPr>
          <w:i/>
          <w:iCs/>
          <w:sz w:val="21"/>
          <w:szCs w:val="21"/>
          <w:lang w:val="en-US"/>
        </w:rPr>
        <w:t>International Journal of Environmental Research and Public Health</w:t>
      </w:r>
      <w:r w:rsidRPr="00AE28B6">
        <w:rPr>
          <w:sz w:val="21"/>
          <w:szCs w:val="21"/>
          <w:lang w:val="en-US"/>
        </w:rPr>
        <w:t>, 17(6), p. 2028. Available at: https://doi.org/10.3390/ijerph17062028.</w:t>
      </w:r>
    </w:p>
    <w:p w14:paraId="1D0F2D59" w14:textId="04FD5966" w:rsidR="004552CE" w:rsidRPr="005E44B5" w:rsidRDefault="004552CE" w:rsidP="005E44B5">
      <w:pPr>
        <w:rPr>
          <w:color w:val="FF0000"/>
        </w:rPr>
      </w:pPr>
    </w:p>
    <w:sectPr w:rsidR="004552CE" w:rsidRPr="005E44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966A4E" w14:textId="77777777" w:rsidR="007E2DF7" w:rsidRDefault="007E2DF7" w:rsidP="003C7C97">
      <w:pPr>
        <w:spacing w:after="0" w:line="240" w:lineRule="auto"/>
      </w:pPr>
      <w:r>
        <w:separator/>
      </w:r>
    </w:p>
  </w:endnote>
  <w:endnote w:type="continuationSeparator" w:id="0">
    <w:p w14:paraId="6B7E8463" w14:textId="77777777" w:rsidR="007E2DF7" w:rsidRDefault="007E2DF7"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AFE85D" w14:textId="77777777" w:rsidR="007E2DF7" w:rsidRDefault="007E2DF7" w:rsidP="003C7C97">
      <w:pPr>
        <w:spacing w:after="0" w:line="240" w:lineRule="auto"/>
      </w:pPr>
      <w:r>
        <w:separator/>
      </w:r>
    </w:p>
  </w:footnote>
  <w:footnote w:type="continuationSeparator" w:id="0">
    <w:p w14:paraId="1B2751D5" w14:textId="77777777" w:rsidR="007E2DF7" w:rsidRDefault="007E2DF7"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62C3"/>
    <w:rsid w:val="007D25AA"/>
    <w:rsid w:val="007E2DF7"/>
    <w:rsid w:val="007F0873"/>
    <w:rsid w:val="00805726"/>
    <w:rsid w:val="00815117"/>
    <w:rsid w:val="008520F8"/>
    <w:rsid w:val="00855F34"/>
    <w:rsid w:val="008826B6"/>
    <w:rsid w:val="008B0B22"/>
    <w:rsid w:val="008C58B0"/>
    <w:rsid w:val="008C591B"/>
    <w:rsid w:val="008C6182"/>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28B6"/>
    <w:rsid w:val="00AE35BF"/>
    <w:rsid w:val="00B1067E"/>
    <w:rsid w:val="00B81790"/>
    <w:rsid w:val="00B81BBC"/>
    <w:rsid w:val="00BD03D5"/>
    <w:rsid w:val="00C3215E"/>
    <w:rsid w:val="00C45272"/>
    <w:rsid w:val="00C47770"/>
    <w:rsid w:val="00C75856"/>
    <w:rsid w:val="00C85A7C"/>
    <w:rsid w:val="00C95214"/>
    <w:rsid w:val="00CC3F59"/>
    <w:rsid w:val="00CD4774"/>
    <w:rsid w:val="00CF38E7"/>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UnresolvedMention">
    <w:name w:val="Unresolved Mention"/>
    <w:basedOn w:val="DefaultParagraphFont"/>
    <w:uiPriority w:val="99"/>
    <w:semiHidden/>
    <w:unhideWhenUsed/>
    <w:rsid w:val="00AE28B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cn.org.uk/Professional-Development/Nursing-Workforce-Standard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mc.org.uk/standards/code/" TargetMode="External"/><Relationship Id="rId5" Type="http://schemas.openxmlformats.org/officeDocument/2006/relationships/webSettings" Target="webSettings.xml"/><Relationship Id="rId10" Type="http://schemas.openxmlformats.org/officeDocument/2006/relationships/hyperlink" Target="https://www.nhsemployers.org/publications/nursing-associate-roles-health-and-care" TargetMode="External"/><Relationship Id="rId4" Type="http://schemas.openxmlformats.org/officeDocument/2006/relationships/settings" Target="settings.xml"/><Relationship Id="rId9" Type="http://schemas.openxmlformats.org/officeDocument/2006/relationships/hyperlink" Target="https://doi.org/10.25134/ieflj.v6i2.338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1664</Words>
  <Characters>9488</Characters>
  <Application>Microsoft Office Word</Application>
  <DocSecurity>0</DocSecurity>
  <Lines>79</Lines>
  <Paragraphs>22</Paragraphs>
  <ScaleCrop>false</ScaleCrop>
  <Company>University of Wales Trinity Saint David</Company>
  <LinksUpToDate>false</LinksUpToDate>
  <CharactersWithSpaces>11130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author_12345@outlook.com</cp:lastModifiedBy>
  <cp:revision>137</cp:revision>
  <dcterms:created xsi:type="dcterms:W3CDTF">2025-06-26T13:37:00Z</dcterms:created>
  <dcterms:modified xsi:type="dcterms:W3CDTF">2026-03-20T09:52:00Z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