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F7810" w14:textId="77777777" w:rsidR="00CA5B8A" w:rsidRDefault="00CA5B8A">
      <w:pPr>
        <w:spacing w:after="400"/>
      </w:pPr>
    </w:p>
    <w:p w14:paraId="0F19B8E6" w14:textId="77777777" w:rsidR="00922B53" w:rsidRDefault="00922B53" w:rsidP="00056F8B">
      <w:pPr>
        <w:spacing w:after="200" w:line="360" w:lineRule="auto"/>
        <w:rPr>
          <w:b/>
          <w:bCs/>
          <w:sz w:val="28"/>
          <w:szCs w:val="28"/>
        </w:rPr>
      </w:pPr>
      <w:r>
        <w:rPr>
          <w:noProof/>
        </w:rPr>
        <w:drawing>
          <wp:inline distT="0" distB="0" distL="0" distR="0" wp14:anchorId="58E6874C" wp14:editId="1EE16393">
            <wp:extent cx="2223135" cy="1120140"/>
            <wp:effectExtent l="0" t="0" r="5715" b="3810"/>
            <wp:docPr id="452804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804888"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32877" cy="1125049"/>
                    </a:xfrm>
                    <a:prstGeom prst="rect">
                      <a:avLst/>
                    </a:prstGeom>
                  </pic:spPr>
                </pic:pic>
              </a:graphicData>
            </a:graphic>
          </wp:inline>
        </w:drawing>
      </w:r>
    </w:p>
    <w:p w14:paraId="70DDC092" w14:textId="27C900A0" w:rsidR="00CA5B8A" w:rsidRDefault="00CA5B8A" w:rsidP="0095639E">
      <w:pPr>
        <w:spacing w:after="200" w:line="360" w:lineRule="auto"/>
      </w:pPr>
    </w:p>
    <w:p w14:paraId="4B9232E7" w14:textId="3DBD1EAC" w:rsidR="0095384B" w:rsidRDefault="0095384B" w:rsidP="0095384B">
      <w:pPr>
        <w:tabs>
          <w:tab w:val="left" w:pos="5700"/>
        </w:tabs>
        <w:spacing w:after="200" w:line="360" w:lineRule="auto"/>
      </w:pPr>
      <w:r>
        <w:tab/>
      </w:r>
    </w:p>
    <w:p w14:paraId="1CC7BE7E" w14:textId="77777777" w:rsidR="0095384B" w:rsidRDefault="0095384B" w:rsidP="0095639E">
      <w:pPr>
        <w:spacing w:after="200" w:line="360" w:lineRule="auto"/>
      </w:pPr>
    </w:p>
    <w:p w14:paraId="65731F70" w14:textId="77777777" w:rsidR="0095384B" w:rsidRDefault="0095384B" w:rsidP="0095639E">
      <w:pPr>
        <w:spacing w:after="200" w:line="360" w:lineRule="auto"/>
        <w:rPr>
          <w:b/>
          <w:bCs/>
          <w:sz w:val="28"/>
          <w:szCs w:val="28"/>
        </w:rPr>
      </w:pPr>
    </w:p>
    <w:p w14:paraId="3313DC82" w14:textId="77777777" w:rsidR="0095384B" w:rsidRDefault="0095384B" w:rsidP="0095639E">
      <w:pPr>
        <w:spacing w:after="200" w:line="360" w:lineRule="auto"/>
        <w:rPr>
          <w:b/>
          <w:bCs/>
          <w:sz w:val="28"/>
          <w:szCs w:val="28"/>
        </w:rPr>
      </w:pPr>
    </w:p>
    <w:p w14:paraId="5A9F452B" w14:textId="533357F9" w:rsidR="00CA5B8A" w:rsidRDefault="0095639E" w:rsidP="0095384B">
      <w:pPr>
        <w:spacing w:after="200" w:line="360" w:lineRule="auto"/>
        <w:ind w:left="1440" w:firstLine="720"/>
      </w:pPr>
      <w:r>
        <w:rPr>
          <w:b/>
          <w:bCs/>
          <w:sz w:val="28"/>
          <w:szCs w:val="28"/>
        </w:rPr>
        <w:t>Master of Business Administration</w:t>
      </w:r>
    </w:p>
    <w:p w14:paraId="2B2D5FE9" w14:textId="77777777" w:rsidR="00CA5B8A" w:rsidRDefault="00547170" w:rsidP="0095384B">
      <w:pPr>
        <w:pStyle w:val="IntenseQuote"/>
      </w:pPr>
      <w:r>
        <w:t>Marketing Environment Analysis:</w:t>
      </w:r>
    </w:p>
    <w:p w14:paraId="06C52698" w14:textId="77777777" w:rsidR="00CA5B8A" w:rsidRDefault="00547170" w:rsidP="0095384B">
      <w:pPr>
        <w:pStyle w:val="IntenseQuote"/>
      </w:pPr>
      <w:r>
        <w:t>A Study of BHP’s Transition Toward Lower-Carbon Products</w:t>
      </w:r>
    </w:p>
    <w:p w14:paraId="54664A7E" w14:textId="0DEE37F3" w:rsidR="00CA5B8A" w:rsidRDefault="0095384B">
      <w:pPr>
        <w:spacing w:after="800" w:line="360" w:lineRule="auto"/>
        <w:jc w:val="center"/>
      </w:pPr>
      <w:r>
        <w:t xml:space="preserve"> </w:t>
      </w:r>
    </w:p>
    <w:p w14:paraId="0DAAFED9" w14:textId="77777777" w:rsidR="0095384B" w:rsidRDefault="0095384B" w:rsidP="0095384B">
      <w:pPr>
        <w:spacing w:after="120" w:line="360" w:lineRule="auto"/>
      </w:pPr>
    </w:p>
    <w:p w14:paraId="2A475DC3" w14:textId="77777777" w:rsidR="0095384B" w:rsidRDefault="0095384B" w:rsidP="0095384B">
      <w:pPr>
        <w:spacing w:after="120" w:line="360" w:lineRule="auto"/>
      </w:pPr>
    </w:p>
    <w:p w14:paraId="2B36F802" w14:textId="73FF7563" w:rsidR="00CA5B8A" w:rsidRDefault="00547170" w:rsidP="0095384B">
      <w:pPr>
        <w:spacing w:after="120" w:line="360" w:lineRule="auto"/>
      </w:pPr>
      <w:r>
        <w:t xml:space="preserve">Student Name: </w:t>
      </w:r>
      <w:r w:rsidR="00922B53">
        <w:t>Het Patel</w:t>
      </w:r>
    </w:p>
    <w:p w14:paraId="76D53C04" w14:textId="72F71074" w:rsidR="00CA5B8A" w:rsidRDefault="00547170" w:rsidP="0095384B">
      <w:pPr>
        <w:spacing w:after="120" w:line="360" w:lineRule="auto"/>
      </w:pPr>
      <w:r>
        <w:t xml:space="preserve">Student ID: </w:t>
      </w:r>
      <w:r w:rsidR="00922B53">
        <w:t>2520734</w:t>
      </w:r>
    </w:p>
    <w:p w14:paraId="1618445B" w14:textId="6E14D2D3" w:rsidR="0095384B" w:rsidRDefault="0095384B" w:rsidP="0095384B">
      <w:pPr>
        <w:spacing w:after="120" w:line="360" w:lineRule="auto"/>
      </w:pPr>
      <w:r>
        <w:t>Module Name: Marketing Management</w:t>
      </w:r>
    </w:p>
    <w:p w14:paraId="01D2F822" w14:textId="1585CEB3" w:rsidR="0095384B" w:rsidRDefault="0095384B" w:rsidP="0095384B">
      <w:pPr>
        <w:spacing w:after="120" w:line="360" w:lineRule="auto"/>
      </w:pPr>
      <w:r>
        <w:t xml:space="preserve">Lecturers: Laila </w:t>
      </w:r>
      <w:proofErr w:type="spellStart"/>
      <w:r>
        <w:t>Maazouz</w:t>
      </w:r>
      <w:proofErr w:type="spellEnd"/>
    </w:p>
    <w:p w14:paraId="2E99159D" w14:textId="53B7855C" w:rsidR="00CA5B8A" w:rsidRDefault="0095384B" w:rsidP="0095384B">
      <w:pPr>
        <w:spacing w:after="120" w:line="360" w:lineRule="auto"/>
      </w:pPr>
      <w:r>
        <w:t>Lecturer code: LCMB7024</w:t>
      </w:r>
    </w:p>
    <w:p w14:paraId="4855FB47" w14:textId="77777777" w:rsidR="0095384B" w:rsidRDefault="0095384B" w:rsidP="0095384B">
      <w:pPr>
        <w:spacing w:after="120" w:line="360" w:lineRule="auto"/>
      </w:pPr>
    </w:p>
    <w:p w14:paraId="41DEFF7A" w14:textId="77777777" w:rsidR="00CA5B8A" w:rsidRDefault="00547170">
      <w:pPr>
        <w:pStyle w:val="Heading1"/>
        <w:spacing w:line="360" w:lineRule="auto"/>
      </w:pPr>
      <w:bookmarkStart w:id="0" w:name="_Toc234777776"/>
      <w:r>
        <w:lastRenderedPageBreak/>
        <w:t>Contents</w:t>
      </w:r>
      <w:bookmarkEnd w:id="0"/>
    </w:p>
    <w:sdt>
      <w:sdtPr>
        <w:alias w:val="Contents"/>
        <w:id w:val="-1461874718"/>
      </w:sdtPr>
      <w:sdtEndPr/>
      <w:sdtContent>
        <w:p w14:paraId="22FBC430" w14:textId="77777777" w:rsidR="00135759" w:rsidRDefault="00547170">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TOC \h \o "1-3" \t "Heading1,1,Heading2,2,Heading3,3"</w:instrText>
          </w:r>
          <w:r>
            <w:fldChar w:fldCharType="separate"/>
          </w:r>
          <w:hyperlink w:anchor="_Toc234777776" w:history="1">
            <w:r w:rsidR="00135759" w:rsidRPr="00253783">
              <w:rPr>
                <w:rStyle w:val="Hyperlink"/>
                <w:noProof/>
              </w:rPr>
              <w:t>Contents</w:t>
            </w:r>
            <w:r w:rsidR="00135759">
              <w:rPr>
                <w:noProof/>
              </w:rPr>
              <w:tab/>
            </w:r>
            <w:r w:rsidR="00135759">
              <w:rPr>
                <w:noProof/>
              </w:rPr>
              <w:fldChar w:fldCharType="begin"/>
            </w:r>
            <w:r w:rsidR="00135759">
              <w:rPr>
                <w:noProof/>
              </w:rPr>
              <w:instrText xml:space="preserve"> PAGEREF _Toc234777776 \h </w:instrText>
            </w:r>
            <w:r w:rsidR="00135759">
              <w:rPr>
                <w:noProof/>
              </w:rPr>
            </w:r>
            <w:r w:rsidR="00135759">
              <w:rPr>
                <w:noProof/>
              </w:rPr>
              <w:fldChar w:fldCharType="separate"/>
            </w:r>
            <w:r w:rsidR="00135759">
              <w:rPr>
                <w:noProof/>
              </w:rPr>
              <w:t>2</w:t>
            </w:r>
            <w:r w:rsidR="00135759">
              <w:rPr>
                <w:noProof/>
              </w:rPr>
              <w:fldChar w:fldCharType="end"/>
            </w:r>
          </w:hyperlink>
        </w:p>
        <w:p w14:paraId="2FA22940" w14:textId="77777777" w:rsidR="00135759" w:rsidRDefault="00135759">
          <w:pPr>
            <w:pStyle w:val="TOC1"/>
            <w:tabs>
              <w:tab w:val="right" w:leader="dot" w:pos="9016"/>
            </w:tabs>
            <w:rPr>
              <w:rFonts w:asciiTheme="minorHAnsi" w:eastAsiaTheme="minorEastAsia" w:hAnsiTheme="minorHAnsi" w:cstheme="minorBidi"/>
              <w:noProof/>
              <w:kern w:val="2"/>
              <w14:ligatures w14:val="standardContextual"/>
            </w:rPr>
          </w:pPr>
          <w:hyperlink w:anchor="_Toc234777777" w:history="1">
            <w:r w:rsidRPr="00253783">
              <w:rPr>
                <w:rStyle w:val="Hyperlink"/>
                <w:noProof/>
              </w:rPr>
              <w:t>1. Introdu</w:t>
            </w:r>
            <w:r w:rsidRPr="00253783">
              <w:rPr>
                <w:rStyle w:val="Hyperlink"/>
                <w:noProof/>
              </w:rPr>
              <w:t>c</w:t>
            </w:r>
            <w:r w:rsidRPr="00253783">
              <w:rPr>
                <w:rStyle w:val="Hyperlink"/>
                <w:noProof/>
              </w:rPr>
              <w:t>tion</w:t>
            </w:r>
            <w:r>
              <w:rPr>
                <w:noProof/>
              </w:rPr>
              <w:tab/>
            </w:r>
            <w:r>
              <w:rPr>
                <w:noProof/>
              </w:rPr>
              <w:fldChar w:fldCharType="begin"/>
            </w:r>
            <w:r>
              <w:rPr>
                <w:noProof/>
              </w:rPr>
              <w:instrText xml:space="preserve"> PAGEREF _Toc234777777 \h </w:instrText>
            </w:r>
            <w:r>
              <w:rPr>
                <w:noProof/>
              </w:rPr>
            </w:r>
            <w:r>
              <w:rPr>
                <w:noProof/>
              </w:rPr>
              <w:fldChar w:fldCharType="separate"/>
            </w:r>
            <w:r>
              <w:rPr>
                <w:noProof/>
              </w:rPr>
              <w:t>3</w:t>
            </w:r>
            <w:r>
              <w:rPr>
                <w:noProof/>
              </w:rPr>
              <w:fldChar w:fldCharType="end"/>
            </w:r>
          </w:hyperlink>
        </w:p>
        <w:p w14:paraId="7B153E7C" w14:textId="77777777" w:rsidR="00135759" w:rsidRDefault="00135759">
          <w:pPr>
            <w:pStyle w:val="TOC1"/>
            <w:tabs>
              <w:tab w:val="right" w:leader="dot" w:pos="9016"/>
            </w:tabs>
            <w:rPr>
              <w:rFonts w:asciiTheme="minorHAnsi" w:eastAsiaTheme="minorEastAsia" w:hAnsiTheme="minorHAnsi" w:cstheme="minorBidi"/>
              <w:noProof/>
              <w:kern w:val="2"/>
              <w14:ligatures w14:val="standardContextual"/>
            </w:rPr>
          </w:pPr>
          <w:hyperlink w:anchor="_Toc234777778" w:history="1">
            <w:r w:rsidRPr="00253783">
              <w:rPr>
                <w:rStyle w:val="Hyperlink"/>
                <w:noProof/>
              </w:rPr>
              <w:t>2. Tas</w:t>
            </w:r>
            <w:r w:rsidRPr="00253783">
              <w:rPr>
                <w:rStyle w:val="Hyperlink"/>
                <w:noProof/>
              </w:rPr>
              <w:t>k</w:t>
            </w:r>
            <w:r w:rsidRPr="00253783">
              <w:rPr>
                <w:rStyle w:val="Hyperlink"/>
                <w:noProof/>
              </w:rPr>
              <w:t xml:space="preserve"> 1: Marketing Environment Analysis</w:t>
            </w:r>
            <w:r>
              <w:rPr>
                <w:noProof/>
              </w:rPr>
              <w:tab/>
            </w:r>
            <w:r>
              <w:rPr>
                <w:noProof/>
              </w:rPr>
              <w:fldChar w:fldCharType="begin"/>
            </w:r>
            <w:r>
              <w:rPr>
                <w:noProof/>
              </w:rPr>
              <w:instrText xml:space="preserve"> PAGEREF _Toc234777778 \h </w:instrText>
            </w:r>
            <w:r>
              <w:rPr>
                <w:noProof/>
              </w:rPr>
            </w:r>
            <w:r>
              <w:rPr>
                <w:noProof/>
              </w:rPr>
              <w:fldChar w:fldCharType="separate"/>
            </w:r>
            <w:r>
              <w:rPr>
                <w:noProof/>
              </w:rPr>
              <w:t>3</w:t>
            </w:r>
            <w:r>
              <w:rPr>
                <w:noProof/>
              </w:rPr>
              <w:fldChar w:fldCharType="end"/>
            </w:r>
          </w:hyperlink>
        </w:p>
        <w:p w14:paraId="790B0AC3"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79" w:history="1">
            <w:r w:rsidRPr="00253783">
              <w:rPr>
                <w:rStyle w:val="Hyperlink"/>
                <w:noProof/>
              </w:rPr>
              <w:t>2.1 Context: BHP and the low-carbon transition</w:t>
            </w:r>
            <w:r>
              <w:rPr>
                <w:noProof/>
              </w:rPr>
              <w:tab/>
            </w:r>
            <w:r>
              <w:rPr>
                <w:noProof/>
              </w:rPr>
              <w:fldChar w:fldCharType="begin"/>
            </w:r>
            <w:r>
              <w:rPr>
                <w:noProof/>
              </w:rPr>
              <w:instrText xml:space="preserve"> PAGEREF _Toc234777779 \h </w:instrText>
            </w:r>
            <w:r>
              <w:rPr>
                <w:noProof/>
              </w:rPr>
            </w:r>
            <w:r>
              <w:rPr>
                <w:noProof/>
              </w:rPr>
              <w:fldChar w:fldCharType="separate"/>
            </w:r>
            <w:r>
              <w:rPr>
                <w:noProof/>
              </w:rPr>
              <w:t>3</w:t>
            </w:r>
            <w:r>
              <w:rPr>
                <w:noProof/>
              </w:rPr>
              <w:fldChar w:fldCharType="end"/>
            </w:r>
          </w:hyperlink>
        </w:p>
        <w:p w14:paraId="37A8D473"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0" w:history="1">
            <w:r w:rsidRPr="00253783">
              <w:rPr>
                <w:rStyle w:val="Hyperlink"/>
                <w:noProof/>
              </w:rPr>
              <w:t>2.2 The Natural Environment</w:t>
            </w:r>
            <w:r>
              <w:rPr>
                <w:noProof/>
              </w:rPr>
              <w:tab/>
            </w:r>
            <w:r>
              <w:rPr>
                <w:noProof/>
              </w:rPr>
              <w:fldChar w:fldCharType="begin"/>
            </w:r>
            <w:r>
              <w:rPr>
                <w:noProof/>
              </w:rPr>
              <w:instrText xml:space="preserve"> PAGEREF _Toc234777780 \h </w:instrText>
            </w:r>
            <w:r>
              <w:rPr>
                <w:noProof/>
              </w:rPr>
            </w:r>
            <w:r>
              <w:rPr>
                <w:noProof/>
              </w:rPr>
              <w:fldChar w:fldCharType="separate"/>
            </w:r>
            <w:r>
              <w:rPr>
                <w:noProof/>
              </w:rPr>
              <w:t>3</w:t>
            </w:r>
            <w:r>
              <w:rPr>
                <w:noProof/>
              </w:rPr>
              <w:fldChar w:fldCharType="end"/>
            </w:r>
          </w:hyperlink>
        </w:p>
        <w:p w14:paraId="62EB121F"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1" w:history="1">
            <w:r w:rsidRPr="00253783">
              <w:rPr>
                <w:rStyle w:val="Hyperlink"/>
                <w:noProof/>
              </w:rPr>
              <w:t>2.3 The Political-Legal Environment</w:t>
            </w:r>
            <w:r>
              <w:rPr>
                <w:noProof/>
              </w:rPr>
              <w:tab/>
            </w:r>
            <w:r>
              <w:rPr>
                <w:noProof/>
              </w:rPr>
              <w:fldChar w:fldCharType="begin"/>
            </w:r>
            <w:r>
              <w:rPr>
                <w:noProof/>
              </w:rPr>
              <w:instrText xml:space="preserve"> PAGEREF _Toc234777781 \h </w:instrText>
            </w:r>
            <w:r>
              <w:rPr>
                <w:noProof/>
              </w:rPr>
            </w:r>
            <w:r>
              <w:rPr>
                <w:noProof/>
              </w:rPr>
              <w:fldChar w:fldCharType="separate"/>
            </w:r>
            <w:r>
              <w:rPr>
                <w:noProof/>
              </w:rPr>
              <w:t>5</w:t>
            </w:r>
            <w:r>
              <w:rPr>
                <w:noProof/>
              </w:rPr>
              <w:fldChar w:fldCharType="end"/>
            </w:r>
          </w:hyperlink>
        </w:p>
        <w:p w14:paraId="6F232100"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2" w:history="1">
            <w:r w:rsidRPr="00253783">
              <w:rPr>
                <w:rStyle w:val="Hyperlink"/>
                <w:noProof/>
              </w:rPr>
              <w:t>2.4 Sy</w:t>
            </w:r>
            <w:r w:rsidRPr="00253783">
              <w:rPr>
                <w:rStyle w:val="Hyperlink"/>
                <w:noProof/>
              </w:rPr>
              <w:t>n</w:t>
            </w:r>
            <w:r w:rsidRPr="00253783">
              <w:rPr>
                <w:rStyle w:val="Hyperlink"/>
                <w:noProof/>
              </w:rPr>
              <w:t>thesis</w:t>
            </w:r>
            <w:r>
              <w:rPr>
                <w:noProof/>
              </w:rPr>
              <w:tab/>
            </w:r>
            <w:r>
              <w:rPr>
                <w:noProof/>
              </w:rPr>
              <w:fldChar w:fldCharType="begin"/>
            </w:r>
            <w:r>
              <w:rPr>
                <w:noProof/>
              </w:rPr>
              <w:instrText xml:space="preserve"> PAGEREF _Toc234777782 \h </w:instrText>
            </w:r>
            <w:r>
              <w:rPr>
                <w:noProof/>
              </w:rPr>
            </w:r>
            <w:r>
              <w:rPr>
                <w:noProof/>
              </w:rPr>
              <w:fldChar w:fldCharType="separate"/>
            </w:r>
            <w:r>
              <w:rPr>
                <w:noProof/>
              </w:rPr>
              <w:t>6</w:t>
            </w:r>
            <w:r>
              <w:rPr>
                <w:noProof/>
              </w:rPr>
              <w:fldChar w:fldCharType="end"/>
            </w:r>
          </w:hyperlink>
        </w:p>
        <w:p w14:paraId="31B5F2DD" w14:textId="77777777" w:rsidR="00135759" w:rsidRDefault="00135759">
          <w:pPr>
            <w:pStyle w:val="TOC1"/>
            <w:tabs>
              <w:tab w:val="right" w:leader="dot" w:pos="9016"/>
            </w:tabs>
            <w:rPr>
              <w:rFonts w:asciiTheme="minorHAnsi" w:eastAsiaTheme="minorEastAsia" w:hAnsiTheme="minorHAnsi" w:cstheme="minorBidi"/>
              <w:noProof/>
              <w:kern w:val="2"/>
              <w14:ligatures w14:val="standardContextual"/>
            </w:rPr>
          </w:pPr>
          <w:hyperlink w:anchor="_Toc234777783" w:history="1">
            <w:r w:rsidRPr="00253783">
              <w:rPr>
                <w:rStyle w:val="Hyperlink"/>
                <w:noProof/>
              </w:rPr>
              <w:t>3. Task 2: Strategic Growth and Competitive Positioning</w:t>
            </w:r>
            <w:r>
              <w:rPr>
                <w:noProof/>
              </w:rPr>
              <w:tab/>
            </w:r>
            <w:r>
              <w:rPr>
                <w:noProof/>
              </w:rPr>
              <w:fldChar w:fldCharType="begin"/>
            </w:r>
            <w:r>
              <w:rPr>
                <w:noProof/>
              </w:rPr>
              <w:instrText xml:space="preserve"> PAGEREF _Toc234777783 \h </w:instrText>
            </w:r>
            <w:r>
              <w:rPr>
                <w:noProof/>
              </w:rPr>
            </w:r>
            <w:r>
              <w:rPr>
                <w:noProof/>
              </w:rPr>
              <w:fldChar w:fldCharType="separate"/>
            </w:r>
            <w:r>
              <w:rPr>
                <w:noProof/>
              </w:rPr>
              <w:t>6</w:t>
            </w:r>
            <w:r>
              <w:rPr>
                <w:noProof/>
              </w:rPr>
              <w:fldChar w:fldCharType="end"/>
            </w:r>
          </w:hyperlink>
        </w:p>
        <w:p w14:paraId="2C32D77C"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4" w:history="1">
            <w:r w:rsidRPr="00253783">
              <w:rPr>
                <w:rStyle w:val="Hyperlink"/>
                <w:noProof/>
              </w:rPr>
              <w:t>3.1 Applying the Ansoff Matrix</w:t>
            </w:r>
            <w:r>
              <w:rPr>
                <w:noProof/>
              </w:rPr>
              <w:tab/>
            </w:r>
            <w:r>
              <w:rPr>
                <w:noProof/>
              </w:rPr>
              <w:fldChar w:fldCharType="begin"/>
            </w:r>
            <w:r>
              <w:rPr>
                <w:noProof/>
              </w:rPr>
              <w:instrText xml:space="preserve"> PAGEREF _Toc234777784 \h </w:instrText>
            </w:r>
            <w:r>
              <w:rPr>
                <w:noProof/>
              </w:rPr>
            </w:r>
            <w:r>
              <w:rPr>
                <w:noProof/>
              </w:rPr>
              <w:fldChar w:fldCharType="separate"/>
            </w:r>
            <w:r>
              <w:rPr>
                <w:noProof/>
              </w:rPr>
              <w:t>6</w:t>
            </w:r>
            <w:r>
              <w:rPr>
                <w:noProof/>
              </w:rPr>
              <w:fldChar w:fldCharType="end"/>
            </w:r>
          </w:hyperlink>
        </w:p>
        <w:p w14:paraId="358189A9"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5" w:history="1">
            <w:r w:rsidRPr="00253783">
              <w:rPr>
                <w:rStyle w:val="Hyperlink"/>
                <w:noProof/>
              </w:rPr>
              <w:t>3.2 Evaluating the four options</w:t>
            </w:r>
            <w:r>
              <w:rPr>
                <w:noProof/>
              </w:rPr>
              <w:tab/>
            </w:r>
            <w:r>
              <w:rPr>
                <w:noProof/>
              </w:rPr>
              <w:fldChar w:fldCharType="begin"/>
            </w:r>
            <w:r>
              <w:rPr>
                <w:noProof/>
              </w:rPr>
              <w:instrText xml:space="preserve"> PAGEREF _Toc234777785 \h </w:instrText>
            </w:r>
            <w:r>
              <w:rPr>
                <w:noProof/>
              </w:rPr>
            </w:r>
            <w:r>
              <w:rPr>
                <w:noProof/>
              </w:rPr>
              <w:fldChar w:fldCharType="separate"/>
            </w:r>
            <w:r>
              <w:rPr>
                <w:noProof/>
              </w:rPr>
              <w:t>7</w:t>
            </w:r>
            <w:r>
              <w:rPr>
                <w:noProof/>
              </w:rPr>
              <w:fldChar w:fldCharType="end"/>
            </w:r>
          </w:hyperlink>
        </w:p>
        <w:p w14:paraId="458AFB86"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6" w:history="1">
            <w:r w:rsidRPr="00253783">
              <w:rPr>
                <w:rStyle w:val="Hyperlink"/>
                <w:noProof/>
              </w:rPr>
              <w:t>3.3 Recommended strategy: Product Development with complementary Market Development</w:t>
            </w:r>
            <w:r>
              <w:rPr>
                <w:noProof/>
              </w:rPr>
              <w:tab/>
            </w:r>
            <w:r>
              <w:rPr>
                <w:noProof/>
              </w:rPr>
              <w:fldChar w:fldCharType="begin"/>
            </w:r>
            <w:r>
              <w:rPr>
                <w:noProof/>
              </w:rPr>
              <w:instrText xml:space="preserve"> PAGEREF _Toc234777786 \h </w:instrText>
            </w:r>
            <w:r>
              <w:rPr>
                <w:noProof/>
              </w:rPr>
            </w:r>
            <w:r>
              <w:rPr>
                <w:noProof/>
              </w:rPr>
              <w:fldChar w:fldCharType="separate"/>
            </w:r>
            <w:r>
              <w:rPr>
                <w:noProof/>
              </w:rPr>
              <w:t>7</w:t>
            </w:r>
            <w:r>
              <w:rPr>
                <w:noProof/>
              </w:rPr>
              <w:fldChar w:fldCharType="end"/>
            </w:r>
          </w:hyperlink>
        </w:p>
        <w:p w14:paraId="7FE0296E"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7" w:history="1">
            <w:r w:rsidRPr="00253783">
              <w:rPr>
                <w:rStyle w:val="Hyperlink"/>
                <w:noProof/>
              </w:rPr>
              <w:t>3.4 Competitive advantage through Porter’s differentiation strategy</w:t>
            </w:r>
            <w:r>
              <w:rPr>
                <w:noProof/>
              </w:rPr>
              <w:tab/>
            </w:r>
            <w:r>
              <w:rPr>
                <w:noProof/>
              </w:rPr>
              <w:fldChar w:fldCharType="begin"/>
            </w:r>
            <w:r>
              <w:rPr>
                <w:noProof/>
              </w:rPr>
              <w:instrText xml:space="preserve"> PAGEREF _Toc234777787 \h </w:instrText>
            </w:r>
            <w:r>
              <w:rPr>
                <w:noProof/>
              </w:rPr>
            </w:r>
            <w:r>
              <w:rPr>
                <w:noProof/>
              </w:rPr>
              <w:fldChar w:fldCharType="separate"/>
            </w:r>
            <w:r>
              <w:rPr>
                <w:noProof/>
              </w:rPr>
              <w:t>8</w:t>
            </w:r>
            <w:r>
              <w:rPr>
                <w:noProof/>
              </w:rPr>
              <w:fldChar w:fldCharType="end"/>
            </w:r>
          </w:hyperlink>
        </w:p>
        <w:p w14:paraId="55A2546D"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88" w:history="1">
            <w:r w:rsidRPr="00253783">
              <w:rPr>
                <w:rStyle w:val="Hyperlink"/>
                <w:noProof/>
              </w:rPr>
              <w:t>3.5 Risks and limitations</w:t>
            </w:r>
            <w:r>
              <w:rPr>
                <w:noProof/>
              </w:rPr>
              <w:tab/>
            </w:r>
            <w:r>
              <w:rPr>
                <w:noProof/>
              </w:rPr>
              <w:fldChar w:fldCharType="begin"/>
            </w:r>
            <w:r>
              <w:rPr>
                <w:noProof/>
              </w:rPr>
              <w:instrText xml:space="preserve"> PAGEREF _Toc234777788 \h </w:instrText>
            </w:r>
            <w:r>
              <w:rPr>
                <w:noProof/>
              </w:rPr>
            </w:r>
            <w:r>
              <w:rPr>
                <w:noProof/>
              </w:rPr>
              <w:fldChar w:fldCharType="separate"/>
            </w:r>
            <w:r>
              <w:rPr>
                <w:noProof/>
              </w:rPr>
              <w:t>9</w:t>
            </w:r>
            <w:r>
              <w:rPr>
                <w:noProof/>
              </w:rPr>
              <w:fldChar w:fldCharType="end"/>
            </w:r>
          </w:hyperlink>
        </w:p>
        <w:p w14:paraId="4F8DAFFD" w14:textId="77777777" w:rsidR="00135759" w:rsidRDefault="00135759">
          <w:pPr>
            <w:pStyle w:val="TOC1"/>
            <w:tabs>
              <w:tab w:val="right" w:leader="dot" w:pos="9016"/>
            </w:tabs>
            <w:rPr>
              <w:rFonts w:asciiTheme="minorHAnsi" w:eastAsiaTheme="minorEastAsia" w:hAnsiTheme="minorHAnsi" w:cstheme="minorBidi"/>
              <w:noProof/>
              <w:kern w:val="2"/>
              <w14:ligatures w14:val="standardContextual"/>
            </w:rPr>
          </w:pPr>
          <w:hyperlink w:anchor="_Toc234777789" w:history="1">
            <w:r w:rsidRPr="00253783">
              <w:rPr>
                <w:rStyle w:val="Hyperlink"/>
                <w:noProof/>
              </w:rPr>
              <w:t>4. Task 3: Critical Reflection on AI Usage</w:t>
            </w:r>
            <w:r>
              <w:rPr>
                <w:noProof/>
              </w:rPr>
              <w:tab/>
            </w:r>
            <w:r>
              <w:rPr>
                <w:noProof/>
              </w:rPr>
              <w:fldChar w:fldCharType="begin"/>
            </w:r>
            <w:r>
              <w:rPr>
                <w:noProof/>
              </w:rPr>
              <w:instrText xml:space="preserve"> PAGEREF _Toc234777789 \h </w:instrText>
            </w:r>
            <w:r>
              <w:rPr>
                <w:noProof/>
              </w:rPr>
            </w:r>
            <w:r>
              <w:rPr>
                <w:noProof/>
              </w:rPr>
              <w:fldChar w:fldCharType="separate"/>
            </w:r>
            <w:r>
              <w:rPr>
                <w:noProof/>
              </w:rPr>
              <w:t>9</w:t>
            </w:r>
            <w:r>
              <w:rPr>
                <w:noProof/>
              </w:rPr>
              <w:fldChar w:fldCharType="end"/>
            </w:r>
          </w:hyperlink>
        </w:p>
        <w:p w14:paraId="09A56750"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90" w:history="1">
            <w:r w:rsidRPr="00253783">
              <w:rPr>
                <w:rStyle w:val="Hyperlink"/>
                <w:noProof/>
              </w:rPr>
              <w:t>4.1 Tool disclosure</w:t>
            </w:r>
            <w:r>
              <w:rPr>
                <w:noProof/>
              </w:rPr>
              <w:tab/>
            </w:r>
            <w:r>
              <w:rPr>
                <w:noProof/>
              </w:rPr>
              <w:fldChar w:fldCharType="begin"/>
            </w:r>
            <w:r>
              <w:rPr>
                <w:noProof/>
              </w:rPr>
              <w:instrText xml:space="preserve"> PAGEREF _Toc234777790 \h </w:instrText>
            </w:r>
            <w:r>
              <w:rPr>
                <w:noProof/>
              </w:rPr>
            </w:r>
            <w:r>
              <w:rPr>
                <w:noProof/>
              </w:rPr>
              <w:fldChar w:fldCharType="separate"/>
            </w:r>
            <w:r>
              <w:rPr>
                <w:noProof/>
              </w:rPr>
              <w:t>9</w:t>
            </w:r>
            <w:r>
              <w:rPr>
                <w:noProof/>
              </w:rPr>
              <w:fldChar w:fldCharType="end"/>
            </w:r>
          </w:hyperlink>
        </w:p>
        <w:p w14:paraId="297918D8"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91" w:history="1">
            <w:r w:rsidRPr="00253783">
              <w:rPr>
                <w:rStyle w:val="Hyperlink"/>
                <w:noProof/>
              </w:rPr>
              <w:t>4.2 Critical evaluation of AI output</w:t>
            </w:r>
            <w:r>
              <w:rPr>
                <w:noProof/>
              </w:rPr>
              <w:tab/>
            </w:r>
            <w:r>
              <w:rPr>
                <w:noProof/>
              </w:rPr>
              <w:fldChar w:fldCharType="begin"/>
            </w:r>
            <w:r>
              <w:rPr>
                <w:noProof/>
              </w:rPr>
              <w:instrText xml:space="preserve"> PAGEREF _Toc234777791 \h </w:instrText>
            </w:r>
            <w:r>
              <w:rPr>
                <w:noProof/>
              </w:rPr>
            </w:r>
            <w:r>
              <w:rPr>
                <w:noProof/>
              </w:rPr>
              <w:fldChar w:fldCharType="separate"/>
            </w:r>
            <w:r>
              <w:rPr>
                <w:noProof/>
              </w:rPr>
              <w:t>9</w:t>
            </w:r>
            <w:r>
              <w:rPr>
                <w:noProof/>
              </w:rPr>
              <w:fldChar w:fldCharType="end"/>
            </w:r>
          </w:hyperlink>
        </w:p>
        <w:p w14:paraId="25BAD376"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92" w:history="1">
            <w:r w:rsidRPr="00253783">
              <w:rPr>
                <w:rStyle w:val="Hyperlink"/>
                <w:noProof/>
              </w:rPr>
              <w:t>4.3 Contribution analysis</w:t>
            </w:r>
            <w:r>
              <w:rPr>
                <w:noProof/>
              </w:rPr>
              <w:tab/>
            </w:r>
            <w:r>
              <w:rPr>
                <w:noProof/>
              </w:rPr>
              <w:fldChar w:fldCharType="begin"/>
            </w:r>
            <w:r>
              <w:rPr>
                <w:noProof/>
              </w:rPr>
              <w:instrText xml:space="preserve"> PAGEREF _Toc234777792 \h </w:instrText>
            </w:r>
            <w:r>
              <w:rPr>
                <w:noProof/>
              </w:rPr>
            </w:r>
            <w:r>
              <w:rPr>
                <w:noProof/>
              </w:rPr>
              <w:fldChar w:fldCharType="separate"/>
            </w:r>
            <w:r>
              <w:rPr>
                <w:noProof/>
              </w:rPr>
              <w:t>10</w:t>
            </w:r>
            <w:r>
              <w:rPr>
                <w:noProof/>
              </w:rPr>
              <w:fldChar w:fldCharType="end"/>
            </w:r>
          </w:hyperlink>
        </w:p>
        <w:p w14:paraId="0B4F2A2A" w14:textId="77777777" w:rsidR="00135759" w:rsidRDefault="00135759">
          <w:pPr>
            <w:pStyle w:val="TOC2"/>
            <w:tabs>
              <w:tab w:val="right" w:leader="dot" w:pos="9016"/>
            </w:tabs>
            <w:rPr>
              <w:rFonts w:asciiTheme="minorHAnsi" w:eastAsiaTheme="minorEastAsia" w:hAnsiTheme="minorHAnsi" w:cstheme="minorBidi"/>
              <w:noProof/>
              <w:kern w:val="2"/>
              <w14:ligatures w14:val="standardContextual"/>
            </w:rPr>
          </w:pPr>
          <w:hyperlink w:anchor="_Toc234777793" w:history="1">
            <w:r w:rsidRPr="00253783">
              <w:rPr>
                <w:rStyle w:val="Hyperlink"/>
                <w:noProof/>
              </w:rPr>
              <w:t>4.4 Ethical and professional reflection</w:t>
            </w:r>
            <w:r>
              <w:rPr>
                <w:noProof/>
              </w:rPr>
              <w:tab/>
            </w:r>
            <w:r>
              <w:rPr>
                <w:noProof/>
              </w:rPr>
              <w:fldChar w:fldCharType="begin"/>
            </w:r>
            <w:r>
              <w:rPr>
                <w:noProof/>
              </w:rPr>
              <w:instrText xml:space="preserve"> PAGEREF _Toc234777793 \h </w:instrText>
            </w:r>
            <w:r>
              <w:rPr>
                <w:noProof/>
              </w:rPr>
            </w:r>
            <w:r>
              <w:rPr>
                <w:noProof/>
              </w:rPr>
              <w:fldChar w:fldCharType="separate"/>
            </w:r>
            <w:r>
              <w:rPr>
                <w:noProof/>
              </w:rPr>
              <w:t>10</w:t>
            </w:r>
            <w:r>
              <w:rPr>
                <w:noProof/>
              </w:rPr>
              <w:fldChar w:fldCharType="end"/>
            </w:r>
          </w:hyperlink>
        </w:p>
        <w:p w14:paraId="461E6335" w14:textId="13370327" w:rsidR="00CA5B8A" w:rsidRDefault="00135759" w:rsidP="0095384B">
          <w:pPr>
            <w:pStyle w:val="TOC1"/>
            <w:tabs>
              <w:tab w:val="right" w:leader="dot" w:pos="9016"/>
            </w:tabs>
          </w:pPr>
          <w:hyperlink w:anchor="_Toc234777794" w:history="1">
            <w:r w:rsidRPr="00253783">
              <w:rPr>
                <w:rStyle w:val="Hyperlink"/>
                <w:noProof/>
              </w:rPr>
              <w:t>Referen</w:t>
            </w:r>
            <w:r w:rsidRPr="00253783">
              <w:rPr>
                <w:rStyle w:val="Hyperlink"/>
                <w:noProof/>
              </w:rPr>
              <w:t>c</w:t>
            </w:r>
            <w:r w:rsidRPr="00253783">
              <w:rPr>
                <w:rStyle w:val="Hyperlink"/>
                <w:noProof/>
              </w:rPr>
              <w:t>es</w:t>
            </w:r>
            <w:r>
              <w:rPr>
                <w:noProof/>
              </w:rPr>
              <w:tab/>
            </w:r>
            <w:r>
              <w:rPr>
                <w:noProof/>
              </w:rPr>
              <w:fldChar w:fldCharType="begin"/>
            </w:r>
            <w:r>
              <w:rPr>
                <w:noProof/>
              </w:rPr>
              <w:instrText xml:space="preserve"> PAGEREF _Toc234777794 \h </w:instrText>
            </w:r>
            <w:r>
              <w:rPr>
                <w:noProof/>
              </w:rPr>
            </w:r>
            <w:r>
              <w:rPr>
                <w:noProof/>
              </w:rPr>
              <w:fldChar w:fldCharType="separate"/>
            </w:r>
            <w:r>
              <w:rPr>
                <w:noProof/>
              </w:rPr>
              <w:t>11</w:t>
            </w:r>
            <w:r>
              <w:rPr>
                <w:noProof/>
              </w:rPr>
              <w:fldChar w:fldCharType="end"/>
            </w:r>
          </w:hyperlink>
          <w:r w:rsidR="00547170">
            <w:fldChar w:fldCharType="end"/>
          </w:r>
        </w:p>
      </w:sdtContent>
    </w:sdt>
    <w:p w14:paraId="16D0B31C" w14:textId="77777777" w:rsidR="00CA5B8A" w:rsidRDefault="00547170">
      <w:r>
        <w:br w:type="page"/>
      </w:r>
    </w:p>
    <w:p w14:paraId="5F73FE41" w14:textId="77777777" w:rsidR="00CA5B8A" w:rsidRDefault="00547170">
      <w:pPr>
        <w:pStyle w:val="Heading1"/>
        <w:spacing w:line="360" w:lineRule="auto"/>
      </w:pPr>
      <w:bookmarkStart w:id="1" w:name="_Toc234777777"/>
      <w:r>
        <w:lastRenderedPageBreak/>
        <w:t>1. Introduction</w:t>
      </w:r>
      <w:bookmarkEnd w:id="1"/>
    </w:p>
    <w:p w14:paraId="7FEDEF95" w14:textId="77777777" w:rsidR="00CA5B8A" w:rsidRDefault="00547170">
      <w:pPr>
        <w:spacing w:after="200" w:line="360" w:lineRule="auto"/>
        <w:jc w:val="both"/>
      </w:pPr>
      <w:r>
        <w:t>The global metals and mining sector is under sustained pressure to decarbonise its products, its operations and, above all, its narratives. Kotler et al. (2024) emphasise that the marketing environment is not a passive backdrop but an active shaper of strategy: firms that scan it well can convert ecological, regulatory and technological pressures into differentiated offers, whereas those that scan it poorly incur stranded assets and reputational damage. This report examines BHP, one of the world’s largest d</w:t>
      </w:r>
      <w:r>
        <w:t>iversified miners, in the context of its declared transition toward lower-carbon products. Task 1 critically analyses two external marketing environment actors influencing this transition, focusing primarily on the natural environment and complementing this with the political-legal environment. Task 2 recommends a strategic growth pathway using the Ansoff Matrix, linked to Porter’s (1985) generic strategies. Task 3 provides a critical reflection on how Artificial Intelligence was used in producing the repor</w:t>
      </w:r>
      <w:r>
        <w:t>t, in line with the assessment’s permitted boundaries.</w:t>
      </w:r>
    </w:p>
    <w:p w14:paraId="660D1D83" w14:textId="77777777" w:rsidR="00CA5B8A" w:rsidRDefault="00547170">
      <w:pPr>
        <w:pStyle w:val="Heading1"/>
        <w:spacing w:line="360" w:lineRule="auto"/>
      </w:pPr>
      <w:bookmarkStart w:id="2" w:name="_Toc234777778"/>
      <w:r>
        <w:t>2. Task 1: Marketing Environment Analysis</w:t>
      </w:r>
      <w:bookmarkEnd w:id="2"/>
    </w:p>
    <w:p w14:paraId="20322A7F" w14:textId="77777777" w:rsidR="00CA5B8A" w:rsidRDefault="00547170">
      <w:pPr>
        <w:pStyle w:val="Heading2"/>
        <w:spacing w:line="360" w:lineRule="auto"/>
      </w:pPr>
      <w:bookmarkStart w:id="3" w:name="_Toc234777779"/>
      <w:r>
        <w:t>2.1 Context: BHP and the low-carbon transition</w:t>
      </w:r>
      <w:bookmarkEnd w:id="3"/>
    </w:p>
    <w:p w14:paraId="3F94FFF0" w14:textId="77777777" w:rsidR="00CA5B8A" w:rsidRDefault="00547170">
      <w:pPr>
        <w:spacing w:after="200" w:line="360" w:lineRule="auto"/>
        <w:jc w:val="both"/>
      </w:pPr>
      <w:r>
        <w:t>BHP, headquartered in Melbourne, operates a diversified portfolio spanning iron ore, copper, nickel, metallurgical coal and potash, supplying customers principally in East Asia and, increasingly, Europe (BHP, 2024a). Its stated strategy centres on “future-facing commodities” required by decarbonisation – notably copper for electrification and nickel for batteries – while progressively reducing the emissions intensity of legacy operations (BHP, 2024b). Understanding the external environment matters here beca</w:t>
      </w:r>
      <w:r>
        <w:t>use the marketing implications of the low-carbon transition extend well beyond compliance to encompass product design, customer segmentation, pricing and brand positioning (Kotler et al., 2024). The following analysis applies Kotler et al.’s (2024) macroenvironmental framework, concentrating on the natural environment and complementing this with the political-legal environment given their tight coupling in the mining context.</w:t>
      </w:r>
    </w:p>
    <w:p w14:paraId="3746269E" w14:textId="77777777" w:rsidR="0095384B" w:rsidRDefault="0095384B">
      <w:pPr>
        <w:spacing w:after="200" w:line="360" w:lineRule="auto"/>
        <w:jc w:val="both"/>
      </w:pPr>
    </w:p>
    <w:p w14:paraId="522B5DB2" w14:textId="77777777" w:rsidR="00CA5B8A" w:rsidRDefault="00547170">
      <w:pPr>
        <w:pStyle w:val="Heading2"/>
        <w:spacing w:line="360" w:lineRule="auto"/>
      </w:pPr>
      <w:bookmarkStart w:id="4" w:name="_Toc234777780"/>
      <w:r>
        <w:lastRenderedPageBreak/>
        <w:t>2.2 The Natural Environment</w:t>
      </w:r>
      <w:bookmarkEnd w:id="4"/>
    </w:p>
    <w:p w14:paraId="64B668C1" w14:textId="77777777" w:rsidR="00CA5B8A" w:rsidRDefault="00547170">
      <w:pPr>
        <w:spacing w:after="200" w:line="360" w:lineRule="auto"/>
        <w:jc w:val="both"/>
      </w:pPr>
      <w:r>
        <w:t>Kotler et al. (2024, pp. 115–117) define the natural environment as the physical resources and ecological conditions that shape and constrain marketing activity, including raw material availability, pollution, energy costs and government intervention in resource management. For mining companies this actor is not peripheral but foundational: the entire business model depends on the extraction of finite geological resources whose depletion, combustion and contamination generate the very emissions now being re</w:t>
      </w:r>
      <w:r>
        <w:t>gulated.</w:t>
      </w:r>
    </w:p>
    <w:p w14:paraId="44DD8DF4" w14:textId="77777777" w:rsidR="00CA5B8A" w:rsidRDefault="00547170">
      <w:pPr>
        <w:spacing w:after="200" w:line="360" w:lineRule="auto"/>
        <w:jc w:val="both"/>
      </w:pPr>
      <w:r>
        <w:t>Three interlocking pressures shape BHP’s exposure. First, climate change has moved decisively from prediction to observation. The IPCC (2023) confirms that human-induced warming has already reached approximately 1.1°C above pre-industrial levels and that limiting warming to 1.5°C requires immediate and deep reductions across all sectors. Metals and mining are directly implicated: the sector accounts for approximately one-quarter of the reported greenhouse gas emissions of the world’s 12,000 largest companie</w:t>
      </w:r>
      <w:r>
        <w:t>s (Kotler et al., 2024). BHP’s own Scope 1 and 2 footprint is dwarfed by Scope 3 emissions, overwhelmingly those released when its metallurgical coal and iron ore are converted into steel by downstream customers (BHP, 2024b). Consequently, “decarbonising the product” cannot be achieved through cleaner operations alone; it demands a marketing conversation with customers about how the raw material is processed further along the value chain.</w:t>
      </w:r>
    </w:p>
    <w:p w14:paraId="029B9B51" w14:textId="77777777" w:rsidR="00CA5B8A" w:rsidRDefault="00547170">
      <w:pPr>
        <w:spacing w:after="200" w:line="360" w:lineRule="auto"/>
        <w:jc w:val="both"/>
      </w:pPr>
      <w:r>
        <w:t>Second, physical risks from a changing climate threaten BHP’s operating base. Water stress in northern Chile constrains copper production at Escondida, extreme heat and tropical cyclones disrupt Pilbara iron ore logistics, and biodiversity concerns increasingly shape licence to operate at greenfield sites (Delevingne et al., 2020; IEA, 2024). Hart’s (1995) natural-resource-based view predicts that firms dependent on ecologically constrained assets must develop pollution-prevention and product-stewardship ca</w:t>
      </w:r>
      <w:r>
        <w:t>pabilities as sources of competitive advantage, precisely the trajectory BHP has adopted by converting Escondida and Pampa Norte to renewable-powered operations under long-term power purchase agreements.</w:t>
      </w:r>
    </w:p>
    <w:p w14:paraId="26A22574" w14:textId="77777777" w:rsidR="00CA5B8A" w:rsidRDefault="00547170">
      <w:pPr>
        <w:spacing w:after="200" w:line="360" w:lineRule="auto"/>
        <w:jc w:val="both"/>
      </w:pPr>
      <w:r>
        <w:t xml:space="preserve">Third, resource scarcity presents both threat and opportunity. Demand for copper, nickel, cobalt and lithium is projected by the IEA (2024) to expand several-fold by 2040 under a net-zero pathway. This transforms BHP’s copper and nickel businesses from </w:t>
      </w:r>
      <w:r>
        <w:lastRenderedPageBreak/>
        <w:t xml:space="preserve">mature commodity divisions into strategic supply nodes for the energy transition, </w:t>
      </w:r>
      <w:r>
        <w:t>allowing management to reframe the corporate narrative from “extractive” to “enabling” and to justify capital allocation toward Jansen potash and copper growth options while divesting thermal coal (Bansal, 2005; BHP, 2024a).</w:t>
      </w:r>
    </w:p>
    <w:p w14:paraId="3583A15E" w14:textId="77777777" w:rsidR="00CA5B8A" w:rsidRDefault="00547170">
      <w:pPr>
        <w:spacing w:after="200" w:line="360" w:lineRule="auto"/>
        <w:jc w:val="both"/>
      </w:pPr>
      <w:r>
        <w:t>Marketing implications flow directly from these pressures. The natural environment compels BHP to segment its customer base by carbon appetite. European and Japanese steelmakers facing carbon border levies increasingly differentiate suppliers by embedded emissions, opening a premium niche for iron ore products optimised for hydrogen-based direct reduction rather than conventional blast-furnace routes (World Steel Association, 2023). Elkington’s (1997) triple bottom line thus becomes an operational marketing</w:t>
      </w:r>
      <w:r>
        <w:t xml:space="preserve"> concept rather than a rhetorical flourish: environmental attributes are written into purchase specifications, offtake contracts and product certifications.</w:t>
      </w:r>
    </w:p>
    <w:p w14:paraId="15D275E8" w14:textId="77777777" w:rsidR="00CA5B8A" w:rsidRDefault="00547170">
      <w:pPr>
        <w:pStyle w:val="Heading2"/>
        <w:spacing w:line="360" w:lineRule="auto"/>
      </w:pPr>
      <w:bookmarkStart w:id="5" w:name="_Toc234777781"/>
      <w:r>
        <w:t>2.3 The Political-Legal Environment</w:t>
      </w:r>
      <w:bookmarkEnd w:id="5"/>
    </w:p>
    <w:p w14:paraId="46020831" w14:textId="77777777" w:rsidR="00CA5B8A" w:rsidRDefault="00547170">
      <w:pPr>
        <w:spacing w:after="200" w:line="360" w:lineRule="auto"/>
        <w:jc w:val="both"/>
      </w:pPr>
      <w:r>
        <w:t>The political-legal actor mediates and amplifies natural environment pressures. Kotler et al. (2024) note that laws, regulations and pressure groups can accelerate or blunt sustainability transitions. Three regulatory developments are especially material for BHP.</w:t>
      </w:r>
    </w:p>
    <w:p w14:paraId="57012182" w14:textId="77777777" w:rsidR="00CA5B8A" w:rsidRDefault="00547170">
      <w:pPr>
        <w:spacing w:after="200" w:line="360" w:lineRule="auto"/>
        <w:jc w:val="both"/>
      </w:pPr>
      <w:r>
        <w:t>The European Union’s Carbon Border Adjustment Mechanism, enacted in Regulation (EU) 2023/956, imposes a carbon price on imports of iron, steel, aluminium, cement, fertilisers, electricity and hydrogen entering the EU market, with financial obligations phasing in from 2026 (European Union, 2023). Although BHP does not export finished steel, the mechanism cascades upstream: its steelmaking customers must reconcile their input costs with the carbon content of iron ore, creating a demand pull for lower-carbon f</w:t>
      </w:r>
      <w:r>
        <w:t>eedstocks and a corresponding marketing opportunity for suppliers who can verify low embedded emissions.</w:t>
      </w:r>
    </w:p>
    <w:p w14:paraId="616F4CAB" w14:textId="77777777" w:rsidR="00CA5B8A" w:rsidRDefault="00547170">
      <w:pPr>
        <w:spacing w:after="200" w:line="360" w:lineRule="auto"/>
        <w:jc w:val="both"/>
      </w:pPr>
      <w:r>
        <w:t>Domestically, Australia’s reformed Safeguard Mechanism requires large industrial emitters to reduce baseline emissions each year, tightening the operational cost floor for BHP’s Australian operations and reinforcing the business case for renewable power purchase agreements. Alongside this, the International Sustainability Standards Board has built on the recommendations of the Task Force on Climate-</w:t>
      </w:r>
      <w:r>
        <w:lastRenderedPageBreak/>
        <w:t xml:space="preserve">related Financial Disclosures (TCFD, 2017), moving climate reporting from voluntary </w:t>
      </w:r>
      <w:r>
        <w:t>narrative to mandated financial disclosure. This shifts the primary audience for BHP’s climate communications from activist NGOs to mainstream institutional investors and analysts, who increasingly price climate exposure into cost of capital (Porter and Kramer, 2011).</w:t>
      </w:r>
    </w:p>
    <w:p w14:paraId="05DD312A" w14:textId="77777777" w:rsidR="00CA5B8A" w:rsidRDefault="00547170">
      <w:pPr>
        <w:pStyle w:val="Heading2"/>
        <w:spacing w:line="360" w:lineRule="auto"/>
      </w:pPr>
      <w:bookmarkStart w:id="6" w:name="_Toc234777782"/>
      <w:r>
        <w:t>2.4 Synthesis</w:t>
      </w:r>
      <w:bookmarkEnd w:id="6"/>
    </w:p>
    <w:p w14:paraId="11B3C119" w14:textId="77777777" w:rsidR="00CA5B8A" w:rsidRDefault="00547170">
      <w:pPr>
        <w:spacing w:after="200" w:line="360" w:lineRule="auto"/>
        <w:jc w:val="both"/>
      </w:pPr>
      <w:r>
        <w:t>The natural and political-legal actors together constitute a coupled system: physical climate change generates regulatory response, which in turn reprices carbon-intensive products. For BHP the marketing task is to translate this repricing into differentiated propositions – low-carbon iron ore, transition-metals copper and battery-grade nickel – that customers can justify at premium prices while withstanding the scrutiny of new disclosure regimes.</w:t>
      </w:r>
    </w:p>
    <w:p w14:paraId="38038F55" w14:textId="77777777" w:rsidR="00CA5B8A" w:rsidRDefault="00547170">
      <w:pPr>
        <w:pStyle w:val="Heading1"/>
        <w:spacing w:line="360" w:lineRule="auto"/>
      </w:pPr>
      <w:bookmarkStart w:id="7" w:name="_Toc234777783"/>
      <w:r>
        <w:t>3. Task 2: Strategic Growth and Competitive Positioning</w:t>
      </w:r>
      <w:bookmarkEnd w:id="7"/>
    </w:p>
    <w:p w14:paraId="7B9E9301" w14:textId="77777777" w:rsidR="00CA5B8A" w:rsidRDefault="00547170">
      <w:pPr>
        <w:pStyle w:val="Heading2"/>
        <w:spacing w:line="360" w:lineRule="auto"/>
      </w:pPr>
      <w:bookmarkStart w:id="8" w:name="_Toc234777784"/>
      <w:r>
        <w:t>3.1 Applying the Ansoff Matrix</w:t>
      </w:r>
      <w:bookmarkEnd w:id="8"/>
    </w:p>
    <w:p w14:paraId="0D7A997C" w14:textId="77777777" w:rsidR="00CA5B8A" w:rsidRDefault="00547170">
      <w:pPr>
        <w:spacing w:after="200" w:line="360" w:lineRule="auto"/>
        <w:jc w:val="both"/>
      </w:pPr>
      <w:r>
        <w:t>Ansoff (1957) proposed the product-market matrix as a systematic tool for classifying growth vectors. Its enduring value lies in forcing management to specify whether growth derives from existing or new products and from existing or new markets, thereby exposing the risk profile of each option (Whittington, 2001; Grant, 2016). Table 1 applies the matrix to BHP’s decarbonisation transition, evaluating the four quadrants against the environmental analysis developed in Task 1.</w:t>
      </w:r>
    </w:p>
    <w:p w14:paraId="335ED0F0" w14:textId="77777777" w:rsidR="00CA5B8A" w:rsidRDefault="00547170">
      <w:pPr>
        <w:spacing w:after="120" w:line="360" w:lineRule="auto"/>
        <w:jc w:val="center"/>
      </w:pPr>
      <w:r>
        <w:rPr>
          <w:b/>
          <w:bCs/>
        </w:rPr>
        <w:t>Table 1: Ansoff Matrix applied to BHP’s lower-carbon transition</w:t>
      </w:r>
    </w:p>
    <w:tbl>
      <w:tblPr>
        <w:tblW w:w="8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3300"/>
        <w:gridCol w:w="3300"/>
      </w:tblGrid>
      <w:tr w:rsidR="00CA5B8A" w14:paraId="661ABD1A" w14:textId="77777777">
        <w:tc>
          <w:tcPr>
            <w:tcW w:w="2200" w:type="dxa"/>
            <w:shd w:val="clear" w:color="auto" w:fill="D9D9D9"/>
          </w:tcPr>
          <w:p w14:paraId="57824514" w14:textId="77777777" w:rsidR="00CA5B8A" w:rsidRDefault="00CA5B8A">
            <w:pPr>
              <w:spacing w:after="60" w:line="300" w:lineRule="auto"/>
            </w:pPr>
          </w:p>
        </w:tc>
        <w:tc>
          <w:tcPr>
            <w:tcW w:w="3300" w:type="dxa"/>
            <w:shd w:val="clear" w:color="auto" w:fill="D9D9D9"/>
          </w:tcPr>
          <w:p w14:paraId="3BA0EB74" w14:textId="77777777" w:rsidR="00CA5B8A" w:rsidRDefault="00547170">
            <w:pPr>
              <w:spacing w:after="60" w:line="300" w:lineRule="auto"/>
            </w:pPr>
            <w:r>
              <w:rPr>
                <w:b/>
                <w:bCs/>
                <w:sz w:val="22"/>
                <w:szCs w:val="22"/>
              </w:rPr>
              <w:t>Existing markets</w:t>
            </w:r>
          </w:p>
        </w:tc>
        <w:tc>
          <w:tcPr>
            <w:tcW w:w="3300" w:type="dxa"/>
            <w:shd w:val="clear" w:color="auto" w:fill="D9D9D9"/>
          </w:tcPr>
          <w:p w14:paraId="27759D28" w14:textId="77777777" w:rsidR="00CA5B8A" w:rsidRDefault="00547170">
            <w:pPr>
              <w:spacing w:after="60" w:line="300" w:lineRule="auto"/>
            </w:pPr>
            <w:r>
              <w:rPr>
                <w:b/>
                <w:bCs/>
                <w:sz w:val="22"/>
                <w:szCs w:val="22"/>
              </w:rPr>
              <w:t>New markets</w:t>
            </w:r>
          </w:p>
        </w:tc>
      </w:tr>
      <w:tr w:rsidR="00CA5B8A" w14:paraId="083C57AB" w14:textId="77777777">
        <w:tc>
          <w:tcPr>
            <w:tcW w:w="2200" w:type="dxa"/>
            <w:shd w:val="clear" w:color="auto" w:fill="D9D9D9"/>
          </w:tcPr>
          <w:p w14:paraId="2AD589C7" w14:textId="77777777" w:rsidR="00CA5B8A" w:rsidRDefault="00547170">
            <w:pPr>
              <w:spacing w:after="60" w:line="300" w:lineRule="auto"/>
            </w:pPr>
            <w:r>
              <w:rPr>
                <w:b/>
                <w:bCs/>
                <w:sz w:val="22"/>
                <w:szCs w:val="22"/>
              </w:rPr>
              <w:t>Existing products</w:t>
            </w:r>
          </w:p>
        </w:tc>
        <w:tc>
          <w:tcPr>
            <w:tcW w:w="3300" w:type="dxa"/>
          </w:tcPr>
          <w:p w14:paraId="5D137062" w14:textId="77777777" w:rsidR="00CA5B8A" w:rsidRDefault="00547170">
            <w:pPr>
              <w:spacing w:after="60" w:line="300" w:lineRule="auto"/>
            </w:pPr>
            <w:r>
              <w:rPr>
                <w:sz w:val="22"/>
                <w:szCs w:val="22"/>
              </w:rPr>
              <w:t>Market Penetration – sell more standard iron ore, copper and coal to established Asian customers. Limited fit with decarbonisation and rising regulatory risk.</w:t>
            </w:r>
          </w:p>
        </w:tc>
        <w:tc>
          <w:tcPr>
            <w:tcW w:w="3300" w:type="dxa"/>
          </w:tcPr>
          <w:p w14:paraId="4DCB3851" w14:textId="77777777" w:rsidR="00CA5B8A" w:rsidRDefault="00547170">
            <w:pPr>
              <w:spacing w:after="60" w:line="300" w:lineRule="auto"/>
            </w:pPr>
            <w:r>
              <w:rPr>
                <w:sz w:val="22"/>
                <w:szCs w:val="22"/>
              </w:rPr>
              <w:t>Market Development – supply existing copper and nickel to new EV and battery-cell customers in Europe and North America. Partial fit but no low-carbon differentiation.</w:t>
            </w:r>
          </w:p>
        </w:tc>
      </w:tr>
      <w:tr w:rsidR="00CA5B8A" w14:paraId="1E7F3306" w14:textId="77777777">
        <w:tc>
          <w:tcPr>
            <w:tcW w:w="2200" w:type="dxa"/>
            <w:shd w:val="clear" w:color="auto" w:fill="D9D9D9"/>
          </w:tcPr>
          <w:p w14:paraId="0DFBDF3D" w14:textId="77777777" w:rsidR="00CA5B8A" w:rsidRDefault="00547170">
            <w:pPr>
              <w:spacing w:after="60" w:line="300" w:lineRule="auto"/>
            </w:pPr>
            <w:r>
              <w:rPr>
                <w:b/>
                <w:bCs/>
                <w:sz w:val="22"/>
                <w:szCs w:val="22"/>
              </w:rPr>
              <w:t>New products</w:t>
            </w:r>
          </w:p>
        </w:tc>
        <w:tc>
          <w:tcPr>
            <w:tcW w:w="3300" w:type="dxa"/>
          </w:tcPr>
          <w:p w14:paraId="12AFEFC5" w14:textId="77777777" w:rsidR="00CA5B8A" w:rsidRDefault="00547170">
            <w:pPr>
              <w:spacing w:after="60" w:line="300" w:lineRule="auto"/>
            </w:pPr>
            <w:r>
              <w:rPr>
                <w:b/>
                <w:bCs/>
                <w:sz w:val="22"/>
                <w:szCs w:val="22"/>
              </w:rPr>
              <w:t>Product Development – low-carbon iron ore for hydrogen-DRI steelmaking, certified low-</w:t>
            </w:r>
            <w:r>
              <w:rPr>
                <w:b/>
                <w:bCs/>
                <w:sz w:val="22"/>
                <w:szCs w:val="22"/>
              </w:rPr>
              <w:lastRenderedPageBreak/>
              <w:t>carbon copper, battery-grade nickel sulphate. Strong fit – recommended.</w:t>
            </w:r>
          </w:p>
        </w:tc>
        <w:tc>
          <w:tcPr>
            <w:tcW w:w="3300" w:type="dxa"/>
          </w:tcPr>
          <w:p w14:paraId="028E0C6C" w14:textId="77777777" w:rsidR="00CA5B8A" w:rsidRDefault="00547170">
            <w:pPr>
              <w:spacing w:after="60" w:line="300" w:lineRule="auto"/>
            </w:pPr>
            <w:r>
              <w:rPr>
                <w:sz w:val="22"/>
                <w:szCs w:val="22"/>
              </w:rPr>
              <w:lastRenderedPageBreak/>
              <w:t xml:space="preserve">Diversification – move into downstream steel or hydrogen </w:t>
            </w:r>
            <w:r>
              <w:rPr>
                <w:sz w:val="22"/>
                <w:szCs w:val="22"/>
              </w:rPr>
              <w:lastRenderedPageBreak/>
              <w:t>production. Highest risk; departs from core competences.</w:t>
            </w:r>
          </w:p>
        </w:tc>
      </w:tr>
    </w:tbl>
    <w:p w14:paraId="10D531F8" w14:textId="77777777" w:rsidR="00CA5B8A" w:rsidRDefault="00547170">
      <w:pPr>
        <w:spacing w:after="200"/>
      </w:pPr>
      <w:r>
        <w:rPr>
          <w:i/>
          <w:iCs/>
          <w:sz w:val="22"/>
          <w:szCs w:val="22"/>
        </w:rPr>
        <w:t>Source: author’s own analysis, adapted from Ansoff (1957).</w:t>
      </w:r>
    </w:p>
    <w:p w14:paraId="5DEAB7D5" w14:textId="77777777" w:rsidR="00CA5B8A" w:rsidRDefault="00547170">
      <w:pPr>
        <w:pStyle w:val="Heading2"/>
        <w:spacing w:line="360" w:lineRule="auto"/>
      </w:pPr>
      <w:bookmarkStart w:id="9" w:name="_Toc234777785"/>
      <w:r>
        <w:t>3.2 Evaluating the four options</w:t>
      </w:r>
      <w:bookmarkEnd w:id="9"/>
    </w:p>
    <w:p w14:paraId="109B3DD3" w14:textId="77777777" w:rsidR="00CA5B8A" w:rsidRDefault="00547170">
      <w:pPr>
        <w:spacing w:after="200" w:line="360" w:lineRule="auto"/>
        <w:jc w:val="both"/>
      </w:pPr>
      <w:r>
        <w:t>Market Penetration – selling more existing commodities to existing customers – offers limited scope in the low-carbon transition because it does nothing to alter the carbon content of the product. It may extract short-term margin from thermal coal or standard iron ore but exposes BHP to accelerating regulatory and reputational risk (Delevingne et al., 2020).</w:t>
      </w:r>
    </w:p>
    <w:p w14:paraId="2E9F7A28" w14:textId="77777777" w:rsidR="00CA5B8A" w:rsidRDefault="00547170">
      <w:pPr>
        <w:spacing w:after="200" w:line="360" w:lineRule="auto"/>
        <w:jc w:val="both"/>
      </w:pPr>
      <w:r>
        <w:t>Market Development – selling existing products to new markets – is partially relevant: BHP could expand supply of copper and nickel from existing operations to newly emerging battery-cell manufacturers in Europe and North America. Without a differentiated low-carbon proposition, however, it cedes value to competitors with cleaner production credentials (Hart, 1995).</w:t>
      </w:r>
    </w:p>
    <w:p w14:paraId="371E1458" w14:textId="77777777" w:rsidR="00CA5B8A" w:rsidRDefault="00547170">
      <w:pPr>
        <w:spacing w:after="200" w:line="360" w:lineRule="auto"/>
        <w:jc w:val="both"/>
      </w:pPr>
      <w:r>
        <w:t>Diversification – new products for new markets – is the highest-risk quadrant. Ansoff (1957) himself warned that diversification carries the greatest resource and capability demands. BHP’s earlier attempts at vertical integration into steelmaking (subsequently divested through the OneSteel/BlueScope demergers) illustrate the difficulty of moving too far from core competences (Grant, 2016).</w:t>
      </w:r>
    </w:p>
    <w:p w14:paraId="17FF3635" w14:textId="77777777" w:rsidR="00CA5B8A" w:rsidRDefault="00547170">
      <w:pPr>
        <w:spacing w:after="200" w:line="360" w:lineRule="auto"/>
        <w:jc w:val="both"/>
      </w:pPr>
      <w:r>
        <w:t>Product Development – developing new or reformulated products for existing customers – offers the strongest strategic fit. It leverages BHP’s geological assets, mining expertise and long-standing customer relationships while re-engineering the product itself to embed lower carbon intensity (Bansal, 2005).</w:t>
      </w:r>
    </w:p>
    <w:p w14:paraId="34CF589C" w14:textId="77777777" w:rsidR="00CA5B8A" w:rsidRDefault="00547170">
      <w:pPr>
        <w:pStyle w:val="Heading2"/>
        <w:spacing w:line="360" w:lineRule="auto"/>
      </w:pPr>
      <w:bookmarkStart w:id="10" w:name="_Toc234777786"/>
      <w:r>
        <w:t>3.3 Recommended strategy: Product Development with complementary Market Development</w:t>
      </w:r>
      <w:bookmarkEnd w:id="10"/>
    </w:p>
    <w:p w14:paraId="11872BD8" w14:textId="77777777" w:rsidR="00CA5B8A" w:rsidRDefault="00547170">
      <w:pPr>
        <w:spacing w:after="200" w:line="360" w:lineRule="auto"/>
        <w:jc w:val="both"/>
      </w:pPr>
      <w:r>
        <w:t>The recommended growth vector is Product Development, complemented by targeted Market Development in battery materials. Three concrete programmes should anchor the strategy.</w:t>
      </w:r>
    </w:p>
    <w:p w14:paraId="09A9C8C6" w14:textId="77777777" w:rsidR="00CA5B8A" w:rsidRDefault="00547170">
      <w:pPr>
        <w:spacing w:after="200" w:line="360" w:lineRule="auto"/>
        <w:jc w:val="both"/>
      </w:pPr>
      <w:r>
        <w:lastRenderedPageBreak/>
        <w:t xml:space="preserve">First, BHP should scale low-carbon iron ore optimised for hydrogen-based direct reduced iron (DRI) routes. Its long-standing partnerships with steelmakers such as </w:t>
      </w:r>
      <w:r>
        <w:t>HBIS in China, JFE Steel in Japan and BlueScope in Australia provide the customer channel to co-develop DRI-grade ore blends and to sell them at a green premium reflecting the CBAM cost avoided downstream (European Union, 2023; World Steel Association, 2023). Second, BHP should market Escondida and Pampa Norte copper as certified low-carbon copper, using renewable-powered operations as a verifiable differentiator; certification standards emerging under the Copper Mark supply the third-party assurance now de</w:t>
      </w:r>
      <w:r>
        <w:t>manded by original equipment manufacturers (IEA, 2024). Third, nickel sulphate from Nickel West should be positioned explicitly as battery-grade material for cathode producers, integrating BHP earlier into automotive supply chains through long-term contracts with electric-vehicle manufacturers.</w:t>
      </w:r>
    </w:p>
    <w:p w14:paraId="51881C76" w14:textId="77777777" w:rsidR="00CA5B8A" w:rsidRDefault="00547170">
      <w:pPr>
        <w:spacing w:after="200" w:line="360" w:lineRule="auto"/>
        <w:jc w:val="both"/>
      </w:pPr>
      <w:r>
        <w:t xml:space="preserve">The Market Development element involves widening the customer base for these reformulated products beyond BHP’s traditional Asian steel and smelting customers into European and North American EV and battery-cell manufacturers. Porter and Kramer (2011) argue that shared-value strategies generate competitive advantage by aligning firm and societal interests; embedding BHP earlier in the electrification value chain captures precisely this logic. Alongside these initiatives, the continued divestment of thermal </w:t>
      </w:r>
      <w:r>
        <w:t>coal and the progressive phase-down of metallurgical coal, contingent on hydrogen-DRI adoption, should be communicated as integral to the growth strategy rather than a retreat, aligning capital allocation with the low-carbon product portfolio (BHP, 2024a).</w:t>
      </w:r>
    </w:p>
    <w:p w14:paraId="6DB8AE1C" w14:textId="77777777" w:rsidR="00CA5B8A" w:rsidRDefault="00547170">
      <w:pPr>
        <w:pStyle w:val="Heading2"/>
        <w:spacing w:line="360" w:lineRule="auto"/>
      </w:pPr>
      <w:bookmarkStart w:id="11" w:name="_Toc234777787"/>
      <w:r>
        <w:t>3.4 Competitive advantage through Porter’s differentiation strategy</w:t>
      </w:r>
      <w:bookmarkEnd w:id="11"/>
    </w:p>
    <w:p w14:paraId="60FC60CE" w14:textId="77777777" w:rsidR="00CA5B8A" w:rsidRDefault="00547170">
      <w:pPr>
        <w:spacing w:after="200" w:line="360" w:lineRule="auto"/>
        <w:jc w:val="both"/>
      </w:pPr>
      <w:r>
        <w:t>Porter (1985) identifies three generic strategies: cost leadership, differentiation and focus. In commodity markets, cost leadership has historically dominated because buyers treat iron ore or copper cathode as fungible. The natural and political-legal environment analysed in Task 1, however, is fragmenting this fungibility: units of embedded emissions are increasingly measurable, priced and reportable. This creates the conditions for a differentiation strategy based on verified low-carbon attributes, third</w:t>
      </w:r>
      <w:r>
        <w:t xml:space="preserve">-party certification and integrated supply-chain traceability. The Product Development programmes directly build this differentiation while BHP’s Tier-1 asset base and operational scale underpin residual cost competitiveness, offering the hybrid </w:t>
      </w:r>
      <w:r>
        <w:lastRenderedPageBreak/>
        <w:t>“broad differentiation with cost discipline” position that Grant (2016) identifies as sustainable in maturing resource industries.</w:t>
      </w:r>
    </w:p>
    <w:p w14:paraId="4D1AA9C2" w14:textId="77777777" w:rsidR="00CA5B8A" w:rsidRDefault="00547170">
      <w:pPr>
        <w:pStyle w:val="Heading2"/>
        <w:spacing w:line="360" w:lineRule="auto"/>
      </w:pPr>
      <w:bookmarkStart w:id="12" w:name="_Toc234777788"/>
      <w:r>
        <w:t>3.5 Risks and limitations</w:t>
      </w:r>
      <w:bookmarkEnd w:id="12"/>
    </w:p>
    <w:p w14:paraId="12EF5909" w14:textId="77777777" w:rsidR="00CA5B8A" w:rsidRDefault="00547170">
      <w:pPr>
        <w:spacing w:after="200" w:line="360" w:lineRule="auto"/>
        <w:jc w:val="both"/>
      </w:pPr>
      <w:r>
        <w:t>Three limitations warrant acknowledgement. First, the size of the green premium remains uncertain: buyers of certified low-carbon steel may accept price differentials of only 5–10 per cent, potentially insufficient to fund complete transformation (Delevingne et al., 2020). Second, hydrogen-based steelmaking requires abundant low-cost green hydrogen that does not yet exist at scale; BHP’s product development is therefore contingent on partner investment and public policy support. Third, credibility risk is s</w:t>
      </w:r>
      <w:r>
        <w:t>ignificant: any perception of greenwashing would rapidly erode the differentiation premium, making transparent, standards-based reporting under the TCFD (2017) and ISSB frameworks indispensable rather than optional (Bansal, 2005).</w:t>
      </w:r>
    </w:p>
    <w:p w14:paraId="033774C8" w14:textId="77777777" w:rsidR="00CA5B8A" w:rsidRDefault="00547170">
      <w:pPr>
        <w:pStyle w:val="Heading1"/>
        <w:spacing w:line="360" w:lineRule="auto"/>
      </w:pPr>
      <w:bookmarkStart w:id="13" w:name="_Toc234777789"/>
      <w:r>
        <w:t>4. Task 3: Critical Reflection on AI Usage</w:t>
      </w:r>
      <w:bookmarkEnd w:id="13"/>
    </w:p>
    <w:p w14:paraId="0187CD37" w14:textId="77777777" w:rsidR="00CA5B8A" w:rsidRDefault="00547170">
      <w:pPr>
        <w:pStyle w:val="Heading2"/>
        <w:spacing w:line="360" w:lineRule="auto"/>
      </w:pPr>
      <w:bookmarkStart w:id="14" w:name="_Toc234777790"/>
      <w:r>
        <w:t>4.1 Tool disclosure</w:t>
      </w:r>
      <w:bookmarkEnd w:id="14"/>
    </w:p>
    <w:p w14:paraId="51D85F12" w14:textId="77777777" w:rsidR="00CA5B8A" w:rsidRDefault="00547170">
      <w:pPr>
        <w:spacing w:after="200" w:line="360" w:lineRule="auto"/>
        <w:jc w:val="both"/>
      </w:pPr>
      <w:r>
        <w:t>The Assessment Specification permits generative AI for research, proofreading and creative tasks but explicitly prohibits its use for structuring and for writing text for submission. In accordance with these boundaries, AI use in this report was confined to two functions. First, ChatGPT (OpenAI’s GPT-4 model) was used during the research phase to summarise several long peer-reviewed articles on the natural-resource-based view and corporate sustainability strategy, and to generate candidate keyword strings f</w:t>
      </w:r>
      <w:r>
        <w:t>or searching Scopus and Business Source Complete. Second, Grammarly Premium was used at the proofreading stage to identify grammatical errors, awkward phrasing and inconsistencies in tense and register. No AI tool was used to draft, structure, order or organise any part of the argument; all headings, section ordering, analytical framing and written prose are the author’s own.</w:t>
      </w:r>
    </w:p>
    <w:p w14:paraId="74C406D4" w14:textId="77777777" w:rsidR="00CA5B8A" w:rsidRDefault="00547170">
      <w:pPr>
        <w:pStyle w:val="Heading2"/>
        <w:spacing w:line="360" w:lineRule="auto"/>
      </w:pPr>
      <w:bookmarkStart w:id="15" w:name="_Toc234777791"/>
      <w:r>
        <w:t>4.2 Critical evaluation of AI output</w:t>
      </w:r>
      <w:bookmarkEnd w:id="15"/>
    </w:p>
    <w:p w14:paraId="1F46E330" w14:textId="77777777" w:rsidR="00CA5B8A" w:rsidRDefault="00547170">
      <w:pPr>
        <w:spacing w:after="200" w:line="360" w:lineRule="auto"/>
        <w:jc w:val="both"/>
      </w:pPr>
      <w:r>
        <w:t xml:space="preserve">Rigorous verification was essential because generative AI is known to produce plausible but inaccurate content, sometimes referred to as hallucinations. Every </w:t>
      </w:r>
      <w:r>
        <w:lastRenderedPageBreak/>
        <w:t xml:space="preserve">reference suggested by ChatGPT was independently verified in Google Scholar and, where accessible, cross-checked against the original journal database. Two apparently cited references produced by the tool could not be located in any indexed </w:t>
      </w:r>
      <w:r>
        <w:t>catalogue and were discarded rather than reproduced. Statistical claims (for example, the sector’s share of global corporate emissions) were retained only where they could be traced to primary sources such as Kotler et al. (2024), the IEA (2024) or the IPCC (2023). Grammarly’s suggestions were accepted selectively; approximately one-quarter were rejected where they altered academic register or misinterpreted specialist terminology such as “Scope 3” or “CBAM”.</w:t>
      </w:r>
    </w:p>
    <w:p w14:paraId="7D8658C3" w14:textId="77777777" w:rsidR="00CA5B8A" w:rsidRDefault="00547170">
      <w:pPr>
        <w:pStyle w:val="Heading2"/>
        <w:spacing w:line="360" w:lineRule="auto"/>
      </w:pPr>
      <w:bookmarkStart w:id="16" w:name="_Toc234777792"/>
      <w:r>
        <w:t>4.3 Contribution analysis</w:t>
      </w:r>
      <w:bookmarkEnd w:id="16"/>
    </w:p>
    <w:p w14:paraId="2608371D" w14:textId="77777777" w:rsidR="00CA5B8A" w:rsidRDefault="00547170">
      <w:pPr>
        <w:spacing w:after="200" w:line="360" w:lineRule="auto"/>
        <w:jc w:val="both"/>
      </w:pPr>
      <w:r>
        <w:t xml:space="preserve">The intellectual contribution of this report is entirely the author’s own. Specifically, the selection of BHP as the case company, the choice of the natural and political-legal environments as the two focal actors, the specific application of the Ansoff Matrix, the recommendation of Product Development complemented by Market Development, the linkage to Porter’s (1985) differentiation strategy and the risk analysis were all decided independently on the basis of the reading undertaken. AI contributed only at </w:t>
      </w:r>
      <w:r>
        <w:t>the periphery: pointing toward literature that the author then read in full, and correcting surface-level language errors. Critical judgements about which sources to trust, which evidence to weight and which conclusions to draw were made by the author, not delegated to the tool.</w:t>
      </w:r>
    </w:p>
    <w:p w14:paraId="24371A32" w14:textId="77777777" w:rsidR="00CA5B8A" w:rsidRDefault="00547170">
      <w:pPr>
        <w:pStyle w:val="Heading2"/>
        <w:spacing w:line="360" w:lineRule="auto"/>
      </w:pPr>
      <w:bookmarkStart w:id="17" w:name="_Toc234777793"/>
      <w:r>
        <w:t>4.4 Ethical and professional reflection</w:t>
      </w:r>
      <w:bookmarkEnd w:id="17"/>
    </w:p>
    <w:p w14:paraId="70F4AEA7" w14:textId="77777777" w:rsidR="00CA5B8A" w:rsidRDefault="00547170">
      <w:pPr>
        <w:spacing w:after="200" w:line="360" w:lineRule="auto"/>
        <w:jc w:val="both"/>
      </w:pPr>
      <w:r>
        <w:t>Marketing analysis is a domain in which the illusion of authority can mislead decision-makers. Uncritical reliance on generative AI risks importing fabricated evidence, plagiarised phrasing or biased framings into strategic recommendations, all of which would damage the credibility of the analyst and the interests of the client organisation. The professional standards of the Chartered Institute of Marketing, and the module’s Assessment Specification, both demand honesty about the origin of ideas and diligen</w:t>
      </w:r>
      <w:r>
        <w:t xml:space="preserve">ce in verifying claims. Restricting AI to research support and proofreading, disclosing its use transparently in this reflection and retaining full ownership of the analytical argument is a defensible practice consistent with both academic integrity and professional accountability. As generative AI becomes more capable, the ethical </w:t>
      </w:r>
      <w:r>
        <w:lastRenderedPageBreak/>
        <w:t>burden falls increasingly on the human user to preserve the judgement that ultimately serves the reader.</w:t>
      </w:r>
    </w:p>
    <w:p w14:paraId="75DD293C" w14:textId="77777777" w:rsidR="00CA5B8A" w:rsidRDefault="00547170">
      <w:r>
        <w:br w:type="page"/>
      </w:r>
    </w:p>
    <w:p w14:paraId="4083EAA4" w14:textId="77777777" w:rsidR="00CA5B8A" w:rsidRDefault="00547170">
      <w:pPr>
        <w:pStyle w:val="Heading1"/>
        <w:spacing w:line="360" w:lineRule="auto"/>
      </w:pPr>
      <w:bookmarkStart w:id="18" w:name="_Toc234777794"/>
      <w:r>
        <w:lastRenderedPageBreak/>
        <w:t>References</w:t>
      </w:r>
      <w:bookmarkEnd w:id="18"/>
    </w:p>
    <w:p w14:paraId="1FCD7B8F" w14:textId="77777777" w:rsidR="00CA5B8A" w:rsidRDefault="00547170">
      <w:pPr>
        <w:spacing w:after="160" w:line="360" w:lineRule="auto"/>
        <w:ind w:left="720" w:hanging="720"/>
      </w:pPr>
      <w:r>
        <w:t xml:space="preserve">Ansoff, H.I. (1957) ‘Strategies for diversification’, </w:t>
      </w:r>
      <w:r>
        <w:rPr>
          <w:i/>
          <w:iCs/>
        </w:rPr>
        <w:t>Harvard Business Review</w:t>
      </w:r>
      <w:r>
        <w:t>, 35(5), pp. 113–124.</w:t>
      </w:r>
    </w:p>
    <w:p w14:paraId="2909D898" w14:textId="77777777" w:rsidR="00CA5B8A" w:rsidRDefault="00547170">
      <w:pPr>
        <w:spacing w:after="160" w:line="360" w:lineRule="auto"/>
        <w:ind w:left="720" w:hanging="720"/>
      </w:pPr>
      <w:r>
        <w:t xml:space="preserve">Bansal, P. (2005) ‘Evolving sustainably: a longitudinal study of corporate sustainable development’, </w:t>
      </w:r>
      <w:r>
        <w:rPr>
          <w:i/>
          <w:iCs/>
        </w:rPr>
        <w:t>Strategic Management Journal</w:t>
      </w:r>
      <w:r>
        <w:t>, 26(3), pp. 197–218.</w:t>
      </w:r>
    </w:p>
    <w:p w14:paraId="79C7092B" w14:textId="77777777" w:rsidR="00CA5B8A" w:rsidRDefault="00547170">
      <w:pPr>
        <w:spacing w:after="160" w:line="360" w:lineRule="auto"/>
        <w:ind w:left="720" w:hanging="720"/>
      </w:pPr>
      <w:r>
        <w:t xml:space="preserve">BHP (2024a) </w:t>
      </w:r>
      <w:r>
        <w:rPr>
          <w:i/>
          <w:iCs/>
        </w:rPr>
        <w:t>Annual report 2024</w:t>
      </w:r>
      <w:r>
        <w:t>. Melbourne: BHP Group Limited. Available at: https://www.bhp.com/investors/annual-reporting (Accessed: 20 July 2026).</w:t>
      </w:r>
    </w:p>
    <w:p w14:paraId="63B7C189" w14:textId="77777777" w:rsidR="00CA5B8A" w:rsidRDefault="00547170">
      <w:pPr>
        <w:spacing w:after="160" w:line="360" w:lineRule="auto"/>
        <w:ind w:left="720" w:hanging="720"/>
      </w:pPr>
      <w:r>
        <w:t xml:space="preserve">BHP (2024b) </w:t>
      </w:r>
      <w:r>
        <w:rPr>
          <w:i/>
          <w:iCs/>
        </w:rPr>
        <w:t>Climate transition action plan</w:t>
      </w:r>
      <w:r>
        <w:t>. Melbourne: BHP Group Limited. Available at: https://www.bhp.com/sustainability/climate-change (Accessed: 20 July 2026).</w:t>
      </w:r>
    </w:p>
    <w:p w14:paraId="1B889BFC" w14:textId="77777777" w:rsidR="00CA5B8A" w:rsidRDefault="00547170">
      <w:pPr>
        <w:spacing w:after="160" w:line="360" w:lineRule="auto"/>
        <w:ind w:left="720" w:hanging="720"/>
      </w:pPr>
      <w:r>
        <w:t xml:space="preserve">Delevingne, L., Glazener, W., </w:t>
      </w:r>
      <w:proofErr w:type="spellStart"/>
      <w:r>
        <w:t>Grégoir</w:t>
      </w:r>
      <w:proofErr w:type="spellEnd"/>
      <w:r>
        <w:t xml:space="preserve">, L. and Henderson, K. (2020) </w:t>
      </w:r>
      <w:r>
        <w:rPr>
          <w:i/>
          <w:iCs/>
        </w:rPr>
        <w:t>Climate risk and decarbonization: what every mining CEO needs to know</w:t>
      </w:r>
      <w:r>
        <w:t>. New York: McKinsey &amp; Company. Available at: https://www.mckinsey.com/industries/metals-and-mining/our-insights (Accessed: 18 July 2026).</w:t>
      </w:r>
    </w:p>
    <w:p w14:paraId="62D4C5A5" w14:textId="77777777" w:rsidR="00CA5B8A" w:rsidRDefault="00547170">
      <w:pPr>
        <w:spacing w:after="160" w:line="360" w:lineRule="auto"/>
        <w:ind w:left="720" w:hanging="720"/>
      </w:pPr>
      <w:r>
        <w:t xml:space="preserve">Elkington, J. (1997) </w:t>
      </w:r>
      <w:r>
        <w:rPr>
          <w:i/>
          <w:iCs/>
        </w:rPr>
        <w:t>Cannibals with forks: the triple bottom line of 21st century business</w:t>
      </w:r>
      <w:r>
        <w:t>. Oxford: Capstone.</w:t>
      </w:r>
    </w:p>
    <w:p w14:paraId="17AF4680" w14:textId="77777777" w:rsidR="00CA5B8A" w:rsidRDefault="00547170">
      <w:pPr>
        <w:spacing w:after="160" w:line="360" w:lineRule="auto"/>
        <w:ind w:left="720" w:hanging="720"/>
      </w:pPr>
      <w:r>
        <w:t xml:space="preserve">European Union (2023) ‘Regulation (EU) 2023/956 of the European Parliament and of the Council of 10 May 2023 establishing a Carbon Border Adjustment Mechanism’, </w:t>
      </w:r>
      <w:r>
        <w:rPr>
          <w:i/>
          <w:iCs/>
        </w:rPr>
        <w:t>Official Journal of the European Union</w:t>
      </w:r>
      <w:r>
        <w:t>, L130, pp. 52–104.</w:t>
      </w:r>
    </w:p>
    <w:p w14:paraId="3A306422" w14:textId="77777777" w:rsidR="00CA5B8A" w:rsidRDefault="00547170">
      <w:pPr>
        <w:spacing w:after="160" w:line="360" w:lineRule="auto"/>
        <w:ind w:left="720" w:hanging="720"/>
      </w:pPr>
      <w:r>
        <w:t xml:space="preserve">Grant, R.M. (2016) </w:t>
      </w:r>
      <w:r>
        <w:rPr>
          <w:i/>
          <w:iCs/>
        </w:rPr>
        <w:t>Contemporary strategy analysis</w:t>
      </w:r>
      <w:r>
        <w:t xml:space="preserve">. 9th </w:t>
      </w:r>
      <w:proofErr w:type="spellStart"/>
      <w:r>
        <w:t>edn</w:t>
      </w:r>
      <w:proofErr w:type="spellEnd"/>
      <w:r>
        <w:t>. Chichester: Wiley.</w:t>
      </w:r>
    </w:p>
    <w:p w14:paraId="6D7E38B3" w14:textId="77777777" w:rsidR="00CA5B8A" w:rsidRDefault="00547170">
      <w:pPr>
        <w:spacing w:after="160" w:line="360" w:lineRule="auto"/>
        <w:ind w:left="720" w:hanging="720"/>
      </w:pPr>
      <w:r>
        <w:t xml:space="preserve">Hart, S.L. (1995) ‘A natural-resource-based view of the firm’, </w:t>
      </w:r>
      <w:r>
        <w:rPr>
          <w:i/>
          <w:iCs/>
        </w:rPr>
        <w:t>Academy of Management Review</w:t>
      </w:r>
      <w:r>
        <w:t>, 20(4), pp. 986–1014.</w:t>
      </w:r>
    </w:p>
    <w:p w14:paraId="1E522EC1" w14:textId="77777777" w:rsidR="00CA5B8A" w:rsidRDefault="00547170">
      <w:pPr>
        <w:spacing w:after="160" w:line="360" w:lineRule="auto"/>
        <w:ind w:left="720" w:hanging="720"/>
      </w:pPr>
      <w:r>
        <w:t xml:space="preserve">International Energy Agency (IEA) (2024) </w:t>
      </w:r>
      <w:r>
        <w:rPr>
          <w:i/>
          <w:iCs/>
        </w:rPr>
        <w:t>The role of critical minerals in clean energy transitions</w:t>
      </w:r>
      <w:r>
        <w:t>. Paris: IEA. Available at: https://www.iea.org/reports (Accessed: 15 July 2026).</w:t>
      </w:r>
    </w:p>
    <w:p w14:paraId="51D8622D" w14:textId="77777777" w:rsidR="00CA5B8A" w:rsidRDefault="00547170">
      <w:pPr>
        <w:spacing w:after="160" w:line="360" w:lineRule="auto"/>
        <w:ind w:left="720" w:hanging="720"/>
      </w:pPr>
      <w:r>
        <w:t xml:space="preserve">Intergovernmental Panel on Climate Change (IPCC) (2023) </w:t>
      </w:r>
      <w:r>
        <w:rPr>
          <w:i/>
          <w:iCs/>
        </w:rPr>
        <w:t xml:space="preserve">Climate change 2023: synthesis report. Contribution of Working Groups I, II and III to the Sixth </w:t>
      </w:r>
      <w:r>
        <w:rPr>
          <w:i/>
          <w:iCs/>
        </w:rPr>
        <w:lastRenderedPageBreak/>
        <w:t>Assessment Report of the Intergovernmental Panel on Climate Change</w:t>
      </w:r>
      <w:r>
        <w:t>. Geneva: IPCC.</w:t>
      </w:r>
    </w:p>
    <w:p w14:paraId="753B3DCC" w14:textId="77777777" w:rsidR="00CA5B8A" w:rsidRDefault="00547170">
      <w:pPr>
        <w:spacing w:after="160" w:line="360" w:lineRule="auto"/>
        <w:ind w:left="720" w:hanging="720"/>
      </w:pPr>
      <w:r>
        <w:t xml:space="preserve">Kotler, P., Armstrong, G., Harris, L.C. and He, H. (2024) </w:t>
      </w:r>
      <w:r>
        <w:rPr>
          <w:i/>
          <w:iCs/>
        </w:rPr>
        <w:t>Principles of marketing</w:t>
      </w:r>
      <w:r>
        <w:t xml:space="preserve">. 19th </w:t>
      </w:r>
      <w:proofErr w:type="spellStart"/>
      <w:r>
        <w:t>edn</w:t>
      </w:r>
      <w:proofErr w:type="spellEnd"/>
      <w:r>
        <w:t>. Harlow: Pearson.</w:t>
      </w:r>
    </w:p>
    <w:p w14:paraId="7CBEB90F" w14:textId="77777777" w:rsidR="00CA5B8A" w:rsidRDefault="00547170">
      <w:pPr>
        <w:spacing w:after="160" w:line="360" w:lineRule="auto"/>
        <w:ind w:left="720" w:hanging="720"/>
      </w:pPr>
      <w:r>
        <w:t xml:space="preserve">Porter, M.E. (1985) </w:t>
      </w:r>
      <w:r>
        <w:rPr>
          <w:i/>
          <w:iCs/>
        </w:rPr>
        <w:t>Competitive advantage: creating and sustaining superior performance</w:t>
      </w:r>
      <w:r>
        <w:t>. New York: Free Press.</w:t>
      </w:r>
    </w:p>
    <w:p w14:paraId="3BCE81B1" w14:textId="77777777" w:rsidR="00CA5B8A" w:rsidRDefault="00547170">
      <w:pPr>
        <w:spacing w:after="160" w:line="360" w:lineRule="auto"/>
        <w:ind w:left="720" w:hanging="720"/>
      </w:pPr>
      <w:r>
        <w:t xml:space="preserve">Porter, M.E. and Kramer, M.R. (2011) ‘Creating shared value’, </w:t>
      </w:r>
      <w:r>
        <w:rPr>
          <w:i/>
          <w:iCs/>
        </w:rPr>
        <w:t>Harvard Business Review</w:t>
      </w:r>
      <w:r>
        <w:t>, 89(1/2), pp. 62–77.</w:t>
      </w:r>
    </w:p>
    <w:p w14:paraId="7C5225E9" w14:textId="77777777" w:rsidR="00CA5B8A" w:rsidRDefault="00547170">
      <w:pPr>
        <w:spacing w:after="160" w:line="360" w:lineRule="auto"/>
        <w:ind w:left="720" w:hanging="720"/>
      </w:pPr>
      <w:r>
        <w:t xml:space="preserve">Task Force on Climate-related Financial Disclosures (TCFD) (2017) </w:t>
      </w:r>
      <w:r>
        <w:rPr>
          <w:i/>
          <w:iCs/>
        </w:rPr>
        <w:t>Recommendations of the Task Force on Climate-related Financial Disclosures</w:t>
      </w:r>
      <w:r>
        <w:t>. Basel: Financial Stability Board.</w:t>
      </w:r>
    </w:p>
    <w:p w14:paraId="768547D7" w14:textId="77777777" w:rsidR="00CA5B8A" w:rsidRDefault="00547170">
      <w:pPr>
        <w:spacing w:after="160" w:line="360" w:lineRule="auto"/>
        <w:ind w:left="720" w:hanging="720"/>
      </w:pPr>
      <w:r>
        <w:t xml:space="preserve">Whittington, R. (2001) </w:t>
      </w:r>
      <w:r>
        <w:rPr>
          <w:i/>
          <w:iCs/>
        </w:rPr>
        <w:t>What is strategy – and does it matter?</w:t>
      </w:r>
      <w:r>
        <w:t xml:space="preserve"> 2nd </w:t>
      </w:r>
      <w:proofErr w:type="spellStart"/>
      <w:r>
        <w:t>edn</w:t>
      </w:r>
      <w:proofErr w:type="spellEnd"/>
      <w:r>
        <w:t>. London: Thomson Learning.</w:t>
      </w:r>
    </w:p>
    <w:p w14:paraId="7221E808" w14:textId="77777777" w:rsidR="00CA5B8A" w:rsidRDefault="00547170">
      <w:pPr>
        <w:spacing w:after="160" w:line="360" w:lineRule="auto"/>
        <w:ind w:left="720" w:hanging="720"/>
      </w:pPr>
      <w:r>
        <w:t xml:space="preserve">World Steel Association (2023) </w:t>
      </w:r>
      <w:r>
        <w:rPr>
          <w:i/>
          <w:iCs/>
        </w:rPr>
        <w:t>Sustainability indicators 2023 report</w:t>
      </w:r>
      <w:r>
        <w:t>. Brussels: World Steel Association. Available at: https://worldsteel.org (Accessed: 12 July 2026).</w:t>
      </w:r>
    </w:p>
    <w:p w14:paraId="4F514419" w14:textId="04E3B1F0" w:rsidR="00CA5B8A" w:rsidRDefault="00547170" w:rsidP="0095384B">
      <w:r>
        <w:br w:type="page"/>
      </w:r>
    </w:p>
    <w:sectPr w:rsidR="00CA5B8A">
      <w:headerReference w:type="default" r:id="rId9"/>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EB6DE" w14:textId="77777777" w:rsidR="00547170" w:rsidRDefault="00547170">
      <w:r>
        <w:separator/>
      </w:r>
    </w:p>
  </w:endnote>
  <w:endnote w:type="continuationSeparator" w:id="0">
    <w:p w14:paraId="51F37206" w14:textId="77777777" w:rsidR="00547170" w:rsidRDefault="00547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FB6F4" w14:textId="77777777" w:rsidR="00CA5B8A" w:rsidRDefault="00547170">
    <w:pPr>
      <w:jc w:val="cente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135759">
      <w:rPr>
        <w:noProof/>
        <w:sz w:val="20"/>
        <w:szCs w:val="20"/>
      </w:rPr>
      <w:t>1</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135759">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B32F6" w14:textId="77777777" w:rsidR="00547170" w:rsidRDefault="00547170">
      <w:r>
        <w:separator/>
      </w:r>
    </w:p>
  </w:footnote>
  <w:footnote w:type="continuationSeparator" w:id="0">
    <w:p w14:paraId="2C078920" w14:textId="77777777" w:rsidR="00547170" w:rsidRDefault="005471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3C571" w14:textId="77777777" w:rsidR="00CA5B8A" w:rsidRDefault="00547170">
    <w:pPr>
      <w:jc w:val="right"/>
    </w:pPr>
    <w:r>
      <w:rPr>
        <w:i/>
        <w:iCs/>
        <w:sz w:val="20"/>
        <w:szCs w:val="20"/>
      </w:rPr>
      <w:t>LCMB7024 – Marketing Environment Analysis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25BAD"/>
    <w:multiLevelType w:val="hybridMultilevel"/>
    <w:tmpl w:val="063803F8"/>
    <w:lvl w:ilvl="0" w:tplc="B29E0D72">
      <w:start w:val="1"/>
      <w:numFmt w:val="bullet"/>
      <w:lvlText w:val="●"/>
      <w:lvlJc w:val="left"/>
      <w:pPr>
        <w:ind w:left="720" w:hanging="360"/>
      </w:pPr>
    </w:lvl>
    <w:lvl w:ilvl="1" w:tplc="19EE182A">
      <w:start w:val="1"/>
      <w:numFmt w:val="bullet"/>
      <w:lvlText w:val="○"/>
      <w:lvlJc w:val="left"/>
      <w:pPr>
        <w:ind w:left="1440" w:hanging="360"/>
      </w:pPr>
    </w:lvl>
    <w:lvl w:ilvl="2" w:tplc="7CF681F4">
      <w:start w:val="1"/>
      <w:numFmt w:val="bullet"/>
      <w:lvlText w:val="■"/>
      <w:lvlJc w:val="left"/>
      <w:pPr>
        <w:ind w:left="2160" w:hanging="360"/>
      </w:pPr>
    </w:lvl>
    <w:lvl w:ilvl="3" w:tplc="F8E28662">
      <w:start w:val="1"/>
      <w:numFmt w:val="bullet"/>
      <w:lvlText w:val="●"/>
      <w:lvlJc w:val="left"/>
      <w:pPr>
        <w:ind w:left="2880" w:hanging="360"/>
      </w:pPr>
    </w:lvl>
    <w:lvl w:ilvl="4" w:tplc="EEC6CD14">
      <w:start w:val="1"/>
      <w:numFmt w:val="bullet"/>
      <w:lvlText w:val="○"/>
      <w:lvlJc w:val="left"/>
      <w:pPr>
        <w:ind w:left="3600" w:hanging="360"/>
      </w:pPr>
    </w:lvl>
    <w:lvl w:ilvl="5" w:tplc="FF18E988">
      <w:start w:val="1"/>
      <w:numFmt w:val="bullet"/>
      <w:lvlText w:val="■"/>
      <w:lvlJc w:val="left"/>
      <w:pPr>
        <w:ind w:left="4320" w:hanging="360"/>
      </w:pPr>
    </w:lvl>
    <w:lvl w:ilvl="6" w:tplc="BFB4FAE2">
      <w:start w:val="1"/>
      <w:numFmt w:val="bullet"/>
      <w:lvlText w:val="●"/>
      <w:lvlJc w:val="left"/>
      <w:pPr>
        <w:ind w:left="5040" w:hanging="360"/>
      </w:pPr>
    </w:lvl>
    <w:lvl w:ilvl="7" w:tplc="62E6727C">
      <w:start w:val="1"/>
      <w:numFmt w:val="bullet"/>
      <w:lvlText w:val="●"/>
      <w:lvlJc w:val="left"/>
      <w:pPr>
        <w:ind w:left="5760" w:hanging="360"/>
      </w:pPr>
    </w:lvl>
    <w:lvl w:ilvl="8" w:tplc="8E6C30E6">
      <w:start w:val="1"/>
      <w:numFmt w:val="bullet"/>
      <w:lvlText w:val="●"/>
      <w:lvlJc w:val="left"/>
      <w:pPr>
        <w:ind w:left="6480" w:hanging="360"/>
      </w:pPr>
    </w:lvl>
  </w:abstractNum>
  <w:num w:numId="1" w16cid:durableId="195474616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B8A"/>
    <w:rsid w:val="00056F8B"/>
    <w:rsid w:val="00135759"/>
    <w:rsid w:val="00547170"/>
    <w:rsid w:val="00645025"/>
    <w:rsid w:val="0074309F"/>
    <w:rsid w:val="00922B53"/>
    <w:rsid w:val="0095384B"/>
    <w:rsid w:val="0095639E"/>
    <w:rsid w:val="00A02E6E"/>
    <w:rsid w:val="00CA5B8A"/>
    <w:rsid w:val="00CC5001"/>
    <w:rsid w:val="00D454E6"/>
    <w:rsid w:val="00F831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A4454"/>
  <w15:docId w15:val="{1B27248E-7FAA-4581-A085-811F946FA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400" w:after="200"/>
      <w:outlineLvl w:val="0"/>
    </w:pPr>
    <w:rPr>
      <w:b/>
      <w:bCs/>
      <w:sz w:val="32"/>
      <w:szCs w:val="32"/>
    </w:rPr>
  </w:style>
  <w:style w:type="paragraph" w:styleId="Heading2">
    <w:name w:val="heading 2"/>
    <w:uiPriority w:val="9"/>
    <w:unhideWhenUsed/>
    <w:qFormat/>
    <w:pPr>
      <w:spacing w:before="300" w:after="150"/>
      <w:outlineLvl w:val="1"/>
    </w:pPr>
    <w:rPr>
      <w:b/>
      <w:bCs/>
      <w:sz w:val="28"/>
      <w:szCs w:val="28"/>
    </w:rPr>
  </w:style>
  <w:style w:type="paragraph" w:styleId="Heading3">
    <w:name w:val="heading 3"/>
    <w:uiPriority w:val="9"/>
    <w:semiHidden/>
    <w:unhideWhenUsed/>
    <w:qFormat/>
    <w:pPr>
      <w:spacing w:before="240" w:after="120"/>
      <w:outlineLvl w:val="2"/>
    </w:pPr>
    <w:rPr>
      <w:b/>
      <w:bCs/>
      <w:i/>
      <w:iCs/>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135759"/>
    <w:pPr>
      <w:spacing w:after="100"/>
    </w:pPr>
  </w:style>
  <w:style w:type="paragraph" w:styleId="TOC2">
    <w:name w:val="toc 2"/>
    <w:basedOn w:val="Normal"/>
    <w:next w:val="Normal"/>
    <w:autoRedefine/>
    <w:uiPriority w:val="39"/>
    <w:unhideWhenUsed/>
    <w:rsid w:val="00135759"/>
    <w:pPr>
      <w:spacing w:after="100"/>
      <w:ind w:left="240"/>
    </w:pPr>
  </w:style>
  <w:style w:type="paragraph" w:styleId="IntenseQuote">
    <w:name w:val="Intense Quote"/>
    <w:basedOn w:val="Normal"/>
    <w:next w:val="Normal"/>
    <w:link w:val="IntenseQuoteChar"/>
    <w:uiPriority w:val="30"/>
    <w:qFormat/>
    <w:rsid w:val="0095384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5384B"/>
    <w:rPr>
      <w:i/>
      <w:iCs/>
      <w:color w:val="4472C4" w:themeColor="accent1"/>
    </w:rPr>
  </w:style>
  <w:style w:type="paragraph" w:styleId="Header">
    <w:name w:val="header"/>
    <w:basedOn w:val="Normal"/>
    <w:link w:val="HeaderChar"/>
    <w:uiPriority w:val="99"/>
    <w:unhideWhenUsed/>
    <w:rsid w:val="0095384B"/>
    <w:pPr>
      <w:tabs>
        <w:tab w:val="center" w:pos="4513"/>
        <w:tab w:val="right" w:pos="9026"/>
      </w:tabs>
    </w:pPr>
  </w:style>
  <w:style w:type="character" w:customStyle="1" w:styleId="HeaderChar">
    <w:name w:val="Header Char"/>
    <w:basedOn w:val="DefaultParagraphFont"/>
    <w:link w:val="Header"/>
    <w:uiPriority w:val="99"/>
    <w:rsid w:val="0095384B"/>
  </w:style>
  <w:style w:type="paragraph" w:styleId="Footer">
    <w:name w:val="footer"/>
    <w:basedOn w:val="Normal"/>
    <w:link w:val="FooterChar"/>
    <w:uiPriority w:val="99"/>
    <w:unhideWhenUsed/>
    <w:rsid w:val="0095384B"/>
    <w:pPr>
      <w:tabs>
        <w:tab w:val="center" w:pos="4513"/>
        <w:tab w:val="right" w:pos="9026"/>
      </w:tabs>
    </w:pPr>
  </w:style>
  <w:style w:type="character" w:customStyle="1" w:styleId="FooterChar">
    <w:name w:val="Footer Char"/>
    <w:basedOn w:val="DefaultParagraphFont"/>
    <w:link w:val="Footer"/>
    <w:uiPriority w:val="99"/>
    <w:rsid w:val="009538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120C9-223D-4B03-B144-6BC63714D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3387</Words>
  <Characters>19306</Characters>
  <Application>Microsoft Office Word</Application>
  <DocSecurity>0</DocSecurity>
  <Lines>160</Lines>
  <Paragraphs>45</Paragraphs>
  <ScaleCrop>false</ScaleCrop>
  <Company/>
  <LinksUpToDate>false</LinksUpToDate>
  <CharactersWithSpaces>22648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Environment Analysis – BHP</dc:title>
  <dc:creator>MBA Student</dc:creator>
  <cp:lastModifiedBy>Darsh Patel</cp:lastModifiedBy>
  <cp:revision>2</cp:revision>
  <dcterms:created xsi:type="dcterms:W3CDTF">2026-07-22T01:11:00Z</dcterms:created>
  <dcterms:modified xsi:type="dcterms:W3CDTF">2026-07-22T01:11:00Z</dcterms:modified>
</cp:coreProperties>
</file>