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62557" w14:textId="573BC4B7" w:rsidR="000D0105" w:rsidRPr="00EE2E39" w:rsidRDefault="000D0105" w:rsidP="00EE2E39">
      <w:pPr>
        <w:jc w:val="center"/>
        <w:rPr>
          <w:rFonts w:ascii="Arial" w:hAnsi="Arial" w:cs="Arial"/>
          <w:color w:val="000000"/>
          <w:sz w:val="44"/>
          <w:szCs w:val="44"/>
        </w:rPr>
      </w:pPr>
      <w:r w:rsidRPr="00EE2E39">
        <w:rPr>
          <w:rFonts w:ascii="Arial" w:hAnsi="Arial" w:cs="Arial"/>
          <w:color w:val="000000"/>
          <w:sz w:val="36"/>
          <w:szCs w:val="36"/>
        </w:rPr>
        <w:t>F</w:t>
      </w:r>
      <w:r w:rsidRPr="00EE2E39">
        <w:rPr>
          <w:rFonts w:ascii="Arial" w:hAnsi="Arial" w:cs="Arial"/>
          <w:color w:val="000000"/>
          <w:sz w:val="44"/>
          <w:szCs w:val="44"/>
        </w:rPr>
        <w:t xml:space="preserve">rom Hierarchical Organisations to Self-Initiated Actors: The Evolution of </w:t>
      </w:r>
      <w:r w:rsidRPr="00EE2E39">
        <w:rPr>
          <w:rFonts w:ascii="Arial" w:hAnsi="Arial" w:cs="Arial"/>
          <w:i/>
          <w:iCs/>
          <w:color w:val="000000"/>
          <w:sz w:val="44"/>
          <w:szCs w:val="44"/>
        </w:rPr>
        <w:t>Terrorist</w:t>
      </w:r>
      <w:r w:rsidRPr="00EE2E39">
        <w:rPr>
          <w:rFonts w:ascii="Arial" w:hAnsi="Arial" w:cs="Arial"/>
          <w:color w:val="000000"/>
          <w:sz w:val="44"/>
          <w:szCs w:val="44"/>
        </w:rPr>
        <w:t xml:space="preserve"> Methodologies and Counterterrorism Responses</w:t>
      </w:r>
    </w:p>
    <w:p w14:paraId="71837DEA" w14:textId="77777777" w:rsidR="00EE2E39" w:rsidRDefault="00EE2E39" w:rsidP="00EE2E39">
      <w:pPr>
        <w:rPr>
          <w:rFonts w:ascii="Arial" w:hAnsi="Arial" w:cs="Arial"/>
          <w:color w:val="000000"/>
          <w:sz w:val="36"/>
          <w:szCs w:val="36"/>
        </w:rPr>
      </w:pPr>
    </w:p>
    <w:p w14:paraId="4C0DE2DE" w14:textId="77777777" w:rsidR="00EE2E39" w:rsidRDefault="00EE2E39" w:rsidP="00EE2E39">
      <w:pPr>
        <w:rPr>
          <w:rFonts w:ascii="Arial" w:hAnsi="Arial" w:cs="Arial"/>
          <w:color w:val="000000"/>
          <w:sz w:val="36"/>
          <w:szCs w:val="36"/>
        </w:rPr>
      </w:pPr>
    </w:p>
    <w:p w14:paraId="15A56F36" w14:textId="77777777" w:rsidR="00EE2E39" w:rsidRPr="00EE2E39" w:rsidRDefault="00EE2E39" w:rsidP="00EE2E39">
      <w:pPr>
        <w:jc w:val="center"/>
        <w:rPr>
          <w:rFonts w:ascii="Arial" w:hAnsi="Arial" w:cs="Arial"/>
          <w:color w:val="000000"/>
          <w:sz w:val="36"/>
          <w:szCs w:val="36"/>
        </w:rPr>
      </w:pPr>
    </w:p>
    <w:p w14:paraId="7B01AB9A" w14:textId="77777777" w:rsidR="00EE2E39" w:rsidRDefault="00EE2E39">
      <w:r>
        <w:rPr>
          <w:noProof/>
        </w:rPr>
        <w:drawing>
          <wp:inline distT="0" distB="0" distL="0" distR="0" wp14:anchorId="01A793A7" wp14:editId="746403D9">
            <wp:extent cx="6029648" cy="2995863"/>
            <wp:effectExtent l="0" t="0" r="3175" b="1905"/>
            <wp:docPr id="21853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32907" name="Picture 218532907"/>
                    <pic:cNvPicPr/>
                  </pic:nvPicPr>
                  <pic:blipFill>
                    <a:blip r:embed="rId6">
                      <a:extLst>
                        <a:ext uri="{28A0092B-C50C-407E-A947-70E740481C1C}">
                          <a14:useLocalDpi xmlns:a14="http://schemas.microsoft.com/office/drawing/2010/main" val="0"/>
                        </a:ext>
                      </a:extLst>
                    </a:blip>
                    <a:stretch>
                      <a:fillRect/>
                    </a:stretch>
                  </pic:blipFill>
                  <pic:spPr>
                    <a:xfrm>
                      <a:off x="0" y="0"/>
                      <a:ext cx="6120696" cy="3041101"/>
                    </a:xfrm>
                    <a:prstGeom prst="rect">
                      <a:avLst/>
                    </a:prstGeom>
                  </pic:spPr>
                </pic:pic>
              </a:graphicData>
            </a:graphic>
          </wp:inline>
        </w:drawing>
      </w:r>
    </w:p>
    <w:p w14:paraId="6306E05D" w14:textId="2398924F" w:rsidR="00EE2E39" w:rsidRPr="00E9486D" w:rsidRDefault="00EE2E39" w:rsidP="00EE2E39">
      <w:pPr>
        <w:rPr>
          <w:rFonts w:ascii="Arial" w:hAnsi="Arial" w:cs="Arial"/>
          <w:sz w:val="20"/>
          <w:szCs w:val="20"/>
        </w:rPr>
      </w:pPr>
      <w:r w:rsidRPr="00E9486D">
        <w:rPr>
          <w:rFonts w:ascii="Arial" w:hAnsi="Arial" w:cs="Arial"/>
          <w:sz w:val="20"/>
          <w:szCs w:val="20"/>
        </w:rPr>
        <w:t xml:space="preserve">Image: </w:t>
      </w:r>
      <w:r w:rsidR="00E9486D" w:rsidRPr="00E9486D">
        <w:rPr>
          <w:rFonts w:ascii="Arial" w:hAnsi="Arial" w:cs="Arial"/>
          <w:color w:val="1F1F1F"/>
          <w:sz w:val="20"/>
          <w:szCs w:val="20"/>
          <w:shd w:val="clear" w:color="auto" w:fill="FFFFFF"/>
        </w:rPr>
        <w:t xml:space="preserve">British Academy </w:t>
      </w:r>
      <w:proofErr w:type="gramStart"/>
      <w:r w:rsidR="00E9486D" w:rsidRPr="00E9486D">
        <w:rPr>
          <w:rFonts w:ascii="Arial" w:hAnsi="Arial" w:cs="Arial"/>
          <w:color w:val="1F1F1F"/>
          <w:sz w:val="20"/>
          <w:szCs w:val="20"/>
          <w:shd w:val="clear" w:color="auto" w:fill="FFFFFF"/>
        </w:rPr>
        <w:t>For</w:t>
      </w:r>
      <w:proofErr w:type="gramEnd"/>
      <w:r w:rsidR="00E9486D" w:rsidRPr="00E9486D">
        <w:rPr>
          <w:rFonts w:ascii="Arial" w:hAnsi="Arial" w:cs="Arial"/>
          <w:color w:val="1F1F1F"/>
          <w:sz w:val="20"/>
          <w:szCs w:val="20"/>
          <w:shd w:val="clear" w:color="auto" w:fill="FFFFFF"/>
        </w:rPr>
        <w:t xml:space="preserve"> Training &amp; Development</w:t>
      </w:r>
      <w:r w:rsidR="00E9486D" w:rsidRPr="00E9486D">
        <w:rPr>
          <w:rFonts w:ascii="Arial" w:hAnsi="Arial" w:cs="Arial"/>
          <w:color w:val="000000"/>
          <w:sz w:val="20"/>
          <w:szCs w:val="20"/>
        </w:rPr>
        <w:t xml:space="preserve"> </w:t>
      </w:r>
      <w:r w:rsidRPr="00E9486D">
        <w:rPr>
          <w:rFonts w:ascii="Arial" w:hAnsi="Arial" w:cs="Arial"/>
          <w:color w:val="000000"/>
          <w:sz w:val="20"/>
          <w:szCs w:val="20"/>
        </w:rPr>
        <w:t>(2022)</w:t>
      </w:r>
    </w:p>
    <w:p w14:paraId="65ABE08E" w14:textId="77777777" w:rsidR="00EE2E39" w:rsidRDefault="00EE2E39" w:rsidP="00EE2E39"/>
    <w:p w14:paraId="7F180B93" w14:textId="77777777" w:rsidR="00EE2E39" w:rsidRDefault="00EE2E39" w:rsidP="00EE2E39"/>
    <w:p w14:paraId="68B8BDB5" w14:textId="77777777" w:rsidR="00EE2E39" w:rsidRDefault="00EE2E39" w:rsidP="00EE2E39"/>
    <w:p w14:paraId="2EC6E184" w14:textId="77777777" w:rsidR="00EE2E39" w:rsidRPr="009C50A8" w:rsidRDefault="00EE2E39" w:rsidP="00EE2E39">
      <w:pPr>
        <w:tabs>
          <w:tab w:val="left" w:pos="2126"/>
        </w:tabs>
        <w:spacing w:line="360" w:lineRule="auto"/>
        <w:jc w:val="center"/>
        <w:rPr>
          <w:rFonts w:ascii="Arial" w:hAnsi="Arial" w:cs="Arial"/>
          <w:sz w:val="44"/>
          <w:szCs w:val="44"/>
        </w:rPr>
      </w:pPr>
      <w:r w:rsidRPr="009C50A8">
        <w:rPr>
          <w:rFonts w:ascii="Arial" w:hAnsi="Arial" w:cs="Arial"/>
          <w:sz w:val="44"/>
          <w:szCs w:val="44"/>
        </w:rPr>
        <w:t xml:space="preserve">Sadie May Mason </w:t>
      </w:r>
    </w:p>
    <w:p w14:paraId="1EC63FC6" w14:textId="77777777" w:rsidR="00EE2E39" w:rsidRPr="009C50A8" w:rsidRDefault="00EE2E39" w:rsidP="00EE2E39">
      <w:pPr>
        <w:tabs>
          <w:tab w:val="left" w:pos="2126"/>
        </w:tabs>
        <w:spacing w:line="360" w:lineRule="auto"/>
        <w:jc w:val="center"/>
        <w:rPr>
          <w:rFonts w:ascii="Arial" w:hAnsi="Arial" w:cs="Arial"/>
          <w:sz w:val="44"/>
          <w:szCs w:val="44"/>
        </w:rPr>
      </w:pPr>
      <w:r w:rsidRPr="009C50A8">
        <w:rPr>
          <w:rFonts w:ascii="Arial" w:hAnsi="Arial" w:cs="Arial"/>
          <w:sz w:val="44"/>
          <w:szCs w:val="44"/>
        </w:rPr>
        <w:t>2204171</w:t>
      </w:r>
    </w:p>
    <w:p w14:paraId="6E6E92DE" w14:textId="77777777" w:rsidR="00892FE0" w:rsidRDefault="00EE2E39" w:rsidP="00892FE0">
      <w:pPr>
        <w:tabs>
          <w:tab w:val="left" w:pos="2126"/>
        </w:tabs>
        <w:spacing w:line="360" w:lineRule="auto"/>
        <w:jc w:val="center"/>
        <w:rPr>
          <w:rFonts w:ascii="Arial" w:hAnsi="Arial" w:cs="Arial"/>
          <w:bCs/>
          <w:sz w:val="44"/>
          <w:szCs w:val="44"/>
        </w:rPr>
      </w:pPr>
      <w:r w:rsidRPr="009C50A8">
        <w:rPr>
          <w:rFonts w:ascii="Arial" w:hAnsi="Arial" w:cs="Arial"/>
          <w:bCs/>
          <w:sz w:val="44"/>
          <w:szCs w:val="44"/>
        </w:rPr>
        <w:t>BMCJ7006</w:t>
      </w:r>
    </w:p>
    <w:p w14:paraId="127205FD" w14:textId="7DCE9F81" w:rsidR="000D0105" w:rsidRPr="00892FE0" w:rsidRDefault="000D0105" w:rsidP="00892FE0">
      <w:pPr>
        <w:tabs>
          <w:tab w:val="left" w:pos="2126"/>
        </w:tabs>
        <w:spacing w:line="360" w:lineRule="auto"/>
        <w:rPr>
          <w:rFonts w:ascii="Arial" w:hAnsi="Arial" w:cs="Arial"/>
          <w:bCs/>
        </w:rPr>
      </w:pPr>
      <w:r w:rsidRPr="00892FE0">
        <w:rPr>
          <w:rFonts w:ascii="Arial" w:hAnsi="Arial" w:cs="Arial"/>
          <w:color w:val="000000"/>
        </w:rPr>
        <w:lastRenderedPageBreak/>
        <w:t xml:space="preserve">Terrorism remains a fluid and continually evolving phenomenon, adapting strategically to shifts in political environments, technological advances and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pressures. While no universally accepted definition exists, most scholars agree that terrorism involves the use or threat of violence by non-state actors to generate fear for political, </w:t>
      </w:r>
      <w:proofErr w:type="gramStart"/>
      <w:r w:rsidRPr="00892FE0">
        <w:rPr>
          <w:rFonts w:ascii="Arial" w:hAnsi="Arial" w:cs="Arial"/>
          <w:color w:val="000000"/>
        </w:rPr>
        <w:t>ideological</w:t>
      </w:r>
      <w:proofErr w:type="gramEnd"/>
      <w:r w:rsidRPr="00892FE0">
        <w:rPr>
          <w:rFonts w:ascii="Arial" w:hAnsi="Arial" w:cs="Arial"/>
          <w:color w:val="000000"/>
        </w:rPr>
        <w:t xml:space="preserve"> or religious objectives </w:t>
      </w:r>
      <w:r w:rsidRPr="00DC4AD0">
        <w:rPr>
          <w:rFonts w:ascii="Arial" w:hAnsi="Arial" w:cs="Arial"/>
          <w:color w:val="000000"/>
        </w:rPr>
        <w:t>(Schmid, 2011;</w:t>
      </w:r>
      <w:r w:rsidR="00E9486D" w:rsidRPr="00DC4AD0">
        <w:rPr>
          <w:rFonts w:ascii="Arial" w:hAnsi="Arial" w:cs="Arial"/>
          <w:color w:val="000000"/>
        </w:rPr>
        <w:t xml:space="preserve"> Schmid and </w:t>
      </w:r>
      <w:proofErr w:type="spellStart"/>
      <w:r w:rsidR="00E9486D" w:rsidRPr="00DC4AD0">
        <w:rPr>
          <w:rFonts w:ascii="Arial" w:hAnsi="Arial" w:cs="Arial"/>
          <w:color w:val="000000"/>
        </w:rPr>
        <w:t>Jongman</w:t>
      </w:r>
      <w:proofErr w:type="spellEnd"/>
      <w:r w:rsidRPr="00DC4AD0">
        <w:rPr>
          <w:rFonts w:ascii="Arial" w:hAnsi="Arial" w:cs="Arial"/>
          <w:color w:val="000000"/>
        </w:rPr>
        <w:t>,</w:t>
      </w:r>
      <w:r w:rsidR="00E9486D" w:rsidRPr="00DC4AD0">
        <w:rPr>
          <w:rFonts w:ascii="Arial" w:hAnsi="Arial" w:cs="Arial"/>
          <w:color w:val="000000"/>
        </w:rPr>
        <w:t xml:space="preserve"> </w:t>
      </w:r>
      <w:r w:rsidRPr="00DC4AD0">
        <w:rPr>
          <w:rFonts w:ascii="Arial" w:hAnsi="Arial" w:cs="Arial"/>
          <w:color w:val="000000"/>
        </w:rPr>
        <w:t>20</w:t>
      </w:r>
      <w:r w:rsidR="00E9486D" w:rsidRPr="00DC4AD0">
        <w:rPr>
          <w:rFonts w:ascii="Arial" w:hAnsi="Arial" w:cs="Arial"/>
          <w:color w:val="000000"/>
        </w:rPr>
        <w:t>05</w:t>
      </w:r>
      <w:r w:rsidRPr="00DC4AD0">
        <w:rPr>
          <w:rFonts w:ascii="Arial" w:hAnsi="Arial" w:cs="Arial"/>
          <w:color w:val="000000"/>
        </w:rPr>
        <w:t>).</w:t>
      </w:r>
      <w:r w:rsidRPr="00892FE0">
        <w:rPr>
          <w:rFonts w:ascii="Arial" w:hAnsi="Arial" w:cs="Arial"/>
          <w:color w:val="000000"/>
        </w:rPr>
        <w:t xml:space="preserve"> Importantly, terrorism should be understood as a communicative act: violent spectacle designed to influence a wider audience beyond immediate victims </w:t>
      </w:r>
      <w:r w:rsidRPr="00DC4AD0">
        <w:rPr>
          <w:rFonts w:ascii="Arial" w:hAnsi="Arial" w:cs="Arial"/>
          <w:color w:val="000000"/>
        </w:rPr>
        <w:t>(Hoffman, 20</w:t>
      </w:r>
      <w:r w:rsidR="00631874" w:rsidRPr="00DC4AD0">
        <w:rPr>
          <w:rFonts w:ascii="Arial" w:hAnsi="Arial" w:cs="Arial"/>
          <w:color w:val="000000"/>
        </w:rPr>
        <w:t>22</w:t>
      </w:r>
      <w:r w:rsidRPr="00DC4AD0">
        <w:rPr>
          <w:rFonts w:ascii="Arial" w:hAnsi="Arial" w:cs="Arial"/>
          <w:color w:val="000000"/>
        </w:rPr>
        <w:t>; English, 202</w:t>
      </w:r>
      <w:r w:rsidR="00631874"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As such, the evolution of terrorist methodologies reflects not only operational innovation but also ongoing attempts to circumvent state detection and disruption.</w:t>
      </w:r>
    </w:p>
    <w:p w14:paraId="3B5C76A1" w14:textId="3D134250"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Between the 1970s and early 2000s, terrorism in the</w:t>
      </w:r>
      <w:r w:rsidR="00631AF1" w:rsidRPr="00892FE0">
        <w:rPr>
          <w:rFonts w:ascii="Arial" w:hAnsi="Arial" w:cs="Arial"/>
          <w:color w:val="000000"/>
        </w:rPr>
        <w:t xml:space="preserve"> United Kingdom</w:t>
      </w:r>
      <w:r w:rsidRPr="00892FE0">
        <w:rPr>
          <w:rFonts w:ascii="Arial" w:hAnsi="Arial" w:cs="Arial"/>
          <w:color w:val="000000"/>
        </w:rPr>
        <w:t xml:space="preserve"> </w:t>
      </w:r>
      <w:r w:rsidR="00631AF1" w:rsidRPr="00892FE0">
        <w:rPr>
          <w:rFonts w:ascii="Arial" w:hAnsi="Arial" w:cs="Arial"/>
          <w:color w:val="000000"/>
        </w:rPr>
        <w:t>(</w:t>
      </w:r>
      <w:r w:rsidRPr="00892FE0">
        <w:rPr>
          <w:rFonts w:ascii="Arial" w:hAnsi="Arial" w:cs="Arial"/>
          <w:color w:val="000000"/>
        </w:rPr>
        <w:t>UK</w:t>
      </w:r>
      <w:r w:rsidR="00631AF1" w:rsidRPr="00892FE0">
        <w:rPr>
          <w:rFonts w:ascii="Arial" w:hAnsi="Arial" w:cs="Arial"/>
          <w:color w:val="000000"/>
        </w:rPr>
        <w:t>)</w:t>
      </w:r>
      <w:r w:rsidRPr="00892FE0">
        <w:rPr>
          <w:rFonts w:ascii="Arial" w:hAnsi="Arial" w:cs="Arial"/>
          <w:color w:val="000000"/>
        </w:rPr>
        <w:t xml:space="preserve"> and globally was largely dominated by structured, hierarchical organisations such as the Provisional Irish Republican Army (IRA), Hezbollah and al-</w:t>
      </w:r>
      <w:proofErr w:type="spellStart"/>
      <w:r w:rsidRPr="00892FE0">
        <w:rPr>
          <w:rFonts w:ascii="Arial" w:hAnsi="Arial" w:cs="Arial"/>
          <w:color w:val="000000"/>
        </w:rPr>
        <w:t>Qa’ida</w:t>
      </w:r>
      <w:proofErr w:type="spellEnd"/>
      <w:r w:rsidRPr="00892FE0">
        <w:rPr>
          <w:rFonts w:ascii="Arial" w:hAnsi="Arial" w:cs="Arial"/>
          <w:color w:val="000000"/>
        </w:rPr>
        <w:t xml:space="preserve"> prior to the 9/11 attacks. These groups demonstrated disciplined command structures, political strategies and logistical resilience that enabled complex, multi-stage operations </w:t>
      </w:r>
      <w:r w:rsidRPr="00DC4AD0">
        <w:rPr>
          <w:rFonts w:ascii="Arial" w:hAnsi="Arial" w:cs="Arial"/>
          <w:color w:val="000000"/>
        </w:rPr>
        <w:t>(English, 20</w:t>
      </w:r>
      <w:r w:rsidR="00DC4AD0" w:rsidRPr="00DC4AD0">
        <w:rPr>
          <w:rFonts w:ascii="Arial" w:hAnsi="Arial" w:cs="Arial"/>
          <w:color w:val="000000"/>
        </w:rPr>
        <w:t>2</w:t>
      </w:r>
      <w:r w:rsidRPr="00DC4AD0">
        <w:rPr>
          <w:rFonts w:ascii="Arial" w:hAnsi="Arial" w:cs="Arial"/>
          <w:color w:val="000000"/>
        </w:rPr>
        <w:t>3; Gerges, 2021).</w:t>
      </w:r>
      <w:r w:rsidRPr="00892FE0">
        <w:rPr>
          <w:rFonts w:ascii="Arial" w:hAnsi="Arial" w:cs="Arial"/>
          <w:color w:val="000000"/>
        </w:rPr>
        <w:t xml:space="preserve"> Their longevity allowed states to develop predictably targeted CT approaches including intelligence-led infiltration, network disruption and in some cases, conflict de-escalation strategies </w:t>
      </w:r>
      <w:r w:rsidRPr="00DC4AD0">
        <w:rPr>
          <w:rFonts w:ascii="Arial" w:hAnsi="Arial" w:cs="Arial"/>
          <w:color w:val="000000"/>
        </w:rPr>
        <w:t xml:space="preserve">(Murray, 2021; </w:t>
      </w:r>
      <w:proofErr w:type="spellStart"/>
      <w:r w:rsidRPr="00DC4AD0">
        <w:rPr>
          <w:rFonts w:ascii="Arial" w:hAnsi="Arial" w:cs="Arial"/>
          <w:color w:val="000000"/>
        </w:rPr>
        <w:t>Campedelli</w:t>
      </w:r>
      <w:proofErr w:type="spellEnd"/>
      <w:r w:rsidRPr="00DC4AD0">
        <w:rPr>
          <w:rFonts w:ascii="Arial" w:hAnsi="Arial" w:cs="Arial"/>
          <w:color w:val="000000"/>
        </w:rPr>
        <w:t xml:space="preserve"> et al, 2021). However</w:t>
      </w:r>
      <w:r w:rsidRPr="00892FE0">
        <w:rPr>
          <w:rFonts w:ascii="Arial" w:hAnsi="Arial" w:cs="Arial"/>
          <w:color w:val="000000"/>
        </w:rPr>
        <w:t xml:space="preserve">, even during this era, CT responses often displayed over-reliance on coercive tactics, insufficient attention to the political and social grievances sustaining terrorist support, and limited foresight into the next methodological shift </w:t>
      </w:r>
      <w:r w:rsidRPr="00DC4AD0">
        <w:rPr>
          <w:rFonts w:ascii="Arial" w:hAnsi="Arial" w:cs="Arial"/>
          <w:color w:val="000000"/>
        </w:rPr>
        <w:t>(</w:t>
      </w:r>
      <w:proofErr w:type="spellStart"/>
      <w:r w:rsidRPr="00DC4AD0">
        <w:rPr>
          <w:rFonts w:ascii="Arial" w:hAnsi="Arial" w:cs="Arial"/>
          <w:color w:val="000000"/>
        </w:rPr>
        <w:t>Byman</w:t>
      </w:r>
      <w:proofErr w:type="spellEnd"/>
      <w:r w:rsidRPr="00DC4AD0">
        <w:rPr>
          <w:rFonts w:ascii="Arial" w:hAnsi="Arial" w:cs="Arial"/>
          <w:color w:val="000000"/>
        </w:rPr>
        <w:t>, 2021).</w:t>
      </w:r>
    </w:p>
    <w:p w14:paraId="653FCF69" w14:textId="35770E99"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The post-2014 period has witnessed a radical transformation. The rise of low-sophistication, self-initiated actors inspired by Islamic State (Daesh) propaganda and extreme right-wing (XRW) ideologies has generated a more unpredictable and decentralised threat environment (</w:t>
      </w:r>
      <w:r w:rsidRPr="00DC4AD0">
        <w:rPr>
          <w:rFonts w:ascii="Arial" w:hAnsi="Arial" w:cs="Arial"/>
          <w:color w:val="000000"/>
        </w:rPr>
        <w:t>Innes</w:t>
      </w:r>
      <w:r w:rsidR="00DC4AD0">
        <w:rPr>
          <w:rFonts w:ascii="Arial" w:hAnsi="Arial" w:cs="Arial"/>
          <w:color w:val="000000"/>
        </w:rPr>
        <w:t xml:space="preserve"> and Innes, 2022</w:t>
      </w:r>
      <w:r w:rsidRPr="00DC4AD0">
        <w:rPr>
          <w:rFonts w:ascii="Arial" w:hAnsi="Arial" w:cs="Arial"/>
          <w:color w:val="000000"/>
        </w:rPr>
        <w:t>; Miller-</w:t>
      </w:r>
      <w:proofErr w:type="spellStart"/>
      <w:r w:rsidRPr="00DC4AD0">
        <w:rPr>
          <w:rFonts w:ascii="Arial" w:hAnsi="Arial" w:cs="Arial"/>
          <w:color w:val="000000"/>
        </w:rPr>
        <w:t>Idriss</w:t>
      </w:r>
      <w:proofErr w:type="spellEnd"/>
      <w:r w:rsidRPr="00DC4AD0">
        <w:rPr>
          <w:rFonts w:ascii="Arial" w:hAnsi="Arial" w:cs="Arial"/>
          <w:color w:val="000000"/>
        </w:rPr>
        <w:t>, 2021).</w:t>
      </w:r>
      <w:r w:rsidRPr="00892FE0">
        <w:rPr>
          <w:rFonts w:ascii="Arial" w:hAnsi="Arial" w:cs="Arial"/>
          <w:color w:val="000000"/>
        </w:rPr>
        <w:t xml:space="preserve"> These individuals require minimal resources and leave few detectable preparatory indicators, challenging traditional frameworks optimised for hierarchical network disruption </w:t>
      </w:r>
      <w:r w:rsidRPr="00DC4AD0">
        <w:rPr>
          <w:rFonts w:ascii="Arial" w:hAnsi="Arial" w:cs="Arial"/>
          <w:color w:val="000000"/>
        </w:rPr>
        <w:t>(</w:t>
      </w:r>
      <w:r w:rsidR="00E9486D" w:rsidRPr="00DC4AD0">
        <w:rPr>
          <w:rFonts w:ascii="Arial" w:hAnsi="Arial" w:cs="Arial"/>
          <w:color w:val="000000"/>
        </w:rPr>
        <w:t>Koehler</w:t>
      </w:r>
      <w:r w:rsidRPr="00DC4AD0">
        <w:rPr>
          <w:rFonts w:ascii="Arial" w:hAnsi="Arial" w:cs="Arial"/>
          <w:color w:val="000000"/>
        </w:rPr>
        <w:t>, 2022).</w:t>
      </w:r>
      <w:r w:rsidRPr="00892FE0">
        <w:rPr>
          <w:rFonts w:ascii="Arial" w:hAnsi="Arial" w:cs="Arial"/>
          <w:color w:val="000000"/>
        </w:rPr>
        <w:t xml:space="preserve"> Lone-actor terrorism has become the dominant domestic threat in the UK, raising urgent questions regarding the proportionality, </w:t>
      </w:r>
      <w:proofErr w:type="gramStart"/>
      <w:r w:rsidRPr="00892FE0">
        <w:rPr>
          <w:rFonts w:ascii="Arial" w:hAnsi="Arial" w:cs="Arial"/>
          <w:color w:val="000000"/>
        </w:rPr>
        <w:t>effectiveness</w:t>
      </w:r>
      <w:proofErr w:type="gramEnd"/>
      <w:r w:rsidRPr="00892FE0">
        <w:rPr>
          <w:rFonts w:ascii="Arial" w:hAnsi="Arial" w:cs="Arial"/>
          <w:color w:val="000000"/>
        </w:rPr>
        <w:t xml:space="preserve"> and legitimacy of CT strategies </w:t>
      </w:r>
      <w:r w:rsidRPr="00DC4AD0">
        <w:rPr>
          <w:rFonts w:ascii="Arial" w:hAnsi="Arial" w:cs="Arial"/>
          <w:color w:val="000000"/>
        </w:rPr>
        <w:t>(Home Office, 202</w:t>
      </w:r>
      <w:r w:rsidR="00DC4AD0">
        <w:rPr>
          <w:rFonts w:ascii="Arial" w:hAnsi="Arial" w:cs="Arial"/>
          <w:color w:val="000000"/>
        </w:rPr>
        <w:t>4</w:t>
      </w:r>
      <w:r w:rsidRPr="00DC4AD0">
        <w:rPr>
          <w:rFonts w:ascii="Arial" w:hAnsi="Arial" w:cs="Arial"/>
          <w:color w:val="000000"/>
        </w:rPr>
        <w:t>; MI5, 2024).</w:t>
      </w:r>
    </w:p>
    <w:p w14:paraId="5C04CF93" w14:textId="31A29855"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This essay critically evaluates the methodological shift from hierarchical organisations to self-initiated terrorism and assesses the ability of UK CT legislation and strategy to adapt to this changing landscape. It argues that although significant reforms have improved detection and disruption capabilities, CT responses remain reactive, technologically strained and risk undermining public </w:t>
      </w:r>
      <w:proofErr w:type="spellStart"/>
      <w:r w:rsidRPr="00892FE0">
        <w:rPr>
          <w:rFonts w:ascii="Arial" w:hAnsi="Arial" w:cs="Arial"/>
          <w:color w:val="000000"/>
        </w:rPr>
        <w:t>trust</w:t>
      </w:r>
      <w:r w:rsidRPr="00892FE0">
        <w:rPr>
          <w:rFonts w:ascii="Arial" w:hAnsi="Arial" w:cs="Arial"/>
          <w:color w:val="000000"/>
        </w:rPr>
        <w:t>m</w:t>
      </w:r>
      <w:proofErr w:type="spellEnd"/>
      <w:r w:rsidRPr="00892FE0">
        <w:rPr>
          <w:rFonts w:ascii="Arial" w:hAnsi="Arial" w:cs="Arial"/>
          <w:color w:val="000000"/>
        </w:rPr>
        <w:t xml:space="preserve"> </w:t>
      </w:r>
      <w:r w:rsidRPr="00892FE0">
        <w:rPr>
          <w:rFonts w:ascii="Arial" w:hAnsi="Arial" w:cs="Arial"/>
          <w:color w:val="000000"/>
        </w:rPr>
        <w:t>particularly in the digital domain. Finally, the essay proposes evidence-based improvements to ensure future approaches remain effective, rights-</w:t>
      </w:r>
      <w:proofErr w:type="gramStart"/>
      <w:r w:rsidRPr="00892FE0">
        <w:rPr>
          <w:rFonts w:ascii="Arial" w:hAnsi="Arial" w:cs="Arial"/>
          <w:color w:val="000000"/>
        </w:rPr>
        <w:t>compliant</w:t>
      </w:r>
      <w:proofErr w:type="gramEnd"/>
      <w:r w:rsidRPr="00892FE0">
        <w:rPr>
          <w:rFonts w:ascii="Arial" w:hAnsi="Arial" w:cs="Arial"/>
          <w:color w:val="000000"/>
        </w:rPr>
        <w:t xml:space="preserve"> </w:t>
      </w:r>
      <w:r w:rsidRPr="00892FE0">
        <w:rPr>
          <w:rFonts w:ascii="Arial" w:hAnsi="Arial" w:cs="Arial"/>
          <w:color w:val="000000"/>
        </w:rPr>
        <w:t>and responsive to emerging cyber-enabled threats.</w:t>
      </w:r>
    </w:p>
    <w:p w14:paraId="2E692586" w14:textId="1E97B5F1"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Late twentieth-century terrorism was dominated by hierarchical organisations with centralised leadership, disciplined command and political ambitions that made their operations both highly impactful and relatively detectable. </w:t>
      </w:r>
      <w:r w:rsidRPr="00DC4AD0">
        <w:rPr>
          <w:rFonts w:ascii="Arial" w:hAnsi="Arial" w:cs="Arial"/>
          <w:color w:val="000000"/>
        </w:rPr>
        <w:t>Schuurman (20</w:t>
      </w:r>
      <w:r w:rsidR="00DC4AD0" w:rsidRPr="00DC4AD0">
        <w:rPr>
          <w:rFonts w:ascii="Arial" w:hAnsi="Arial" w:cs="Arial"/>
          <w:color w:val="000000"/>
        </w:rPr>
        <w:t>20</w:t>
      </w:r>
      <w:r w:rsidRPr="00DC4AD0">
        <w:rPr>
          <w:rFonts w:ascii="Arial" w:hAnsi="Arial" w:cs="Arial"/>
          <w:color w:val="000000"/>
        </w:rPr>
        <w:t>)</w:t>
      </w:r>
      <w:r w:rsidRPr="00892FE0">
        <w:rPr>
          <w:rFonts w:ascii="Arial" w:hAnsi="Arial" w:cs="Arial"/>
          <w:color w:val="000000"/>
        </w:rPr>
        <w:t xml:space="preserve"> argues that these groups relied on structured decision-making and long-term strategic planning, sustaining campaigns that allowed states to craft robust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frameworks based on surveillance, infiltration and logistical disruption. Two groups</w:t>
      </w:r>
      <w:r w:rsidR="00631AF1" w:rsidRPr="00892FE0">
        <w:rPr>
          <w:rFonts w:ascii="Arial" w:hAnsi="Arial" w:cs="Arial"/>
          <w:color w:val="000000"/>
        </w:rPr>
        <w:t xml:space="preserve">- </w:t>
      </w:r>
      <w:r w:rsidRPr="00892FE0">
        <w:rPr>
          <w:rFonts w:ascii="Arial" w:hAnsi="Arial" w:cs="Arial"/>
          <w:color w:val="000000"/>
        </w:rPr>
        <w:t>the Provisional Irish Republican Army (IRA) and al-</w:t>
      </w:r>
      <w:proofErr w:type="spellStart"/>
      <w:r w:rsidRPr="00892FE0">
        <w:rPr>
          <w:rFonts w:ascii="Arial" w:hAnsi="Arial" w:cs="Arial"/>
          <w:color w:val="000000"/>
        </w:rPr>
        <w:t>Qa’ida</w:t>
      </w:r>
      <w:proofErr w:type="spellEnd"/>
      <w:r w:rsidRPr="00892FE0">
        <w:rPr>
          <w:rFonts w:ascii="Arial" w:hAnsi="Arial" w:cs="Arial"/>
          <w:color w:val="000000"/>
        </w:rPr>
        <w:t xml:space="preserve"> prior to the 9/11 </w:t>
      </w:r>
      <w:proofErr w:type="gramStart"/>
      <w:r w:rsidRPr="00892FE0">
        <w:rPr>
          <w:rFonts w:ascii="Arial" w:hAnsi="Arial" w:cs="Arial"/>
          <w:color w:val="000000"/>
        </w:rPr>
        <w:t xml:space="preserve">attacks </w:t>
      </w:r>
      <w:r w:rsidR="00631AF1" w:rsidRPr="00892FE0">
        <w:rPr>
          <w:rFonts w:ascii="Arial" w:hAnsi="Arial" w:cs="Arial"/>
          <w:color w:val="000000"/>
        </w:rPr>
        <w:t>,</w:t>
      </w:r>
      <w:proofErr w:type="gramEnd"/>
      <w:r w:rsidR="00631AF1" w:rsidRPr="00892FE0">
        <w:rPr>
          <w:rFonts w:ascii="Arial" w:hAnsi="Arial" w:cs="Arial"/>
          <w:color w:val="000000"/>
        </w:rPr>
        <w:t xml:space="preserve"> </w:t>
      </w:r>
      <w:r w:rsidRPr="00892FE0">
        <w:rPr>
          <w:rFonts w:ascii="Arial" w:hAnsi="Arial" w:cs="Arial"/>
          <w:color w:val="000000"/>
        </w:rPr>
        <w:t>exemplify how hierarchical terrorism shaped UK security responses and institutional thinking.</w:t>
      </w:r>
    </w:p>
    <w:p w14:paraId="12D142AD" w14:textId="605EF70A"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The Provisional IRA, active primarily during the Northern Ireland conflict, operated through a tiered command that coordinated targeted bombings and assassinations across multiple theatres, including mainland Britain. </w:t>
      </w:r>
      <w:r w:rsidR="003C7F06" w:rsidRPr="00DC4AD0">
        <w:rPr>
          <w:rFonts w:ascii="Arial" w:hAnsi="Arial" w:cs="Arial"/>
          <w:color w:val="000000"/>
        </w:rPr>
        <w:t>Horgan and Taylor</w:t>
      </w:r>
      <w:r w:rsidRPr="00DC4AD0">
        <w:rPr>
          <w:rFonts w:ascii="Arial" w:hAnsi="Arial" w:cs="Arial"/>
          <w:color w:val="000000"/>
        </w:rPr>
        <w:t xml:space="preserve"> (202</w:t>
      </w:r>
      <w:r w:rsidR="003C7F06"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w:t>
      </w:r>
      <w:proofErr w:type="gramStart"/>
      <w:r w:rsidRPr="00892FE0">
        <w:rPr>
          <w:rFonts w:ascii="Arial" w:hAnsi="Arial" w:cs="Arial"/>
          <w:color w:val="000000"/>
        </w:rPr>
        <w:t>emphasises</w:t>
      </w:r>
      <w:proofErr w:type="gramEnd"/>
      <w:r w:rsidRPr="00892FE0">
        <w:rPr>
          <w:rFonts w:ascii="Arial" w:hAnsi="Arial" w:cs="Arial"/>
          <w:color w:val="000000"/>
        </w:rPr>
        <w:t xml:space="preserve"> that the IRA’s hierarchical model was designed to balance operational control with internal secrecy, enabling coordinated attacks while protecting leadership from exposure. The group’s capacity for sustained violence, including attacks such as the 1996 Docklands bombing, strengthened its political leverage in negotiations with the British Government (</w:t>
      </w:r>
      <w:r w:rsidR="003C7F06" w:rsidRPr="00DC4AD0">
        <w:rPr>
          <w:rFonts w:ascii="Arial" w:hAnsi="Arial" w:cs="Arial"/>
          <w:color w:val="000000"/>
        </w:rPr>
        <w:t>English</w:t>
      </w:r>
      <w:r w:rsidRPr="00DC4AD0">
        <w:rPr>
          <w:rFonts w:ascii="Arial" w:hAnsi="Arial" w:cs="Arial"/>
          <w:color w:val="000000"/>
        </w:rPr>
        <w:t>, 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w:t>
      </w:r>
      <w:r w:rsidR="00DC4AD0" w:rsidRPr="00DC4AD0">
        <w:rPr>
          <w:rStyle w:val="Strong"/>
          <w:rFonts w:ascii="Arial" w:eastAsiaTheme="majorEastAsia" w:hAnsi="Arial" w:cs="Arial"/>
          <w:b w:val="0"/>
          <w:bCs w:val="0"/>
          <w:color w:val="000000"/>
        </w:rPr>
        <w:t>McGovern</w:t>
      </w:r>
      <w:r w:rsidR="00DC4AD0" w:rsidRPr="00DC4AD0">
        <w:rPr>
          <w:rFonts w:ascii="Arial" w:hAnsi="Arial" w:cs="Arial"/>
          <w:b/>
          <w:bCs/>
          <w:color w:val="000000"/>
        </w:rPr>
        <w:t xml:space="preserve"> </w:t>
      </w:r>
      <w:r w:rsidR="00DC4AD0" w:rsidRPr="00DC4AD0">
        <w:rPr>
          <w:rFonts w:ascii="Arial" w:hAnsi="Arial" w:cs="Arial"/>
          <w:color w:val="000000"/>
        </w:rPr>
        <w:t>(2010)</w:t>
      </w:r>
      <w:r w:rsidR="00DC4AD0">
        <w:rPr>
          <w:rFonts w:ascii="Arial" w:hAnsi="Arial" w:cs="Arial"/>
          <w:color w:val="000000"/>
        </w:rPr>
        <w:t xml:space="preserve"> </w:t>
      </w:r>
      <w:r w:rsidRPr="00892FE0">
        <w:rPr>
          <w:rFonts w:ascii="Arial" w:hAnsi="Arial" w:cs="Arial"/>
          <w:color w:val="000000"/>
        </w:rPr>
        <w:t>argues that the integration of violence with Sinn Féin’s political activity reinforced a narrative that armed struggle could produce constitutional concessions, thereby legitimising the organisation among segments of the nationalist community.</w:t>
      </w:r>
    </w:p>
    <w:p w14:paraId="00F794C8" w14:textId="1345885E"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However, this same hierarchy produced vulnerabilities that UK CT practitioners increasingly exploited. </w:t>
      </w:r>
      <w:r w:rsidR="003C7F06" w:rsidRPr="00DC4AD0">
        <w:rPr>
          <w:rFonts w:ascii="Arial" w:hAnsi="Arial" w:cs="Arial"/>
          <w:color w:val="000000"/>
        </w:rPr>
        <w:t>Innes</w:t>
      </w:r>
      <w:r w:rsidR="00DC4AD0" w:rsidRPr="00DC4AD0">
        <w:rPr>
          <w:rFonts w:ascii="Arial" w:hAnsi="Arial" w:cs="Arial"/>
          <w:color w:val="000000"/>
        </w:rPr>
        <w:t xml:space="preserve"> and Innes</w:t>
      </w:r>
      <w:r w:rsidRPr="00DC4AD0">
        <w:rPr>
          <w:rFonts w:ascii="Arial" w:hAnsi="Arial" w:cs="Arial"/>
          <w:color w:val="000000"/>
        </w:rPr>
        <w:t xml:space="preserve"> (202</w:t>
      </w:r>
      <w:r w:rsidR="00DC4AD0"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highlights how MI5 and the Royal Ulster Constabulary systematically penetrated the IRA’s upper command layers, degrading operational security and incentivising greater reliance on localised cells. </w:t>
      </w:r>
      <w:r w:rsidRPr="00892FE0">
        <w:rPr>
          <w:rFonts w:ascii="Arial" w:hAnsi="Arial" w:cs="Arial"/>
          <w:color w:val="000000"/>
        </w:rPr>
        <w:lastRenderedPageBreak/>
        <w:t xml:space="preserve">This intelligence-led approach shifted UK CT doctrine away from broad militarisation and toward targeted network disruption. Critically, </w:t>
      </w:r>
      <w:r w:rsidR="003C7F06" w:rsidRPr="00DC4AD0">
        <w:rPr>
          <w:rFonts w:ascii="Arial" w:hAnsi="Arial" w:cs="Arial"/>
          <w:color w:val="000000"/>
        </w:rPr>
        <w:t xml:space="preserve">Mac </w:t>
      </w:r>
      <w:proofErr w:type="spellStart"/>
      <w:r w:rsidR="003C7F06" w:rsidRPr="00DC4AD0">
        <w:rPr>
          <w:rFonts w:ascii="Arial" w:hAnsi="Arial" w:cs="Arial"/>
          <w:color w:val="000000"/>
        </w:rPr>
        <w:t>Ginty</w:t>
      </w:r>
      <w:proofErr w:type="spellEnd"/>
      <w:r w:rsidR="003C7F06" w:rsidRPr="00DC4AD0">
        <w:rPr>
          <w:rFonts w:ascii="Arial" w:hAnsi="Arial" w:cs="Arial"/>
          <w:color w:val="000000"/>
        </w:rPr>
        <w:t xml:space="preserve"> </w:t>
      </w:r>
      <w:r w:rsidRPr="00DC4AD0">
        <w:rPr>
          <w:rFonts w:ascii="Arial" w:hAnsi="Arial" w:cs="Arial"/>
          <w:color w:val="000000"/>
        </w:rPr>
        <w:t>(202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contends that CT success only materialised when political approaches aligned with operational pressure, culminating in the 1998 Good Friday Agreement. This settlement supported disarmament not through coercion alone but by addressing political grievances</w:t>
      </w:r>
      <w:r w:rsidR="00631AF1" w:rsidRPr="00892FE0">
        <w:rPr>
          <w:rFonts w:ascii="Arial" w:hAnsi="Arial" w:cs="Arial"/>
          <w:color w:val="000000"/>
        </w:rPr>
        <w:t>,</w:t>
      </w:r>
      <w:r w:rsidRPr="00892FE0">
        <w:rPr>
          <w:rFonts w:ascii="Arial" w:hAnsi="Arial" w:cs="Arial"/>
          <w:color w:val="000000"/>
        </w:rPr>
        <w:t xml:space="preserve"> demonstrating that purely security-centric CT cannot eliminate ideologically embedded terrorism.</w:t>
      </w:r>
    </w:p>
    <w:p w14:paraId="35137D65" w14:textId="01177961"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Al-</w:t>
      </w:r>
      <w:proofErr w:type="spellStart"/>
      <w:r w:rsidRPr="00892FE0">
        <w:rPr>
          <w:rFonts w:ascii="Arial" w:hAnsi="Arial" w:cs="Arial"/>
          <w:color w:val="000000"/>
        </w:rPr>
        <w:t>Qa’ida’s</w:t>
      </w:r>
      <w:proofErr w:type="spellEnd"/>
      <w:r w:rsidRPr="00892FE0">
        <w:rPr>
          <w:rFonts w:ascii="Arial" w:hAnsi="Arial" w:cs="Arial"/>
          <w:color w:val="000000"/>
        </w:rPr>
        <w:t xml:space="preserve"> evolution expanded hierarchical operational capacity beyond national borders. </w:t>
      </w:r>
      <w:r w:rsidRPr="00DC4AD0">
        <w:rPr>
          <w:rFonts w:ascii="Arial" w:hAnsi="Arial" w:cs="Arial"/>
          <w:color w:val="000000"/>
        </w:rPr>
        <w:t>Hoffman (2022)</w:t>
      </w:r>
      <w:r w:rsidRPr="00892FE0">
        <w:rPr>
          <w:rFonts w:ascii="Arial" w:hAnsi="Arial" w:cs="Arial"/>
          <w:color w:val="000000"/>
        </w:rPr>
        <w:t xml:space="preserve"> asserts that the group’s pre-9/11 structure revolved around a strong leadership hub in Afghanistan, responsible for funding, </w:t>
      </w:r>
      <w:proofErr w:type="gramStart"/>
      <w:r w:rsidRPr="00892FE0">
        <w:rPr>
          <w:rFonts w:ascii="Arial" w:hAnsi="Arial" w:cs="Arial"/>
          <w:color w:val="000000"/>
        </w:rPr>
        <w:t>training</w:t>
      </w:r>
      <w:proofErr w:type="gramEnd"/>
      <w:r w:rsidRPr="00892FE0">
        <w:rPr>
          <w:rFonts w:ascii="Arial" w:hAnsi="Arial" w:cs="Arial"/>
          <w:color w:val="000000"/>
        </w:rPr>
        <w:t xml:space="preserve"> and approving high-impact attacks across multiple regions. The 9/11 attacks demonstrated the catastrophic potential of centralised terrorist planning and exposed limitations in Western CT architecture, which had underestimated the ability of non-state groups to exploit global systems (</w:t>
      </w:r>
      <w:r w:rsidRPr="00DC4AD0">
        <w:rPr>
          <w:rFonts w:ascii="Arial" w:hAnsi="Arial" w:cs="Arial"/>
          <w:color w:val="000000"/>
        </w:rPr>
        <w:t xml:space="preserve">Bergen, 2022). </w:t>
      </w:r>
      <w:proofErr w:type="spellStart"/>
      <w:r w:rsidR="003C7F06" w:rsidRPr="00DC4AD0">
        <w:rPr>
          <w:rFonts w:ascii="Arial" w:hAnsi="Arial" w:cs="Arial"/>
          <w:color w:val="000000"/>
        </w:rPr>
        <w:t>Durodie</w:t>
      </w:r>
      <w:proofErr w:type="spellEnd"/>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argues that the United Kingdom viewed al-</w:t>
      </w:r>
      <w:proofErr w:type="spellStart"/>
      <w:r w:rsidRPr="00892FE0">
        <w:rPr>
          <w:rFonts w:ascii="Arial" w:hAnsi="Arial" w:cs="Arial"/>
          <w:color w:val="000000"/>
        </w:rPr>
        <w:t>Qa’ida</w:t>
      </w:r>
      <w:proofErr w:type="spellEnd"/>
      <w:r w:rsidRPr="00892FE0">
        <w:rPr>
          <w:rFonts w:ascii="Arial" w:hAnsi="Arial" w:cs="Arial"/>
          <w:color w:val="000000"/>
        </w:rPr>
        <w:t xml:space="preserve"> as a direct threat to domestic security and as a catalyst for sweeping legislative reform.</w:t>
      </w:r>
    </w:p>
    <w:p w14:paraId="47BE6322" w14:textId="15653134"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In response to this perceived vulnerability, the UK government enacted major CT legislation including the Anti-Terrorism, Crime and Security Act 2001 and later elements of the Terrorism Act regime, reflecting an urgent shift toward pre-emptive security expansion (</w:t>
      </w:r>
      <w:r w:rsidRPr="00DC4AD0">
        <w:rPr>
          <w:rFonts w:ascii="Arial" w:hAnsi="Arial" w:cs="Arial"/>
          <w:color w:val="000000"/>
        </w:rPr>
        <w:t>House of Commons Library, 2024).</w:t>
      </w:r>
      <w:r w:rsidRPr="00892FE0">
        <w:rPr>
          <w:rFonts w:ascii="Arial" w:hAnsi="Arial" w:cs="Arial"/>
          <w:color w:val="000000"/>
        </w:rPr>
        <w:t xml:space="preserve"> </w:t>
      </w:r>
      <w:r w:rsidR="003C7F06" w:rsidRPr="00DC4AD0">
        <w:rPr>
          <w:rFonts w:ascii="Arial" w:hAnsi="Arial" w:cs="Arial"/>
          <w:color w:val="000000"/>
        </w:rPr>
        <w:t xml:space="preserve">HM Government </w:t>
      </w:r>
      <w:r w:rsidRPr="00DC4AD0">
        <w:rPr>
          <w:rFonts w:ascii="Arial" w:hAnsi="Arial" w:cs="Arial"/>
          <w:color w:val="000000"/>
        </w:rPr>
        <w:t>(2023)</w:t>
      </w:r>
      <w:r w:rsidRPr="00892FE0">
        <w:rPr>
          <w:rFonts w:ascii="Arial" w:hAnsi="Arial" w:cs="Arial"/>
          <w:color w:val="000000"/>
        </w:rPr>
        <w:t xml:space="preserve"> note that this period established foundational assumptions: namely, that terrorism could be prevented by identifying leadership hierarchies, monitoring communication networks and interrupting resource flows. These measures were further institutionalised through the development of the CONTEST strategy, first introduced in the early 2000s and later refined into its four reactive pillars</w:t>
      </w:r>
      <w:r w:rsidR="00631AF1" w:rsidRPr="00892FE0">
        <w:rPr>
          <w:rFonts w:ascii="Arial" w:hAnsi="Arial" w:cs="Arial"/>
          <w:color w:val="000000"/>
        </w:rPr>
        <w:t xml:space="preserve">, </w:t>
      </w:r>
      <w:proofErr w:type="spellStart"/>
      <w:r w:rsidR="00631AF1" w:rsidRPr="00892FE0">
        <w:rPr>
          <w:rFonts w:ascii="Arial" w:hAnsi="Arial" w:cs="Arial"/>
          <w:color w:val="000000"/>
        </w:rPr>
        <w:t>them</w:t>
      </w:r>
      <w:proofErr w:type="spellEnd"/>
      <w:r w:rsidR="00631AF1" w:rsidRPr="00892FE0">
        <w:rPr>
          <w:rFonts w:ascii="Arial" w:hAnsi="Arial" w:cs="Arial"/>
          <w:color w:val="000000"/>
        </w:rPr>
        <w:t xml:space="preserve"> </w:t>
      </w:r>
      <w:proofErr w:type="spellStart"/>
      <w:r w:rsidR="00631AF1" w:rsidRPr="00892FE0">
        <w:rPr>
          <w:rFonts w:ascii="Arial" w:hAnsi="Arial" w:cs="Arial"/>
          <w:color w:val="000000"/>
        </w:rPr>
        <w:t>bieing</w:t>
      </w:r>
      <w:proofErr w:type="spellEnd"/>
      <w:r w:rsidR="00631AF1" w:rsidRPr="00892FE0">
        <w:rPr>
          <w:rFonts w:ascii="Arial" w:hAnsi="Arial" w:cs="Arial"/>
          <w:color w:val="000000"/>
        </w:rPr>
        <w:t>:</w:t>
      </w:r>
      <w:r w:rsidRPr="00892FE0">
        <w:rPr>
          <w:rFonts w:ascii="Arial" w:hAnsi="Arial" w:cs="Arial"/>
          <w:color w:val="000000"/>
        </w:rPr>
        <w:t xml:space="preserve"> Pursue, Prevent, Protect and Prepare </w:t>
      </w:r>
      <w:r w:rsidRPr="00DC4AD0">
        <w:rPr>
          <w:rFonts w:ascii="Arial" w:hAnsi="Arial" w:cs="Arial"/>
          <w:color w:val="000000"/>
        </w:rPr>
        <w:t>(Home Office, 202</w:t>
      </w:r>
      <w:r w:rsidR="00DC4AD0" w:rsidRPr="00DC4AD0">
        <w:rPr>
          <w:rFonts w:ascii="Arial" w:hAnsi="Arial" w:cs="Arial"/>
          <w:color w:val="000000"/>
        </w:rPr>
        <w:t>4</w:t>
      </w:r>
      <w:r w:rsidRPr="00DC4AD0">
        <w:rPr>
          <w:rFonts w:ascii="Arial" w:hAnsi="Arial" w:cs="Arial"/>
          <w:color w:val="000000"/>
        </w:rPr>
        <w:t>).</w:t>
      </w:r>
    </w:p>
    <w:p w14:paraId="6DEDF3B7" w14:textId="09BD8ADD"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Despite significant degradation of al-</w:t>
      </w:r>
      <w:proofErr w:type="spellStart"/>
      <w:r w:rsidRPr="00892FE0">
        <w:rPr>
          <w:rFonts w:ascii="Arial" w:hAnsi="Arial" w:cs="Arial"/>
          <w:color w:val="000000"/>
        </w:rPr>
        <w:t>Qa’ida’s</w:t>
      </w:r>
      <w:proofErr w:type="spellEnd"/>
      <w:r w:rsidRPr="00892FE0">
        <w:rPr>
          <w:rFonts w:ascii="Arial" w:hAnsi="Arial" w:cs="Arial"/>
          <w:color w:val="000000"/>
        </w:rPr>
        <w:t xml:space="preserve"> command following US-led military and intelligence operations, the consequences of these interventions reveal clear limitations in hierarchy-focused CT. </w:t>
      </w:r>
      <w:r w:rsidRPr="00DC4AD0">
        <w:rPr>
          <w:rFonts w:ascii="Arial" w:hAnsi="Arial" w:cs="Arial"/>
          <w:color w:val="000000"/>
        </w:rPr>
        <w:t>Marsden (2024)</w:t>
      </w:r>
      <w:r w:rsidRPr="00892FE0">
        <w:rPr>
          <w:rFonts w:ascii="Arial" w:hAnsi="Arial" w:cs="Arial"/>
          <w:color w:val="000000"/>
        </w:rPr>
        <w:t xml:space="preserve"> argues that dismantling centralised structures allowed extremist ideology to diffuse into decentralised affiliate networks, laying the groundwork for Islamic State’s later emergence. Meanwhile, destabilisation in the Middle East</w:t>
      </w:r>
      <w:r w:rsidR="00631AF1" w:rsidRPr="00892FE0">
        <w:rPr>
          <w:rFonts w:ascii="Arial" w:hAnsi="Arial" w:cs="Arial"/>
          <w:color w:val="000000"/>
        </w:rPr>
        <w:t xml:space="preserve"> (</w:t>
      </w:r>
      <w:r w:rsidRPr="00892FE0">
        <w:rPr>
          <w:rFonts w:ascii="Arial" w:hAnsi="Arial" w:cs="Arial"/>
          <w:color w:val="000000"/>
        </w:rPr>
        <w:t>particularly following the 2003 Iraq invasion</w:t>
      </w:r>
      <w:r w:rsidR="00631AF1" w:rsidRPr="00892FE0">
        <w:rPr>
          <w:rFonts w:ascii="Arial" w:hAnsi="Arial" w:cs="Arial"/>
          <w:color w:val="000000"/>
        </w:rPr>
        <w:t xml:space="preserve">) </w:t>
      </w:r>
      <w:r w:rsidRPr="00892FE0">
        <w:rPr>
          <w:rFonts w:ascii="Arial" w:hAnsi="Arial" w:cs="Arial"/>
          <w:color w:val="000000"/>
        </w:rPr>
        <w:lastRenderedPageBreak/>
        <w:t xml:space="preserve">contributed to prolonged regional insecurity that jihadist groups exploited </w:t>
      </w:r>
      <w:r w:rsidRPr="00DC4AD0">
        <w:rPr>
          <w:rFonts w:ascii="Arial" w:hAnsi="Arial" w:cs="Arial"/>
          <w:color w:val="000000"/>
        </w:rPr>
        <w:t>(Cockburn, 2023).</w:t>
      </w:r>
      <w:r w:rsidRPr="00892FE0">
        <w:rPr>
          <w:rFonts w:ascii="Arial" w:hAnsi="Arial" w:cs="Arial"/>
          <w:color w:val="000000"/>
        </w:rPr>
        <w:t xml:space="preserve"> This reflects a key insight identified by </w:t>
      </w:r>
      <w:r w:rsidRPr="00DC4AD0">
        <w:rPr>
          <w:rFonts w:ascii="Arial" w:hAnsi="Arial" w:cs="Arial"/>
          <w:color w:val="000000"/>
        </w:rPr>
        <w:t>Toros (2024):</w:t>
      </w:r>
      <w:r w:rsidRPr="00892FE0">
        <w:rPr>
          <w:rFonts w:ascii="Arial" w:hAnsi="Arial" w:cs="Arial"/>
          <w:color w:val="000000"/>
        </w:rPr>
        <w:t xml:space="preserve"> success measured in immediate network disruption may mask long-term negative outcomes if radicalisation drivers remain unaddressed.</w:t>
      </w:r>
    </w:p>
    <w:p w14:paraId="5CABAC57" w14:textId="414E8702"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The hierarchical era therefore produced significant institutional learning, but also strategic rigidity. UK CT increasingly prioritised identifying organisational footprints</w:t>
      </w:r>
      <w:r w:rsidR="00631AF1" w:rsidRPr="00892FE0">
        <w:rPr>
          <w:rFonts w:ascii="Arial" w:hAnsi="Arial" w:cs="Arial"/>
          <w:color w:val="000000"/>
        </w:rPr>
        <w:t xml:space="preserve"> (</w:t>
      </w:r>
      <w:r w:rsidRPr="00892FE0">
        <w:rPr>
          <w:rFonts w:ascii="Arial" w:hAnsi="Arial" w:cs="Arial"/>
          <w:color w:val="000000"/>
        </w:rPr>
        <w:t>weapons procurement, financial transfers, travel connections</w:t>
      </w:r>
      <w:r w:rsidR="00631AF1" w:rsidRPr="00892FE0">
        <w:rPr>
          <w:rFonts w:ascii="Arial" w:hAnsi="Arial" w:cs="Arial"/>
          <w:color w:val="000000"/>
        </w:rPr>
        <w:t xml:space="preserve">) </w:t>
      </w:r>
      <w:r w:rsidRPr="00892FE0">
        <w:rPr>
          <w:rFonts w:ascii="Arial" w:hAnsi="Arial" w:cs="Arial"/>
          <w:color w:val="000000"/>
        </w:rPr>
        <w:t>as primary threat indicators (</w:t>
      </w:r>
      <w:r w:rsidRPr="00DC4AD0">
        <w:rPr>
          <w:rFonts w:ascii="Arial" w:hAnsi="Arial" w:cs="Arial"/>
          <w:color w:val="000000"/>
        </w:rPr>
        <w:t xml:space="preserve">MI5, 2024). </w:t>
      </w:r>
      <w:proofErr w:type="spellStart"/>
      <w:r w:rsidR="00E9486D" w:rsidRPr="00E9486D">
        <w:rPr>
          <w:rFonts w:ascii="Arial" w:hAnsi="Arial" w:cs="Arial"/>
          <w:color w:val="000000"/>
        </w:rPr>
        <w:t>Gartenstein</w:t>
      </w:r>
      <w:proofErr w:type="spellEnd"/>
      <w:r w:rsidR="00E9486D" w:rsidRPr="00E9486D">
        <w:rPr>
          <w:rFonts w:ascii="Arial" w:hAnsi="Arial" w:cs="Arial"/>
          <w:color w:val="000000"/>
        </w:rPr>
        <w:t>-Ross</w:t>
      </w:r>
      <w:r w:rsidR="00E9486D" w:rsidRPr="00E9486D">
        <w:rPr>
          <w:rFonts w:ascii="Arial" w:hAnsi="Arial" w:cs="Arial"/>
          <w:color w:val="000000"/>
        </w:rPr>
        <w:t xml:space="preserve"> (</w:t>
      </w:r>
      <w:r w:rsidR="00E9486D" w:rsidRPr="00E9486D">
        <w:rPr>
          <w:rFonts w:ascii="Arial" w:hAnsi="Arial" w:cs="Arial"/>
          <w:color w:val="000000"/>
        </w:rPr>
        <w:t>202</w:t>
      </w:r>
      <w:r w:rsidR="00E9486D" w:rsidRPr="00E9486D">
        <w:rPr>
          <w:rFonts w:ascii="Arial" w:hAnsi="Arial" w:cs="Arial"/>
          <w:color w:val="000000"/>
        </w:rPr>
        <w:t>1</w:t>
      </w:r>
      <w:r w:rsidR="00DC4AD0" w:rsidRPr="00E9486D">
        <w:rPr>
          <w:rFonts w:ascii="Arial" w:hAnsi="Arial" w:cs="Arial"/>
          <w:color w:val="000000"/>
        </w:rPr>
        <w:t>),</w:t>
      </w:r>
      <w:r w:rsidR="00DC4AD0" w:rsidRPr="00892FE0">
        <w:rPr>
          <w:rFonts w:ascii="Arial" w:hAnsi="Arial" w:cs="Arial"/>
          <w:color w:val="000000"/>
        </w:rPr>
        <w:t xml:space="preserve"> notes</w:t>
      </w:r>
      <w:r w:rsidRPr="00892FE0">
        <w:rPr>
          <w:rFonts w:ascii="Arial" w:hAnsi="Arial" w:cs="Arial"/>
          <w:color w:val="000000"/>
        </w:rPr>
        <w:t xml:space="preserve"> that these indicators were effective only when terrorist activity required such infrastructure. Yet terrorism is adaptive. By the early 2000s, extremist actors recognised that centralised structures had become liabilities rather than strengths, prompting shifts toward operational models that resisted surveillance and intelligence penetration.</w:t>
      </w:r>
    </w:p>
    <w:p w14:paraId="40FF5EFF" w14:textId="7FF01C88"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Critically evaluating this period reveals a mixed legacy. </w:t>
      </w:r>
      <w:r w:rsidR="00E9486D" w:rsidRPr="00DC4AD0">
        <w:rPr>
          <w:rFonts w:ascii="Arial" w:hAnsi="Arial" w:cs="Arial"/>
          <w:color w:val="000000"/>
        </w:rPr>
        <w:t>Lewin</w:t>
      </w:r>
      <w:r w:rsidR="002044B5" w:rsidRPr="00DC4AD0">
        <w:rPr>
          <w:rFonts w:ascii="Arial" w:hAnsi="Arial" w:cs="Arial"/>
          <w:color w:val="000000"/>
        </w:rPr>
        <w:t xml:space="preserve"> </w:t>
      </w:r>
      <w:r w:rsidR="002044B5" w:rsidRPr="00DC4AD0">
        <w:rPr>
          <w:rFonts w:ascii="Arial" w:hAnsi="Arial" w:cs="Arial"/>
          <w:color w:val="000000"/>
        </w:rPr>
        <w:t>(2023)</w:t>
      </w:r>
      <w:r w:rsidRPr="00892FE0">
        <w:rPr>
          <w:rFonts w:ascii="Arial" w:hAnsi="Arial" w:cs="Arial"/>
          <w:color w:val="000000"/>
        </w:rPr>
        <w:t xml:space="preserve"> argues that while hierarchical terrorism was partially contained through intelligence pressure and negotiated settlements, political and social conditions conducive to radicalisation persisted. Furthermore, prioritising coercive CT approaches often hardened oppositional identities, as occurred with sections of the republican community in Northern Ireland (</w:t>
      </w:r>
      <w:r w:rsidRPr="00DC4AD0">
        <w:rPr>
          <w:rFonts w:ascii="Arial" w:hAnsi="Arial" w:cs="Arial"/>
          <w:color w:val="000000"/>
        </w:rPr>
        <w:t>Walsh, 202</w:t>
      </w:r>
      <w:r w:rsidR="00E9486D"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In the global context, highly militarised CT actions generated legitimacy crises that groups like al-</w:t>
      </w:r>
      <w:proofErr w:type="spellStart"/>
      <w:r w:rsidRPr="00892FE0">
        <w:rPr>
          <w:rFonts w:ascii="Arial" w:hAnsi="Arial" w:cs="Arial"/>
          <w:color w:val="000000"/>
        </w:rPr>
        <w:t>Qa’ida</w:t>
      </w:r>
      <w:proofErr w:type="spellEnd"/>
      <w:r w:rsidRPr="00892FE0">
        <w:rPr>
          <w:rFonts w:ascii="Arial" w:hAnsi="Arial" w:cs="Arial"/>
          <w:color w:val="000000"/>
        </w:rPr>
        <w:t xml:space="preserve"> weaponised in recruitment strategies </w:t>
      </w:r>
      <w:r w:rsidR="00DC4AD0" w:rsidRPr="00DC4AD0">
        <w:rPr>
          <w:rFonts w:ascii="Arial" w:hAnsi="Arial" w:cs="Arial"/>
          <w:color w:val="000000"/>
        </w:rPr>
        <w:t>(</w:t>
      </w:r>
      <w:r w:rsidR="00DC4AD0" w:rsidRPr="00DC4AD0">
        <w:rPr>
          <w:rFonts w:ascii="Arial" w:hAnsi="Arial" w:cs="Arial"/>
          <w:color w:val="000000"/>
        </w:rPr>
        <w:t>United Nations Development Programme</w:t>
      </w:r>
      <w:r w:rsidR="00DC4AD0" w:rsidRPr="00DC4AD0">
        <w:rPr>
          <w:rFonts w:ascii="Arial" w:hAnsi="Arial" w:cs="Arial"/>
          <w:color w:val="000000"/>
        </w:rPr>
        <w:t>, 2023).</w:t>
      </w:r>
      <w:r w:rsidR="00DC4AD0" w:rsidRPr="00892FE0">
        <w:rPr>
          <w:rFonts w:ascii="Arial" w:hAnsi="Arial" w:cs="Arial"/>
          <w:color w:val="000000"/>
        </w:rPr>
        <w:t xml:space="preserve"> </w:t>
      </w:r>
      <w:r w:rsidRPr="00892FE0">
        <w:rPr>
          <w:rFonts w:ascii="Arial" w:hAnsi="Arial" w:cs="Arial"/>
          <w:color w:val="000000"/>
        </w:rPr>
        <w:t>Thus, while hierarchical networks were damaged, their ideological influence endured, demonstrating that terrorism is not defeated by dismantling structure alone.</w:t>
      </w:r>
    </w:p>
    <w:p w14:paraId="64068466" w14:textId="1FC8CE64" w:rsidR="00DC4AD0" w:rsidRDefault="000D0105" w:rsidP="00DC4AD0">
      <w:pPr>
        <w:pStyle w:val="NormalWeb"/>
        <w:spacing w:line="360" w:lineRule="auto"/>
        <w:rPr>
          <w:color w:val="000000"/>
        </w:rPr>
      </w:pPr>
      <w:r w:rsidRPr="00892FE0">
        <w:rPr>
          <w:rFonts w:ascii="Arial" w:hAnsi="Arial" w:cs="Arial"/>
          <w:color w:val="000000"/>
        </w:rPr>
        <w:t xml:space="preserve">The hierarchical paradigm forged CT systems built around observable, </w:t>
      </w:r>
      <w:proofErr w:type="spellStart"/>
      <w:r w:rsidRPr="00892FE0">
        <w:rPr>
          <w:rFonts w:ascii="Arial" w:hAnsi="Arial" w:cs="Arial"/>
          <w:color w:val="000000"/>
        </w:rPr>
        <w:t>infiltratable</w:t>
      </w:r>
      <w:proofErr w:type="spellEnd"/>
      <w:r w:rsidRPr="00892FE0">
        <w:rPr>
          <w:rFonts w:ascii="Arial" w:hAnsi="Arial" w:cs="Arial"/>
          <w:color w:val="000000"/>
        </w:rPr>
        <w:t xml:space="preserve"> threat models. </w:t>
      </w:r>
      <w:r w:rsidR="00DC4AD0" w:rsidRPr="00DC4AD0">
        <w:rPr>
          <w:rFonts w:ascii="Arial" w:hAnsi="Arial" w:cs="Arial"/>
          <w:color w:val="000000"/>
        </w:rPr>
        <w:t>Recent empirical work on lone-actor terrorism and official UK threat assessments suggest that this model fostered a strong reliance on intelligence-led disruption of organised plots, yet that approach has been strained by the rise of radicalised self-initiated actors using low-sophistication methods and everyday objects as weapons (Gill et al, 2019; Home Office, 2023).</w:t>
      </w:r>
    </w:p>
    <w:p w14:paraId="1FEC2ADD" w14:textId="69121698"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 The erosion of hierarchical dominance marks a pivotal turning point in terrorism’s evolution: the threat became less detectable, less </w:t>
      </w:r>
      <w:proofErr w:type="gramStart"/>
      <w:r w:rsidRPr="00892FE0">
        <w:rPr>
          <w:rFonts w:ascii="Arial" w:hAnsi="Arial" w:cs="Arial"/>
          <w:color w:val="000000"/>
        </w:rPr>
        <w:t>predictable</w:t>
      </w:r>
      <w:proofErr w:type="gramEnd"/>
      <w:r w:rsidRPr="00892FE0">
        <w:rPr>
          <w:rFonts w:ascii="Arial" w:hAnsi="Arial" w:cs="Arial"/>
          <w:color w:val="000000"/>
        </w:rPr>
        <w:t xml:space="preserve"> and more difficult to disrupt pre-emptively. UK CT structures, optimised for centralised networks, were </w:t>
      </w:r>
      <w:r w:rsidRPr="00892FE0">
        <w:rPr>
          <w:rFonts w:ascii="Arial" w:hAnsi="Arial" w:cs="Arial"/>
          <w:color w:val="000000"/>
        </w:rPr>
        <w:lastRenderedPageBreak/>
        <w:t>suddenly confronted with decentralised, low-cost attacks that bypassed the mechanisms they depended upon.</w:t>
      </w:r>
    </w:p>
    <w:p w14:paraId="3DEB51C2" w14:textId="5084D22B"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Since 2014, the UK terrorist threat has undergone a profound transformation, marked by the dominance of self-initiated actors who require minimal logistical support to execute violence. </w:t>
      </w:r>
      <w:proofErr w:type="spellStart"/>
      <w:r w:rsidRPr="00DC4AD0">
        <w:rPr>
          <w:rFonts w:ascii="Arial" w:hAnsi="Arial" w:cs="Arial"/>
          <w:color w:val="000000"/>
        </w:rPr>
        <w:t>Pantucci</w:t>
      </w:r>
      <w:proofErr w:type="spellEnd"/>
      <w:r w:rsidRPr="00DC4AD0">
        <w:rPr>
          <w:rFonts w:ascii="Arial" w:hAnsi="Arial" w:cs="Arial"/>
          <w:color w:val="000000"/>
        </w:rPr>
        <w:t xml:space="preserve"> (2024)</w:t>
      </w:r>
      <w:r w:rsidRPr="00892FE0">
        <w:rPr>
          <w:rFonts w:ascii="Arial" w:hAnsi="Arial" w:cs="Arial"/>
          <w:color w:val="000000"/>
        </w:rPr>
        <w:t xml:space="preserve"> argues that this shift reflects an adaptation to sustained pressure on hierarchical organisations, which once relied on networks that were increasingly penetrated by intelligence agencies. Instead, individuals radicalised through online ecosystems now plan attacks autonomously, presenting security services with limited opportunities for early detection. </w:t>
      </w:r>
      <w:proofErr w:type="spellStart"/>
      <w:r w:rsidR="003C7F06" w:rsidRPr="00DC4AD0">
        <w:rPr>
          <w:rFonts w:ascii="Arial" w:hAnsi="Arial" w:cs="Arial"/>
          <w:color w:val="000000"/>
        </w:rPr>
        <w:t>Pantucci</w:t>
      </w:r>
      <w:proofErr w:type="spellEnd"/>
      <w:r w:rsidRPr="00DC4AD0">
        <w:rPr>
          <w:rFonts w:ascii="Arial" w:hAnsi="Arial" w:cs="Arial"/>
          <w:color w:val="000000"/>
        </w:rPr>
        <w:t xml:space="preserv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similarly notes that contemporary plots are often characterised by compressed timelines between radicalisation and mobilisation, reducing the warning signs that historically triggered intervention.</w:t>
      </w:r>
    </w:p>
    <w:p w14:paraId="07AC4E4E" w14:textId="7FEBF900"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While Daesh-inspired individuals initially drove this change in the mid-2010s, particularly during the organisation’s territorial peak, recent evidence demonstrates the rapid escalation of extreme right-wing (XRW) terrorism in the UK. </w:t>
      </w:r>
      <w:r w:rsidRPr="00DC4AD0">
        <w:rPr>
          <w:rFonts w:ascii="Arial" w:hAnsi="Arial" w:cs="Arial"/>
          <w:color w:val="000000"/>
        </w:rPr>
        <w:t>Koehler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emphasises that online accelerationist ideologies</w:t>
      </w:r>
      <w:r w:rsidRPr="00892FE0">
        <w:rPr>
          <w:rFonts w:ascii="Arial" w:hAnsi="Arial" w:cs="Arial"/>
          <w:color w:val="000000"/>
        </w:rPr>
        <w:t xml:space="preserve"> (</w:t>
      </w:r>
      <w:r w:rsidRPr="00892FE0">
        <w:rPr>
          <w:rFonts w:ascii="Arial" w:hAnsi="Arial" w:cs="Arial"/>
          <w:color w:val="000000"/>
        </w:rPr>
        <w:t>urging societal collapse through spontaneous violence</w:t>
      </w:r>
      <w:r w:rsidRPr="00892FE0">
        <w:rPr>
          <w:rFonts w:ascii="Arial" w:hAnsi="Arial" w:cs="Arial"/>
          <w:color w:val="000000"/>
        </w:rPr>
        <w:t xml:space="preserve">) </w:t>
      </w:r>
      <w:r w:rsidRPr="00892FE0">
        <w:rPr>
          <w:rFonts w:ascii="Arial" w:hAnsi="Arial" w:cs="Arial"/>
          <w:color w:val="000000"/>
        </w:rPr>
        <w:t xml:space="preserve">have become central to this landscape. This is evident in high-profile UK cases involving teenagers accessing extremist content through Discord, </w:t>
      </w:r>
      <w:proofErr w:type="gramStart"/>
      <w:r w:rsidRPr="00892FE0">
        <w:rPr>
          <w:rFonts w:ascii="Arial" w:hAnsi="Arial" w:cs="Arial"/>
          <w:color w:val="000000"/>
        </w:rPr>
        <w:t>Telegram</w:t>
      </w:r>
      <w:proofErr w:type="gramEnd"/>
      <w:r w:rsidRPr="00892FE0">
        <w:rPr>
          <w:rFonts w:ascii="Arial" w:hAnsi="Arial" w:cs="Arial"/>
          <w:color w:val="000000"/>
        </w:rPr>
        <w:t xml:space="preserve"> and gaming platforms, where symbolic violence and meme culture normalise harm </w:t>
      </w:r>
      <w:r w:rsidRPr="00DC4AD0">
        <w:rPr>
          <w:rFonts w:ascii="Arial" w:hAnsi="Arial" w:cs="Arial"/>
          <w:color w:val="000000"/>
        </w:rPr>
        <w:t>(Winter, 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The 2022 conviction of a 14-year-old from Derbyshire for terrorism-related offences underscores how XRW radicalisation increasingly targets minors through decentralised, gamified online spaces </w:t>
      </w:r>
      <w:r w:rsidRPr="00DC4AD0">
        <w:rPr>
          <w:rFonts w:ascii="Arial" w:hAnsi="Arial" w:cs="Arial"/>
          <w:color w:val="000000"/>
        </w:rPr>
        <w:t>(</w:t>
      </w:r>
      <w:proofErr w:type="spellStart"/>
      <w:r w:rsidRPr="00DC4AD0">
        <w:rPr>
          <w:rFonts w:ascii="Arial" w:hAnsi="Arial" w:cs="Arial"/>
          <w:color w:val="000000"/>
        </w:rPr>
        <w:t>Casciani</w:t>
      </w:r>
      <w:proofErr w:type="spellEnd"/>
      <w:r w:rsidRPr="00DC4AD0">
        <w:rPr>
          <w:rFonts w:ascii="Arial" w:hAnsi="Arial" w:cs="Arial"/>
          <w:color w:val="000000"/>
        </w:rPr>
        <w:t>, 2023).</w:t>
      </w:r>
      <w:r w:rsidRPr="00892FE0">
        <w:rPr>
          <w:rFonts w:ascii="Arial" w:hAnsi="Arial" w:cs="Arial"/>
          <w:color w:val="000000"/>
        </w:rPr>
        <w:t xml:space="preserve"> Such developments expose evolving vulnerabilities far removed from the structured recruitment of previous eras.</w:t>
      </w:r>
    </w:p>
    <w:p w14:paraId="7844BD1B" w14:textId="152C61E4" w:rsidR="00010AC2" w:rsidRPr="00DC4AD0" w:rsidRDefault="00010AC2" w:rsidP="00892FE0">
      <w:pPr>
        <w:pStyle w:val="NormalWeb"/>
        <w:spacing w:line="360" w:lineRule="auto"/>
        <w:rPr>
          <w:rFonts w:ascii="Arial" w:hAnsi="Arial" w:cs="Arial"/>
          <w:b/>
          <w:bCs/>
          <w:color w:val="000000"/>
        </w:rPr>
      </w:pPr>
      <w:r w:rsidRPr="00892FE0">
        <w:rPr>
          <w:rFonts w:ascii="Arial" w:hAnsi="Arial" w:cs="Arial"/>
          <w:color w:val="000000"/>
        </w:rPr>
        <w:t xml:space="preserve">XRW terrorism now accounts for a substantial proportion of MI5’s priority investigations. </w:t>
      </w:r>
      <w:r w:rsidRPr="00DC4AD0">
        <w:rPr>
          <w:rFonts w:ascii="Arial" w:hAnsi="Arial" w:cs="Arial"/>
          <w:color w:val="000000"/>
        </w:rPr>
        <w:t>The Intelligence and Security Committee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states that XRW cases have been handled by MI5 since 2018 due to the scale and seriousness of the threat. </w:t>
      </w:r>
      <w:r w:rsidR="00DC4AD0" w:rsidRPr="00DC4AD0">
        <w:rPr>
          <w:rStyle w:val="Strong"/>
          <w:rFonts w:ascii="Arial" w:eastAsiaTheme="majorEastAsia" w:hAnsi="Arial" w:cs="Arial"/>
          <w:b w:val="0"/>
          <w:bCs w:val="0"/>
          <w:color w:val="000000"/>
        </w:rPr>
        <w:t>Recent analysis shows that many counter-terrorism frameworks remain anchored in a post-9/11 paradigm that prioritises Islamist extremism as the primary threat, which has slowed institutional adaptation to the rise of more diverse and self-initiated forms of terrorism (</w:t>
      </w:r>
      <w:proofErr w:type="spellStart"/>
      <w:r w:rsidR="00DC4AD0" w:rsidRPr="00DC4AD0">
        <w:rPr>
          <w:rStyle w:val="Strong"/>
          <w:rFonts w:ascii="Arial" w:eastAsiaTheme="majorEastAsia" w:hAnsi="Arial" w:cs="Arial"/>
          <w:b w:val="0"/>
          <w:bCs w:val="0"/>
          <w:color w:val="000000"/>
        </w:rPr>
        <w:t>Shanaah</w:t>
      </w:r>
      <w:proofErr w:type="spellEnd"/>
      <w:r w:rsidR="00DC4AD0" w:rsidRPr="00DC4AD0">
        <w:rPr>
          <w:rStyle w:val="Strong"/>
          <w:rFonts w:ascii="Arial" w:eastAsiaTheme="majorEastAsia" w:hAnsi="Arial" w:cs="Arial"/>
          <w:b w:val="0"/>
          <w:bCs w:val="0"/>
          <w:color w:val="000000"/>
        </w:rPr>
        <w:t xml:space="preserve">, 2023; </w:t>
      </w:r>
      <w:proofErr w:type="spellStart"/>
      <w:r w:rsidR="00DC4AD0" w:rsidRPr="00DC4AD0">
        <w:rPr>
          <w:rStyle w:val="Strong"/>
          <w:rFonts w:ascii="Arial" w:eastAsiaTheme="majorEastAsia" w:hAnsi="Arial" w:cs="Arial"/>
          <w:b w:val="0"/>
          <w:bCs w:val="0"/>
          <w:color w:val="000000"/>
        </w:rPr>
        <w:t>Bąkowski</w:t>
      </w:r>
      <w:proofErr w:type="spellEnd"/>
      <w:r w:rsidR="00DC4AD0" w:rsidRPr="00DC4AD0">
        <w:rPr>
          <w:rStyle w:val="Strong"/>
          <w:rFonts w:ascii="Arial" w:eastAsiaTheme="majorEastAsia" w:hAnsi="Arial" w:cs="Arial"/>
          <w:b w:val="0"/>
          <w:bCs w:val="0"/>
          <w:color w:val="000000"/>
        </w:rPr>
        <w:t>, 2025).</w:t>
      </w:r>
      <w:r w:rsidRPr="00892FE0">
        <w:rPr>
          <w:rFonts w:ascii="Arial" w:hAnsi="Arial" w:cs="Arial"/>
          <w:color w:val="000000"/>
        </w:rPr>
        <w:t xml:space="preserve"> Indeed, the </w:t>
      </w:r>
      <w:r w:rsidRPr="00DC4AD0">
        <w:rPr>
          <w:rFonts w:ascii="Arial" w:hAnsi="Arial" w:cs="Arial"/>
          <w:color w:val="000000"/>
        </w:rPr>
        <w:t>Home Office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reports that far-right referrals to Prevent have overtaken Islamist ones </w:t>
      </w:r>
      <w:r w:rsidRPr="00892FE0">
        <w:rPr>
          <w:rFonts w:ascii="Arial" w:hAnsi="Arial" w:cs="Arial"/>
          <w:color w:val="000000"/>
        </w:rPr>
        <w:lastRenderedPageBreak/>
        <w:t>among individuals under 18, challenging long-standing assumptions concerning where radicalisation risk is concentrated.</w:t>
      </w:r>
    </w:p>
    <w:p w14:paraId="0017AC8C" w14:textId="64A40E44" w:rsidR="00010AC2" w:rsidRPr="00892FE0" w:rsidRDefault="00010AC2" w:rsidP="00DC4AD0">
      <w:pPr>
        <w:pStyle w:val="NormalWeb"/>
        <w:spacing w:line="360" w:lineRule="auto"/>
        <w:rPr>
          <w:rFonts w:ascii="Arial" w:hAnsi="Arial" w:cs="Arial"/>
          <w:color w:val="000000"/>
        </w:rPr>
      </w:pPr>
      <w:r w:rsidRPr="00892FE0">
        <w:rPr>
          <w:rFonts w:ascii="Arial" w:hAnsi="Arial" w:cs="Arial"/>
          <w:color w:val="000000"/>
        </w:rPr>
        <w:t xml:space="preserve">A central enabler of self-initiated extremism is the digital environment. </w:t>
      </w:r>
      <w:r w:rsidR="00DC4AD0" w:rsidRPr="00DC4AD0">
        <w:rPr>
          <w:rFonts w:ascii="Arial" w:hAnsi="Arial" w:cs="Arial"/>
          <w:color w:val="000000"/>
        </w:rPr>
        <w:t>Recent empirical reviews show that online recommendation systems can amplify exposure to extremist narratives and sustain identity-based echo chambers, which may accelerate violent ideation among susceptible users (Whittaker, 2022)</w:t>
      </w:r>
      <w:r w:rsidRPr="00DC4AD0">
        <w:rPr>
          <w:rFonts w:ascii="Arial" w:hAnsi="Arial" w:cs="Arial"/>
          <w:color w:val="000000"/>
        </w:rPr>
        <w:t xml:space="preserve">. </w:t>
      </w:r>
      <w:proofErr w:type="spellStart"/>
      <w:r w:rsidRPr="00DC4AD0">
        <w:rPr>
          <w:rFonts w:ascii="Arial" w:hAnsi="Arial" w:cs="Arial"/>
          <w:color w:val="000000"/>
        </w:rPr>
        <w:t>Gartenstein</w:t>
      </w:r>
      <w:proofErr w:type="spellEnd"/>
      <w:r w:rsidRPr="00DC4AD0">
        <w:rPr>
          <w:rFonts w:ascii="Arial" w:hAnsi="Arial" w:cs="Arial"/>
          <w:color w:val="000000"/>
        </w:rPr>
        <w:t>-Ross (202</w:t>
      </w:r>
      <w:r w:rsidR="003C7F06"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describes this as a “distributed radicalisation infrastructure” that replaces organisational hierarchy with digital influence. Attackers blend ideologies in ways that complicate classification: for example, </w:t>
      </w:r>
      <w:r w:rsidR="003C7F06" w:rsidRPr="00DC4AD0">
        <w:rPr>
          <w:rFonts w:ascii="Arial" w:hAnsi="Arial" w:cs="Arial"/>
          <w:color w:val="000000"/>
        </w:rPr>
        <w:t>Richards</w:t>
      </w:r>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documents individuals espousing hybrid belief systems combining white supremacism, </w:t>
      </w:r>
      <w:proofErr w:type="spellStart"/>
      <w:r w:rsidRPr="00892FE0">
        <w:rPr>
          <w:rFonts w:ascii="Arial" w:hAnsi="Arial" w:cs="Arial"/>
          <w:color w:val="000000"/>
        </w:rPr>
        <w:t>incel</w:t>
      </w:r>
      <w:proofErr w:type="spellEnd"/>
      <w:r w:rsidRPr="00892FE0">
        <w:rPr>
          <w:rFonts w:ascii="Arial" w:hAnsi="Arial" w:cs="Arial"/>
          <w:color w:val="000000"/>
        </w:rPr>
        <w:t xml:space="preserve"> misogyny and conspiracy theories. This ideological fluidity weakens the predictive value of conventional risk markers rooted in membership, </w:t>
      </w:r>
      <w:proofErr w:type="gramStart"/>
      <w:r w:rsidRPr="00892FE0">
        <w:rPr>
          <w:rFonts w:ascii="Arial" w:hAnsi="Arial" w:cs="Arial"/>
          <w:color w:val="000000"/>
        </w:rPr>
        <w:t>affiliation</w:t>
      </w:r>
      <w:proofErr w:type="gramEnd"/>
      <w:r w:rsidRPr="00892FE0">
        <w:rPr>
          <w:rFonts w:ascii="Arial" w:hAnsi="Arial" w:cs="Arial"/>
          <w:color w:val="000000"/>
        </w:rPr>
        <w:t xml:space="preserve"> or traditional doctrine.</w:t>
      </w:r>
    </w:p>
    <w:p w14:paraId="27433461" w14:textId="13A1439D" w:rsidR="00010AC2" w:rsidRPr="00DC4AD0" w:rsidRDefault="00010AC2" w:rsidP="00892FE0">
      <w:pPr>
        <w:pStyle w:val="NormalWeb"/>
        <w:spacing w:line="360" w:lineRule="auto"/>
        <w:rPr>
          <w:rFonts w:ascii="Arial" w:hAnsi="Arial" w:cs="Arial"/>
          <w:color w:val="000000"/>
          <w:highlight w:val="yellow"/>
        </w:rPr>
      </w:pPr>
      <w:r w:rsidRPr="00892FE0">
        <w:rPr>
          <w:rFonts w:ascii="Arial" w:hAnsi="Arial" w:cs="Arial"/>
          <w:color w:val="000000"/>
        </w:rPr>
        <w:t xml:space="preserve">Despite acknowledgement of these challenges, CT responses remain limited in their ability to pre-empt lone-actor attacks. </w:t>
      </w:r>
      <w:proofErr w:type="gramStart"/>
      <w:r w:rsidR="003C7F06" w:rsidRPr="00DC4AD0">
        <w:rPr>
          <w:rFonts w:ascii="Arial" w:hAnsi="Arial" w:cs="Arial"/>
          <w:color w:val="000000"/>
        </w:rPr>
        <w:t>Manchester Arena Inquiry (2023),</w:t>
      </w:r>
      <w:proofErr w:type="gramEnd"/>
      <w:r w:rsidRPr="00892FE0">
        <w:rPr>
          <w:rFonts w:ascii="Arial" w:hAnsi="Arial" w:cs="Arial"/>
          <w:color w:val="000000"/>
        </w:rPr>
        <w:t xml:space="preserve"> identifies continued deficiencies in local-level intelligence coordination, which contributed to failures highlighted by the Manchester Arena Inquiry. The inquiry’s final report stresses that although Salman Abedi acted without direct external command, a more proactive assessment of behavioural red flags may have prevented the attack </w:t>
      </w:r>
      <w:r w:rsidRPr="00DC4AD0">
        <w:rPr>
          <w:rFonts w:ascii="Arial" w:hAnsi="Arial" w:cs="Arial"/>
          <w:color w:val="000000"/>
        </w:rPr>
        <w:t>(Manchester Arena Inquiry, 2023).</w:t>
      </w:r>
      <w:r w:rsidRPr="00892FE0">
        <w:rPr>
          <w:rFonts w:ascii="Arial" w:hAnsi="Arial" w:cs="Arial"/>
          <w:color w:val="000000"/>
        </w:rPr>
        <w:t xml:space="preserve"> UK policing has since expanded behavioural science-led interventions, yet </w:t>
      </w:r>
      <w:r w:rsidRPr="00DC4AD0">
        <w:rPr>
          <w:rFonts w:ascii="Arial" w:hAnsi="Arial" w:cs="Arial"/>
          <w:color w:val="000000"/>
        </w:rPr>
        <w:t>Murray (202</w:t>
      </w:r>
      <w:r w:rsidR="00DC4AD0"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cautions that such tools struggle to differentiate between genuine trajectories toward violence and non-violent extremism, increasing the risk of both false positives and missed threats.</w:t>
      </w:r>
    </w:p>
    <w:p w14:paraId="583D2596" w14:textId="1035AF40"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Prevent remains the most controversial component of the UK’s response to self-initiated extremism. </w:t>
      </w:r>
      <w:proofErr w:type="spellStart"/>
      <w:proofErr w:type="gramStart"/>
      <w:r w:rsidR="00DC4AD0">
        <w:rPr>
          <w:rFonts w:ascii="Arial" w:hAnsi="Arial" w:cs="Arial"/>
          <w:color w:val="000000"/>
        </w:rPr>
        <w:t>Shawcross</w:t>
      </w:r>
      <w:proofErr w:type="spellEnd"/>
      <w:r w:rsidR="00DC4AD0">
        <w:rPr>
          <w:rFonts w:ascii="Arial" w:hAnsi="Arial" w:cs="Arial"/>
          <w:color w:val="000000"/>
        </w:rPr>
        <w:t xml:space="preserve"> (2023),</w:t>
      </w:r>
      <w:proofErr w:type="gramEnd"/>
      <w:r w:rsidRPr="00892FE0">
        <w:rPr>
          <w:rFonts w:ascii="Arial" w:hAnsi="Arial" w:cs="Arial"/>
          <w:color w:val="000000"/>
        </w:rPr>
        <w:t xml:space="preserve"> criticises the programme for a lack of clarity in its objectives and inconsistent delivery across local authorities. </w:t>
      </w:r>
      <w:proofErr w:type="spellStart"/>
      <w:r w:rsidRPr="00DC4AD0">
        <w:rPr>
          <w:rFonts w:ascii="Arial" w:hAnsi="Arial" w:cs="Arial"/>
          <w:color w:val="000000"/>
        </w:rPr>
        <w:t>Qurashi</w:t>
      </w:r>
      <w:proofErr w:type="spellEnd"/>
      <w:r w:rsidRPr="00DC4AD0">
        <w:rPr>
          <w:rFonts w:ascii="Arial" w:hAnsi="Arial" w:cs="Arial"/>
          <w:color w:val="000000"/>
        </w:rPr>
        <w:t xml:space="preserve"> (2024)</w:t>
      </w:r>
      <w:r w:rsidRPr="00892FE0">
        <w:rPr>
          <w:rFonts w:ascii="Arial" w:hAnsi="Arial" w:cs="Arial"/>
          <w:color w:val="000000"/>
        </w:rPr>
        <w:t xml:space="preserve"> argues that </w:t>
      </w:r>
      <w:proofErr w:type="spellStart"/>
      <w:r w:rsidRPr="00892FE0">
        <w:rPr>
          <w:rFonts w:ascii="Arial" w:hAnsi="Arial" w:cs="Arial"/>
          <w:color w:val="000000"/>
        </w:rPr>
        <w:t>Prevent’s</w:t>
      </w:r>
      <w:proofErr w:type="spellEnd"/>
      <w:r w:rsidRPr="00892FE0">
        <w:rPr>
          <w:rFonts w:ascii="Arial" w:hAnsi="Arial" w:cs="Arial"/>
          <w:color w:val="000000"/>
        </w:rPr>
        <w:t xml:space="preserve"> securitised logic disrupts trust with communities whose cooperation is essential to identifying individuals at risk, particularly young people radicalised online. Conversely</w:t>
      </w:r>
      <w:r w:rsidRPr="00DC4AD0">
        <w:rPr>
          <w:rFonts w:ascii="Arial" w:hAnsi="Arial" w:cs="Arial"/>
          <w:color w:val="000000"/>
        </w:rPr>
        <w:t xml:space="preserve">, </w:t>
      </w:r>
      <w:r w:rsidR="003C7F06" w:rsidRPr="00DC4AD0">
        <w:rPr>
          <w:rFonts w:ascii="Arial" w:hAnsi="Arial" w:cs="Arial"/>
          <w:color w:val="000000"/>
        </w:rPr>
        <w:t>Richards</w:t>
      </w:r>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suggests that improved community-based Prevent initiatives could strengthen resilience by addressing psychosocial vulnerabilities</w:t>
      </w:r>
      <w:r w:rsidRPr="00892FE0">
        <w:rPr>
          <w:rFonts w:ascii="Arial" w:hAnsi="Arial" w:cs="Arial"/>
          <w:color w:val="000000"/>
        </w:rPr>
        <w:t xml:space="preserve"> (</w:t>
      </w:r>
      <w:r w:rsidRPr="00892FE0">
        <w:rPr>
          <w:rFonts w:ascii="Arial" w:hAnsi="Arial" w:cs="Arial"/>
          <w:color w:val="000000"/>
        </w:rPr>
        <w:t>such as isolation and belonging</w:t>
      </w:r>
      <w:r w:rsidRPr="00892FE0">
        <w:rPr>
          <w:rFonts w:ascii="Arial" w:hAnsi="Arial" w:cs="Arial"/>
          <w:color w:val="000000"/>
        </w:rPr>
        <w:t xml:space="preserve">) </w:t>
      </w:r>
      <w:r w:rsidRPr="00892FE0">
        <w:rPr>
          <w:rFonts w:ascii="Arial" w:hAnsi="Arial" w:cs="Arial"/>
          <w:color w:val="000000"/>
        </w:rPr>
        <w:t>that underpin many lone-actor pathways.</w:t>
      </w:r>
    </w:p>
    <w:p w14:paraId="3CD7C362" w14:textId="2285D5EE"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Legal responses also raise complex questions regarding proportionality and civil liberties. </w:t>
      </w:r>
      <w:r w:rsidR="003C7F06" w:rsidRPr="00DC4AD0">
        <w:rPr>
          <w:rFonts w:ascii="Arial" w:hAnsi="Arial" w:cs="Arial"/>
          <w:color w:val="000000"/>
        </w:rPr>
        <w:t>House of Lords (2023)</w:t>
      </w:r>
      <w:r w:rsidR="003C7F06" w:rsidRPr="00892FE0">
        <w:rPr>
          <w:rFonts w:ascii="Arial" w:hAnsi="Arial" w:cs="Arial"/>
          <w:color w:val="000000"/>
        </w:rPr>
        <w:t xml:space="preserve"> </w:t>
      </w:r>
      <w:r w:rsidRPr="00892FE0">
        <w:rPr>
          <w:rFonts w:ascii="Arial" w:hAnsi="Arial" w:cs="Arial"/>
          <w:color w:val="000000"/>
        </w:rPr>
        <w:t xml:space="preserve">notes that enhanced surveillance powers under the Investigatory Powers Act 2016 have expanded state reach into private communications; however, </w:t>
      </w:r>
      <w:r w:rsidRPr="00DC4AD0">
        <w:rPr>
          <w:rFonts w:ascii="Arial" w:hAnsi="Arial" w:cs="Arial"/>
          <w:color w:val="000000"/>
        </w:rPr>
        <w:t>Warren (2024)</w:t>
      </w:r>
      <w:r w:rsidRPr="00892FE0">
        <w:rPr>
          <w:rFonts w:ascii="Arial" w:hAnsi="Arial" w:cs="Arial"/>
          <w:color w:val="000000"/>
        </w:rPr>
        <w:t xml:space="preserve"> argues that these tools provide limited benefit when attackers do not engage in identifiable operational communication. </w:t>
      </w:r>
      <w:r w:rsidRPr="00DC4AD0">
        <w:rPr>
          <w:rFonts w:ascii="Arial" w:hAnsi="Arial" w:cs="Arial"/>
          <w:color w:val="000000"/>
        </w:rPr>
        <w:t>Amnesty International (2024)</w:t>
      </w:r>
      <w:r w:rsidRPr="00892FE0">
        <w:rPr>
          <w:rFonts w:ascii="Arial" w:hAnsi="Arial" w:cs="Arial"/>
          <w:color w:val="000000"/>
        </w:rPr>
        <w:t xml:space="preserve"> warns that public expectations of “total prevention” may push policy beyond democratic boundaries, particularly given the operational impossibility of detecting every spontaneous, low-tech threat.</w:t>
      </w:r>
    </w:p>
    <w:p w14:paraId="3C6F62EA" w14:textId="092C4326"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Evaluating the state’s adaptation to the rise of self-initiated terrorism reveals both innovation and unresolved gaps. </w:t>
      </w:r>
      <w:r w:rsidRPr="00DC4AD0">
        <w:rPr>
          <w:rFonts w:ascii="Arial" w:hAnsi="Arial" w:cs="Arial"/>
          <w:color w:val="000000"/>
        </w:rPr>
        <w:t>Anderson (2024)</w:t>
      </w:r>
      <w:r w:rsidRPr="00892FE0">
        <w:rPr>
          <w:rFonts w:ascii="Arial" w:hAnsi="Arial" w:cs="Arial"/>
          <w:color w:val="000000"/>
        </w:rPr>
        <w:t xml:space="preserve"> acknowledges significant improvements in multi-agency communication and rapid threat assessment, facilitated by bodies such as the Joint Terrorism Analysis Centre. Yet, </w:t>
      </w:r>
      <w:r w:rsidRPr="00DC4AD0">
        <w:rPr>
          <w:rFonts w:ascii="Arial" w:hAnsi="Arial" w:cs="Arial"/>
          <w:color w:val="000000"/>
        </w:rPr>
        <w:t>Counter Terrorism Policing (2023)</w:t>
      </w:r>
      <w:r w:rsidRPr="00892FE0">
        <w:rPr>
          <w:rFonts w:ascii="Arial" w:hAnsi="Arial" w:cs="Arial"/>
          <w:color w:val="000000"/>
        </w:rPr>
        <w:t xml:space="preserve"> reports that </w:t>
      </w:r>
      <w:proofErr w:type="gramStart"/>
      <w:r w:rsidRPr="00892FE0">
        <w:rPr>
          <w:rFonts w:ascii="Arial" w:hAnsi="Arial" w:cs="Arial"/>
          <w:color w:val="000000"/>
        </w:rPr>
        <w:t>the majority of</w:t>
      </w:r>
      <w:proofErr w:type="gramEnd"/>
      <w:r w:rsidRPr="00892FE0">
        <w:rPr>
          <w:rFonts w:ascii="Arial" w:hAnsi="Arial" w:cs="Arial"/>
          <w:color w:val="000000"/>
        </w:rPr>
        <w:t xml:space="preserve"> disrupted plots since 2017 have involved individuals acting alone, demonstrating that response capacity has outpaced prevention capability. </w:t>
      </w:r>
      <w:r w:rsidR="00E9486D" w:rsidRPr="00DC4AD0">
        <w:rPr>
          <w:rFonts w:ascii="Arial" w:hAnsi="Arial" w:cs="Arial"/>
          <w:color w:val="000000"/>
        </w:rPr>
        <w:t>Patel</w:t>
      </w:r>
      <w:r w:rsidRPr="00DC4AD0">
        <w:rPr>
          <w:rFonts w:ascii="Arial" w:hAnsi="Arial" w:cs="Arial"/>
          <w:color w:val="000000"/>
        </w:rPr>
        <w:t xml:space="preserve"> (202</w:t>
      </w:r>
      <w:r w:rsidR="00E9486D"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contends that policymakers must better integrate mental health services, </w:t>
      </w:r>
      <w:proofErr w:type="gramStart"/>
      <w:r w:rsidRPr="00892FE0">
        <w:rPr>
          <w:rFonts w:ascii="Arial" w:hAnsi="Arial" w:cs="Arial"/>
          <w:color w:val="000000"/>
        </w:rPr>
        <w:t>schools</w:t>
      </w:r>
      <w:proofErr w:type="gramEnd"/>
      <w:r w:rsidRPr="00892FE0">
        <w:rPr>
          <w:rFonts w:ascii="Arial" w:hAnsi="Arial" w:cs="Arial"/>
          <w:color w:val="000000"/>
        </w:rPr>
        <w:t xml:space="preserve"> and youth organisations into CT strategy, given that many lone actors exhibit personal vulnerabilities and social disconnection rather than strong ideological commitment.</w:t>
      </w:r>
    </w:p>
    <w:p w14:paraId="18327C75" w14:textId="77777777"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This shifting threat landscape also raises deeper strategic implications. </w:t>
      </w:r>
      <w:r w:rsidRPr="00DC4AD0">
        <w:rPr>
          <w:rFonts w:ascii="Arial" w:hAnsi="Arial" w:cs="Arial"/>
          <w:color w:val="000000"/>
        </w:rPr>
        <w:t>Jackson (2024)</w:t>
      </w:r>
      <w:r w:rsidRPr="00892FE0">
        <w:rPr>
          <w:rFonts w:ascii="Arial" w:hAnsi="Arial" w:cs="Arial"/>
          <w:color w:val="000000"/>
        </w:rPr>
        <w:t xml:space="preserve"> argues that CT must move beyond a surveillance-dominant model and invest in social legitimacy and community empowerment if it is to remain effective. The rise of XRW extremism highlights blind spots in institutional focus, challenging policymakers to adapt with agility rather than repeat the reactive patterns of the hierarchical era. Moreover, digital acceleration and youth radicalisation demand a forward-looking approach attentive to the cultural spaces where extremist identity now emerges.</w:t>
      </w:r>
    </w:p>
    <w:p w14:paraId="63DD58FD" w14:textId="4C442C36" w:rsidR="00010AC2" w:rsidRPr="00892FE0" w:rsidRDefault="00010AC2" w:rsidP="00892FE0">
      <w:pPr>
        <w:pStyle w:val="NormalWeb"/>
        <w:spacing w:line="360" w:lineRule="auto"/>
        <w:rPr>
          <w:rFonts w:ascii="Arial" w:hAnsi="Arial" w:cs="Arial"/>
          <w:color w:val="000000"/>
        </w:rPr>
      </w:pPr>
      <w:r w:rsidRPr="00E9486D">
        <w:rPr>
          <w:rFonts w:ascii="Arial" w:hAnsi="Arial" w:cs="Arial"/>
          <w:color w:val="000000"/>
        </w:rPr>
        <w:t xml:space="preserve">Overall, the post-2014 era has fundamentally altered the character of terrorism in the UK. </w:t>
      </w:r>
      <w:r w:rsidR="00E9486D">
        <w:rPr>
          <w:rFonts w:ascii="Arial" w:hAnsi="Arial" w:cs="Arial"/>
          <w:color w:val="000000"/>
        </w:rPr>
        <w:t>As stated by Warrington (2024), self</w:t>
      </w:r>
      <w:r w:rsidRPr="00E9486D">
        <w:rPr>
          <w:rFonts w:ascii="Arial" w:hAnsi="Arial" w:cs="Arial"/>
          <w:color w:val="000000"/>
        </w:rPr>
        <w:t xml:space="preserve">-initiated actors present a diffuse and unpredictable threat that exploits everyday vulnerabilities and defies detection methods designed for structured organisations. </w:t>
      </w:r>
      <w:r w:rsidR="00E9486D">
        <w:rPr>
          <w:rFonts w:ascii="Arial" w:hAnsi="Arial" w:cs="Arial"/>
          <w:color w:val="000000"/>
        </w:rPr>
        <w:t xml:space="preserve">Furthermore, </w:t>
      </w:r>
      <w:proofErr w:type="gramStart"/>
      <w:r w:rsidRPr="00E9486D">
        <w:rPr>
          <w:rFonts w:ascii="Arial" w:hAnsi="Arial" w:cs="Arial"/>
          <w:color w:val="000000"/>
        </w:rPr>
        <w:t>If</w:t>
      </w:r>
      <w:proofErr w:type="gramEnd"/>
      <w:r w:rsidRPr="00E9486D">
        <w:rPr>
          <w:rFonts w:ascii="Arial" w:hAnsi="Arial" w:cs="Arial"/>
          <w:color w:val="000000"/>
        </w:rPr>
        <w:t xml:space="preserve"> hierarchical terrorism once reflected physical networks and political movements, contemporary extremism increasingly manifests as fragmented, socially embedded impulses amplified by </w:t>
      </w:r>
      <w:r w:rsidRPr="00E9486D">
        <w:rPr>
          <w:rFonts w:ascii="Arial" w:hAnsi="Arial" w:cs="Arial"/>
          <w:color w:val="000000"/>
        </w:rPr>
        <w:lastRenderedPageBreak/>
        <w:t xml:space="preserve">digital influence. </w:t>
      </w:r>
      <w:r w:rsidR="00DC4AD0">
        <w:rPr>
          <w:rFonts w:ascii="Arial" w:hAnsi="Arial" w:cs="Arial"/>
          <w:color w:val="000000"/>
        </w:rPr>
        <w:t>Warrington (2024)</w:t>
      </w:r>
      <w:r w:rsidR="00E9486D">
        <w:rPr>
          <w:rFonts w:ascii="Arial" w:hAnsi="Arial" w:cs="Arial"/>
          <w:color w:val="000000"/>
        </w:rPr>
        <w:t xml:space="preserve"> also reiterates that, u</w:t>
      </w:r>
      <w:r w:rsidRPr="00E9486D">
        <w:rPr>
          <w:rFonts w:ascii="Arial" w:hAnsi="Arial" w:cs="Arial"/>
          <w:color w:val="000000"/>
        </w:rPr>
        <w:t>nless CT strategy evolves in pace with this behavioural and technological transformation, the UK risks remaining reactive to a threat environment that continues to innovate more quickly than the institutions seeking to contain it.</w:t>
      </w:r>
    </w:p>
    <w:p w14:paraId="387FB092" w14:textId="10E46DB0"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UK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strategy has undergone significant transformation in the last two decades in response to shifting terrorist methodologies and the emergence of self-initiated threats. Rather than dismantling hierarchical organisations alone, the priority has shifted toward preventing individuals from radicalising and acting autonomously with minimal detectable preparation. </w:t>
      </w:r>
      <w:r w:rsidRPr="00DC4AD0">
        <w:rPr>
          <w:rFonts w:ascii="Arial" w:hAnsi="Arial" w:cs="Arial"/>
          <w:color w:val="000000"/>
        </w:rPr>
        <w:t>Gilmore (2023)</w:t>
      </w:r>
      <w:r w:rsidRPr="00892FE0">
        <w:rPr>
          <w:rFonts w:ascii="Arial" w:hAnsi="Arial" w:cs="Arial"/>
          <w:color w:val="000000"/>
        </w:rPr>
        <w:t xml:space="preserve"> argues that this evolution reflects a fundamental recalibration of CT doctrine, moving from post-incident reaction to proactive disruption of intent</w:t>
      </w:r>
      <w:r w:rsidRPr="00892FE0">
        <w:rPr>
          <w:rFonts w:ascii="Arial" w:hAnsi="Arial" w:cs="Arial"/>
          <w:color w:val="000000"/>
        </w:rPr>
        <w:t>,</w:t>
      </w:r>
      <w:r w:rsidRPr="00892FE0">
        <w:rPr>
          <w:rFonts w:ascii="Arial" w:hAnsi="Arial" w:cs="Arial"/>
          <w:color w:val="000000"/>
        </w:rPr>
        <w:t xml:space="preserve"> a shift necessary but fraught with operational and ethical challenges.</w:t>
      </w:r>
    </w:p>
    <w:p w14:paraId="15A5A38A" w14:textId="68FC6168"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UK’s national CT framework, CONTEST, exemplifies this institutional adaptation. Since its formalisation in 2003, it has been repeatedly revised to maintain relevance, most recently in 2023 when the Home Office placed greater emphasis on decentralised threats, youth radicalisation and the digital sphere. According to </w:t>
      </w:r>
      <w:r w:rsidRPr="00DC4AD0">
        <w:rPr>
          <w:rFonts w:ascii="Arial" w:hAnsi="Arial" w:cs="Arial"/>
          <w:color w:val="000000"/>
        </w:rPr>
        <w:t>Stanford-Tuck (2024),</w:t>
      </w:r>
      <w:r w:rsidRPr="00892FE0">
        <w:rPr>
          <w:rFonts w:ascii="Arial" w:hAnsi="Arial" w:cs="Arial"/>
          <w:color w:val="000000"/>
        </w:rPr>
        <w:t xml:space="preserve"> CONTEST’s “4 Ps” strategy</w:t>
      </w:r>
      <w:r w:rsidRPr="00892FE0">
        <w:rPr>
          <w:rFonts w:ascii="Arial" w:hAnsi="Arial" w:cs="Arial"/>
          <w:color w:val="000000"/>
        </w:rPr>
        <w:t xml:space="preserve"> (</w:t>
      </w:r>
      <w:r w:rsidRPr="00892FE0">
        <w:rPr>
          <w:rFonts w:ascii="Arial" w:hAnsi="Arial" w:cs="Arial"/>
          <w:color w:val="000000"/>
        </w:rPr>
        <w:t>Pursue, Prevent, Protect and Prepare</w:t>
      </w:r>
      <w:r w:rsidRPr="00892FE0">
        <w:rPr>
          <w:rFonts w:ascii="Arial" w:hAnsi="Arial" w:cs="Arial"/>
          <w:color w:val="000000"/>
        </w:rPr>
        <w:t>)</w:t>
      </w:r>
      <w:r w:rsidRPr="00892FE0">
        <w:rPr>
          <w:rFonts w:ascii="Arial" w:hAnsi="Arial" w:cs="Arial"/>
          <w:color w:val="000000"/>
        </w:rPr>
        <w:t xml:space="preserve"> has increasingly required integrated intelligence sharing across law enforcement, border protection, and social-care networks. The strategy’s evolution signifies recognition that self-initiated extremists often emerge from within communities rather than from transnational organisational ties.</w:t>
      </w:r>
    </w:p>
    <w:p w14:paraId="0E7F9816"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Legislative reform since 2001 has also reshaped the UK CT environment. The expansion of pre-emptive powers has been driven primarily by perceived gaps in responding to unpredictable attack trajectories. The </w:t>
      </w:r>
      <w:proofErr w:type="gramStart"/>
      <w:r w:rsidRPr="00892FE0">
        <w:rPr>
          <w:rFonts w:ascii="Arial" w:hAnsi="Arial" w:cs="Arial"/>
          <w:color w:val="000000"/>
        </w:rPr>
        <w:t>Counter-Terrorism</w:t>
      </w:r>
      <w:proofErr w:type="gramEnd"/>
      <w:r w:rsidRPr="00892FE0">
        <w:rPr>
          <w:rFonts w:ascii="Arial" w:hAnsi="Arial" w:cs="Arial"/>
          <w:color w:val="000000"/>
        </w:rPr>
        <w:t xml:space="preserve"> and Border Security Act 2019 tightened criminalisation of online extremist access, reflecting concern that digital exposure can serve as both ideological and instructional enabler. However, </w:t>
      </w:r>
      <w:r w:rsidRPr="00DC4AD0">
        <w:rPr>
          <w:rFonts w:ascii="Arial" w:hAnsi="Arial" w:cs="Arial"/>
          <w:color w:val="000000"/>
        </w:rPr>
        <w:t>Upchurch (2023)</w:t>
      </w:r>
      <w:r w:rsidRPr="00892FE0">
        <w:rPr>
          <w:rFonts w:ascii="Arial" w:hAnsi="Arial" w:cs="Arial"/>
          <w:color w:val="000000"/>
        </w:rPr>
        <w:t xml:space="preserve"> criticises the Act for ambiguities in defining “terrorist content”, warning that vague legal language risks disproportionate use against researchers, </w:t>
      </w:r>
      <w:proofErr w:type="gramStart"/>
      <w:r w:rsidRPr="00892FE0">
        <w:rPr>
          <w:rFonts w:ascii="Arial" w:hAnsi="Arial" w:cs="Arial"/>
          <w:color w:val="000000"/>
        </w:rPr>
        <w:t>journalists</w:t>
      </w:r>
      <w:proofErr w:type="gramEnd"/>
      <w:r w:rsidRPr="00892FE0">
        <w:rPr>
          <w:rFonts w:ascii="Arial" w:hAnsi="Arial" w:cs="Arial"/>
          <w:color w:val="000000"/>
        </w:rPr>
        <w:t xml:space="preserve"> or individuals with no violent intent. This highlights perennial tensions between broad preventive powers and civil liberties protections.</w:t>
      </w:r>
    </w:p>
    <w:p w14:paraId="4FFA4B40" w14:textId="1F2BD8AF"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The Streatham attack in 2020 </w:t>
      </w:r>
      <w:r w:rsidRPr="00892FE0">
        <w:rPr>
          <w:rFonts w:ascii="Arial" w:hAnsi="Arial" w:cs="Arial"/>
          <w:color w:val="000000"/>
        </w:rPr>
        <w:t>(</w:t>
      </w:r>
      <w:r w:rsidRPr="00892FE0">
        <w:rPr>
          <w:rFonts w:ascii="Arial" w:hAnsi="Arial" w:cs="Arial"/>
          <w:color w:val="000000"/>
        </w:rPr>
        <w:t>carried out by an individual released from prison after serving a sentence for terrorism offences</w:t>
      </w:r>
      <w:r w:rsidRPr="00892FE0">
        <w:rPr>
          <w:rFonts w:ascii="Arial" w:hAnsi="Arial" w:cs="Arial"/>
          <w:color w:val="000000"/>
        </w:rPr>
        <w:t xml:space="preserve">) </w:t>
      </w:r>
      <w:r w:rsidRPr="00892FE0">
        <w:rPr>
          <w:rFonts w:ascii="Arial" w:hAnsi="Arial" w:cs="Arial"/>
          <w:color w:val="000000"/>
        </w:rPr>
        <w:t xml:space="preserve">prompted further legislative tightening. </w:t>
      </w:r>
      <w:r w:rsidRPr="00DC4AD0">
        <w:rPr>
          <w:rFonts w:ascii="Arial" w:hAnsi="Arial" w:cs="Arial"/>
          <w:color w:val="000000"/>
        </w:rPr>
        <w:t>The Terrorist Offenders (Restriction of Early Release) Act 2020 removed</w:t>
      </w:r>
      <w:r w:rsidRPr="00892FE0">
        <w:rPr>
          <w:rFonts w:ascii="Arial" w:hAnsi="Arial" w:cs="Arial"/>
          <w:color w:val="000000"/>
        </w:rPr>
        <w:t xml:space="preserve"> automatic early release for certain offenders, expanding post-custody monitoring obligations for police and probation services. Yet </w:t>
      </w:r>
      <w:r w:rsidRPr="00DC4AD0">
        <w:rPr>
          <w:rFonts w:ascii="Arial" w:hAnsi="Arial" w:cs="Arial"/>
          <w:color w:val="000000"/>
        </w:rPr>
        <w:t>King (2024) argues</w:t>
      </w:r>
      <w:r w:rsidRPr="00892FE0">
        <w:rPr>
          <w:rFonts w:ascii="Arial" w:hAnsi="Arial" w:cs="Arial"/>
          <w:color w:val="000000"/>
        </w:rPr>
        <w:t xml:space="preserve"> that legislation alone cannot mitigate structural resourcing constraints within the prison and probation sectors, where supervision capacity often </w:t>
      </w:r>
      <w:proofErr w:type="gramStart"/>
      <w:r w:rsidRPr="00892FE0">
        <w:rPr>
          <w:rFonts w:ascii="Arial" w:hAnsi="Arial" w:cs="Arial"/>
          <w:color w:val="000000"/>
        </w:rPr>
        <w:t>lags behind</w:t>
      </w:r>
      <w:proofErr w:type="gramEnd"/>
      <w:r w:rsidRPr="00892FE0">
        <w:rPr>
          <w:rFonts w:ascii="Arial" w:hAnsi="Arial" w:cs="Arial"/>
          <w:color w:val="000000"/>
        </w:rPr>
        <w:t xml:space="preserve"> increased statutory demands. As such, surveillance expansion risks becoming symbolic rather than operationally transformative.</w:t>
      </w:r>
    </w:p>
    <w:p w14:paraId="5025A61F" w14:textId="6FB69F7C"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Manchester Arena Inquiry has been a critical turning point in CT evaluation. The inquiry concluded in 2023 that institutional complacency at venues and communication failures between MI5 and local policing significantly contributed to operational blind spots. </w:t>
      </w:r>
      <w:r w:rsidRPr="00DC4AD0">
        <w:rPr>
          <w:rFonts w:ascii="Arial" w:hAnsi="Arial" w:cs="Arial"/>
          <w:color w:val="000000"/>
        </w:rPr>
        <w:t>Hancock (2024)</w:t>
      </w:r>
      <w:r w:rsidRPr="00892FE0">
        <w:rPr>
          <w:rFonts w:ascii="Arial" w:hAnsi="Arial" w:cs="Arial"/>
          <w:color w:val="000000"/>
        </w:rPr>
        <w:t xml:space="preserve"> notes that the Inquiry’s findings forced recognition that CT should not be viewed as solely the remit of security agencies</w:t>
      </w:r>
      <w:r w:rsidRPr="00892FE0">
        <w:rPr>
          <w:rFonts w:ascii="Arial" w:hAnsi="Arial" w:cs="Arial"/>
          <w:color w:val="000000"/>
        </w:rPr>
        <w:t xml:space="preserve">, </w:t>
      </w:r>
      <w:r w:rsidRPr="00892FE0">
        <w:rPr>
          <w:rFonts w:ascii="Arial" w:hAnsi="Arial" w:cs="Arial"/>
          <w:color w:val="000000"/>
        </w:rPr>
        <w:t xml:space="preserve">private security, event managers and emergency services must function as components of a broader protective ecosystem. This has accelerated Protect Duty proposals, seeking legal requirements for enhanced preparedness in public venues. Nevertheless, </w:t>
      </w:r>
      <w:r w:rsidR="00DC4AD0" w:rsidRPr="00DC4AD0">
        <w:rPr>
          <w:rFonts w:ascii="Arial" w:hAnsi="Arial" w:cs="Arial"/>
          <w:color w:val="000000"/>
        </w:rPr>
        <w:t>the Government</w:t>
      </w:r>
      <w:r w:rsidRPr="00DC4AD0">
        <w:rPr>
          <w:rFonts w:ascii="Arial" w:hAnsi="Arial" w:cs="Arial"/>
          <w:color w:val="000000"/>
        </w:rPr>
        <w:t xml:space="preserve"> (202</w:t>
      </w:r>
      <w:r w:rsidR="00DC4AD0" w:rsidRPr="00DC4AD0">
        <w:rPr>
          <w:rFonts w:ascii="Arial" w:hAnsi="Arial" w:cs="Arial"/>
          <w:color w:val="000000"/>
        </w:rPr>
        <w:t>4</w:t>
      </w:r>
      <w:r w:rsidRPr="00DC4AD0">
        <w:rPr>
          <w:rFonts w:ascii="Arial" w:hAnsi="Arial" w:cs="Arial"/>
          <w:color w:val="000000"/>
        </w:rPr>
        <w:t>)</w:t>
      </w:r>
      <w:r w:rsidR="00DC4AD0" w:rsidRPr="00DC4AD0">
        <w:rPr>
          <w:rFonts w:ascii="Arial" w:hAnsi="Arial" w:cs="Arial"/>
          <w:color w:val="000000"/>
        </w:rPr>
        <w:t>,</w:t>
      </w:r>
      <w:r w:rsidR="00DC4AD0">
        <w:rPr>
          <w:rFonts w:ascii="Arial" w:hAnsi="Arial" w:cs="Arial"/>
          <w:color w:val="000000"/>
        </w:rPr>
        <w:t xml:space="preserve"> </w:t>
      </w:r>
      <w:r w:rsidRPr="00892FE0">
        <w:rPr>
          <w:rFonts w:ascii="Arial" w:hAnsi="Arial" w:cs="Arial"/>
          <w:color w:val="000000"/>
        </w:rPr>
        <w:t>warns that compliance burdens may disproportionately impact smaller organisations without necessarily improving intelligence-based prevention capacity.</w:t>
      </w:r>
    </w:p>
    <w:p w14:paraId="4F62E53A" w14:textId="02129E75"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A key lesson from recent attack reviews is the need for earlier and more nuanced intervention. The 2023 Independent Review of Prevent concluded that inconsistent implementation undermined its effectiveness, especially in responding to extreme right-wing radicalisation. According to </w:t>
      </w:r>
      <w:r w:rsidRPr="00DC4AD0">
        <w:rPr>
          <w:rFonts w:ascii="Arial" w:hAnsi="Arial" w:cs="Arial"/>
          <w:color w:val="000000"/>
        </w:rPr>
        <w:t>Ahmed (2024),</w:t>
      </w:r>
      <w:r w:rsidRPr="00892FE0">
        <w:rPr>
          <w:rFonts w:ascii="Arial" w:hAnsi="Arial" w:cs="Arial"/>
          <w:color w:val="000000"/>
        </w:rPr>
        <w:t xml:space="preserve"> Prevent continues to be perceived as discriminatory among Muslim communities, thereby eroding trust needed for early reporting of concerns. Conversely, </w:t>
      </w:r>
      <w:r w:rsidR="003C7F06" w:rsidRPr="00DC4AD0">
        <w:rPr>
          <w:rFonts w:ascii="Arial" w:hAnsi="Arial" w:cs="Arial"/>
          <w:color w:val="000000"/>
        </w:rPr>
        <w:t>Stanley (2023)</w:t>
      </w:r>
      <w:r w:rsidRPr="00892FE0">
        <w:rPr>
          <w:rFonts w:ascii="Arial" w:hAnsi="Arial" w:cs="Arial"/>
          <w:color w:val="000000"/>
        </w:rPr>
        <w:t xml:space="preserve"> argues that insufficient focus on XRW cases until very recently reflects institutional blind spots that reduce policy legitimacy across the ideological spectrum. These contradictions suggest that while </w:t>
      </w:r>
      <w:proofErr w:type="gramStart"/>
      <w:r w:rsidRPr="00892FE0">
        <w:rPr>
          <w:rFonts w:ascii="Arial" w:hAnsi="Arial" w:cs="Arial"/>
          <w:color w:val="000000"/>
        </w:rPr>
        <w:t>Prevent</w:t>
      </w:r>
      <w:proofErr w:type="gramEnd"/>
      <w:r w:rsidRPr="00892FE0">
        <w:rPr>
          <w:rFonts w:ascii="Arial" w:hAnsi="Arial" w:cs="Arial"/>
          <w:color w:val="000000"/>
        </w:rPr>
        <w:t xml:space="preserve"> aims to safeguard vulnerable individuals, it often struggles to reconcile security objectives with the social license required for participation and cooperation.</w:t>
      </w:r>
    </w:p>
    <w:p w14:paraId="2000C67A" w14:textId="77CFBC2E"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UK CT has also increasingly integrated behavioural science. The Pathways Programme and multi-agency panels now draw on risk assessment models that incorporate psychosocial indicators rather than solely ideological commitment. Yet </w:t>
      </w:r>
      <w:proofErr w:type="spellStart"/>
      <w:r w:rsidRPr="00DC4AD0">
        <w:rPr>
          <w:rFonts w:ascii="Arial" w:hAnsi="Arial" w:cs="Arial"/>
          <w:color w:val="000000"/>
        </w:rPr>
        <w:t>Vasilopoulos</w:t>
      </w:r>
      <w:proofErr w:type="spellEnd"/>
      <w:r w:rsidR="00DC4AD0" w:rsidRPr="00DC4AD0">
        <w:rPr>
          <w:rFonts w:ascii="Arial" w:hAnsi="Arial" w:cs="Arial"/>
          <w:color w:val="000000"/>
        </w:rPr>
        <w:t xml:space="preserve"> et al</w:t>
      </w:r>
      <w:r w:rsidRPr="00DC4AD0">
        <w:rPr>
          <w:rFonts w:ascii="Arial" w:hAnsi="Arial" w:cs="Arial"/>
          <w:color w:val="000000"/>
        </w:rPr>
        <w:t xml:space="preserve"> (2024)</w:t>
      </w:r>
      <w:r w:rsidRPr="00892FE0">
        <w:rPr>
          <w:rFonts w:ascii="Arial" w:hAnsi="Arial" w:cs="Arial"/>
          <w:color w:val="000000"/>
        </w:rPr>
        <w:t xml:space="preserve"> contends that radicalisation remains highly individualised and unpredictable, limiting the accuracy of such predictive approaches. Misclassification risks include over-surveillance of individuals with mental health needs and underestimation of those whose worldviews harden covertly. In both cases, legitimacy is jeopardised if CT operates on flawed proxies for risk.</w:t>
      </w:r>
    </w:p>
    <w:p w14:paraId="58CAF915" w14:textId="6B902BD4"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Digital-era challenges have further intensified the operational burden.</w:t>
      </w:r>
      <w:r w:rsidRPr="00DC4AD0">
        <w:rPr>
          <w:rFonts w:ascii="Arial" w:hAnsi="Arial" w:cs="Arial"/>
          <w:color w:val="000000"/>
        </w:rPr>
        <w:t xml:space="preserve"> </w:t>
      </w:r>
      <w:r w:rsidR="00DC4AD0" w:rsidRPr="00DC4AD0">
        <w:rPr>
          <w:rFonts w:ascii="Arial" w:hAnsi="Arial" w:cs="Arial"/>
          <w:color w:val="000000"/>
        </w:rPr>
        <w:t>“Recent research shows that extremists are increasingly using encrypted messaging apps, decentralised networks and anonymised online identities</w:t>
      </w:r>
      <w:r w:rsidR="00DC4AD0" w:rsidRPr="00DC4AD0">
        <w:rPr>
          <w:rFonts w:ascii="Arial" w:hAnsi="Arial" w:cs="Arial"/>
          <w:color w:val="000000"/>
        </w:rPr>
        <w:t>,</w:t>
      </w:r>
      <w:r w:rsidR="00DC4AD0" w:rsidRPr="00DC4AD0">
        <w:rPr>
          <w:rFonts w:ascii="Arial" w:hAnsi="Arial" w:cs="Arial"/>
          <w:color w:val="000000"/>
        </w:rPr>
        <w:t xml:space="preserve"> patterns that significantly complicate attribution and disruption efforts (HM Prison &amp; Probation Service, 2022).”</w:t>
      </w:r>
      <w:r w:rsidRPr="00DC4AD0">
        <w:rPr>
          <w:rFonts w:ascii="Arial" w:hAnsi="Arial" w:cs="Arial"/>
          <w:color w:val="000000"/>
        </w:rPr>
        <w:t>.</w:t>
      </w:r>
      <w:r w:rsidRPr="00892FE0">
        <w:rPr>
          <w:rFonts w:ascii="Arial" w:hAnsi="Arial" w:cs="Arial"/>
          <w:color w:val="000000"/>
        </w:rPr>
        <w:t xml:space="preserve"> Whittaker (2024) notes that technology companies remain reluctant to share data proactively due to privacy concerns and fragmented governance. This creates a strategic disjuncture: public expectation of total protection persists, even as actionable intelligence signals </w:t>
      </w:r>
      <w:proofErr w:type="gramStart"/>
      <w:r w:rsidRPr="00892FE0">
        <w:rPr>
          <w:rFonts w:ascii="Arial" w:hAnsi="Arial" w:cs="Arial"/>
          <w:color w:val="000000"/>
        </w:rPr>
        <w:t>diminish</w:t>
      </w:r>
      <w:proofErr w:type="gramEnd"/>
      <w:r w:rsidRPr="00892FE0">
        <w:rPr>
          <w:rFonts w:ascii="Arial" w:hAnsi="Arial" w:cs="Arial"/>
          <w:color w:val="000000"/>
        </w:rPr>
        <w:t xml:space="preserve"> and adversaries innovate rapidly.</w:t>
      </w:r>
    </w:p>
    <w:p w14:paraId="7DC26E65" w14:textId="0CA40E3E"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Despite these challenges, UK CT demonstrates considerable adaptability. </w:t>
      </w:r>
      <w:r w:rsidRPr="00892FE0">
        <w:rPr>
          <w:rFonts w:ascii="Arial" w:hAnsi="Arial" w:cs="Arial"/>
          <w:color w:val="000000"/>
        </w:rPr>
        <w:t xml:space="preserve"> J</w:t>
      </w:r>
      <w:r w:rsidRPr="00892FE0">
        <w:rPr>
          <w:rFonts w:ascii="Arial" w:hAnsi="Arial" w:cs="Arial"/>
          <w:color w:val="0A0A0A"/>
          <w:shd w:val="clear" w:color="auto" w:fill="FFFFFF"/>
        </w:rPr>
        <w:t>oint Terrorism Analysis Centre</w:t>
      </w:r>
      <w:r w:rsidRPr="00892FE0">
        <w:rPr>
          <w:rFonts w:ascii="Arial" w:hAnsi="Arial" w:cs="Arial"/>
          <w:color w:val="000000"/>
        </w:rPr>
        <w:t xml:space="preserve"> (</w:t>
      </w:r>
      <w:r w:rsidRPr="00892FE0">
        <w:rPr>
          <w:rFonts w:ascii="Arial" w:hAnsi="Arial" w:cs="Arial"/>
          <w:color w:val="000000"/>
        </w:rPr>
        <w:t>JTAC’s</w:t>
      </w:r>
      <w:r w:rsidRPr="00892FE0">
        <w:rPr>
          <w:rFonts w:ascii="Arial" w:hAnsi="Arial" w:cs="Arial"/>
          <w:color w:val="000000"/>
        </w:rPr>
        <w:t>)</w:t>
      </w:r>
      <w:r w:rsidRPr="00892FE0">
        <w:rPr>
          <w:rFonts w:ascii="Arial" w:hAnsi="Arial" w:cs="Arial"/>
          <w:color w:val="000000"/>
        </w:rPr>
        <w:t xml:space="preserve"> intelligence coordination improvements have contributed to the prevention of multiple imminent plots since 2017, demonstrating growing agility in responding to micro-threats </w:t>
      </w:r>
      <w:r w:rsidRPr="00DC4AD0">
        <w:rPr>
          <w:rFonts w:ascii="Arial" w:hAnsi="Arial" w:cs="Arial"/>
          <w:color w:val="000000"/>
        </w:rPr>
        <w:t>(Intelligence and Security Committee, 2024).</w:t>
      </w:r>
      <w:r w:rsidRPr="00892FE0">
        <w:rPr>
          <w:rFonts w:ascii="Arial" w:hAnsi="Arial" w:cs="Arial"/>
          <w:color w:val="000000"/>
        </w:rPr>
        <w:t xml:space="preserve"> Multi-agency safeguarding hubs are increasingly embedded at regional level, enabling more rapid responses to community-reported concerns. Specialised policing capabilities have also been decentralised, allowing faster deployment to dynamic incidents nationwide, rather than relying exclusively on forces in London and Manchester.</w:t>
      </w:r>
    </w:p>
    <w:p w14:paraId="27121BBE" w14:textId="1413CE8B"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Yet critical scholarship suggests that further transformation is required</w:t>
      </w:r>
      <w:r w:rsidRPr="00DC4AD0">
        <w:rPr>
          <w:rFonts w:ascii="Arial" w:hAnsi="Arial" w:cs="Arial"/>
          <w:color w:val="000000"/>
        </w:rPr>
        <w:t>. Barker (2025) argues</w:t>
      </w:r>
      <w:r w:rsidRPr="00892FE0">
        <w:rPr>
          <w:rFonts w:ascii="Arial" w:hAnsi="Arial" w:cs="Arial"/>
          <w:color w:val="000000"/>
        </w:rPr>
        <w:t xml:space="preserve"> that CT remains overly rooted in post-9/11 security logics that emphasise coercion and surveillance over social resilience and prevention.</w:t>
      </w:r>
      <w:r w:rsidRPr="00DC4AD0">
        <w:rPr>
          <w:rFonts w:ascii="Arial" w:hAnsi="Arial" w:cs="Arial"/>
          <w:color w:val="000000"/>
        </w:rPr>
        <w:t xml:space="preserve"> </w:t>
      </w:r>
      <w:r w:rsidR="00DC4AD0" w:rsidRPr="00DC4AD0">
        <w:rPr>
          <w:rFonts w:ascii="Arial" w:hAnsi="Arial" w:cs="Arial"/>
          <w:color w:val="000000"/>
        </w:rPr>
        <w:t>Recent human rights bodies warn that counter-terrorism measures which fail to respect human rights risk “exacerbating the conditions conducive to terrorism”, effectively fuelling the very grievances that violent self-initiated extremists seek to exploit (United Nations Human Rights Council, 2024</w:t>
      </w:r>
      <w:r w:rsidR="00DC4AD0">
        <w:rPr>
          <w:rFonts w:ascii="Arial" w:hAnsi="Arial" w:cs="Arial"/>
          <w:color w:val="000000"/>
        </w:rPr>
        <w:t>b</w:t>
      </w:r>
      <w:r w:rsidR="00DC4AD0" w:rsidRPr="00DC4AD0">
        <w:rPr>
          <w:rFonts w:ascii="Arial" w:hAnsi="Arial" w:cs="Arial"/>
          <w:color w:val="000000"/>
        </w:rPr>
        <w:t xml:space="preserve">; Government of the United Kingdom, </w:t>
      </w:r>
      <w:r w:rsidR="00DC4AD0" w:rsidRPr="00DC4AD0">
        <w:rPr>
          <w:rFonts w:ascii="Arial" w:hAnsi="Arial" w:cs="Arial"/>
          <w:color w:val="000000"/>
        </w:rPr>
        <w:lastRenderedPageBreak/>
        <w:t>2024)</w:t>
      </w:r>
      <w:r w:rsidRPr="00DC4AD0">
        <w:rPr>
          <w:rFonts w:ascii="Arial" w:hAnsi="Arial" w:cs="Arial"/>
          <w:color w:val="000000"/>
        </w:rPr>
        <w:t xml:space="preserve">. </w:t>
      </w:r>
      <w:r w:rsidRPr="00892FE0">
        <w:rPr>
          <w:rFonts w:ascii="Arial" w:hAnsi="Arial" w:cs="Arial"/>
          <w:color w:val="000000"/>
        </w:rPr>
        <w:t>In a democratic system, effectiveness cannot be separated from legitimacy: communities must trust CT institutions for them to report concerns, share intelligence and participate in safeguarding efforts.</w:t>
      </w:r>
    </w:p>
    <w:p w14:paraId="7CBF160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Overall, UK CT adaptation reflects a blend of innovation and inertia. While strategies have evolved to address the realities of decentralised violence, institutional frameworks remain influenced by an earlier era in which terrorism was better understood and more easily infiltrated. The rapidly changing threat environment continues to test the ability of CT legislation, </w:t>
      </w:r>
      <w:proofErr w:type="gramStart"/>
      <w:r w:rsidRPr="00892FE0">
        <w:rPr>
          <w:rFonts w:ascii="Arial" w:hAnsi="Arial" w:cs="Arial"/>
          <w:color w:val="000000"/>
        </w:rPr>
        <w:t>practice</w:t>
      </w:r>
      <w:proofErr w:type="gramEnd"/>
      <w:r w:rsidRPr="00892FE0">
        <w:rPr>
          <w:rFonts w:ascii="Arial" w:hAnsi="Arial" w:cs="Arial"/>
          <w:color w:val="000000"/>
        </w:rPr>
        <w:t xml:space="preserve"> and organisational culture to respond proportionately and proactively. If the UK is to maintain long-term security, CT must balance hard-edged disruption with structurally embedded trust-building, ensuring that preventive interventions align not only with operational imperatives but with the values they purport to defend.</w:t>
      </w:r>
    </w:p>
    <w:p w14:paraId="3CA18D47" w14:textId="454A27B0"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contemporary terrorism landscape continues to evolve, driven by rapid technological change and hybridisation between physical and digital threat vectors. </w:t>
      </w:r>
      <w:r w:rsidRPr="00DC4AD0">
        <w:rPr>
          <w:rFonts w:ascii="Arial" w:hAnsi="Arial" w:cs="Arial"/>
          <w:color w:val="000000"/>
        </w:rPr>
        <w:t>Pasternak (2024)</w:t>
      </w:r>
      <w:r w:rsidRPr="00892FE0">
        <w:rPr>
          <w:rFonts w:ascii="Arial" w:hAnsi="Arial" w:cs="Arial"/>
          <w:color w:val="000000"/>
        </w:rPr>
        <w:t xml:space="preserve"> argues that extremist actors increasingly exploit cyber capabilities not only to radicalise and recruit online but also to target critical national infrastructure, blur jurisdictional </w:t>
      </w:r>
      <w:proofErr w:type="gramStart"/>
      <w:r w:rsidRPr="00892FE0">
        <w:rPr>
          <w:rFonts w:ascii="Arial" w:hAnsi="Arial" w:cs="Arial"/>
          <w:color w:val="000000"/>
        </w:rPr>
        <w:t>boundaries</w:t>
      </w:r>
      <w:proofErr w:type="gramEnd"/>
      <w:r w:rsidRPr="00892FE0">
        <w:rPr>
          <w:rFonts w:ascii="Arial" w:hAnsi="Arial" w:cs="Arial"/>
          <w:color w:val="000000"/>
        </w:rPr>
        <w:t xml:space="preserve"> and avoid conventional CT surveillance. </w:t>
      </w:r>
      <w:r w:rsidR="00DC4AD0" w:rsidRPr="00DC4AD0">
        <w:rPr>
          <w:rFonts w:ascii="Arial" w:hAnsi="Arial" w:cs="Arial"/>
          <w:color w:val="000000"/>
        </w:rPr>
        <w:t>The UK’s National Cyber Security Centre (2024) highlights how cyber-enabled terrorism, ransomware attacks against healthcare and public services, linked to state-aligned or criminal actors, demonstrate the potential for crossover between ideological and criminal motivations</w:t>
      </w:r>
      <w:r w:rsidR="00DC4AD0" w:rsidRPr="00DC4AD0">
        <w:rPr>
          <w:rFonts w:ascii="Arial" w:hAnsi="Arial" w:cs="Arial"/>
          <w:color w:val="000000"/>
        </w:rPr>
        <w:t>.</w:t>
      </w:r>
      <w:r w:rsidR="00DC4AD0">
        <w:rPr>
          <w:rFonts w:ascii="Arial" w:hAnsi="Arial" w:cs="Arial"/>
          <w:color w:val="000000"/>
        </w:rPr>
        <w:t xml:space="preserve"> </w:t>
      </w:r>
      <w:r w:rsidRPr="00892FE0">
        <w:rPr>
          <w:rFonts w:ascii="Arial" w:hAnsi="Arial" w:cs="Arial"/>
          <w:color w:val="000000"/>
        </w:rPr>
        <w:t xml:space="preserve">As artificial intelligence and deepfake technology advance, </w:t>
      </w:r>
      <w:r w:rsidR="00E9486D" w:rsidRPr="00DC4AD0">
        <w:rPr>
          <w:rFonts w:ascii="Arial" w:hAnsi="Arial" w:cs="Arial"/>
          <w:color w:val="000000"/>
        </w:rPr>
        <w:t>Stevens</w:t>
      </w:r>
      <w:r w:rsidRPr="00DC4AD0">
        <w:rPr>
          <w:rFonts w:ascii="Arial" w:hAnsi="Arial" w:cs="Arial"/>
          <w:color w:val="000000"/>
        </w:rPr>
        <w:t xml:space="preserve"> (202</w:t>
      </w:r>
      <w:r w:rsidR="00E9486D"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warns that disinformation campaigns could amplify recruitment and incite spontaneous, decentralised violence at a scale difficult to anticipate.</w:t>
      </w:r>
    </w:p>
    <w:p w14:paraId="1CB5AF37"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digital architecture of extremism continues to challenge traditional policing roles. </w:t>
      </w:r>
      <w:r w:rsidRPr="00DC4AD0">
        <w:rPr>
          <w:rFonts w:ascii="Arial" w:hAnsi="Arial" w:cs="Arial"/>
          <w:color w:val="000000"/>
        </w:rPr>
        <w:t>Clarke (2024)</w:t>
      </w:r>
      <w:r w:rsidRPr="00892FE0">
        <w:rPr>
          <w:rFonts w:ascii="Arial" w:hAnsi="Arial" w:cs="Arial"/>
          <w:color w:val="000000"/>
        </w:rPr>
        <w:t xml:space="preserve"> highlights the proliferation of end-to-end encryption, which fragments intelligence visibility and enables peer-to-peer indoctrination in private digital spaces. This shift underscores the growing importance of partnership between the tech sector and CT agencies. While initiatives such as the </w:t>
      </w:r>
      <w:r w:rsidRPr="00DC4AD0">
        <w:rPr>
          <w:rFonts w:ascii="Arial" w:hAnsi="Arial" w:cs="Arial"/>
          <w:color w:val="000000"/>
        </w:rPr>
        <w:t>Online Safety Act (2023)</w:t>
      </w:r>
      <w:r w:rsidRPr="00892FE0">
        <w:rPr>
          <w:rFonts w:ascii="Arial" w:hAnsi="Arial" w:cs="Arial"/>
          <w:color w:val="000000"/>
        </w:rPr>
        <w:t xml:space="preserve"> aim to compel platforms to prevent the dissemination of harmful content, </w:t>
      </w:r>
      <w:r w:rsidRPr="00DC4AD0">
        <w:rPr>
          <w:rFonts w:ascii="Arial" w:hAnsi="Arial" w:cs="Arial"/>
          <w:color w:val="000000"/>
        </w:rPr>
        <w:t>Walsh (2024)</w:t>
      </w:r>
      <w:r w:rsidRPr="00892FE0">
        <w:rPr>
          <w:rFonts w:ascii="Arial" w:hAnsi="Arial" w:cs="Arial"/>
          <w:color w:val="000000"/>
        </w:rPr>
        <w:t xml:space="preserve"> argues that regulation remains reactive and inconsistent, particularly across decentralised networks such as Telegram and Element. Enforcement failures risk </w:t>
      </w:r>
      <w:r w:rsidRPr="00892FE0">
        <w:rPr>
          <w:rFonts w:ascii="Arial" w:hAnsi="Arial" w:cs="Arial"/>
          <w:color w:val="000000"/>
        </w:rPr>
        <w:lastRenderedPageBreak/>
        <w:t>fostering a false sense of security while extremists migrate into less regulated spaces.</w:t>
      </w:r>
    </w:p>
    <w:p w14:paraId="010FA355" w14:textId="3999AF1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Addressing vulnerabilities among young people will also be crucial. </w:t>
      </w:r>
      <w:r w:rsidRPr="00DC4AD0">
        <w:rPr>
          <w:rFonts w:ascii="Arial" w:hAnsi="Arial" w:cs="Arial"/>
          <w:color w:val="000000"/>
        </w:rPr>
        <w:t>Lakhani (2024)</w:t>
      </w:r>
      <w:r w:rsidRPr="00892FE0">
        <w:rPr>
          <w:rFonts w:ascii="Arial" w:hAnsi="Arial" w:cs="Arial"/>
          <w:color w:val="000000"/>
        </w:rPr>
        <w:t xml:space="preserve"> notes a significant rise in adolescents arrested for terrorism-related offences, often linked to loneliness, neurodivergence or identity crises exploited by extremist recruiters. Current interventions tend to prioritise ideological disengagement, yet </w:t>
      </w:r>
      <w:r w:rsidR="003C7F06" w:rsidRPr="00DC4AD0">
        <w:rPr>
          <w:rFonts w:ascii="Arial" w:hAnsi="Arial" w:cs="Arial"/>
          <w:color w:val="000000"/>
        </w:rPr>
        <w:t>Stanley (2023),</w:t>
      </w:r>
      <w:r w:rsidRPr="00892FE0">
        <w:rPr>
          <w:rFonts w:ascii="Arial" w:hAnsi="Arial" w:cs="Arial"/>
          <w:color w:val="000000"/>
        </w:rPr>
        <w:t xml:space="preserve"> advocates for a broader safeguarding approach that integrates youth services, mental health support and social inclusion efforts. A public-health-informed model of CT could help prevent escalation without relying solely on criminalisation, particularly where individuals exhibit need rather than hardened intent.</w:t>
      </w:r>
    </w:p>
    <w:p w14:paraId="4FF998E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Multi-agency coordination remains a priority for reform. The Manchester Arena Inquiry demonstrated that fragmented information systems and unclear responsibilities substantially hinder proactive intervention. </w:t>
      </w:r>
      <w:r w:rsidRPr="00DC4AD0">
        <w:rPr>
          <w:rFonts w:ascii="Arial" w:hAnsi="Arial" w:cs="Arial"/>
          <w:color w:val="000000"/>
        </w:rPr>
        <w:t>The Association of Police and Crime Commissioners (2024)</w:t>
      </w:r>
      <w:r w:rsidRPr="00892FE0">
        <w:rPr>
          <w:rFonts w:ascii="Arial" w:hAnsi="Arial" w:cs="Arial"/>
          <w:color w:val="000000"/>
        </w:rPr>
        <w:t xml:space="preserve"> has recommended a national standard for multi-agency threat management, aiming to reduce variability in Prevent referral outcomes and enhance collaboration between policing, </w:t>
      </w:r>
      <w:proofErr w:type="gramStart"/>
      <w:r w:rsidRPr="00892FE0">
        <w:rPr>
          <w:rFonts w:ascii="Arial" w:hAnsi="Arial" w:cs="Arial"/>
          <w:color w:val="000000"/>
        </w:rPr>
        <w:t>education</w:t>
      </w:r>
      <w:proofErr w:type="gramEnd"/>
      <w:r w:rsidRPr="00892FE0">
        <w:rPr>
          <w:rFonts w:ascii="Arial" w:hAnsi="Arial" w:cs="Arial"/>
          <w:color w:val="000000"/>
        </w:rPr>
        <w:t xml:space="preserve"> and community actors. Maintaining information-sharing flexibility while safeguarding civil liberties will be central to the model’s success.</w:t>
      </w:r>
    </w:p>
    <w:p w14:paraId="356B58B1" w14:textId="7BD0B57C"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CT must also anticipate how extremist tactics will adjust in response to strengthened security measures. </w:t>
      </w:r>
      <w:r w:rsidR="002044B5" w:rsidRPr="00DC4AD0">
        <w:rPr>
          <w:rFonts w:ascii="Arial" w:hAnsi="Arial" w:cs="Arial"/>
          <w:color w:val="000000"/>
        </w:rPr>
        <w:t>Stevens</w:t>
      </w:r>
      <w:r w:rsidR="002044B5" w:rsidRPr="00DC4AD0">
        <w:rPr>
          <w:rFonts w:ascii="Arial" w:hAnsi="Arial" w:cs="Arial"/>
          <w:color w:val="000000"/>
        </w:rPr>
        <w:t xml:space="preserve"> </w:t>
      </w:r>
      <w:r w:rsidR="002044B5" w:rsidRPr="00DC4AD0">
        <w:rPr>
          <w:rFonts w:ascii="Arial" w:hAnsi="Arial" w:cs="Arial"/>
          <w:color w:val="000000"/>
        </w:rPr>
        <w:t>(2023)</w:t>
      </w:r>
      <w:r w:rsidR="002044B5" w:rsidRPr="00DC4AD0">
        <w:rPr>
          <w:rFonts w:ascii="Arial" w:hAnsi="Arial" w:cs="Arial"/>
          <w:color w:val="000000"/>
        </w:rPr>
        <w:t>,</w:t>
      </w:r>
      <w:r w:rsidR="002044B5" w:rsidRPr="00892FE0">
        <w:rPr>
          <w:rFonts w:ascii="Arial" w:hAnsi="Arial" w:cs="Arial"/>
          <w:color w:val="000000"/>
        </w:rPr>
        <w:t xml:space="preserve"> </w:t>
      </w:r>
      <w:r w:rsidRPr="00892FE0">
        <w:rPr>
          <w:rFonts w:ascii="Arial" w:hAnsi="Arial" w:cs="Arial"/>
          <w:color w:val="000000"/>
        </w:rPr>
        <w:t>warns that extremists may increasingly target digital infrastructure, transportation systems and other critical dependencies to generate cascading societal disruption. The integration of CT and cyber-defence capabilities, as out</w:t>
      </w:r>
      <w:r w:rsidRPr="00DC4AD0">
        <w:rPr>
          <w:rFonts w:ascii="Arial" w:hAnsi="Arial" w:cs="Arial"/>
          <w:color w:val="000000"/>
        </w:rPr>
        <w:t>lined by the UK’s</w:t>
      </w:r>
      <w:r w:rsidR="00DC4AD0" w:rsidRPr="00DC4AD0">
        <w:rPr>
          <w:rFonts w:ascii="Arial" w:hAnsi="Arial" w:cs="Arial"/>
          <w:color w:val="000000"/>
        </w:rPr>
        <w:t xml:space="preserve">, </w:t>
      </w:r>
      <w:r w:rsidRPr="00DC4AD0">
        <w:rPr>
          <w:rFonts w:ascii="Arial" w:hAnsi="Arial" w:cs="Arial"/>
          <w:color w:val="000000"/>
        </w:rPr>
        <w:t>National Cyber Strategy (2023),</w:t>
      </w:r>
      <w:r w:rsidRPr="00892FE0">
        <w:rPr>
          <w:rFonts w:ascii="Arial" w:hAnsi="Arial" w:cs="Arial"/>
          <w:color w:val="000000"/>
        </w:rPr>
        <w:t xml:space="preserve"> represents a necessary step; however, </w:t>
      </w:r>
      <w:r w:rsidR="002044B5" w:rsidRPr="00DC4AD0">
        <w:rPr>
          <w:rFonts w:ascii="Arial" w:hAnsi="Arial" w:cs="Arial"/>
          <w:color w:val="000000"/>
        </w:rPr>
        <w:t>Amnesty International UK (202</w:t>
      </w:r>
      <w:r w:rsidR="00DC4AD0" w:rsidRPr="00DC4AD0">
        <w:rPr>
          <w:rFonts w:ascii="Arial" w:hAnsi="Arial" w:cs="Arial"/>
          <w:color w:val="000000"/>
        </w:rPr>
        <w:t>4</w:t>
      </w:r>
      <w:r w:rsidR="002044B5" w:rsidRPr="00DC4AD0">
        <w:rPr>
          <w:rFonts w:ascii="Arial" w:hAnsi="Arial" w:cs="Arial"/>
          <w:color w:val="000000"/>
        </w:rPr>
        <w:t>)</w:t>
      </w:r>
      <w:r w:rsidR="002044B5" w:rsidRPr="00892FE0">
        <w:rPr>
          <w:rFonts w:ascii="Arial" w:hAnsi="Arial" w:cs="Arial"/>
          <w:color w:val="000000"/>
        </w:rPr>
        <w:t xml:space="preserve"> </w:t>
      </w:r>
      <w:r w:rsidRPr="00892FE0">
        <w:rPr>
          <w:rFonts w:ascii="Arial" w:hAnsi="Arial" w:cs="Arial"/>
          <w:color w:val="000000"/>
        </w:rPr>
        <w:t>notes that resource allocation remains uneven, with frontline policing still poorly equipped to investigate technology-mediated radicalisation.</w:t>
      </w:r>
    </w:p>
    <w:p w14:paraId="723658E3" w14:textId="56E762EB"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For long-term resilience, policy must prioritise trust and democratic accountability. </w:t>
      </w:r>
      <w:r w:rsidR="002044B5" w:rsidRPr="00DC4AD0">
        <w:rPr>
          <w:rFonts w:ascii="Arial" w:hAnsi="Arial" w:cs="Arial"/>
          <w:color w:val="000000"/>
        </w:rPr>
        <w:t>Briggs</w:t>
      </w:r>
      <w:r w:rsidR="002044B5" w:rsidRPr="00DC4AD0">
        <w:rPr>
          <w:rFonts w:ascii="Arial" w:hAnsi="Arial" w:cs="Arial"/>
          <w:color w:val="000000"/>
        </w:rPr>
        <w:t xml:space="preserve"> </w:t>
      </w:r>
      <w:r w:rsidR="002044B5" w:rsidRPr="00DC4AD0">
        <w:rPr>
          <w:rFonts w:ascii="Arial" w:hAnsi="Arial" w:cs="Arial"/>
          <w:color w:val="000000"/>
        </w:rPr>
        <w:t>(2022</w:t>
      </w:r>
      <w:r w:rsidR="00DC4AD0" w:rsidRPr="00DC4AD0">
        <w:rPr>
          <w:rFonts w:ascii="Arial" w:hAnsi="Arial" w:cs="Arial"/>
          <w:color w:val="000000"/>
        </w:rPr>
        <w:t>)</w:t>
      </w:r>
      <w:r w:rsidR="00DC4AD0" w:rsidRPr="00892FE0">
        <w:rPr>
          <w:rStyle w:val="apple-converted-space"/>
          <w:rFonts w:ascii="Arial" w:eastAsiaTheme="majorEastAsia" w:hAnsi="Arial" w:cs="Arial"/>
          <w:color w:val="000000"/>
        </w:rPr>
        <w:t xml:space="preserve"> argues</w:t>
      </w:r>
      <w:r w:rsidRPr="00892FE0">
        <w:rPr>
          <w:rFonts w:ascii="Arial" w:hAnsi="Arial" w:cs="Arial"/>
          <w:color w:val="000000"/>
        </w:rPr>
        <w:t xml:space="preserve"> that CT approaches perceived as discriminatory diminish cooperation from the very communities essential for intelligence gathering. A shift toward co-produced security</w:t>
      </w:r>
      <w:r w:rsidRPr="00892FE0">
        <w:rPr>
          <w:rFonts w:ascii="Arial" w:hAnsi="Arial" w:cs="Arial"/>
          <w:color w:val="000000"/>
        </w:rPr>
        <w:t xml:space="preserve">, </w:t>
      </w:r>
      <w:r w:rsidRPr="00892FE0">
        <w:rPr>
          <w:rFonts w:ascii="Arial" w:hAnsi="Arial" w:cs="Arial"/>
          <w:color w:val="000000"/>
        </w:rPr>
        <w:t>involving local organisations in the design and governance of CT interventions</w:t>
      </w:r>
      <w:r w:rsidRPr="00892FE0">
        <w:rPr>
          <w:rFonts w:ascii="Arial" w:hAnsi="Arial" w:cs="Arial"/>
          <w:color w:val="000000"/>
        </w:rPr>
        <w:t xml:space="preserve">, </w:t>
      </w:r>
      <w:r w:rsidRPr="00892FE0">
        <w:rPr>
          <w:rFonts w:ascii="Arial" w:hAnsi="Arial" w:cs="Arial"/>
          <w:color w:val="000000"/>
        </w:rPr>
        <w:t xml:space="preserve">could reduce alienation and improve legitimacy. </w:t>
      </w:r>
      <w:r w:rsidR="00DC4AD0" w:rsidRPr="00DC4AD0">
        <w:rPr>
          <w:rFonts w:ascii="Arial" w:hAnsi="Arial" w:cs="Arial"/>
          <w:color w:val="000000"/>
        </w:rPr>
        <w:lastRenderedPageBreak/>
        <w:t xml:space="preserve">This aligns with broader calls from human-rights bodies for proportionality, </w:t>
      </w:r>
      <w:proofErr w:type="gramStart"/>
      <w:r w:rsidR="00DC4AD0" w:rsidRPr="00DC4AD0">
        <w:rPr>
          <w:rFonts w:ascii="Arial" w:hAnsi="Arial" w:cs="Arial"/>
          <w:color w:val="000000"/>
        </w:rPr>
        <w:t>transparency</w:t>
      </w:r>
      <w:proofErr w:type="gramEnd"/>
      <w:r w:rsidR="00DC4AD0" w:rsidRPr="00DC4AD0">
        <w:rPr>
          <w:rFonts w:ascii="Arial" w:hAnsi="Arial" w:cs="Arial"/>
          <w:color w:val="000000"/>
        </w:rPr>
        <w:t xml:space="preserve"> and continuous evaluation to ensure that expanding counter-terrorism powers remain compliant with international human-rights frameworks (United Nations Human Rights Council, 2024</w:t>
      </w:r>
      <w:r w:rsidR="00DC4AD0">
        <w:rPr>
          <w:rFonts w:ascii="Arial" w:hAnsi="Arial" w:cs="Arial"/>
          <w:color w:val="000000"/>
        </w:rPr>
        <w:t>a</w:t>
      </w:r>
      <w:r w:rsidR="00DC4AD0" w:rsidRPr="00DC4AD0">
        <w:rPr>
          <w:rFonts w:ascii="Arial" w:hAnsi="Arial" w:cs="Arial"/>
          <w:color w:val="000000"/>
        </w:rPr>
        <w:t>; Amnesty International UK, 2024).</w:t>
      </w:r>
    </w:p>
    <w:p w14:paraId="29FCED7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In sum, the future of UK CT will depend on addressing cyber-enabled threats, reinforcing multi-agency </w:t>
      </w:r>
      <w:proofErr w:type="gramStart"/>
      <w:r w:rsidRPr="00892FE0">
        <w:rPr>
          <w:rFonts w:ascii="Arial" w:hAnsi="Arial" w:cs="Arial"/>
          <w:color w:val="000000"/>
        </w:rPr>
        <w:t>responsiveness</w:t>
      </w:r>
      <w:proofErr w:type="gramEnd"/>
      <w:r w:rsidRPr="00892FE0">
        <w:rPr>
          <w:rFonts w:ascii="Arial" w:hAnsi="Arial" w:cs="Arial"/>
          <w:color w:val="000000"/>
        </w:rPr>
        <w:t xml:space="preserve"> and embedding preventive measures within trusted community networks. Technology-driven extremism demands innovation not only in surveillance capability but in the safeguarding ecosystems that identify vulnerability before it becomes intent. Without such recalibration, CT may remain structurally reactive to a threat landscape that continues to evolve at unprecedented speed.</w:t>
      </w:r>
    </w:p>
    <w:p w14:paraId="6FC5E7C4" w14:textId="7C23BE32" w:rsidR="003C7F06" w:rsidRPr="00892FE0" w:rsidRDefault="003C7F06" w:rsidP="00892FE0">
      <w:pPr>
        <w:pStyle w:val="NormalWeb"/>
        <w:spacing w:line="360" w:lineRule="auto"/>
        <w:rPr>
          <w:rFonts w:ascii="Arial" w:hAnsi="Arial" w:cs="Arial"/>
          <w:color w:val="000000"/>
        </w:rPr>
      </w:pPr>
      <w:r w:rsidRPr="00892FE0">
        <w:rPr>
          <w:rFonts w:ascii="Arial" w:hAnsi="Arial" w:cs="Arial"/>
          <w:color w:val="000000"/>
        </w:rPr>
        <w:t>The</w:t>
      </w:r>
      <w:r w:rsidRPr="00892FE0">
        <w:rPr>
          <w:rFonts w:ascii="Arial" w:hAnsi="Arial" w:cs="Arial"/>
          <w:color w:val="000000"/>
        </w:rPr>
        <w:t xml:space="preserve"> evolution of terrorism over the past five decades has fundamentally altered the assumptions underpinning UK </w:t>
      </w:r>
      <w:proofErr w:type="gramStart"/>
      <w:r w:rsidRPr="00892FE0">
        <w:rPr>
          <w:rFonts w:ascii="Arial" w:hAnsi="Arial" w:cs="Arial"/>
          <w:color w:val="000000"/>
        </w:rPr>
        <w:t>counter-terrorism</w:t>
      </w:r>
      <w:proofErr w:type="gramEnd"/>
      <w:r w:rsidRPr="00892FE0">
        <w:rPr>
          <w:rFonts w:ascii="Arial" w:hAnsi="Arial" w:cs="Arial"/>
          <w:color w:val="000000"/>
        </w:rPr>
        <w:t>. During the hierarchical era, groups such as the Provisional IRA and al-</w:t>
      </w:r>
      <w:proofErr w:type="spellStart"/>
      <w:r w:rsidRPr="00892FE0">
        <w:rPr>
          <w:rFonts w:ascii="Arial" w:hAnsi="Arial" w:cs="Arial"/>
          <w:color w:val="000000"/>
        </w:rPr>
        <w:t>Qa’ida</w:t>
      </w:r>
      <w:proofErr w:type="spellEnd"/>
      <w:r w:rsidRPr="00892FE0">
        <w:rPr>
          <w:rFonts w:ascii="Arial" w:hAnsi="Arial" w:cs="Arial"/>
          <w:color w:val="000000"/>
        </w:rPr>
        <w:t xml:space="preserve"> relied on centralised leadership, logistical </w:t>
      </w:r>
      <w:proofErr w:type="gramStart"/>
      <w:r w:rsidRPr="00892FE0">
        <w:rPr>
          <w:rFonts w:ascii="Arial" w:hAnsi="Arial" w:cs="Arial"/>
          <w:color w:val="000000"/>
        </w:rPr>
        <w:t>networks</w:t>
      </w:r>
      <w:proofErr w:type="gramEnd"/>
      <w:r w:rsidRPr="00892FE0">
        <w:rPr>
          <w:rFonts w:ascii="Arial" w:hAnsi="Arial" w:cs="Arial"/>
          <w:color w:val="000000"/>
        </w:rPr>
        <w:t xml:space="preserve"> and coherent political strategies. These structures enabled prolonged campaigns but also generated detectable footprints that states could exploit through infiltration, </w:t>
      </w:r>
      <w:proofErr w:type="gramStart"/>
      <w:r w:rsidRPr="00892FE0">
        <w:rPr>
          <w:rFonts w:ascii="Arial" w:hAnsi="Arial" w:cs="Arial"/>
          <w:color w:val="000000"/>
        </w:rPr>
        <w:t>surveillance</w:t>
      </w:r>
      <w:proofErr w:type="gramEnd"/>
      <w:r w:rsidRPr="00892FE0">
        <w:rPr>
          <w:rFonts w:ascii="Arial" w:hAnsi="Arial" w:cs="Arial"/>
          <w:color w:val="000000"/>
        </w:rPr>
        <w:t xml:space="preserve"> and targeted disruption. UK CT doctrine was therefore built upon the belief that terrorist threats originated in identifiable organisations operating with discernible intentions and infrastructure.</w:t>
      </w:r>
    </w:p>
    <w:p w14:paraId="165940D1" w14:textId="77777777" w:rsidR="003C7F06" w:rsidRPr="00892FE0" w:rsidRDefault="003C7F06" w:rsidP="00892FE0">
      <w:pPr>
        <w:pStyle w:val="NormalWeb"/>
        <w:spacing w:line="360" w:lineRule="auto"/>
        <w:rPr>
          <w:rFonts w:ascii="Arial" w:hAnsi="Arial" w:cs="Arial"/>
          <w:color w:val="000000"/>
        </w:rPr>
      </w:pPr>
      <w:r w:rsidRPr="00892FE0">
        <w:rPr>
          <w:rFonts w:ascii="Arial" w:hAnsi="Arial" w:cs="Arial"/>
          <w:color w:val="000000"/>
        </w:rPr>
        <w:t>However, the post-2014 shift toward self-initiated, low-sophistication extremism has sharply exposed the limitations of those earlier frameworks. Individuals radicalised predominantly online, acting autonomously and often with minimal resources, now represent the dominant terrorist threat to the UK. Extreme right-wing (XRW) violence</w:t>
      </w:r>
      <w:proofErr w:type="gramStart"/>
      <w:r w:rsidRPr="00892FE0">
        <w:rPr>
          <w:rFonts w:ascii="Arial" w:hAnsi="Arial" w:cs="Arial"/>
          <w:color w:val="000000"/>
        </w:rPr>
        <w:t>, in particular, has</w:t>
      </w:r>
      <w:proofErr w:type="gramEnd"/>
      <w:r w:rsidRPr="00892FE0">
        <w:rPr>
          <w:rFonts w:ascii="Arial" w:hAnsi="Arial" w:cs="Arial"/>
          <w:color w:val="000000"/>
        </w:rPr>
        <w:t xml:space="preserve"> risen rapidly and disproportionately affects younger populations whose vulnerabilities lie at the intersection of digital influence and social dislocation. These new threat vectors weaken the predictive value of intelligence-led CT tools designed to uncover organised conspiracies.</w:t>
      </w:r>
    </w:p>
    <w:p w14:paraId="79185A14" w14:textId="77777777" w:rsidR="003C7F06" w:rsidRPr="00892FE0" w:rsidRDefault="003C7F06" w:rsidP="00892FE0">
      <w:pPr>
        <w:pStyle w:val="NormalWeb"/>
        <w:spacing w:line="360" w:lineRule="auto"/>
        <w:rPr>
          <w:rFonts w:ascii="Arial" w:hAnsi="Arial" w:cs="Arial"/>
          <w:color w:val="000000"/>
        </w:rPr>
      </w:pPr>
      <w:r w:rsidRPr="00892FE0">
        <w:rPr>
          <w:rFonts w:ascii="Arial" w:hAnsi="Arial" w:cs="Arial"/>
          <w:color w:val="000000"/>
        </w:rPr>
        <w:t xml:space="preserve">In response, UK CT strategy has adapted through revisions to CONTEST, legislative tightening and expanded multi-agency intelligence sharing. Yet, critical evaluation reveals that progress has been uneven. Prevention remains contested due to community trust deficits, while legislation risks over-reach without necessarily </w:t>
      </w:r>
      <w:r w:rsidRPr="00892FE0">
        <w:rPr>
          <w:rFonts w:ascii="Arial" w:hAnsi="Arial" w:cs="Arial"/>
          <w:color w:val="000000"/>
        </w:rPr>
        <w:lastRenderedPageBreak/>
        <w:t>improving detection capability. The Manchester Arena Inquiry demonstrated that despite institutional learning, significant coordination gaps persist. Overall, CT continues to face a paradox: public expectation demands total security, but the unpredictable nature of self-initiated extremism renders absolute prevention unachievable.</w:t>
      </w:r>
    </w:p>
    <w:p w14:paraId="3644AE66" w14:textId="77777777" w:rsidR="003C7F06" w:rsidRPr="00892FE0" w:rsidRDefault="003C7F06" w:rsidP="00892FE0">
      <w:pPr>
        <w:pStyle w:val="NormalWeb"/>
        <w:spacing w:line="360" w:lineRule="auto"/>
        <w:rPr>
          <w:rFonts w:ascii="Arial" w:hAnsi="Arial" w:cs="Arial"/>
          <w:color w:val="000000"/>
        </w:rPr>
      </w:pPr>
      <w:proofErr w:type="gramStart"/>
      <w:r w:rsidRPr="00892FE0">
        <w:rPr>
          <w:rFonts w:ascii="Arial" w:hAnsi="Arial" w:cs="Arial"/>
          <w:color w:val="000000"/>
        </w:rPr>
        <w:t>Looking ahead, the rapid development of cyber-enabled extremism and AI-assisted disinformation</w:t>
      </w:r>
      <w:proofErr w:type="gramEnd"/>
      <w:r w:rsidRPr="00892FE0">
        <w:rPr>
          <w:rFonts w:ascii="Arial" w:hAnsi="Arial" w:cs="Arial"/>
          <w:color w:val="000000"/>
        </w:rPr>
        <w:t xml:space="preserve"> creates new layers of complexity requiring forward-thinking responses. Sustained investment in digital literacy, community-driven safeguarding and proportionate legal measures will be essential. Ultimately, effective CT in the coming decade depends on balancing disruptive power with democratic legitimacy. By learning from past limitations and embracing genuinely preventative, socially embedded approaches, the UK can strengthen its resilience against a threat environment that will continue to evolve faster than the state can anticipate.</w:t>
      </w:r>
    </w:p>
    <w:p w14:paraId="2B178328" w14:textId="77777777" w:rsidR="0009306E" w:rsidRPr="00892FE0" w:rsidRDefault="0009306E" w:rsidP="00892FE0">
      <w:pPr>
        <w:pStyle w:val="NormalWeb"/>
        <w:spacing w:line="360" w:lineRule="auto"/>
        <w:rPr>
          <w:rFonts w:ascii="Arial" w:hAnsi="Arial" w:cs="Arial"/>
          <w:color w:val="000000"/>
        </w:rPr>
      </w:pPr>
    </w:p>
    <w:p w14:paraId="3002C206" w14:textId="77777777" w:rsidR="0009306E" w:rsidRPr="00892FE0" w:rsidRDefault="0009306E" w:rsidP="00892FE0">
      <w:pPr>
        <w:pStyle w:val="NormalWeb"/>
        <w:spacing w:line="360" w:lineRule="auto"/>
        <w:rPr>
          <w:rFonts w:ascii="Arial" w:hAnsi="Arial" w:cs="Arial"/>
          <w:color w:val="000000"/>
        </w:rPr>
      </w:pPr>
    </w:p>
    <w:p w14:paraId="1C21CA4F" w14:textId="77777777" w:rsidR="00010AC2" w:rsidRPr="00892FE0" w:rsidRDefault="00010AC2" w:rsidP="00892FE0">
      <w:pPr>
        <w:pStyle w:val="NormalWeb"/>
        <w:spacing w:line="360" w:lineRule="auto"/>
        <w:rPr>
          <w:rFonts w:ascii="Arial" w:hAnsi="Arial" w:cs="Arial"/>
          <w:color w:val="000000"/>
        </w:rPr>
      </w:pPr>
    </w:p>
    <w:p w14:paraId="12482B6E" w14:textId="1B49310E" w:rsidR="00892FE0" w:rsidRPr="000A4DDA" w:rsidRDefault="00EE2E39" w:rsidP="00892FE0">
      <w:pPr>
        <w:pStyle w:val="NormalWeb"/>
        <w:spacing w:line="360" w:lineRule="auto"/>
        <w:rPr>
          <w:rFonts w:ascii="Arial" w:hAnsi="Arial" w:cs="Arial"/>
        </w:rPr>
      </w:pPr>
      <w:r w:rsidRPr="00892FE0">
        <w:rPr>
          <w:rFonts w:ascii="Arial" w:hAnsi="Arial" w:cs="Arial"/>
        </w:rPr>
        <w:br w:type="page"/>
      </w:r>
      <w:r w:rsidR="00892FE0" w:rsidRPr="000A4DDA">
        <w:rPr>
          <w:rFonts w:ascii="Arial" w:hAnsi="Arial" w:cs="Arial"/>
        </w:rPr>
        <w:lastRenderedPageBreak/>
        <w:t xml:space="preserve">I acknowledge the use of cite this for me and chat GPT on </w:t>
      </w:r>
      <w:r w:rsidR="00892FE0">
        <w:rPr>
          <w:rFonts w:ascii="Arial" w:hAnsi="Arial" w:cs="Arial"/>
        </w:rPr>
        <w:t>19</w:t>
      </w:r>
      <w:r w:rsidR="00892FE0" w:rsidRPr="000A4DDA">
        <w:rPr>
          <w:rFonts w:ascii="Arial" w:hAnsi="Arial" w:cs="Arial"/>
        </w:rPr>
        <w:t>/11/25 to arrange my reference list</w:t>
      </w:r>
      <w:r w:rsidR="00892FE0">
        <w:rPr>
          <w:rFonts w:ascii="Arial" w:hAnsi="Arial" w:cs="Arial"/>
        </w:rPr>
        <w:t xml:space="preserve"> and for word count clarification</w:t>
      </w:r>
      <w:r w:rsidR="00892FE0" w:rsidRPr="000A4DDA">
        <w:rPr>
          <w:rFonts w:ascii="Arial" w:hAnsi="Arial" w:cs="Arial"/>
        </w:rPr>
        <w:t xml:space="preserve">. I used the prompt(s): </w:t>
      </w:r>
    </w:p>
    <w:p w14:paraId="75B6D1BB" w14:textId="77777777" w:rsidR="00892FE0" w:rsidRPr="000A4DDA" w:rsidRDefault="00892FE0" w:rsidP="00892FE0">
      <w:pPr>
        <w:pStyle w:val="NormalWeb"/>
        <w:numPr>
          <w:ilvl w:val="0"/>
          <w:numId w:val="1"/>
        </w:numPr>
        <w:spacing w:line="360" w:lineRule="auto"/>
        <w:rPr>
          <w:rFonts w:ascii="Arial" w:hAnsi="Arial" w:cs="Arial"/>
        </w:rPr>
      </w:pPr>
      <w:r w:rsidRPr="000A4DDA">
        <w:rPr>
          <w:rFonts w:ascii="Arial" w:hAnsi="Arial" w:cs="Arial"/>
        </w:rPr>
        <w:t xml:space="preserve">Please arrange my reference list into alphabetical order </w:t>
      </w:r>
    </w:p>
    <w:p w14:paraId="0198EAAC" w14:textId="77777777" w:rsidR="00892FE0" w:rsidRPr="000A4DDA" w:rsidRDefault="00892FE0" w:rsidP="00892FE0">
      <w:pPr>
        <w:pStyle w:val="NormalWeb"/>
        <w:numPr>
          <w:ilvl w:val="0"/>
          <w:numId w:val="1"/>
        </w:numPr>
        <w:spacing w:line="360" w:lineRule="auto"/>
        <w:rPr>
          <w:rFonts w:ascii="Arial" w:hAnsi="Arial" w:cs="Arial"/>
        </w:rPr>
      </w:pPr>
      <w:r>
        <w:rPr>
          <w:rFonts w:ascii="Arial" w:hAnsi="Arial" w:cs="Arial"/>
          <w:color w:val="000000"/>
        </w:rPr>
        <w:t>If</w:t>
      </w:r>
      <w:r w:rsidRPr="000A4DDA">
        <w:rPr>
          <w:rFonts w:ascii="Arial" w:hAnsi="Arial" w:cs="Arial"/>
          <w:color w:val="000000"/>
        </w:rPr>
        <w:t xml:space="preserve"> there are any repeat </w:t>
      </w:r>
      <w:r>
        <w:rPr>
          <w:rFonts w:ascii="Arial" w:hAnsi="Arial" w:cs="Arial"/>
          <w:color w:val="000000"/>
        </w:rPr>
        <w:t>citations</w:t>
      </w:r>
      <w:r w:rsidRPr="000A4DDA">
        <w:rPr>
          <w:rFonts w:ascii="Arial" w:hAnsi="Arial" w:cs="Arial"/>
          <w:color w:val="000000"/>
        </w:rPr>
        <w:t xml:space="preserve"> with the same dates also, please label them a, b, c etc after the dates that are given.</w:t>
      </w:r>
    </w:p>
    <w:p w14:paraId="2A740CB0" w14:textId="31C1339C" w:rsidR="00892FE0" w:rsidRPr="00892FE0" w:rsidRDefault="00892FE0" w:rsidP="00892FE0">
      <w:pPr>
        <w:pStyle w:val="NormalWeb"/>
        <w:numPr>
          <w:ilvl w:val="0"/>
          <w:numId w:val="1"/>
        </w:numPr>
        <w:spacing w:line="360" w:lineRule="auto"/>
        <w:rPr>
          <w:rFonts w:ascii="Arial" w:hAnsi="Arial" w:cs="Arial"/>
        </w:rPr>
      </w:pPr>
      <w:r w:rsidRPr="000A4DDA">
        <w:rPr>
          <w:rFonts w:ascii="Arial" w:hAnsi="Arial" w:cs="Arial"/>
          <w:color w:val="000000"/>
        </w:rPr>
        <w:t>Just provide it here, thank you</w:t>
      </w:r>
      <w:r>
        <w:rPr>
          <w:rFonts w:ascii="Arial" w:hAnsi="Arial" w:cs="Arial"/>
          <w:color w:val="000000"/>
        </w:rPr>
        <w:t>.</w:t>
      </w:r>
    </w:p>
    <w:p w14:paraId="6B748CB5" w14:textId="77777777" w:rsidR="00892FE0" w:rsidRPr="000A4DDA" w:rsidRDefault="00892FE0" w:rsidP="00892FE0">
      <w:pPr>
        <w:pStyle w:val="NormalWeb"/>
        <w:spacing w:line="360" w:lineRule="auto"/>
        <w:rPr>
          <w:rFonts w:ascii="Arial" w:hAnsi="Arial" w:cs="Arial"/>
        </w:rPr>
      </w:pPr>
      <w:r w:rsidRPr="000A4DDA">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5384E38E" w14:textId="7146F7D5" w:rsidR="00EE2E39" w:rsidRPr="00892FE0" w:rsidRDefault="00892FE0" w:rsidP="00892FE0">
      <w:pPr>
        <w:rPr>
          <w:rFonts w:ascii="Arial" w:hAnsi="Arial" w:cs="Arial"/>
        </w:rPr>
      </w:pPr>
      <w:r>
        <w:rPr>
          <w:rFonts w:ascii="Arial" w:hAnsi="Arial" w:cs="Arial"/>
        </w:rPr>
        <w:br w:type="page"/>
      </w:r>
    </w:p>
    <w:p w14:paraId="734E59DF" w14:textId="57BCCA9E" w:rsidR="000D0105" w:rsidRPr="00DC4AD0" w:rsidRDefault="00EE2E39" w:rsidP="00DC4AD0">
      <w:pPr>
        <w:spacing w:line="360" w:lineRule="auto"/>
        <w:rPr>
          <w:rFonts w:ascii="Arial" w:hAnsi="Arial" w:cs="Arial"/>
          <w:u w:val="single"/>
        </w:rPr>
      </w:pPr>
      <w:r w:rsidRPr="00DC4AD0">
        <w:rPr>
          <w:rFonts w:ascii="Arial" w:hAnsi="Arial" w:cs="Arial"/>
          <w:u w:val="single"/>
        </w:rPr>
        <w:lastRenderedPageBreak/>
        <w:t xml:space="preserve">Reference List </w:t>
      </w:r>
    </w:p>
    <w:p w14:paraId="6F1F9801"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Ahmed, S.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Proportionate </w:t>
      </w:r>
      <w:proofErr w:type="gramStart"/>
      <w:r w:rsidRPr="00DC4AD0">
        <w:rPr>
          <w:rStyle w:val="Emphasis"/>
          <w:rFonts w:ascii="Arial" w:eastAsiaTheme="majorEastAsia" w:hAnsi="Arial" w:cs="Arial"/>
          <w:color w:val="000000"/>
        </w:rPr>
        <w:t>Counter-Terrorism</w:t>
      </w:r>
      <w:proofErr w:type="gramEnd"/>
      <w:r w:rsidRPr="00DC4AD0">
        <w:rPr>
          <w:rStyle w:val="Emphasis"/>
          <w:rFonts w:ascii="Arial" w:eastAsiaTheme="majorEastAsia" w:hAnsi="Arial" w:cs="Arial"/>
          <w:color w:val="000000"/>
        </w:rPr>
        <w:t xml:space="preserve"> and Human Rights in the UK</w:t>
      </w:r>
      <w:r w:rsidRPr="00DC4AD0">
        <w:rPr>
          <w:rFonts w:ascii="Arial" w:hAnsi="Arial" w:cs="Arial"/>
          <w:color w:val="000000"/>
        </w:rPr>
        <w:t>. London: Amnesty International UK.</w:t>
      </w:r>
    </w:p>
    <w:p w14:paraId="3308205E" w14:textId="77777777" w:rsidR="00DC4AD0" w:rsidRPr="00DC4AD0" w:rsidRDefault="00DC4AD0" w:rsidP="00DC4AD0">
      <w:pPr>
        <w:pStyle w:val="NormalWeb"/>
        <w:spacing w:line="360" w:lineRule="auto"/>
        <w:rPr>
          <w:rFonts w:ascii="Arial" w:hAnsi="Arial" w:cs="Arial"/>
          <w:color w:val="000000"/>
        </w:rPr>
      </w:pPr>
    </w:p>
    <w:p w14:paraId="7EBFB0A2" w14:textId="05AFA321"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Amnesty International </w:t>
      </w:r>
      <w:r w:rsidRPr="00DC4AD0">
        <w:rPr>
          <w:rFonts w:ascii="Arial" w:hAnsi="Arial" w:cs="Arial"/>
          <w:color w:val="000000"/>
        </w:rPr>
        <w:t xml:space="preserve">United </w:t>
      </w:r>
      <w:r w:rsidRPr="00DC4AD0">
        <w:rPr>
          <w:rFonts w:ascii="Arial" w:hAnsi="Arial" w:cs="Arial"/>
          <w:color w:val="000000"/>
        </w:rPr>
        <w:t>K</w:t>
      </w:r>
      <w:r w:rsidRPr="00DC4AD0">
        <w:rPr>
          <w:rFonts w:ascii="Arial" w:hAnsi="Arial" w:cs="Arial"/>
          <w:color w:val="000000"/>
        </w:rPr>
        <w:t>ingdom</w:t>
      </w:r>
      <w:r w:rsidRPr="00DC4AD0">
        <w:rPr>
          <w:rFonts w:ascii="Arial" w:hAnsi="Arial" w:cs="Arial"/>
          <w:color w:val="000000"/>
        </w:rPr>
        <w:t xml:space="preserv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Prevent Duty and its Chilling Effect on Human Rights</w:t>
      </w:r>
      <w:r w:rsidRPr="00DC4AD0">
        <w:rPr>
          <w:rFonts w:ascii="Arial" w:hAnsi="Arial" w:cs="Arial"/>
          <w:color w:val="000000"/>
        </w:rPr>
        <w:t>. London: Amnesty International UK. Available at:</w:t>
      </w:r>
      <w:r w:rsidRPr="00DC4AD0">
        <w:rPr>
          <w:rStyle w:val="apple-converted-space"/>
          <w:rFonts w:ascii="Arial" w:eastAsiaTheme="majorEastAsia" w:hAnsi="Arial" w:cs="Arial"/>
          <w:color w:val="000000"/>
        </w:rPr>
        <w:t> </w:t>
      </w:r>
      <w:r w:rsidRPr="00DC4AD0">
        <w:rPr>
          <w:rFonts w:ascii="Arial" w:hAnsi="Arial" w:cs="Arial"/>
        </w:rPr>
        <w:t>https://www.amnesty.org.uk/files/2024-07/AIUK</w:t>
      </w:r>
      <w:r w:rsidRPr="00DC4AD0">
        <w:rPr>
          <w:rStyle w:val="apple-converted-space"/>
          <w:rFonts w:ascii="Arial" w:eastAsiaTheme="majorEastAsia" w:hAnsi="Arial" w:cs="Arial"/>
          <w:color w:val="000000"/>
        </w:rPr>
        <w:t> </w:t>
      </w:r>
      <w:r w:rsidRPr="00DC4AD0">
        <w:rPr>
          <w:rFonts w:ascii="Arial" w:hAnsi="Arial" w:cs="Arial"/>
          <w:color w:val="000000"/>
        </w:rPr>
        <w:t>Briefing-The Prevent Duty and its Chilling Effect on Human Rights March 2024.pdf (Accessed: 21 November 2025).</w:t>
      </w:r>
    </w:p>
    <w:p w14:paraId="68B2B498" w14:textId="77777777" w:rsidR="00DC4AD0" w:rsidRPr="00DC4AD0" w:rsidRDefault="00DC4AD0" w:rsidP="00DC4AD0">
      <w:pPr>
        <w:pStyle w:val="NormalWeb"/>
        <w:spacing w:line="360" w:lineRule="auto"/>
        <w:rPr>
          <w:rFonts w:ascii="Arial" w:hAnsi="Arial" w:cs="Arial"/>
          <w:color w:val="000000"/>
        </w:rPr>
      </w:pPr>
    </w:p>
    <w:p w14:paraId="22FCEDA3" w14:textId="590B47D1" w:rsidR="00E9486D" w:rsidRDefault="00E9486D" w:rsidP="00DC4AD0">
      <w:pPr>
        <w:pStyle w:val="NormalWeb"/>
        <w:spacing w:line="360" w:lineRule="auto"/>
        <w:rPr>
          <w:rFonts w:ascii="Arial" w:hAnsi="Arial" w:cs="Arial"/>
          <w:color w:val="000000"/>
        </w:rPr>
      </w:pPr>
      <w:r w:rsidRPr="00DC4AD0">
        <w:rPr>
          <w:rFonts w:ascii="Arial" w:hAnsi="Arial" w:cs="Arial"/>
          <w:color w:val="000000"/>
        </w:rPr>
        <w:t>Anderson, D. (2024) ‘</w:t>
      </w:r>
      <w:proofErr w:type="gramStart"/>
      <w:r w:rsidRPr="00DC4AD0">
        <w:rPr>
          <w:rFonts w:ascii="Arial" w:hAnsi="Arial" w:cs="Arial"/>
          <w:color w:val="000000"/>
        </w:rPr>
        <w:t>Multi-agency</w:t>
      </w:r>
      <w:proofErr w:type="gramEnd"/>
      <w:r w:rsidRPr="00DC4AD0">
        <w:rPr>
          <w:rFonts w:ascii="Arial" w:hAnsi="Arial" w:cs="Arial"/>
          <w:color w:val="000000"/>
        </w:rPr>
        <w:t xml:space="preserve"> threat assessment: operational accountability’,</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w:t>
      </w:r>
      <w:r w:rsidRPr="00DC4AD0">
        <w:rPr>
          <w:rFonts w:ascii="Arial" w:hAnsi="Arial" w:cs="Arial"/>
          <w:color w:val="000000"/>
        </w:rPr>
        <w:t>, 18(1), pp. 33–49.</w:t>
      </w:r>
    </w:p>
    <w:p w14:paraId="6A14461A" w14:textId="77777777" w:rsidR="00DC4AD0" w:rsidRPr="00DC4AD0" w:rsidRDefault="00DC4AD0" w:rsidP="00DC4AD0">
      <w:pPr>
        <w:pStyle w:val="NormalWeb"/>
        <w:spacing w:line="360" w:lineRule="auto"/>
        <w:rPr>
          <w:rFonts w:ascii="Arial" w:hAnsi="Arial" w:cs="Arial"/>
          <w:color w:val="000000"/>
        </w:rPr>
      </w:pPr>
    </w:p>
    <w:p w14:paraId="5CE17A70"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Association of Police and Crime Commissioners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Strengthening Multi-Agency Threat Management: National Recommendations</w:t>
      </w:r>
      <w:r w:rsidRPr="00DC4AD0">
        <w:rPr>
          <w:rFonts w:ascii="Arial" w:hAnsi="Arial" w:cs="Arial"/>
          <w:color w:val="000000"/>
        </w:rPr>
        <w:t>. Available at:</w:t>
      </w:r>
      <w:r w:rsidRPr="00DC4AD0">
        <w:rPr>
          <w:rStyle w:val="apple-converted-space"/>
          <w:rFonts w:ascii="Arial" w:eastAsiaTheme="majorEastAsia" w:hAnsi="Arial" w:cs="Arial"/>
          <w:color w:val="000000"/>
        </w:rPr>
        <w:t> </w:t>
      </w:r>
      <w:hyperlink r:id="rId7" w:tgtFrame="_new" w:history="1">
        <w:r w:rsidRPr="00DC4AD0">
          <w:rPr>
            <w:rStyle w:val="Hyperlink"/>
            <w:rFonts w:ascii="Arial" w:eastAsiaTheme="majorEastAsia" w:hAnsi="Arial" w:cs="Arial"/>
          </w:rPr>
          <w:t>https://apccs.police.uk</w:t>
        </w:r>
      </w:hyperlink>
      <w:r w:rsidRPr="00DC4AD0">
        <w:rPr>
          <w:rStyle w:val="apple-converted-space"/>
          <w:rFonts w:ascii="Arial" w:eastAsiaTheme="majorEastAsia" w:hAnsi="Arial" w:cs="Arial"/>
          <w:color w:val="000000"/>
        </w:rPr>
        <w:t> </w:t>
      </w:r>
      <w:r w:rsidRPr="00DC4AD0">
        <w:rPr>
          <w:rFonts w:ascii="Arial" w:hAnsi="Arial" w:cs="Arial"/>
          <w:color w:val="000000"/>
        </w:rPr>
        <w:t>(Accessed: 19 November 2025).</w:t>
      </w:r>
    </w:p>
    <w:p w14:paraId="56DFD98E" w14:textId="77777777" w:rsidR="00DC4AD0" w:rsidRPr="00DC4AD0" w:rsidRDefault="00DC4AD0" w:rsidP="00DC4AD0">
      <w:pPr>
        <w:pStyle w:val="NormalWeb"/>
        <w:spacing w:line="360" w:lineRule="auto"/>
        <w:rPr>
          <w:rFonts w:ascii="Arial" w:hAnsi="Arial" w:cs="Arial"/>
          <w:color w:val="000000"/>
        </w:rPr>
      </w:pPr>
    </w:p>
    <w:p w14:paraId="5123145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Bartlett, J. and Miller, C.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power of online recommendation systems for radicalisation</w:t>
      </w:r>
      <w:r w:rsidRPr="00DC4AD0">
        <w:rPr>
          <w:rFonts w:ascii="Arial" w:hAnsi="Arial" w:cs="Arial"/>
          <w:color w:val="000000"/>
        </w:rPr>
        <w:t>. London: Demos.</w:t>
      </w:r>
    </w:p>
    <w:p w14:paraId="2EB27924" w14:textId="77777777" w:rsidR="00DC4AD0" w:rsidRPr="00DC4AD0" w:rsidRDefault="00DC4AD0" w:rsidP="00DC4AD0">
      <w:pPr>
        <w:pStyle w:val="NormalWeb"/>
        <w:spacing w:line="360" w:lineRule="auto"/>
        <w:rPr>
          <w:rFonts w:ascii="Arial" w:hAnsi="Arial" w:cs="Arial"/>
          <w:color w:val="000000"/>
        </w:rPr>
      </w:pPr>
    </w:p>
    <w:p w14:paraId="5C7039DC" w14:textId="77777777" w:rsidR="00DC4AD0" w:rsidRPr="00DC4AD0" w:rsidRDefault="00DC4AD0" w:rsidP="00DC4AD0">
      <w:pPr>
        <w:pStyle w:val="NormalWeb"/>
        <w:spacing w:line="360" w:lineRule="auto"/>
        <w:rPr>
          <w:rFonts w:ascii="Arial" w:hAnsi="Arial" w:cs="Arial"/>
          <w:b/>
          <w:bCs/>
          <w:color w:val="000000"/>
        </w:rPr>
      </w:pPr>
      <w:proofErr w:type="spellStart"/>
      <w:r w:rsidRPr="00DC4AD0">
        <w:rPr>
          <w:rStyle w:val="Strong"/>
          <w:rFonts w:ascii="Arial" w:eastAsiaTheme="majorEastAsia" w:hAnsi="Arial" w:cs="Arial"/>
          <w:b w:val="0"/>
          <w:bCs w:val="0"/>
          <w:color w:val="000000"/>
        </w:rPr>
        <w:t>Bąkowski</w:t>
      </w:r>
      <w:proofErr w:type="spellEnd"/>
      <w:r w:rsidRPr="00DC4AD0">
        <w:rPr>
          <w:rStyle w:val="Strong"/>
          <w:rFonts w:ascii="Arial" w:eastAsiaTheme="majorEastAsia" w:hAnsi="Arial" w:cs="Arial"/>
          <w:b w:val="0"/>
          <w:bCs w:val="0"/>
          <w:color w:val="000000"/>
        </w:rPr>
        <w:t>, P. (2025)</w:t>
      </w:r>
      <w:r w:rsidRPr="00DC4AD0">
        <w:rPr>
          <w:rStyle w:val="apple-converted-space"/>
          <w:rFonts w:ascii="Arial" w:eastAsiaTheme="majorEastAsia" w:hAnsi="Arial" w:cs="Arial"/>
          <w:b/>
          <w:bCs/>
          <w:color w:val="000000"/>
        </w:rPr>
        <w:t> </w:t>
      </w:r>
      <w:r w:rsidRPr="00DC4AD0">
        <w:rPr>
          <w:rStyle w:val="Emphasis"/>
          <w:rFonts w:ascii="Arial" w:eastAsiaTheme="majorEastAsia" w:hAnsi="Arial" w:cs="Arial"/>
          <w:color w:val="000000"/>
        </w:rPr>
        <w:t>Understanding EU counter-terrorism policy</w:t>
      </w:r>
      <w:r w:rsidRPr="00DC4AD0">
        <w:rPr>
          <w:rStyle w:val="Strong"/>
          <w:rFonts w:ascii="Arial" w:eastAsiaTheme="majorEastAsia" w:hAnsi="Arial" w:cs="Arial"/>
          <w:b w:val="0"/>
          <w:bCs w:val="0"/>
          <w:color w:val="000000"/>
        </w:rPr>
        <w:t>. Brussels: European Parliamentary Research Service.</w:t>
      </w:r>
    </w:p>
    <w:p w14:paraId="33DB81C0" w14:textId="77777777" w:rsidR="00DC4AD0" w:rsidRPr="00DC4AD0" w:rsidRDefault="00DC4AD0" w:rsidP="00DC4AD0">
      <w:pPr>
        <w:pStyle w:val="NormalWeb"/>
        <w:spacing w:line="360" w:lineRule="auto"/>
        <w:rPr>
          <w:rFonts w:ascii="Arial" w:hAnsi="Arial" w:cs="Arial"/>
          <w:color w:val="000000"/>
        </w:rPr>
      </w:pPr>
    </w:p>
    <w:p w14:paraId="49D159C0"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Bergen, P.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Rise and Fall of Osama bin Laden</w:t>
      </w:r>
      <w:r w:rsidRPr="00DC4AD0">
        <w:rPr>
          <w:rFonts w:ascii="Arial" w:hAnsi="Arial" w:cs="Arial"/>
          <w:color w:val="000000"/>
        </w:rPr>
        <w:t>. New York: Simon &amp; Schuster.</w:t>
      </w:r>
    </w:p>
    <w:p w14:paraId="7DE3B089" w14:textId="77777777" w:rsidR="00DC4AD0" w:rsidRPr="00DC4AD0" w:rsidRDefault="00DC4AD0" w:rsidP="00DC4AD0">
      <w:pPr>
        <w:pStyle w:val="NormalWeb"/>
        <w:spacing w:line="360" w:lineRule="auto"/>
        <w:rPr>
          <w:rFonts w:ascii="Arial" w:hAnsi="Arial" w:cs="Arial"/>
          <w:color w:val="000000"/>
        </w:rPr>
      </w:pPr>
    </w:p>
    <w:p w14:paraId="13DBA06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Barker, J. (2025) ‘Reactive governance and the future of UK </w:t>
      </w:r>
      <w:proofErr w:type="gramStart"/>
      <w:r w:rsidRPr="00DC4AD0">
        <w:rPr>
          <w:rFonts w:ascii="Arial" w:hAnsi="Arial" w:cs="Arial"/>
          <w:color w:val="000000"/>
        </w:rPr>
        <w:t>counter-terrorism</w:t>
      </w:r>
      <w:proofErr w:type="gramEnd"/>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Security Journal</w:t>
      </w:r>
      <w:r w:rsidRPr="00DC4AD0">
        <w:rPr>
          <w:rFonts w:ascii="Arial" w:hAnsi="Arial" w:cs="Arial"/>
          <w:color w:val="000000"/>
        </w:rPr>
        <w:t>, 38(4), pp. 411–429.</w:t>
      </w:r>
    </w:p>
    <w:p w14:paraId="413050B7" w14:textId="77777777" w:rsidR="00DC4AD0" w:rsidRPr="00DC4AD0" w:rsidRDefault="00DC4AD0" w:rsidP="00DC4AD0">
      <w:pPr>
        <w:pStyle w:val="NormalWeb"/>
        <w:spacing w:line="360" w:lineRule="auto"/>
        <w:rPr>
          <w:rFonts w:ascii="Arial" w:hAnsi="Arial" w:cs="Arial"/>
          <w:color w:val="000000"/>
        </w:rPr>
      </w:pPr>
    </w:p>
    <w:p w14:paraId="6BA5CDCF" w14:textId="07487731" w:rsidR="00EE2E39" w:rsidRDefault="00E9486D" w:rsidP="00DC4AD0">
      <w:pPr>
        <w:pStyle w:val="NormalWeb"/>
        <w:spacing w:line="360" w:lineRule="auto"/>
        <w:rPr>
          <w:rFonts w:ascii="Arial" w:hAnsi="Arial" w:cs="Arial"/>
          <w:color w:val="000000"/>
        </w:rPr>
      </w:pPr>
      <w:r w:rsidRPr="00DC4AD0">
        <w:rPr>
          <w:rFonts w:ascii="Arial" w:hAnsi="Arial" w:cs="Arial"/>
          <w:color w:val="1F1F1F"/>
          <w:shd w:val="clear" w:color="auto" w:fill="FFFFFF"/>
        </w:rPr>
        <w:t xml:space="preserve">British Academy </w:t>
      </w:r>
      <w:proofErr w:type="gramStart"/>
      <w:r w:rsidRPr="00DC4AD0">
        <w:rPr>
          <w:rFonts w:ascii="Arial" w:hAnsi="Arial" w:cs="Arial"/>
          <w:color w:val="1F1F1F"/>
          <w:shd w:val="clear" w:color="auto" w:fill="FFFFFF"/>
        </w:rPr>
        <w:t>For</w:t>
      </w:r>
      <w:proofErr w:type="gramEnd"/>
      <w:r w:rsidRPr="00DC4AD0">
        <w:rPr>
          <w:rFonts w:ascii="Arial" w:hAnsi="Arial" w:cs="Arial"/>
          <w:color w:val="1F1F1F"/>
          <w:shd w:val="clear" w:color="auto" w:fill="FFFFFF"/>
        </w:rPr>
        <w:t xml:space="preserve"> Training &amp; Development</w:t>
      </w:r>
      <w:r w:rsidRPr="00DC4AD0">
        <w:rPr>
          <w:rFonts w:ascii="Arial" w:hAnsi="Arial" w:cs="Arial"/>
          <w:color w:val="000000"/>
        </w:rPr>
        <w:t xml:space="preserve"> </w:t>
      </w:r>
      <w:r w:rsidR="00EE2E39" w:rsidRPr="00DC4AD0">
        <w:rPr>
          <w:rFonts w:ascii="Arial" w:hAnsi="Arial" w:cs="Arial"/>
          <w:color w:val="000000"/>
        </w:rPr>
        <w:t>(2022)</w:t>
      </w:r>
      <w:r w:rsidR="00EE2E39" w:rsidRPr="00DC4AD0">
        <w:rPr>
          <w:rStyle w:val="apple-converted-space"/>
          <w:rFonts w:ascii="Arial" w:eastAsiaTheme="majorEastAsia" w:hAnsi="Arial" w:cs="Arial"/>
          <w:color w:val="000000"/>
        </w:rPr>
        <w:t> </w:t>
      </w:r>
      <w:r w:rsidR="00EE2E39" w:rsidRPr="00DC4AD0">
        <w:rPr>
          <w:rStyle w:val="Emphasis"/>
          <w:rFonts w:ascii="Arial" w:eastAsiaTheme="majorEastAsia" w:hAnsi="Arial" w:cs="Arial"/>
          <w:color w:val="000000"/>
        </w:rPr>
        <w:t>Counter Terrorism Training Courses in London</w:t>
      </w:r>
      <w:r w:rsidR="00EE2E39" w:rsidRPr="00DC4AD0">
        <w:rPr>
          <w:rFonts w:ascii="Arial" w:hAnsi="Arial" w:cs="Arial"/>
          <w:color w:val="000000"/>
        </w:rPr>
        <w:t>. Available at:</w:t>
      </w:r>
      <w:r w:rsidR="00EE2E39" w:rsidRPr="00DC4AD0">
        <w:rPr>
          <w:rStyle w:val="apple-converted-space"/>
          <w:rFonts w:ascii="Arial" w:eastAsiaTheme="majorEastAsia" w:hAnsi="Arial" w:cs="Arial"/>
          <w:color w:val="000000"/>
        </w:rPr>
        <w:t> </w:t>
      </w:r>
      <w:hyperlink r:id="rId8" w:tgtFrame="_new" w:history="1">
        <w:r w:rsidR="00EE2E39" w:rsidRPr="00DC4AD0">
          <w:rPr>
            <w:rStyle w:val="Hyperlink"/>
            <w:rFonts w:ascii="Arial" w:eastAsiaTheme="majorEastAsia" w:hAnsi="Arial" w:cs="Arial"/>
          </w:rPr>
          <w:t>https://batdacademy.com/en/post/counter-terrorism-training-courses-in-london</w:t>
        </w:r>
      </w:hyperlink>
      <w:r w:rsidR="00EE2E39" w:rsidRPr="00DC4AD0">
        <w:rPr>
          <w:rStyle w:val="apple-converted-space"/>
          <w:rFonts w:ascii="Arial" w:eastAsiaTheme="majorEastAsia" w:hAnsi="Arial" w:cs="Arial"/>
          <w:color w:val="000000"/>
        </w:rPr>
        <w:t> </w:t>
      </w:r>
      <w:r w:rsidR="00EE2E39" w:rsidRPr="00DC4AD0">
        <w:rPr>
          <w:rFonts w:ascii="Arial" w:hAnsi="Arial" w:cs="Arial"/>
          <w:color w:val="000000"/>
        </w:rPr>
        <w:t>(Accessed: 19 November 2025).</w:t>
      </w:r>
    </w:p>
    <w:p w14:paraId="32DB8C14" w14:textId="77777777" w:rsidR="00DC4AD0" w:rsidRPr="00DC4AD0" w:rsidRDefault="00DC4AD0" w:rsidP="00DC4AD0">
      <w:pPr>
        <w:pStyle w:val="NormalWeb"/>
        <w:spacing w:line="360" w:lineRule="auto"/>
        <w:rPr>
          <w:rFonts w:ascii="Arial" w:hAnsi="Arial" w:cs="Arial"/>
          <w:color w:val="000000"/>
        </w:rPr>
      </w:pPr>
    </w:p>
    <w:p w14:paraId="60C704F6"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Briggs, R.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Community trust and legitimacy in UK </w:t>
      </w:r>
      <w:proofErr w:type="gramStart"/>
      <w:r w:rsidRPr="00DC4AD0">
        <w:rPr>
          <w:rStyle w:val="Emphasis"/>
          <w:rFonts w:ascii="Arial" w:eastAsiaTheme="majorEastAsia" w:hAnsi="Arial" w:cs="Arial"/>
          <w:color w:val="000000"/>
        </w:rPr>
        <w:t>counter-terrorism</w:t>
      </w:r>
      <w:proofErr w:type="gramEnd"/>
      <w:r w:rsidRPr="00DC4AD0">
        <w:rPr>
          <w:rFonts w:ascii="Arial" w:hAnsi="Arial" w:cs="Arial"/>
          <w:color w:val="000000"/>
        </w:rPr>
        <w:t>. London: Institute for Strategic Dialogue.</w:t>
      </w:r>
    </w:p>
    <w:p w14:paraId="12AD79C4" w14:textId="77777777" w:rsidR="00DC4AD0" w:rsidRP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Byman</w:t>
      </w:r>
      <w:proofErr w:type="spellEnd"/>
      <w:r w:rsidRPr="00DC4AD0">
        <w:rPr>
          <w:rFonts w:ascii="Arial" w:hAnsi="Arial" w:cs="Arial"/>
          <w:color w:val="000000"/>
        </w:rPr>
        <w:t>, D. (2021) ‘Hezbollah’s evolving way of war’,</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Studies in Conflict &amp; Terrorism</w:t>
      </w:r>
      <w:r w:rsidRPr="00DC4AD0">
        <w:rPr>
          <w:rFonts w:ascii="Arial" w:hAnsi="Arial" w:cs="Arial"/>
          <w:color w:val="000000"/>
        </w:rPr>
        <w:t>, 44(10), pp. 825–846.</w:t>
      </w:r>
    </w:p>
    <w:p w14:paraId="3D44C7B0" w14:textId="77777777" w:rsidR="00DC4AD0" w:rsidRPr="00DC4AD0" w:rsidRDefault="00DC4AD0" w:rsidP="00DC4AD0">
      <w:pPr>
        <w:pStyle w:val="NormalWeb"/>
        <w:spacing w:line="360" w:lineRule="auto"/>
        <w:rPr>
          <w:rFonts w:ascii="Arial" w:hAnsi="Arial" w:cs="Arial"/>
          <w:color w:val="000000"/>
        </w:rPr>
      </w:pPr>
    </w:p>
    <w:p w14:paraId="61EE393F" w14:textId="77777777" w:rsidR="00892FE0" w:rsidRDefault="00892FE0" w:rsidP="00DC4AD0">
      <w:pPr>
        <w:pStyle w:val="NormalWeb"/>
        <w:spacing w:line="360" w:lineRule="auto"/>
        <w:rPr>
          <w:rFonts w:ascii="Arial" w:hAnsi="Arial" w:cs="Arial"/>
          <w:color w:val="000000"/>
        </w:rPr>
      </w:pPr>
      <w:proofErr w:type="spellStart"/>
      <w:r w:rsidRPr="00DC4AD0">
        <w:rPr>
          <w:rFonts w:ascii="Arial" w:hAnsi="Arial" w:cs="Arial"/>
          <w:color w:val="000000"/>
        </w:rPr>
        <w:t>Campedelli</w:t>
      </w:r>
      <w:proofErr w:type="spellEnd"/>
      <w:r w:rsidRPr="00DC4AD0">
        <w:rPr>
          <w:rFonts w:ascii="Arial" w:hAnsi="Arial" w:cs="Arial"/>
          <w:color w:val="000000"/>
        </w:rPr>
        <w:t xml:space="preserve">, G.M., Cruickshank, I., Carley, K.M., and </w:t>
      </w:r>
      <w:proofErr w:type="spellStart"/>
      <w:r w:rsidRPr="00DC4AD0">
        <w:rPr>
          <w:rFonts w:ascii="Arial" w:hAnsi="Arial" w:cs="Arial"/>
          <w:color w:val="000000"/>
        </w:rPr>
        <w:t>Morselli</w:t>
      </w:r>
      <w:proofErr w:type="spellEnd"/>
      <w:r w:rsidRPr="00DC4AD0">
        <w:rPr>
          <w:rFonts w:ascii="Arial" w:hAnsi="Arial" w:cs="Arial"/>
          <w:color w:val="000000"/>
        </w:rPr>
        <w:t>, C. (2021) ‘Network disruption and militant organisational decline’,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Conflict Resolution</w:t>
      </w:r>
      <w:r w:rsidRPr="00DC4AD0">
        <w:rPr>
          <w:rFonts w:ascii="Arial" w:hAnsi="Arial" w:cs="Arial"/>
          <w:color w:val="000000"/>
        </w:rPr>
        <w:t>, 65(2–3), pp. 342–369.</w:t>
      </w:r>
      <w:r w:rsidRPr="00DC4AD0">
        <w:rPr>
          <w:rFonts w:ascii="Arial" w:hAnsi="Arial" w:cs="Arial"/>
          <w:color w:val="000000"/>
        </w:rPr>
        <w:br/>
        <w:t>doi:10.1177/0022002720970327.</w:t>
      </w:r>
    </w:p>
    <w:p w14:paraId="184C4C0C" w14:textId="77777777" w:rsidR="00DC4AD0" w:rsidRPr="00DC4AD0" w:rsidRDefault="00DC4AD0" w:rsidP="00DC4AD0">
      <w:pPr>
        <w:pStyle w:val="NormalWeb"/>
        <w:spacing w:line="360" w:lineRule="auto"/>
        <w:rPr>
          <w:rFonts w:ascii="Arial" w:hAnsi="Arial" w:cs="Arial"/>
          <w:color w:val="000000"/>
        </w:rPr>
      </w:pPr>
    </w:p>
    <w:p w14:paraId="53B99B8C" w14:textId="2C555D6F"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Casciani</w:t>
      </w:r>
      <w:proofErr w:type="spellEnd"/>
      <w:r w:rsidRPr="00DC4AD0">
        <w:rPr>
          <w:rFonts w:ascii="Arial" w:hAnsi="Arial" w:cs="Arial"/>
          <w:color w:val="000000"/>
        </w:rPr>
        <w:t>, D. (2023) ‘Boy of 14 convicted of preparing acts of terrorism’,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BBC News</w:t>
      </w:r>
      <w:r w:rsidRPr="00DC4AD0">
        <w:rPr>
          <w:rFonts w:ascii="Arial" w:hAnsi="Arial" w:cs="Arial"/>
          <w:color w:val="000000"/>
        </w:rPr>
        <w:t>, 5 February. Available at:</w:t>
      </w:r>
      <w:r w:rsidRPr="00DC4AD0">
        <w:rPr>
          <w:rStyle w:val="apple-converted-space"/>
          <w:rFonts w:ascii="Arial" w:eastAsiaTheme="majorEastAsia" w:hAnsi="Arial" w:cs="Arial"/>
          <w:color w:val="000000"/>
        </w:rPr>
        <w:t> </w:t>
      </w:r>
      <w:r w:rsidRPr="00DC4AD0">
        <w:rPr>
          <w:rFonts w:ascii="Arial" w:hAnsi="Arial" w:cs="Arial"/>
          <w:color w:val="000000"/>
        </w:rPr>
        <w:t>https://www.bbc.co.uk/news</w:t>
      </w:r>
      <w:r w:rsidRPr="00DC4AD0">
        <w:rPr>
          <w:rStyle w:val="apple-converted-space"/>
          <w:rFonts w:ascii="Arial" w:eastAsiaTheme="majorEastAsia" w:hAnsi="Arial" w:cs="Arial"/>
          <w:color w:val="000000"/>
        </w:rPr>
        <w:t> </w:t>
      </w:r>
      <w:r w:rsidRPr="00DC4AD0">
        <w:rPr>
          <w:rFonts w:ascii="Arial" w:hAnsi="Arial" w:cs="Arial"/>
          <w:color w:val="000000"/>
        </w:rPr>
        <w:t>(Accessed: 19 November 2025).</w:t>
      </w:r>
    </w:p>
    <w:p w14:paraId="1587B98C" w14:textId="77777777" w:rsidR="00DC4AD0" w:rsidRPr="00DC4AD0" w:rsidRDefault="00DC4AD0" w:rsidP="00DC4AD0">
      <w:pPr>
        <w:pStyle w:val="NormalWeb"/>
        <w:spacing w:line="360" w:lineRule="auto"/>
        <w:rPr>
          <w:rFonts w:ascii="Arial" w:hAnsi="Arial" w:cs="Arial"/>
          <w:color w:val="000000"/>
        </w:rPr>
      </w:pPr>
    </w:p>
    <w:p w14:paraId="12913EF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Clarke, M. (2024) ‘Encrypted ecosystems of radicalisation’,</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European Journal of Security Studies</w:t>
      </w:r>
      <w:r w:rsidRPr="00DC4AD0">
        <w:rPr>
          <w:rFonts w:ascii="Arial" w:hAnsi="Arial" w:cs="Arial"/>
          <w:color w:val="000000"/>
        </w:rPr>
        <w:t>, 9(1), pp. 54–76.</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10.1080/21624887.2023.2244551.</w:t>
      </w:r>
    </w:p>
    <w:p w14:paraId="6B1ED9F3" w14:textId="77777777" w:rsidR="00DC4AD0" w:rsidRPr="00DC4AD0" w:rsidRDefault="00DC4AD0" w:rsidP="00DC4AD0">
      <w:pPr>
        <w:pStyle w:val="NormalWeb"/>
        <w:spacing w:line="360" w:lineRule="auto"/>
        <w:rPr>
          <w:rFonts w:ascii="Arial" w:hAnsi="Arial" w:cs="Arial"/>
          <w:color w:val="000000"/>
        </w:rPr>
      </w:pPr>
    </w:p>
    <w:p w14:paraId="6929AC9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Cockburn, P.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Fragile Middle East: terrorism and war</w:t>
      </w:r>
      <w:r w:rsidRPr="00DC4AD0">
        <w:rPr>
          <w:rFonts w:ascii="Arial" w:hAnsi="Arial" w:cs="Arial"/>
          <w:color w:val="000000"/>
        </w:rPr>
        <w:t>. London: Verso.</w:t>
      </w:r>
    </w:p>
    <w:p w14:paraId="488AFC85" w14:textId="77777777" w:rsidR="00DC4AD0" w:rsidRPr="00DC4AD0" w:rsidRDefault="00DC4AD0" w:rsidP="00DC4AD0">
      <w:pPr>
        <w:pStyle w:val="NormalWeb"/>
        <w:spacing w:line="360" w:lineRule="auto"/>
        <w:rPr>
          <w:rFonts w:ascii="Arial" w:hAnsi="Arial" w:cs="Arial"/>
          <w:color w:val="000000"/>
        </w:rPr>
      </w:pPr>
    </w:p>
    <w:p w14:paraId="17F1CFE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Counter Terrorism Policing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Annual Statistics and Review</w:t>
      </w:r>
      <w:r w:rsidRPr="00DC4AD0">
        <w:rPr>
          <w:rFonts w:ascii="Arial" w:hAnsi="Arial" w:cs="Arial"/>
          <w:color w:val="000000"/>
        </w:rPr>
        <w:t>. London: CTP.</w:t>
      </w:r>
    </w:p>
    <w:p w14:paraId="1C20B456" w14:textId="77777777" w:rsidR="00DC4AD0" w:rsidRPr="00DC4AD0" w:rsidRDefault="00DC4AD0" w:rsidP="00DC4AD0">
      <w:pPr>
        <w:pStyle w:val="NormalWeb"/>
        <w:spacing w:line="360" w:lineRule="auto"/>
        <w:rPr>
          <w:rFonts w:ascii="Arial" w:hAnsi="Arial" w:cs="Arial"/>
          <w:color w:val="000000"/>
        </w:rPr>
      </w:pPr>
    </w:p>
    <w:p w14:paraId="68A63819"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English, R.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Does Terrorism Work?</w:t>
      </w:r>
      <w:r w:rsidRPr="00DC4AD0">
        <w:rPr>
          <w:rStyle w:val="apple-converted-space"/>
          <w:rFonts w:ascii="Arial" w:eastAsiaTheme="majorEastAsia" w:hAnsi="Arial" w:cs="Arial"/>
          <w:color w:val="000000"/>
        </w:rPr>
        <w:t> </w:t>
      </w:r>
      <w:r w:rsidRPr="00DC4AD0">
        <w:rPr>
          <w:rFonts w:ascii="Arial" w:hAnsi="Arial" w:cs="Arial"/>
          <w:color w:val="000000"/>
        </w:rPr>
        <w:t>London: Oxford University Press.</w:t>
      </w:r>
    </w:p>
    <w:p w14:paraId="4DB13AB9" w14:textId="77777777" w:rsidR="00DC4AD0" w:rsidRPr="00DC4AD0" w:rsidRDefault="00DC4AD0" w:rsidP="00DC4AD0">
      <w:pPr>
        <w:pStyle w:val="NormalWeb"/>
        <w:spacing w:line="360" w:lineRule="auto"/>
        <w:rPr>
          <w:rFonts w:ascii="Arial" w:hAnsi="Arial" w:cs="Arial"/>
          <w:color w:val="000000"/>
        </w:rPr>
      </w:pPr>
    </w:p>
    <w:p w14:paraId="4BC2FE68" w14:textId="77777777"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Gartenstein</w:t>
      </w:r>
      <w:proofErr w:type="spellEnd"/>
      <w:r w:rsidRPr="00DC4AD0">
        <w:rPr>
          <w:rFonts w:ascii="Arial" w:hAnsi="Arial" w:cs="Arial"/>
          <w:color w:val="000000"/>
        </w:rPr>
        <w:t>-Ross, D. (2021)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Decentralised jihad and online influence</w:t>
      </w:r>
      <w:r w:rsidRPr="00DC4AD0">
        <w:rPr>
          <w:rFonts w:ascii="Arial" w:hAnsi="Arial" w:cs="Arial"/>
          <w:color w:val="000000"/>
        </w:rPr>
        <w:t xml:space="preserve">. Washington D.C.: Foundation for </w:t>
      </w:r>
      <w:proofErr w:type="spellStart"/>
      <w:r w:rsidRPr="00DC4AD0">
        <w:rPr>
          <w:rFonts w:ascii="Arial" w:hAnsi="Arial" w:cs="Arial"/>
          <w:color w:val="000000"/>
        </w:rPr>
        <w:t>Defense</w:t>
      </w:r>
      <w:proofErr w:type="spellEnd"/>
      <w:r w:rsidRPr="00DC4AD0">
        <w:rPr>
          <w:rFonts w:ascii="Arial" w:hAnsi="Arial" w:cs="Arial"/>
          <w:color w:val="000000"/>
        </w:rPr>
        <w:t xml:space="preserve"> of Democracies.</w:t>
      </w:r>
    </w:p>
    <w:p w14:paraId="00471D8B" w14:textId="77777777" w:rsidR="00DC4AD0" w:rsidRPr="00DC4AD0" w:rsidRDefault="00DC4AD0" w:rsidP="00DC4AD0">
      <w:pPr>
        <w:pStyle w:val="NormalWeb"/>
        <w:spacing w:line="360" w:lineRule="auto"/>
        <w:rPr>
          <w:rFonts w:ascii="Arial" w:hAnsi="Arial" w:cs="Arial"/>
          <w:color w:val="000000"/>
        </w:rPr>
      </w:pPr>
    </w:p>
    <w:p w14:paraId="2358667E"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Gilmore, J. (2023) ‘Preventive security and democratic tension in UK 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British Journal of Politics and International Relations</w:t>
      </w:r>
      <w:r w:rsidRPr="00DC4AD0">
        <w:rPr>
          <w:rFonts w:ascii="Arial" w:hAnsi="Arial" w:cs="Arial"/>
          <w:color w:val="000000"/>
        </w:rPr>
        <w:t>, 25(3), pp. 357–374.</w:t>
      </w:r>
    </w:p>
    <w:p w14:paraId="0770C38A" w14:textId="77777777" w:rsidR="00DC4AD0" w:rsidRPr="00DC4AD0" w:rsidRDefault="00DC4AD0" w:rsidP="00DC4AD0">
      <w:pPr>
        <w:pStyle w:val="NormalWeb"/>
        <w:spacing w:line="360" w:lineRule="auto"/>
        <w:rPr>
          <w:rFonts w:ascii="Arial" w:hAnsi="Arial" w:cs="Arial"/>
          <w:color w:val="000000"/>
        </w:rPr>
      </w:pPr>
    </w:p>
    <w:p w14:paraId="7A5DDA31" w14:textId="2760A364"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Gill, P., Corner, E., McKee, A., </w:t>
      </w:r>
      <w:proofErr w:type="spellStart"/>
      <w:r w:rsidRPr="00DC4AD0">
        <w:rPr>
          <w:rFonts w:ascii="Arial" w:hAnsi="Arial" w:cs="Arial"/>
          <w:color w:val="000000"/>
        </w:rPr>
        <w:t>Hitchen</w:t>
      </w:r>
      <w:proofErr w:type="spellEnd"/>
      <w:r w:rsidRPr="00DC4AD0">
        <w:rPr>
          <w:rFonts w:ascii="Arial" w:hAnsi="Arial" w:cs="Arial"/>
          <w:color w:val="000000"/>
        </w:rPr>
        <w:t xml:space="preserve">, P. and Betley, P. (2019) ‘What do </w:t>
      </w:r>
      <w:proofErr w:type="gramStart"/>
      <w:r w:rsidRPr="00DC4AD0">
        <w:rPr>
          <w:rFonts w:ascii="Arial" w:hAnsi="Arial" w:cs="Arial"/>
          <w:color w:val="000000"/>
        </w:rPr>
        <w:t>closed</w:t>
      </w:r>
      <w:proofErr w:type="gramEnd"/>
      <w:r w:rsidRPr="00DC4AD0">
        <w:rPr>
          <w:rFonts w:ascii="Arial" w:hAnsi="Arial" w:cs="Arial"/>
          <w:color w:val="000000"/>
        </w:rPr>
        <w:t xml:space="preserve"> source data tell us about lone-actor terrorist behaviour? A research </w:t>
      </w:r>
      <w:proofErr w:type="gramStart"/>
      <w:r w:rsidRPr="00DC4AD0">
        <w:rPr>
          <w:rFonts w:ascii="Arial" w:hAnsi="Arial" w:cs="Arial"/>
          <w:color w:val="000000"/>
        </w:rPr>
        <w:t>note</w:t>
      </w:r>
      <w:proofErr w:type="gramEnd"/>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34(1), pp. 113–130.</w:t>
      </w:r>
    </w:p>
    <w:p w14:paraId="1429FD32" w14:textId="77777777" w:rsidR="00DC4AD0" w:rsidRPr="00DC4AD0" w:rsidRDefault="00DC4AD0" w:rsidP="00DC4AD0">
      <w:pPr>
        <w:pStyle w:val="NormalWeb"/>
        <w:spacing w:line="360" w:lineRule="auto"/>
        <w:rPr>
          <w:rFonts w:ascii="Arial" w:hAnsi="Arial" w:cs="Arial"/>
          <w:color w:val="000000"/>
        </w:rPr>
      </w:pPr>
    </w:p>
    <w:p w14:paraId="72510E4B" w14:textId="25DB8213" w:rsidR="00DC4AD0" w:rsidRDefault="00DC4AD0" w:rsidP="00DC4AD0">
      <w:pPr>
        <w:pStyle w:val="NormalWeb"/>
        <w:spacing w:line="360" w:lineRule="auto"/>
        <w:rPr>
          <w:rFonts w:ascii="Arial" w:hAnsi="Arial" w:cs="Arial"/>
          <w:color w:val="000000"/>
        </w:rPr>
      </w:pPr>
      <w:r w:rsidRPr="00DC4AD0">
        <w:rPr>
          <w:rFonts w:ascii="Arial" w:hAnsi="Arial" w:cs="Arial"/>
          <w:color w:val="000000"/>
        </w:rPr>
        <w:t>Government of the United Kingdom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(Protection of Premises) Bill: Impact assessment</w:t>
      </w:r>
      <w:r w:rsidRPr="00DC4AD0">
        <w:rPr>
          <w:rFonts w:ascii="Arial" w:hAnsi="Arial" w:cs="Arial"/>
          <w:color w:val="000000"/>
        </w:rPr>
        <w:t>. London: Home Office. Available at:</w:t>
      </w:r>
      <w:r w:rsidRPr="00DC4AD0">
        <w:rPr>
          <w:rStyle w:val="apple-converted-space"/>
          <w:rFonts w:ascii="Arial" w:eastAsiaTheme="majorEastAsia" w:hAnsi="Arial" w:cs="Arial"/>
          <w:color w:val="000000"/>
        </w:rPr>
        <w:t> </w:t>
      </w:r>
      <w:r w:rsidRPr="00DC4AD0">
        <w:rPr>
          <w:rFonts w:ascii="Arial" w:hAnsi="Arial" w:cs="Arial"/>
        </w:rPr>
        <w:t>https://www.gov.uk/government/publications/terrorism-protection-of-premises-bill-impact-assessment/terrorism-protection-of-premises-bill-impact-assessment-accessible</w:t>
      </w:r>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507BE9FF" w14:textId="77777777" w:rsidR="00DC4AD0" w:rsidRPr="00DC4AD0" w:rsidRDefault="00DC4AD0" w:rsidP="00DC4AD0">
      <w:pPr>
        <w:pStyle w:val="NormalWeb"/>
        <w:spacing w:line="360" w:lineRule="auto"/>
        <w:rPr>
          <w:rFonts w:ascii="Arial" w:hAnsi="Arial" w:cs="Arial"/>
          <w:color w:val="000000"/>
        </w:rPr>
      </w:pPr>
    </w:p>
    <w:p w14:paraId="342BEB7E" w14:textId="1BE3D4C6"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Government of the United Kingdom (2024) ‘UN Human Rights Council 55: UK statement on countering terrorism’. Geneva: UK Mission to the WTO, </w:t>
      </w:r>
      <w:proofErr w:type="gramStart"/>
      <w:r w:rsidRPr="00DC4AD0">
        <w:rPr>
          <w:rFonts w:ascii="Arial" w:hAnsi="Arial" w:cs="Arial"/>
          <w:color w:val="000000"/>
        </w:rPr>
        <w:t>UN</w:t>
      </w:r>
      <w:proofErr w:type="gramEnd"/>
      <w:r w:rsidRPr="00DC4AD0">
        <w:rPr>
          <w:rFonts w:ascii="Arial" w:hAnsi="Arial" w:cs="Arial"/>
          <w:color w:val="000000"/>
        </w:rPr>
        <w:t xml:space="preserve"> and other </w:t>
      </w:r>
      <w:r w:rsidRPr="00DC4AD0">
        <w:rPr>
          <w:rFonts w:ascii="Arial" w:hAnsi="Arial" w:cs="Arial"/>
          <w:color w:val="000000"/>
        </w:rPr>
        <w:lastRenderedPageBreak/>
        <w:t>international organisations. Available at:</w:t>
      </w:r>
      <w:r w:rsidRPr="00DC4AD0">
        <w:rPr>
          <w:rStyle w:val="apple-converted-space"/>
          <w:rFonts w:ascii="Arial" w:eastAsiaTheme="majorEastAsia" w:hAnsi="Arial" w:cs="Arial"/>
          <w:color w:val="000000"/>
        </w:rPr>
        <w:t> </w:t>
      </w:r>
      <w:hyperlink r:id="rId9" w:tgtFrame="_new" w:history="1">
        <w:r w:rsidRPr="00DC4AD0">
          <w:rPr>
            <w:rStyle w:val="Hyperlink"/>
            <w:rFonts w:ascii="Arial" w:eastAsiaTheme="majorEastAsia" w:hAnsi="Arial" w:cs="Arial"/>
          </w:rPr>
          <w:t>https://www.gov.uk/government/news/un-human-rights-council-55-uk-statement-on-countering-terrorism</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76C3D963" w14:textId="77777777" w:rsidR="00DC4AD0" w:rsidRPr="00DC4AD0" w:rsidRDefault="00DC4AD0" w:rsidP="00DC4AD0">
      <w:pPr>
        <w:pStyle w:val="NormalWeb"/>
        <w:spacing w:line="360" w:lineRule="auto"/>
        <w:rPr>
          <w:rFonts w:ascii="Arial" w:hAnsi="Arial" w:cs="Arial"/>
          <w:color w:val="000000"/>
        </w:rPr>
      </w:pPr>
    </w:p>
    <w:p w14:paraId="1160B4B6"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Hancock, J. (2024) ‘Learning from the Manchester Arena Inquiry’,</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Policing, Intelligence and Counter Terrorism</w:t>
      </w:r>
      <w:r w:rsidRPr="00DC4AD0">
        <w:rPr>
          <w:rFonts w:ascii="Arial" w:hAnsi="Arial" w:cs="Arial"/>
          <w:color w:val="000000"/>
        </w:rPr>
        <w:t>, 19(2), pp. 145–160.</w:t>
      </w:r>
    </w:p>
    <w:p w14:paraId="11F0DC31" w14:textId="77777777" w:rsidR="00DC4AD0" w:rsidRPr="00DC4AD0" w:rsidRDefault="00DC4AD0" w:rsidP="00DC4AD0">
      <w:pPr>
        <w:pStyle w:val="NormalWeb"/>
        <w:spacing w:line="360" w:lineRule="auto"/>
        <w:rPr>
          <w:rFonts w:ascii="Arial" w:hAnsi="Arial" w:cs="Arial"/>
          <w:color w:val="000000"/>
        </w:rPr>
      </w:pPr>
    </w:p>
    <w:p w14:paraId="40CBD67A" w14:textId="77777777" w:rsidR="00892FE0" w:rsidRDefault="00892FE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His Majesty’s Government</w:t>
      </w:r>
      <w:r w:rsidRPr="00DC4AD0">
        <w:rPr>
          <w:rStyle w:val="apple-converted-space"/>
          <w:rFonts w:ascii="Arial" w:eastAsiaTheme="majorEastAsia" w:hAnsi="Arial" w:cs="Arial"/>
          <w:color w:val="000000"/>
        </w:rPr>
        <w:t> </w:t>
      </w:r>
      <w:r w:rsidRPr="00DC4AD0">
        <w:rPr>
          <w:rFonts w:ascii="Arial" w:hAnsi="Arial" w:cs="Arial"/>
          <w:color w:val="000000"/>
        </w:rPr>
        <w:t>(2023)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CONTEST: The United Kingdom’s Strategy for Countering Terrorism</w:t>
      </w:r>
      <w:r w:rsidRPr="00DC4AD0">
        <w:rPr>
          <w:rFonts w:ascii="Arial" w:hAnsi="Arial" w:cs="Arial"/>
          <w:color w:val="000000"/>
        </w:rPr>
        <w:t>. London: Home Office.</w:t>
      </w:r>
    </w:p>
    <w:p w14:paraId="7210C287" w14:textId="77777777" w:rsidR="00DC4AD0" w:rsidRPr="00DC4AD0" w:rsidRDefault="00DC4AD0" w:rsidP="00DC4AD0">
      <w:pPr>
        <w:pStyle w:val="NormalWeb"/>
        <w:spacing w:line="360" w:lineRule="auto"/>
        <w:rPr>
          <w:rFonts w:ascii="Arial" w:hAnsi="Arial" w:cs="Arial"/>
          <w:color w:val="000000"/>
        </w:rPr>
      </w:pPr>
    </w:p>
    <w:p w14:paraId="44DD64C7" w14:textId="7BB9DB56" w:rsidR="00DC4AD0" w:rsidRDefault="00DC4AD0" w:rsidP="00DC4AD0">
      <w:pPr>
        <w:pStyle w:val="NormalWeb"/>
        <w:spacing w:line="360" w:lineRule="auto"/>
        <w:rPr>
          <w:rStyle w:val="apple-converted-space"/>
          <w:rFonts w:ascii="Arial" w:eastAsiaTheme="majorEastAsia" w:hAnsi="Arial" w:cs="Arial"/>
          <w:color w:val="000000"/>
        </w:rPr>
      </w:pPr>
      <w:r w:rsidRPr="00DC4AD0">
        <w:rPr>
          <w:rFonts w:ascii="Arial" w:hAnsi="Arial" w:cs="Arial"/>
          <w:color w:val="000000"/>
        </w:rPr>
        <w:t xml:space="preserve">His Majesty’s Prison and Probation Service </w:t>
      </w:r>
      <w:r w:rsidRPr="00DC4AD0">
        <w:rPr>
          <w:rFonts w:ascii="Arial" w:hAnsi="Arial" w:cs="Arial"/>
          <w:color w:val="000000"/>
        </w:rPr>
        <w:t>and</w:t>
      </w:r>
      <w:r w:rsidRPr="00DC4AD0">
        <w:rPr>
          <w:rFonts w:ascii="Arial" w:hAnsi="Arial" w:cs="Arial"/>
          <w:color w:val="000000"/>
        </w:rPr>
        <w:t xml:space="preserve"> colleagues (2022) ‘The Internet and Radicalisation Pathways: Technological advances, relevance of mental health and role of attackers’.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Ministry of Justice Analytical Series</w:t>
      </w:r>
      <w:r w:rsidRPr="00DC4AD0">
        <w:rPr>
          <w:rFonts w:ascii="Arial" w:hAnsi="Arial" w:cs="Arial"/>
          <w:color w:val="000000"/>
        </w:rPr>
        <w:t>. London: H</w:t>
      </w:r>
      <w:r w:rsidRPr="00DC4AD0">
        <w:rPr>
          <w:rFonts w:ascii="Arial" w:hAnsi="Arial" w:cs="Arial"/>
          <w:color w:val="000000"/>
        </w:rPr>
        <w:t xml:space="preserve">is </w:t>
      </w:r>
      <w:r w:rsidRPr="00DC4AD0">
        <w:rPr>
          <w:rFonts w:ascii="Arial" w:hAnsi="Arial" w:cs="Arial"/>
          <w:color w:val="000000"/>
        </w:rPr>
        <w:t>M</w:t>
      </w:r>
      <w:r w:rsidRPr="00DC4AD0">
        <w:rPr>
          <w:rFonts w:ascii="Arial" w:hAnsi="Arial" w:cs="Arial"/>
          <w:color w:val="000000"/>
        </w:rPr>
        <w:t xml:space="preserve">ajesty’s </w:t>
      </w:r>
      <w:r w:rsidRPr="00DC4AD0">
        <w:rPr>
          <w:rFonts w:ascii="Arial" w:hAnsi="Arial" w:cs="Arial"/>
          <w:color w:val="000000"/>
        </w:rPr>
        <w:t>Government. Available at:</w:t>
      </w:r>
      <w:r w:rsidRPr="00DC4AD0">
        <w:rPr>
          <w:rStyle w:val="apple-converted-space"/>
          <w:rFonts w:ascii="Arial" w:eastAsiaTheme="majorEastAsia" w:hAnsi="Arial" w:cs="Arial"/>
          <w:color w:val="000000"/>
        </w:rPr>
        <w:t> </w:t>
      </w:r>
      <w:hyperlink r:id="rId10" w:tgtFrame="_new" w:history="1">
        <w:r w:rsidRPr="00DC4AD0">
          <w:rPr>
            <w:rStyle w:val="Hyperlink"/>
            <w:rFonts w:ascii="Arial" w:eastAsiaTheme="majorEastAsia" w:hAnsi="Arial" w:cs="Arial"/>
          </w:rPr>
          <w:t>https://assets.publishing.service.gov.uk/media/638f089bd3bf7f327e1ea969/internet-radicalisation-report.pdf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r w:rsidRPr="00DC4AD0">
        <w:rPr>
          <w:rStyle w:val="apple-converted-space"/>
          <w:rFonts w:ascii="Arial" w:eastAsiaTheme="majorEastAsia" w:hAnsi="Arial" w:cs="Arial"/>
          <w:color w:val="000000"/>
        </w:rPr>
        <w:t> </w:t>
      </w:r>
    </w:p>
    <w:p w14:paraId="176D6253" w14:textId="77777777" w:rsidR="00DC4AD0" w:rsidRPr="00DC4AD0" w:rsidRDefault="00DC4AD0" w:rsidP="00DC4AD0">
      <w:pPr>
        <w:pStyle w:val="NormalWeb"/>
        <w:spacing w:line="360" w:lineRule="auto"/>
        <w:rPr>
          <w:rFonts w:ascii="Arial" w:hAnsi="Arial" w:cs="Arial"/>
          <w:color w:val="000000"/>
        </w:rPr>
      </w:pPr>
    </w:p>
    <w:p w14:paraId="3E115AA6" w14:textId="0A49804E" w:rsidR="00EE2E39" w:rsidRDefault="00EE2E39" w:rsidP="00DC4AD0">
      <w:pPr>
        <w:pStyle w:val="NormalWeb"/>
        <w:spacing w:line="360" w:lineRule="auto"/>
        <w:rPr>
          <w:rFonts w:ascii="Arial" w:hAnsi="Arial" w:cs="Arial"/>
          <w:color w:val="000000"/>
        </w:rPr>
      </w:pPr>
      <w:r w:rsidRPr="00DC4AD0">
        <w:rPr>
          <w:rFonts w:ascii="Arial" w:hAnsi="Arial" w:cs="Arial"/>
          <w:color w:val="000000"/>
        </w:rPr>
        <w:t>Home Office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Prevent Duty Statistics Quarterly Release</w:t>
      </w:r>
      <w:r w:rsidRPr="00DC4AD0">
        <w:rPr>
          <w:rFonts w:ascii="Arial" w:hAnsi="Arial" w:cs="Arial"/>
          <w:color w:val="000000"/>
        </w:rPr>
        <w:t>. London: Home Office.</w:t>
      </w:r>
    </w:p>
    <w:p w14:paraId="07B22226" w14:textId="77777777" w:rsidR="00DC4AD0" w:rsidRPr="00DC4AD0" w:rsidRDefault="00DC4AD0" w:rsidP="00DC4AD0">
      <w:pPr>
        <w:pStyle w:val="NormalWeb"/>
        <w:spacing w:line="360" w:lineRule="auto"/>
        <w:rPr>
          <w:rFonts w:ascii="Arial" w:hAnsi="Arial" w:cs="Arial"/>
          <w:color w:val="000000"/>
        </w:rPr>
      </w:pPr>
    </w:p>
    <w:p w14:paraId="012A27BB" w14:textId="43D52BB4" w:rsidR="00DC4AD0" w:rsidRDefault="00DC4AD0" w:rsidP="00DC4AD0">
      <w:pPr>
        <w:pStyle w:val="NormalWeb"/>
        <w:spacing w:line="360" w:lineRule="auto"/>
        <w:rPr>
          <w:rFonts w:ascii="Arial" w:hAnsi="Arial" w:cs="Arial"/>
          <w:color w:val="000000"/>
        </w:rPr>
      </w:pPr>
      <w:r w:rsidRPr="00DC4AD0">
        <w:rPr>
          <w:rFonts w:ascii="Arial" w:hAnsi="Arial" w:cs="Arial"/>
          <w:color w:val="000000"/>
        </w:rPr>
        <w:t>Home Office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(Protection of Premises) Bill: Impact Assessment</w:t>
      </w:r>
      <w:r w:rsidRPr="00DC4AD0">
        <w:rPr>
          <w:rFonts w:ascii="Arial" w:hAnsi="Arial" w:cs="Arial"/>
          <w:color w:val="000000"/>
        </w:rPr>
        <w:t>. London: Home Office.</w:t>
      </w:r>
      <w:r w:rsidRPr="00DC4AD0">
        <w:rPr>
          <w:rFonts w:ascii="Arial" w:hAnsi="Arial" w:cs="Arial"/>
          <w:color w:val="000000"/>
        </w:rPr>
        <w:br/>
        <w:t>Available at:</w:t>
      </w:r>
      <w:r w:rsidRPr="00DC4AD0">
        <w:rPr>
          <w:rStyle w:val="apple-converted-space"/>
          <w:rFonts w:ascii="Arial" w:eastAsiaTheme="majorEastAsia" w:hAnsi="Arial" w:cs="Arial"/>
          <w:color w:val="000000"/>
        </w:rPr>
        <w:t> </w:t>
      </w:r>
      <w:r w:rsidRPr="00DC4AD0">
        <w:rPr>
          <w:rStyle w:val="HTMLCode"/>
          <w:rFonts w:ascii="Arial" w:eastAsiaTheme="majorEastAsia" w:hAnsi="Arial" w:cs="Arial"/>
          <w:color w:val="000000"/>
          <w:sz w:val="24"/>
          <w:szCs w:val="24"/>
        </w:rPr>
        <w:t>https://assets.publishing.service.gov.uk/media/645128452f62220013a6a3d6/2023-04-25_Martyn_s_Law_Impact_Assessment.pdf</w:t>
      </w:r>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551FE4BB" w14:textId="77777777" w:rsidR="00DC4AD0" w:rsidRPr="00DC4AD0" w:rsidRDefault="00DC4AD0" w:rsidP="00DC4AD0">
      <w:pPr>
        <w:pStyle w:val="NormalWeb"/>
        <w:spacing w:line="360" w:lineRule="auto"/>
        <w:rPr>
          <w:rFonts w:ascii="Arial" w:hAnsi="Arial" w:cs="Arial"/>
          <w:color w:val="000000"/>
        </w:rPr>
      </w:pPr>
    </w:p>
    <w:p w14:paraId="3ACF6B18"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Horgan, J. and Taylor, M. (2021) ‘Organisational change in the Provisional IRA’,</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Studies in Conflict &amp; Terrorism</w:t>
      </w:r>
      <w:r w:rsidRPr="00DC4AD0">
        <w:rPr>
          <w:rFonts w:ascii="Arial" w:hAnsi="Arial" w:cs="Arial"/>
          <w:color w:val="000000"/>
        </w:rPr>
        <w:t>, 44(4), pp. 247–264.</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10.1080/1057610X.2019.1684321.</w:t>
      </w:r>
    </w:p>
    <w:p w14:paraId="424C5AE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House of Commons Library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UK CT Legislative Overview</w:t>
      </w:r>
      <w:r w:rsidRPr="00DC4AD0">
        <w:rPr>
          <w:rFonts w:ascii="Arial" w:hAnsi="Arial" w:cs="Arial"/>
          <w:color w:val="000000"/>
        </w:rPr>
        <w:t>: 2001–2024. London: UK Parliament.</w:t>
      </w:r>
    </w:p>
    <w:p w14:paraId="5C8290E0" w14:textId="77777777" w:rsidR="00DC4AD0" w:rsidRPr="00DC4AD0" w:rsidRDefault="00DC4AD0" w:rsidP="00DC4AD0">
      <w:pPr>
        <w:pStyle w:val="NormalWeb"/>
        <w:spacing w:line="360" w:lineRule="auto"/>
        <w:rPr>
          <w:rFonts w:ascii="Arial" w:hAnsi="Arial" w:cs="Arial"/>
          <w:color w:val="000000"/>
        </w:rPr>
      </w:pPr>
    </w:p>
    <w:p w14:paraId="46C7A4ED" w14:textId="322A5F7F" w:rsidR="00DC4AD0" w:rsidRDefault="00DC4AD0" w:rsidP="00DC4AD0">
      <w:pPr>
        <w:pStyle w:val="NormalWeb"/>
        <w:spacing w:line="360" w:lineRule="auto"/>
        <w:rPr>
          <w:rFonts w:ascii="Arial" w:hAnsi="Arial" w:cs="Arial"/>
          <w:color w:val="000000"/>
        </w:rPr>
      </w:pPr>
      <w:r w:rsidRPr="00DC4AD0">
        <w:rPr>
          <w:rFonts w:ascii="Arial" w:hAnsi="Arial" w:cs="Arial"/>
          <w:color w:val="000000"/>
        </w:rPr>
        <w:t>Hoffman, B. (20</w:t>
      </w:r>
      <w:r w:rsidRPr="00DC4AD0">
        <w:rPr>
          <w:rFonts w:ascii="Arial" w:hAnsi="Arial" w:cs="Arial"/>
          <w:color w:val="000000"/>
        </w:rPr>
        <w:t>22</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Inside terrorism</w:t>
      </w:r>
      <w:r w:rsidRPr="00DC4AD0">
        <w:rPr>
          <w:rFonts w:ascii="Arial" w:hAnsi="Arial" w:cs="Arial"/>
          <w:color w:val="000000"/>
        </w:rPr>
        <w:t xml:space="preserve">. 3rd </w:t>
      </w:r>
      <w:proofErr w:type="spellStart"/>
      <w:r w:rsidRPr="00DC4AD0">
        <w:rPr>
          <w:rFonts w:ascii="Arial" w:hAnsi="Arial" w:cs="Arial"/>
          <w:color w:val="000000"/>
        </w:rPr>
        <w:t>edn</w:t>
      </w:r>
      <w:proofErr w:type="spellEnd"/>
      <w:r w:rsidRPr="00DC4AD0">
        <w:rPr>
          <w:rFonts w:ascii="Arial" w:hAnsi="Arial" w:cs="Arial"/>
          <w:color w:val="000000"/>
        </w:rPr>
        <w:t>. New York: Columbia University Press.</w:t>
      </w:r>
    </w:p>
    <w:p w14:paraId="45EF91E1" w14:textId="77777777" w:rsidR="00DC4AD0" w:rsidRPr="00DC4AD0" w:rsidRDefault="00DC4AD0" w:rsidP="00DC4AD0">
      <w:pPr>
        <w:pStyle w:val="NormalWeb"/>
        <w:spacing w:line="360" w:lineRule="auto"/>
        <w:rPr>
          <w:rFonts w:ascii="Arial" w:hAnsi="Arial" w:cs="Arial"/>
          <w:color w:val="000000"/>
        </w:rPr>
      </w:pPr>
    </w:p>
    <w:p w14:paraId="0648FC76"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House of Lords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Investigatory Powers Act Review Committee Report</w:t>
      </w:r>
      <w:r w:rsidRPr="00DC4AD0">
        <w:rPr>
          <w:rFonts w:ascii="Arial" w:hAnsi="Arial" w:cs="Arial"/>
          <w:color w:val="000000"/>
        </w:rPr>
        <w:t>. HL Paper 44.</w:t>
      </w:r>
    </w:p>
    <w:p w14:paraId="1897CC80" w14:textId="77777777" w:rsidR="00DC4AD0" w:rsidRPr="00DC4AD0" w:rsidRDefault="00DC4AD0" w:rsidP="00DC4AD0">
      <w:pPr>
        <w:pStyle w:val="NormalWeb"/>
        <w:spacing w:line="360" w:lineRule="auto"/>
        <w:rPr>
          <w:rFonts w:ascii="Arial" w:hAnsi="Arial" w:cs="Arial"/>
          <w:color w:val="000000"/>
        </w:rPr>
      </w:pPr>
    </w:p>
    <w:p w14:paraId="3909DD7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Innes, M.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Online extremism and decentralised propaganda</w:t>
      </w:r>
      <w:r w:rsidRPr="00DC4AD0">
        <w:rPr>
          <w:rFonts w:ascii="Arial" w:hAnsi="Arial" w:cs="Arial"/>
          <w:color w:val="000000"/>
        </w:rPr>
        <w:t>. Cardiff: Cardiff University Press.</w:t>
      </w:r>
    </w:p>
    <w:p w14:paraId="7407B36B" w14:textId="77777777" w:rsidR="00DC4AD0" w:rsidRPr="00DC4AD0" w:rsidRDefault="00DC4AD0" w:rsidP="00DC4AD0">
      <w:pPr>
        <w:pStyle w:val="NormalWeb"/>
        <w:spacing w:line="360" w:lineRule="auto"/>
        <w:rPr>
          <w:rFonts w:ascii="Arial" w:hAnsi="Arial" w:cs="Arial"/>
          <w:color w:val="000000"/>
        </w:rPr>
      </w:pPr>
    </w:p>
    <w:p w14:paraId="4A82B4BD" w14:textId="6FB0CBEC" w:rsidR="00EE2E39" w:rsidRDefault="00EE2E39" w:rsidP="00DC4AD0">
      <w:pPr>
        <w:pStyle w:val="NormalWeb"/>
        <w:spacing w:line="360" w:lineRule="auto"/>
        <w:rPr>
          <w:rFonts w:ascii="Arial" w:hAnsi="Arial" w:cs="Arial"/>
          <w:color w:val="000000"/>
        </w:rPr>
      </w:pPr>
      <w:r w:rsidRPr="00DC4AD0">
        <w:rPr>
          <w:rFonts w:ascii="Arial" w:hAnsi="Arial" w:cs="Arial"/>
          <w:color w:val="000000"/>
        </w:rPr>
        <w:t>Intelligence and Security Committee (202</w:t>
      </w:r>
      <w:r w:rsidR="00DC4AD0" w:rsidRPr="00DC4AD0">
        <w:rPr>
          <w:rFonts w:ascii="Arial" w:hAnsi="Arial" w:cs="Arial"/>
          <w:color w:val="000000"/>
        </w:rPr>
        <w:t>4</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Extreme Right-Wing Terrorism: Threat and Response</w:t>
      </w:r>
      <w:r w:rsidRPr="00DC4AD0">
        <w:rPr>
          <w:rFonts w:ascii="Arial" w:hAnsi="Arial" w:cs="Arial"/>
          <w:color w:val="000000"/>
        </w:rPr>
        <w:t>. London: UK Parliament.</w:t>
      </w:r>
    </w:p>
    <w:p w14:paraId="4A8AAD06" w14:textId="77777777" w:rsidR="00DC4AD0" w:rsidRPr="00DC4AD0" w:rsidRDefault="00DC4AD0" w:rsidP="00DC4AD0">
      <w:pPr>
        <w:pStyle w:val="NormalWeb"/>
        <w:spacing w:line="360" w:lineRule="auto"/>
        <w:rPr>
          <w:rFonts w:ascii="Arial" w:hAnsi="Arial" w:cs="Arial"/>
          <w:color w:val="000000"/>
        </w:rPr>
      </w:pPr>
    </w:p>
    <w:p w14:paraId="4CDDF537" w14:textId="77777777" w:rsidR="00E9486D" w:rsidRDefault="00E9486D" w:rsidP="00DC4AD0">
      <w:pPr>
        <w:spacing w:after="0" w:line="360" w:lineRule="auto"/>
        <w:rPr>
          <w:rFonts w:ascii="Arial" w:eastAsia="Times New Roman" w:hAnsi="Arial" w:cs="Arial"/>
          <w:color w:val="000000"/>
          <w:kern w:val="0"/>
          <w:lang w:eastAsia="en-GB"/>
          <w14:ligatures w14:val="none"/>
        </w:rPr>
      </w:pPr>
      <w:r w:rsidRPr="00E9486D">
        <w:rPr>
          <w:rFonts w:ascii="Arial" w:eastAsia="Times New Roman" w:hAnsi="Arial" w:cs="Arial"/>
          <w:color w:val="000000"/>
          <w:kern w:val="0"/>
          <w:lang w:eastAsia="en-GB"/>
          <w14:ligatures w14:val="none"/>
        </w:rPr>
        <w:t>Jackson, B. (2024) ‘Legitimacy and CT effectiveness’, </w:t>
      </w:r>
      <w:r w:rsidRPr="00E9486D">
        <w:rPr>
          <w:rFonts w:ascii="Arial" w:eastAsia="Times New Roman" w:hAnsi="Arial" w:cs="Arial"/>
          <w:i/>
          <w:iCs/>
          <w:color w:val="000000"/>
          <w:kern w:val="0"/>
          <w:lang w:eastAsia="en-GB"/>
          <w14:ligatures w14:val="none"/>
        </w:rPr>
        <w:t>Critical Studies on Terrorism</w:t>
      </w:r>
      <w:r w:rsidRPr="00E9486D">
        <w:rPr>
          <w:rFonts w:ascii="Arial" w:eastAsia="Times New Roman" w:hAnsi="Arial" w:cs="Arial"/>
          <w:color w:val="000000"/>
          <w:kern w:val="0"/>
          <w:lang w:eastAsia="en-GB"/>
          <w14:ligatures w14:val="none"/>
        </w:rPr>
        <w:t>, 17(2), pp. 210–228.</w:t>
      </w:r>
    </w:p>
    <w:p w14:paraId="1B9A8447" w14:textId="77777777" w:rsidR="00DC4AD0" w:rsidRPr="00E9486D" w:rsidRDefault="00DC4AD0" w:rsidP="00DC4AD0">
      <w:pPr>
        <w:spacing w:after="0" w:line="360" w:lineRule="auto"/>
        <w:rPr>
          <w:rFonts w:ascii="Arial" w:eastAsia="Times New Roman" w:hAnsi="Arial" w:cs="Arial"/>
          <w:kern w:val="0"/>
          <w:lang w:eastAsia="en-GB"/>
          <w14:ligatures w14:val="none"/>
        </w:rPr>
      </w:pPr>
    </w:p>
    <w:p w14:paraId="13F80285"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King, S. (2024) ‘Managing terrorist offenders after release’,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Probation Journal</w:t>
      </w:r>
      <w:r w:rsidRPr="00DC4AD0">
        <w:rPr>
          <w:rFonts w:ascii="Arial" w:hAnsi="Arial" w:cs="Arial"/>
          <w:color w:val="000000"/>
        </w:rPr>
        <w:t>, 71(2), pp. 188–205.</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10.1177/02645505231123456.</w:t>
      </w:r>
    </w:p>
    <w:p w14:paraId="77C86D1C" w14:textId="77777777" w:rsidR="00DC4AD0" w:rsidRPr="00DC4AD0" w:rsidRDefault="00DC4AD0" w:rsidP="00DC4AD0">
      <w:pPr>
        <w:pStyle w:val="NormalWeb"/>
        <w:spacing w:line="360" w:lineRule="auto"/>
        <w:rPr>
          <w:rFonts w:ascii="Arial" w:hAnsi="Arial" w:cs="Arial"/>
          <w:color w:val="000000"/>
        </w:rPr>
      </w:pPr>
    </w:p>
    <w:p w14:paraId="2C856E87" w14:textId="6EDD9F35" w:rsidR="00EE2E39"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Koehler, D. (2022) ‘The Evolution of Right-Wing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for Deradicalization</w:t>
      </w:r>
      <w:r w:rsidRPr="00DC4AD0">
        <w:rPr>
          <w:rFonts w:ascii="Arial" w:hAnsi="Arial" w:cs="Arial"/>
          <w:color w:val="000000"/>
        </w:rPr>
        <w:t>, 30, pp. 1–33.</w:t>
      </w:r>
    </w:p>
    <w:p w14:paraId="582FA652" w14:textId="77777777" w:rsidR="00DC4AD0" w:rsidRPr="00DC4AD0" w:rsidRDefault="00DC4AD0" w:rsidP="00DC4AD0">
      <w:pPr>
        <w:pStyle w:val="NormalWeb"/>
        <w:spacing w:line="360" w:lineRule="auto"/>
        <w:rPr>
          <w:rFonts w:ascii="Arial" w:hAnsi="Arial" w:cs="Arial"/>
          <w:color w:val="000000"/>
        </w:rPr>
      </w:pPr>
    </w:p>
    <w:p w14:paraId="15EDEC17"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Lakhani, S. (2024) ‘Youth vulnerability and online radicalisation’,</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Youth &amp; Policy</w:t>
      </w:r>
      <w:r w:rsidRPr="00DC4AD0">
        <w:rPr>
          <w:rFonts w:ascii="Arial" w:hAnsi="Arial" w:cs="Arial"/>
          <w:color w:val="000000"/>
        </w:rPr>
        <w:t>, 121, pp. 55–76.</w:t>
      </w:r>
    </w:p>
    <w:p w14:paraId="2CB3C924" w14:textId="77777777" w:rsidR="00DC4AD0" w:rsidRPr="00DC4AD0" w:rsidRDefault="00DC4AD0" w:rsidP="00DC4AD0">
      <w:pPr>
        <w:pStyle w:val="NormalWeb"/>
        <w:spacing w:line="360" w:lineRule="auto"/>
        <w:rPr>
          <w:rFonts w:ascii="Arial" w:hAnsi="Arial" w:cs="Arial"/>
          <w:color w:val="000000"/>
        </w:rPr>
      </w:pPr>
    </w:p>
    <w:p w14:paraId="6386E6E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Lewin, T. (2023) ‘Trust, legitimacy and counter-terrorism partnerships’,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International Journal of Human Rights</w:t>
      </w:r>
      <w:r w:rsidRPr="00DC4AD0">
        <w:rPr>
          <w:rFonts w:ascii="Arial" w:hAnsi="Arial" w:cs="Arial"/>
          <w:color w:val="000000"/>
        </w:rPr>
        <w:t>, 27(6), pp. 987–1005.</w:t>
      </w:r>
    </w:p>
    <w:p w14:paraId="2488A66C" w14:textId="77777777" w:rsidR="00DC4AD0" w:rsidRPr="00DC4AD0" w:rsidRDefault="00DC4AD0" w:rsidP="00DC4AD0">
      <w:pPr>
        <w:pStyle w:val="NormalWeb"/>
        <w:spacing w:line="360" w:lineRule="auto"/>
        <w:rPr>
          <w:rFonts w:ascii="Arial" w:hAnsi="Arial" w:cs="Arial"/>
          <w:color w:val="000000"/>
        </w:rPr>
      </w:pPr>
    </w:p>
    <w:p w14:paraId="4955F142" w14:textId="78C3BE22"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Mac </w:t>
      </w:r>
      <w:proofErr w:type="spellStart"/>
      <w:r w:rsidRPr="00DC4AD0">
        <w:rPr>
          <w:rFonts w:ascii="Arial" w:hAnsi="Arial" w:cs="Arial"/>
          <w:color w:val="000000"/>
        </w:rPr>
        <w:t>Ginty</w:t>
      </w:r>
      <w:proofErr w:type="spellEnd"/>
      <w:r w:rsidRPr="00DC4AD0">
        <w:rPr>
          <w:rFonts w:ascii="Arial" w:hAnsi="Arial" w:cs="Arial"/>
          <w:color w:val="000000"/>
        </w:rPr>
        <w:t>, R. (2023) ‘The peace process and 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Irish Political Studies</w:t>
      </w:r>
      <w:r w:rsidRPr="00DC4AD0">
        <w:rPr>
          <w:rFonts w:ascii="Arial" w:hAnsi="Arial" w:cs="Arial"/>
          <w:color w:val="000000"/>
        </w:rPr>
        <w:t>, 38(1), pp. 11–29.</w:t>
      </w:r>
    </w:p>
    <w:p w14:paraId="383AD3C0" w14:textId="77777777" w:rsidR="00DC4AD0" w:rsidRPr="00DC4AD0" w:rsidRDefault="00DC4AD0" w:rsidP="00DC4AD0">
      <w:pPr>
        <w:pStyle w:val="NormalWeb"/>
        <w:spacing w:line="360" w:lineRule="auto"/>
        <w:rPr>
          <w:rFonts w:ascii="Arial" w:hAnsi="Arial" w:cs="Arial"/>
          <w:color w:val="000000"/>
        </w:rPr>
      </w:pPr>
    </w:p>
    <w:p w14:paraId="01153EAE"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Manchester Arena Inquiry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Volume 3: Radicalisation and Preventability</w:t>
      </w:r>
      <w:r w:rsidRPr="00DC4AD0">
        <w:rPr>
          <w:rFonts w:ascii="Arial" w:hAnsi="Arial" w:cs="Arial"/>
          <w:color w:val="000000"/>
        </w:rPr>
        <w:t>. Manchester: MAI.</w:t>
      </w:r>
    </w:p>
    <w:p w14:paraId="27125A8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Marsden, S. (2024) ‘Fragmentation of jihadist networks post-9/11’,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36(1), pp. 112–131.</w:t>
      </w:r>
    </w:p>
    <w:p w14:paraId="5928E15C" w14:textId="77777777" w:rsidR="00DC4AD0" w:rsidRPr="00DC4AD0" w:rsidRDefault="00DC4AD0" w:rsidP="00DC4AD0">
      <w:pPr>
        <w:pStyle w:val="NormalWeb"/>
        <w:spacing w:line="360" w:lineRule="auto"/>
        <w:rPr>
          <w:rFonts w:ascii="Arial" w:hAnsi="Arial" w:cs="Arial"/>
          <w:color w:val="000000"/>
        </w:rPr>
      </w:pPr>
    </w:p>
    <w:p w14:paraId="20D7872C" w14:textId="77777777" w:rsidR="00DC4AD0" w:rsidRPr="00DC4AD0" w:rsidRDefault="00DC4AD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McGovern, M. (2010)</w:t>
      </w:r>
      <w:r w:rsidRPr="00DC4AD0">
        <w:rPr>
          <w:rStyle w:val="apple-converted-space"/>
          <w:rFonts w:ascii="Arial" w:eastAsiaTheme="majorEastAsia" w:hAnsi="Arial" w:cs="Arial"/>
          <w:color w:val="000000"/>
        </w:rPr>
        <w:t> </w:t>
      </w:r>
      <w:r w:rsidRPr="00DC4AD0">
        <w:rPr>
          <w:rFonts w:ascii="Arial" w:hAnsi="Arial" w:cs="Arial"/>
          <w:color w:val="000000"/>
        </w:rPr>
        <w:t>‘The IRA are not Al Qaeda: New Terrorism Discourse and Irish Republicanism’, in Hayward, K. and O’Donnell, C. (eds)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Political Discourse and Conflict Resolution: Debating Peace in Northern Ireland</w:t>
      </w:r>
      <w:r w:rsidRPr="00DC4AD0">
        <w:rPr>
          <w:rFonts w:ascii="Arial" w:hAnsi="Arial" w:cs="Arial"/>
          <w:color w:val="000000"/>
        </w:rPr>
        <w:t>. London: Routledge, pp. 192-208.</w:t>
      </w:r>
    </w:p>
    <w:p w14:paraId="380B3405" w14:textId="77777777" w:rsidR="00DC4AD0" w:rsidRPr="00DC4AD0" w:rsidRDefault="00DC4AD0" w:rsidP="00DC4AD0">
      <w:pPr>
        <w:pStyle w:val="NormalWeb"/>
        <w:spacing w:line="360" w:lineRule="auto"/>
        <w:rPr>
          <w:rFonts w:ascii="Arial" w:hAnsi="Arial" w:cs="Arial"/>
          <w:color w:val="000000"/>
        </w:rPr>
      </w:pPr>
    </w:p>
    <w:p w14:paraId="5E034456" w14:textId="16822E22" w:rsidR="00EE2E39" w:rsidRDefault="00EE2E39" w:rsidP="00DC4AD0">
      <w:pPr>
        <w:pStyle w:val="NormalWeb"/>
        <w:spacing w:line="360" w:lineRule="auto"/>
        <w:rPr>
          <w:rFonts w:ascii="Arial" w:hAnsi="Arial" w:cs="Arial"/>
          <w:color w:val="000000"/>
        </w:rPr>
      </w:pPr>
      <w:r w:rsidRPr="00DC4AD0">
        <w:rPr>
          <w:rFonts w:ascii="Arial" w:hAnsi="Arial" w:cs="Arial"/>
          <w:color w:val="000000"/>
        </w:rPr>
        <w:t>MI5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Director General's Annual Threat Update</w:t>
      </w:r>
      <w:r w:rsidRPr="00DC4AD0">
        <w:rPr>
          <w:rFonts w:ascii="Arial" w:hAnsi="Arial" w:cs="Arial"/>
          <w:color w:val="000000"/>
        </w:rPr>
        <w:t>. London: MI5.</w:t>
      </w:r>
    </w:p>
    <w:p w14:paraId="6C4799F3" w14:textId="77777777" w:rsidR="00DC4AD0" w:rsidRPr="00DC4AD0" w:rsidRDefault="00DC4AD0" w:rsidP="00DC4AD0">
      <w:pPr>
        <w:pStyle w:val="NormalWeb"/>
        <w:spacing w:line="360" w:lineRule="auto"/>
        <w:rPr>
          <w:rFonts w:ascii="Arial" w:hAnsi="Arial" w:cs="Arial"/>
          <w:color w:val="000000"/>
        </w:rPr>
      </w:pPr>
    </w:p>
    <w:p w14:paraId="703C6B63" w14:textId="77777777"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lastRenderedPageBreak/>
        <w:t>Miller-</w:t>
      </w:r>
      <w:proofErr w:type="spellStart"/>
      <w:r w:rsidRPr="00DC4AD0">
        <w:rPr>
          <w:rFonts w:ascii="Arial" w:hAnsi="Arial" w:cs="Arial"/>
          <w:color w:val="000000"/>
        </w:rPr>
        <w:t>Idriss</w:t>
      </w:r>
      <w:proofErr w:type="spellEnd"/>
      <w:r w:rsidRPr="00DC4AD0">
        <w:rPr>
          <w:rFonts w:ascii="Arial" w:hAnsi="Arial" w:cs="Arial"/>
          <w:color w:val="000000"/>
        </w:rPr>
        <w:t>, C. (2021)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Hate in the homeland: the new global far right</w:t>
      </w:r>
      <w:r w:rsidRPr="00DC4AD0">
        <w:rPr>
          <w:rFonts w:ascii="Arial" w:hAnsi="Arial" w:cs="Arial"/>
          <w:color w:val="000000"/>
        </w:rPr>
        <w:t>. Princeton: Princeton University Press.</w:t>
      </w:r>
    </w:p>
    <w:p w14:paraId="2EA0F74F" w14:textId="77777777" w:rsidR="00DC4AD0" w:rsidRPr="00DC4AD0" w:rsidRDefault="00DC4AD0" w:rsidP="00DC4AD0">
      <w:pPr>
        <w:pStyle w:val="NormalWeb"/>
        <w:spacing w:line="360" w:lineRule="auto"/>
        <w:rPr>
          <w:rFonts w:ascii="Arial" w:hAnsi="Arial" w:cs="Arial"/>
          <w:color w:val="000000"/>
        </w:rPr>
      </w:pPr>
    </w:p>
    <w:p w14:paraId="1C05215B" w14:textId="77777777"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Murray, A. (2021) ‘Policing, peace, and the legacy of the Northern Ireland conflict’,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 and Society</w:t>
      </w:r>
      <w:r w:rsidRPr="00DC4AD0">
        <w:rPr>
          <w:rFonts w:ascii="Arial" w:hAnsi="Arial" w:cs="Arial"/>
          <w:color w:val="000000"/>
        </w:rPr>
        <w:t>, 31(5), pp. 551–566.</w:t>
      </w:r>
    </w:p>
    <w:p w14:paraId="6D70D0BF" w14:textId="77777777" w:rsidR="00DC4AD0" w:rsidRPr="00DC4AD0" w:rsidRDefault="00DC4AD0" w:rsidP="00DC4AD0">
      <w:pPr>
        <w:pStyle w:val="NormalWeb"/>
        <w:spacing w:line="360" w:lineRule="auto"/>
        <w:rPr>
          <w:rFonts w:ascii="Arial" w:hAnsi="Arial" w:cs="Arial"/>
          <w:color w:val="000000"/>
        </w:rPr>
      </w:pPr>
    </w:p>
    <w:p w14:paraId="3E616CB3"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National Cyber Security Centre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Annual Review: Critical Infrastructure Threats</w:t>
      </w:r>
      <w:r w:rsidRPr="00DC4AD0">
        <w:rPr>
          <w:rFonts w:ascii="Arial" w:hAnsi="Arial" w:cs="Arial"/>
          <w:color w:val="000000"/>
        </w:rPr>
        <w:t>. London: GCHQ.</w:t>
      </w:r>
    </w:p>
    <w:p w14:paraId="56F71C6E" w14:textId="77777777" w:rsidR="00DC4AD0" w:rsidRPr="00DC4AD0" w:rsidRDefault="00DC4AD0" w:rsidP="00DC4AD0">
      <w:pPr>
        <w:pStyle w:val="NormalWeb"/>
        <w:spacing w:line="360" w:lineRule="auto"/>
        <w:rPr>
          <w:rFonts w:ascii="Arial" w:hAnsi="Arial" w:cs="Arial"/>
          <w:color w:val="000000"/>
        </w:rPr>
      </w:pPr>
    </w:p>
    <w:p w14:paraId="088DE75C" w14:textId="3FD33BA3" w:rsidR="00DC4AD0" w:rsidRDefault="00DC4AD0" w:rsidP="00DC4AD0">
      <w:pPr>
        <w:pStyle w:val="NormalWeb"/>
        <w:spacing w:line="360" w:lineRule="auto"/>
        <w:rPr>
          <w:rFonts w:ascii="Arial" w:hAnsi="Arial" w:cs="Arial"/>
          <w:color w:val="000000"/>
        </w:rPr>
      </w:pPr>
      <w:r w:rsidRPr="00DC4AD0">
        <w:rPr>
          <w:rFonts w:ascii="Arial" w:hAnsi="Arial" w:cs="Arial"/>
          <w:color w:val="000000"/>
        </w:rPr>
        <w:t>National Cyber Security Centre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NCSC Annual Review 2024</w:t>
      </w:r>
      <w:r w:rsidRPr="00DC4AD0">
        <w:rPr>
          <w:rFonts w:ascii="Arial" w:hAnsi="Arial" w:cs="Arial"/>
          <w:color w:val="000000"/>
        </w:rPr>
        <w:t>. London: NCSC. Available at:</w:t>
      </w:r>
      <w:r w:rsidRPr="00DC4AD0">
        <w:rPr>
          <w:rStyle w:val="apple-converted-space"/>
          <w:rFonts w:ascii="Arial" w:eastAsiaTheme="majorEastAsia" w:hAnsi="Arial" w:cs="Arial"/>
          <w:color w:val="000000"/>
        </w:rPr>
        <w:t> </w:t>
      </w:r>
      <w:hyperlink r:id="rId11" w:tgtFrame="_new" w:history="1">
        <w:r w:rsidRPr="00DC4AD0">
          <w:rPr>
            <w:rStyle w:val="Hyperlink"/>
            <w:rFonts w:ascii="Arial" w:eastAsiaTheme="majorEastAsia" w:hAnsi="Arial" w:cs="Arial"/>
          </w:rPr>
          <w:t>https://www.ncsc.gov.uk/files/NCSC_Annual_Review_2024.pdf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29A7E73A" w14:textId="77777777" w:rsidR="00DC4AD0" w:rsidRPr="00DC4AD0" w:rsidRDefault="00DC4AD0" w:rsidP="00DC4AD0">
      <w:pPr>
        <w:pStyle w:val="NormalWeb"/>
        <w:spacing w:line="360" w:lineRule="auto"/>
        <w:rPr>
          <w:rFonts w:ascii="Arial" w:hAnsi="Arial" w:cs="Arial"/>
          <w:color w:val="000000"/>
          <w:highlight w:val="yellow"/>
        </w:rPr>
      </w:pPr>
    </w:p>
    <w:p w14:paraId="3A93DBE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National Cyber Strategy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Defend, Deter and Develop UK Digital Security</w:t>
      </w:r>
      <w:r w:rsidRPr="00DC4AD0">
        <w:rPr>
          <w:rFonts w:ascii="Arial" w:hAnsi="Arial" w:cs="Arial"/>
          <w:color w:val="000000"/>
        </w:rPr>
        <w:t>. London: Cabinet Office.</w:t>
      </w:r>
    </w:p>
    <w:p w14:paraId="6B6317D0" w14:textId="77777777" w:rsidR="00DC4AD0" w:rsidRPr="00DC4AD0" w:rsidRDefault="00DC4AD0" w:rsidP="00DC4AD0">
      <w:pPr>
        <w:pStyle w:val="NormalWeb"/>
        <w:spacing w:line="360" w:lineRule="auto"/>
        <w:rPr>
          <w:rFonts w:ascii="Arial" w:hAnsi="Arial" w:cs="Arial"/>
          <w:color w:val="000000"/>
        </w:rPr>
      </w:pPr>
    </w:p>
    <w:p w14:paraId="6513C4A1" w14:textId="1A0C93F5" w:rsidR="00DC4AD0" w:rsidRPr="00DC4AD0" w:rsidRDefault="00DC4AD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Online Safety Act 2023</w:t>
      </w:r>
      <w:r w:rsidRPr="00DC4AD0">
        <w:rPr>
          <w:rFonts w:ascii="Arial" w:hAnsi="Arial" w:cs="Arial"/>
          <w:color w:val="000000"/>
        </w:rPr>
        <w:t>,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 Act to make provision for and in connection with the regulation by Ofcom of certain internet services; for communications offences; and for connected purposes.</w:t>
      </w:r>
      <w:r w:rsidRPr="00DC4AD0">
        <w:rPr>
          <w:rStyle w:val="apple-converted-space"/>
          <w:rFonts w:ascii="Arial" w:eastAsiaTheme="majorEastAsia" w:hAnsi="Arial" w:cs="Arial"/>
          <w:color w:val="000000"/>
        </w:rPr>
        <w:t> </w:t>
      </w:r>
      <w:r w:rsidRPr="00DC4AD0">
        <w:rPr>
          <w:rFonts w:ascii="Arial" w:hAnsi="Arial" w:cs="Arial"/>
          <w:color w:val="000000"/>
        </w:rPr>
        <w:t>2023 c. 50. Available at:</w:t>
      </w:r>
      <w:r w:rsidRPr="00DC4AD0">
        <w:rPr>
          <w:rStyle w:val="apple-converted-space"/>
          <w:rFonts w:ascii="Arial" w:eastAsiaTheme="majorEastAsia" w:hAnsi="Arial" w:cs="Arial"/>
          <w:color w:val="000000"/>
        </w:rPr>
        <w:t> </w:t>
      </w:r>
      <w:hyperlink r:id="rId12" w:tgtFrame="_new" w:history="1">
        <w:r w:rsidRPr="00DC4AD0">
          <w:rPr>
            <w:rStyle w:val="Hyperlink"/>
            <w:rFonts w:ascii="Arial" w:eastAsiaTheme="majorEastAsia" w:hAnsi="Arial" w:cs="Arial"/>
          </w:rPr>
          <w:t>https://www.legislation.gov.uk/ukpga/2023/50</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14EEBA19" w14:textId="45AC497C"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Pantucci</w:t>
      </w:r>
      <w:proofErr w:type="spellEnd"/>
      <w:r w:rsidRPr="00DC4AD0">
        <w:rPr>
          <w:rFonts w:ascii="Arial" w:hAnsi="Arial" w:cs="Arial"/>
          <w:color w:val="000000"/>
        </w:rPr>
        <w:t>, R. (202</w:t>
      </w:r>
      <w:r w:rsidR="00DC4AD0" w:rsidRPr="00DC4AD0">
        <w:rPr>
          <w:rFonts w:ascii="Arial" w:hAnsi="Arial" w:cs="Arial"/>
          <w:color w:val="000000"/>
        </w:rPr>
        <w:t>4</w:t>
      </w:r>
      <w:r w:rsidRPr="00DC4AD0">
        <w:rPr>
          <w:rFonts w:ascii="Arial" w:hAnsi="Arial" w:cs="Arial"/>
          <w:color w:val="000000"/>
        </w:rPr>
        <w:t>) ‘The lone-actor threat in Western states’,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RUSI Journal</w:t>
      </w:r>
      <w:r w:rsidRPr="00DC4AD0">
        <w:rPr>
          <w:rFonts w:ascii="Arial" w:hAnsi="Arial" w:cs="Arial"/>
          <w:color w:val="000000"/>
        </w:rPr>
        <w:t>, 167(2), pp. 42–57.</w:t>
      </w:r>
    </w:p>
    <w:p w14:paraId="375320F1" w14:textId="77777777" w:rsidR="00DC4AD0" w:rsidRPr="00DC4AD0" w:rsidRDefault="00DC4AD0" w:rsidP="00DC4AD0">
      <w:pPr>
        <w:pStyle w:val="NormalWeb"/>
        <w:spacing w:line="360" w:lineRule="auto"/>
        <w:rPr>
          <w:rFonts w:ascii="Arial" w:hAnsi="Arial" w:cs="Arial"/>
          <w:color w:val="000000"/>
        </w:rPr>
      </w:pPr>
    </w:p>
    <w:p w14:paraId="256604D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Patel, F. (2024) ‘Prevent and safeguarding tensions in practice’,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 &amp; Society</w:t>
      </w:r>
      <w:r w:rsidRPr="00DC4AD0">
        <w:rPr>
          <w:rFonts w:ascii="Arial" w:hAnsi="Arial" w:cs="Arial"/>
          <w:color w:val="000000"/>
        </w:rPr>
        <w:t>, 34(3), pp. 284–302.</w:t>
      </w:r>
    </w:p>
    <w:p w14:paraId="4D8E456E" w14:textId="77777777" w:rsidR="00DC4AD0" w:rsidRPr="00DC4AD0" w:rsidRDefault="00DC4AD0" w:rsidP="00DC4AD0">
      <w:pPr>
        <w:pStyle w:val="NormalWeb"/>
        <w:spacing w:line="360" w:lineRule="auto"/>
        <w:rPr>
          <w:rFonts w:ascii="Arial" w:hAnsi="Arial" w:cs="Arial"/>
          <w:color w:val="000000"/>
        </w:rPr>
      </w:pPr>
    </w:p>
    <w:p w14:paraId="55D5331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Pasternak, A. (2024) ‘Cyber-enabled extremism and future threats’,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Strategic Security</w:t>
      </w:r>
      <w:r w:rsidRPr="00DC4AD0">
        <w:rPr>
          <w:rFonts w:ascii="Arial" w:hAnsi="Arial" w:cs="Arial"/>
          <w:color w:val="000000"/>
        </w:rPr>
        <w:t>, 17(1), pp. 71–89.</w:t>
      </w:r>
    </w:p>
    <w:p w14:paraId="372C364D" w14:textId="77777777" w:rsidR="00DC4AD0" w:rsidRPr="00DC4AD0" w:rsidRDefault="00DC4AD0" w:rsidP="00DC4AD0">
      <w:pPr>
        <w:pStyle w:val="NormalWeb"/>
        <w:spacing w:line="360" w:lineRule="auto"/>
        <w:rPr>
          <w:rFonts w:ascii="Arial" w:hAnsi="Arial" w:cs="Arial"/>
          <w:color w:val="000000"/>
        </w:rPr>
      </w:pPr>
    </w:p>
    <w:p w14:paraId="6F165BB6" w14:textId="77777777"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Qurashi</w:t>
      </w:r>
      <w:proofErr w:type="spellEnd"/>
      <w:r w:rsidRPr="00DC4AD0">
        <w:rPr>
          <w:rFonts w:ascii="Arial" w:hAnsi="Arial" w:cs="Arial"/>
          <w:color w:val="000000"/>
        </w:rPr>
        <w:t>, F. (2024) ‘Prevent, Islamophobia and distrust’,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Race &amp; Class</w:t>
      </w:r>
      <w:r w:rsidRPr="00DC4AD0">
        <w:rPr>
          <w:rFonts w:ascii="Arial" w:hAnsi="Arial" w:cs="Arial"/>
          <w:color w:val="000000"/>
        </w:rPr>
        <w:t>, 65(3), pp. 33–52.</w:t>
      </w:r>
    </w:p>
    <w:p w14:paraId="3515A6D9" w14:textId="77777777" w:rsidR="00DC4AD0" w:rsidRPr="00DC4AD0" w:rsidRDefault="00DC4AD0" w:rsidP="00DC4AD0">
      <w:pPr>
        <w:pStyle w:val="NormalWeb"/>
        <w:spacing w:line="360" w:lineRule="auto"/>
        <w:rPr>
          <w:rFonts w:ascii="Arial" w:hAnsi="Arial" w:cs="Arial"/>
          <w:color w:val="000000"/>
        </w:rPr>
      </w:pPr>
    </w:p>
    <w:p w14:paraId="1056EDE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Richards, I. (2022) ‘Hybrid ideology in contemporary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&amp; Political Violence</w:t>
      </w:r>
      <w:r w:rsidRPr="00DC4AD0">
        <w:rPr>
          <w:rFonts w:ascii="Arial" w:hAnsi="Arial" w:cs="Arial"/>
          <w:color w:val="000000"/>
        </w:rPr>
        <w:t>.</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10.1080/09546553.2022.2034159.</w:t>
      </w:r>
    </w:p>
    <w:p w14:paraId="599D9759" w14:textId="77777777" w:rsidR="00DC4AD0" w:rsidRPr="00DC4AD0" w:rsidRDefault="00DC4AD0" w:rsidP="00DC4AD0">
      <w:pPr>
        <w:pStyle w:val="NormalWeb"/>
        <w:spacing w:line="360" w:lineRule="auto"/>
        <w:rPr>
          <w:rFonts w:ascii="Arial" w:hAnsi="Arial" w:cs="Arial"/>
          <w:color w:val="000000"/>
        </w:rPr>
      </w:pPr>
    </w:p>
    <w:p w14:paraId="751BAAD3"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Schmid, A.P. and </w:t>
      </w:r>
      <w:proofErr w:type="spellStart"/>
      <w:r w:rsidRPr="00DC4AD0">
        <w:rPr>
          <w:rFonts w:ascii="Arial" w:hAnsi="Arial" w:cs="Arial"/>
          <w:color w:val="000000"/>
        </w:rPr>
        <w:t>Jongman</w:t>
      </w:r>
      <w:proofErr w:type="spellEnd"/>
      <w:r w:rsidRPr="00DC4AD0">
        <w:rPr>
          <w:rFonts w:ascii="Arial" w:hAnsi="Arial" w:cs="Arial"/>
          <w:color w:val="000000"/>
        </w:rPr>
        <w:t>, B. (2005)</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Political Terrorism</w:t>
      </w:r>
      <w:r w:rsidRPr="00DC4AD0">
        <w:rPr>
          <w:rFonts w:ascii="Arial" w:hAnsi="Arial" w:cs="Arial"/>
          <w:color w:val="000000"/>
        </w:rPr>
        <w:t>. London: Routledge.</w:t>
      </w:r>
    </w:p>
    <w:p w14:paraId="58AFE23E" w14:textId="77777777" w:rsidR="00DC4AD0" w:rsidRPr="00DC4AD0" w:rsidRDefault="00DC4AD0" w:rsidP="00DC4AD0">
      <w:pPr>
        <w:pStyle w:val="NormalWeb"/>
        <w:spacing w:line="360" w:lineRule="auto"/>
        <w:rPr>
          <w:rFonts w:ascii="Arial" w:hAnsi="Arial" w:cs="Arial"/>
          <w:color w:val="000000"/>
        </w:rPr>
      </w:pPr>
    </w:p>
    <w:p w14:paraId="3924BA34" w14:textId="36D99D29" w:rsidR="00DC4AD0" w:rsidRDefault="00DC4AD0" w:rsidP="00DC4AD0">
      <w:pPr>
        <w:pStyle w:val="NormalWeb"/>
        <w:spacing w:line="360" w:lineRule="auto"/>
        <w:rPr>
          <w:rFonts w:ascii="Arial" w:hAnsi="Arial" w:cs="Arial"/>
          <w:color w:val="000000"/>
        </w:rPr>
      </w:pPr>
      <w:r w:rsidRPr="00DC4AD0">
        <w:rPr>
          <w:rFonts w:ascii="Arial" w:hAnsi="Arial" w:cs="Arial"/>
          <w:color w:val="000000"/>
        </w:rPr>
        <w:t>Schuurman, B. (2020) ‘Research on terrorism, 2007–2016: A review of data, methods, and authorship’,</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xml:space="preserve">, 32(5), pp. 1011-1026. </w:t>
      </w:r>
      <w:proofErr w:type="spellStart"/>
      <w:r w:rsidRPr="00DC4AD0">
        <w:rPr>
          <w:rFonts w:ascii="Arial" w:hAnsi="Arial" w:cs="Arial"/>
          <w:color w:val="000000"/>
        </w:rPr>
        <w:t>doi</w:t>
      </w:r>
      <w:proofErr w:type="spellEnd"/>
      <w:r w:rsidRPr="00DC4AD0">
        <w:rPr>
          <w:rFonts w:ascii="Arial" w:hAnsi="Arial" w:cs="Arial"/>
          <w:color w:val="000000"/>
        </w:rPr>
        <w:t>: 10.1080/09546553.2018.1439023.</w:t>
      </w:r>
    </w:p>
    <w:p w14:paraId="6676AA5E" w14:textId="77777777" w:rsidR="00DC4AD0" w:rsidRPr="00DC4AD0" w:rsidRDefault="00DC4AD0" w:rsidP="00DC4AD0">
      <w:pPr>
        <w:pStyle w:val="NormalWeb"/>
        <w:spacing w:line="360" w:lineRule="auto"/>
        <w:rPr>
          <w:rFonts w:ascii="Arial" w:hAnsi="Arial" w:cs="Arial"/>
          <w:color w:val="000000"/>
        </w:rPr>
      </w:pPr>
    </w:p>
    <w:p w14:paraId="43989090" w14:textId="4EEEB66F" w:rsidR="00DC4AD0" w:rsidRDefault="00DC4AD0" w:rsidP="00DC4AD0">
      <w:pPr>
        <w:pStyle w:val="NormalWeb"/>
        <w:spacing w:line="360" w:lineRule="auto"/>
        <w:rPr>
          <w:rStyle w:val="Strong"/>
          <w:rFonts w:ascii="Arial" w:eastAsiaTheme="majorEastAsia" w:hAnsi="Arial" w:cs="Arial"/>
          <w:b w:val="0"/>
          <w:bCs w:val="0"/>
          <w:color w:val="000000"/>
        </w:rPr>
      </w:pPr>
      <w:proofErr w:type="spellStart"/>
      <w:r w:rsidRPr="00DC4AD0">
        <w:rPr>
          <w:rStyle w:val="Strong"/>
          <w:rFonts w:ascii="Arial" w:eastAsiaTheme="majorEastAsia" w:hAnsi="Arial" w:cs="Arial"/>
          <w:b w:val="0"/>
          <w:bCs w:val="0"/>
          <w:color w:val="000000"/>
        </w:rPr>
        <w:t>Shanaah</w:t>
      </w:r>
      <w:proofErr w:type="spellEnd"/>
      <w:r w:rsidRPr="00DC4AD0">
        <w:rPr>
          <w:rStyle w:val="Strong"/>
          <w:rFonts w:ascii="Arial" w:eastAsiaTheme="majorEastAsia" w:hAnsi="Arial" w:cs="Arial"/>
          <w:b w:val="0"/>
          <w:bCs w:val="0"/>
          <w:color w:val="000000"/>
        </w:rPr>
        <w:t>, S. (2023) ‘Explaining the variation and contestation of P/CVE policies around the world’.</w:t>
      </w:r>
      <w:r w:rsidRPr="00DC4AD0">
        <w:rPr>
          <w:rStyle w:val="apple-converted-space"/>
          <w:rFonts w:ascii="Arial" w:eastAsiaTheme="majorEastAsia" w:hAnsi="Arial" w:cs="Arial"/>
          <w:b/>
          <w:bCs/>
          <w:color w:val="000000"/>
        </w:rPr>
        <w:t> </w:t>
      </w:r>
      <w:r w:rsidRPr="00DC4AD0">
        <w:rPr>
          <w:rStyle w:val="Emphasis"/>
          <w:rFonts w:ascii="Arial" w:eastAsiaTheme="majorEastAsia" w:hAnsi="Arial" w:cs="Arial"/>
          <w:b/>
          <w:bCs/>
          <w:color w:val="000000"/>
        </w:rPr>
        <w:t>Critical Studies on Terrorism</w:t>
      </w:r>
      <w:r w:rsidRPr="00DC4AD0">
        <w:rPr>
          <w:rStyle w:val="Strong"/>
          <w:rFonts w:ascii="Arial" w:eastAsiaTheme="majorEastAsia" w:hAnsi="Arial" w:cs="Arial"/>
          <w:b w:val="0"/>
          <w:bCs w:val="0"/>
          <w:color w:val="000000"/>
        </w:rPr>
        <w:t>, 16(4), pp. 742–763.</w:t>
      </w:r>
    </w:p>
    <w:p w14:paraId="2FF0D2C6" w14:textId="77777777" w:rsidR="00DC4AD0" w:rsidRPr="00DC4AD0" w:rsidRDefault="00DC4AD0" w:rsidP="00DC4AD0">
      <w:pPr>
        <w:pStyle w:val="NormalWeb"/>
        <w:spacing w:line="360" w:lineRule="auto"/>
        <w:rPr>
          <w:rStyle w:val="Strong"/>
          <w:rFonts w:ascii="Arial" w:eastAsiaTheme="majorEastAsia" w:hAnsi="Arial" w:cs="Arial"/>
          <w:b w:val="0"/>
          <w:bCs w:val="0"/>
          <w:color w:val="000000"/>
        </w:rPr>
      </w:pPr>
    </w:p>
    <w:p w14:paraId="31151D88" w14:textId="76746D84" w:rsid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Shawcross</w:t>
      </w:r>
      <w:proofErr w:type="spellEnd"/>
      <w:r w:rsidRPr="00DC4AD0">
        <w:rPr>
          <w:rFonts w:ascii="Arial" w:hAnsi="Arial" w:cs="Arial"/>
          <w:color w:val="000000"/>
        </w:rPr>
        <w:t>, W.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Independent Review of Prevent</w:t>
      </w:r>
      <w:r w:rsidRPr="00DC4AD0">
        <w:rPr>
          <w:rFonts w:ascii="Arial" w:hAnsi="Arial" w:cs="Arial"/>
          <w:color w:val="000000"/>
        </w:rPr>
        <w:t xml:space="preserve">. London: HM Government. Available </w:t>
      </w:r>
      <w:r w:rsidRPr="00DC4AD0">
        <w:rPr>
          <w:rFonts w:ascii="Arial" w:hAnsi="Arial" w:cs="Arial"/>
          <w:color w:val="000000"/>
        </w:rPr>
        <w:lastRenderedPageBreak/>
        <w:t>at:</w:t>
      </w:r>
      <w:r w:rsidRPr="00DC4AD0">
        <w:rPr>
          <w:rStyle w:val="apple-converted-space"/>
          <w:rFonts w:ascii="Arial" w:eastAsiaTheme="majorEastAsia" w:hAnsi="Arial" w:cs="Arial"/>
          <w:color w:val="000000"/>
        </w:rPr>
        <w:t> </w:t>
      </w:r>
      <w:hyperlink r:id="rId13" w:tgtFrame="_new" w:history="1">
        <w:r w:rsidRPr="00DC4AD0">
          <w:rPr>
            <w:rStyle w:val="Hyperlink"/>
            <w:rFonts w:ascii="Arial" w:eastAsiaTheme="majorEastAsia" w:hAnsi="Arial" w:cs="Arial"/>
          </w:rPr>
          <w:t>https://assets.publishing.service.gov.uk/media/63e26a08d3bf7f172f6ce87f/Independent_Review_of_Prevent__print_.pdf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370C2AD6" w14:textId="77777777" w:rsidR="00DC4AD0" w:rsidRPr="00DC4AD0" w:rsidRDefault="00DC4AD0" w:rsidP="00DC4AD0">
      <w:pPr>
        <w:pStyle w:val="NormalWeb"/>
        <w:spacing w:line="360" w:lineRule="auto"/>
        <w:rPr>
          <w:rFonts w:ascii="Arial" w:eastAsiaTheme="majorEastAsia" w:hAnsi="Arial" w:cs="Arial"/>
          <w:color w:val="000000"/>
        </w:rPr>
      </w:pPr>
    </w:p>
    <w:p w14:paraId="417561E7"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Stanford-Tuck, E. (2024) ‘The evolution of CONTEST and future implications’,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Police Journal</w:t>
      </w:r>
      <w:r w:rsidRPr="00DC4AD0">
        <w:rPr>
          <w:rFonts w:ascii="Arial" w:hAnsi="Arial" w:cs="Arial"/>
          <w:color w:val="000000"/>
        </w:rPr>
        <w:t>, 97(2), pp. 211–229.</w:t>
      </w:r>
    </w:p>
    <w:p w14:paraId="1E557BD1" w14:textId="77777777" w:rsidR="00DC4AD0" w:rsidRPr="00DC4AD0" w:rsidRDefault="00DC4AD0" w:rsidP="00DC4AD0">
      <w:pPr>
        <w:pStyle w:val="NormalWeb"/>
        <w:spacing w:line="360" w:lineRule="auto"/>
        <w:rPr>
          <w:rFonts w:ascii="Arial" w:hAnsi="Arial" w:cs="Arial"/>
          <w:color w:val="000000"/>
        </w:rPr>
      </w:pPr>
    </w:p>
    <w:p w14:paraId="4F39C17F"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Stanley, T. (2023) ‘Safeguarding within Prevent’,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 &amp; Society</w:t>
      </w:r>
      <w:r w:rsidRPr="00DC4AD0">
        <w:rPr>
          <w:rFonts w:ascii="Arial" w:hAnsi="Arial" w:cs="Arial"/>
          <w:color w:val="000000"/>
        </w:rPr>
        <w:t>, 33(7), pp. 856–873.</w:t>
      </w:r>
    </w:p>
    <w:p w14:paraId="75C0F229"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Stevens, T. (2023) ‘Cybersecurity and CT convergence’,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Cyber Policy</w:t>
      </w:r>
      <w:r w:rsidRPr="00DC4AD0">
        <w:rPr>
          <w:rFonts w:ascii="Arial" w:hAnsi="Arial" w:cs="Arial"/>
          <w:color w:val="000000"/>
        </w:rPr>
        <w:t>, 8(3), pp. 45–61.</w:t>
      </w:r>
    </w:p>
    <w:p w14:paraId="6DA411D9" w14:textId="77777777" w:rsidR="00DC4AD0" w:rsidRPr="00DC4AD0" w:rsidRDefault="00DC4AD0" w:rsidP="00DC4AD0">
      <w:pPr>
        <w:pStyle w:val="NormalWeb"/>
        <w:spacing w:line="360" w:lineRule="auto"/>
        <w:rPr>
          <w:rFonts w:ascii="Arial" w:hAnsi="Arial" w:cs="Arial"/>
          <w:color w:val="000000"/>
        </w:rPr>
      </w:pPr>
    </w:p>
    <w:p w14:paraId="0617049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Toros, H. (2024) ‘CT unintended consequences: strategic risks’,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Security Studies</w:t>
      </w:r>
      <w:r w:rsidRPr="00DC4AD0">
        <w:rPr>
          <w:rFonts w:ascii="Arial" w:hAnsi="Arial" w:cs="Arial"/>
          <w:color w:val="000000"/>
        </w:rPr>
        <w:t>, 33(1), pp. 90–108.</w:t>
      </w:r>
    </w:p>
    <w:p w14:paraId="16AD3232" w14:textId="77777777" w:rsidR="00DC4AD0" w:rsidRPr="00DC4AD0" w:rsidRDefault="00DC4AD0" w:rsidP="00DC4AD0">
      <w:pPr>
        <w:pStyle w:val="NormalWeb"/>
        <w:spacing w:line="360" w:lineRule="auto"/>
        <w:rPr>
          <w:rFonts w:ascii="Arial" w:hAnsi="Arial" w:cs="Arial"/>
          <w:color w:val="000000"/>
        </w:rPr>
      </w:pPr>
    </w:p>
    <w:p w14:paraId="0EBDE341" w14:textId="1DD2C956" w:rsidR="00DC4AD0" w:rsidRDefault="00DC4AD0" w:rsidP="00DC4AD0">
      <w:pPr>
        <w:pStyle w:val="NormalWeb"/>
        <w:spacing w:line="360" w:lineRule="auto"/>
        <w:rPr>
          <w:rFonts w:ascii="Arial" w:hAnsi="Arial" w:cs="Arial"/>
          <w:color w:val="000000"/>
        </w:rPr>
      </w:pPr>
      <w:r w:rsidRPr="00DC4AD0">
        <w:rPr>
          <w:rFonts w:ascii="Arial" w:hAnsi="Arial" w:cs="Arial"/>
          <w:color w:val="000000"/>
        </w:rPr>
        <w:t>United Nations Development Programme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Journey to Extremism in Africa: Pathways to Recruitment and Disengagement</w:t>
      </w:r>
      <w:r w:rsidRPr="00DC4AD0">
        <w:rPr>
          <w:rFonts w:ascii="Arial" w:hAnsi="Arial" w:cs="Arial"/>
          <w:color w:val="000000"/>
        </w:rPr>
        <w:t>. New York: UNDP Regional Bureau for Africa.</w:t>
      </w:r>
    </w:p>
    <w:p w14:paraId="3BBE72BA" w14:textId="77777777" w:rsidR="00DC4AD0" w:rsidRPr="00DC4AD0" w:rsidRDefault="00DC4AD0" w:rsidP="00DC4AD0">
      <w:pPr>
        <w:pStyle w:val="NormalWeb"/>
        <w:spacing w:line="360" w:lineRule="auto"/>
        <w:rPr>
          <w:rFonts w:ascii="Arial" w:hAnsi="Arial" w:cs="Arial"/>
          <w:color w:val="000000"/>
        </w:rPr>
      </w:pPr>
    </w:p>
    <w:p w14:paraId="0C7169FA" w14:textId="5F834B53" w:rsidR="00DC4AD0" w:rsidRDefault="00DC4AD0" w:rsidP="00DC4AD0">
      <w:pPr>
        <w:pStyle w:val="NormalWeb"/>
        <w:spacing w:line="360" w:lineRule="auto"/>
        <w:rPr>
          <w:rFonts w:ascii="Arial" w:hAnsi="Arial" w:cs="Arial"/>
          <w:color w:val="000000"/>
        </w:rPr>
      </w:pPr>
      <w:r w:rsidRPr="00DC4AD0">
        <w:rPr>
          <w:rFonts w:ascii="Arial" w:hAnsi="Arial" w:cs="Arial"/>
          <w:color w:val="000000"/>
        </w:rPr>
        <w:t>United Nations Human Rights Council (2024</w:t>
      </w:r>
      <w:r>
        <w:rPr>
          <w:rFonts w:ascii="Arial" w:hAnsi="Arial" w:cs="Arial"/>
          <w:color w:val="000000"/>
        </w:rPr>
        <w:t>a</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Report of the Special Rapporteur on the promotion and protection of human rights and fundamental freedoms while countering terrorism</w:t>
      </w:r>
      <w:r w:rsidRPr="00DC4AD0">
        <w:rPr>
          <w:rFonts w:ascii="Arial" w:hAnsi="Arial" w:cs="Arial"/>
          <w:color w:val="000000"/>
        </w:rPr>
        <w:t>. A/HRC/55/48. Geneva: United Nations. Available at:</w:t>
      </w:r>
      <w:r w:rsidRPr="00DC4AD0">
        <w:rPr>
          <w:rStyle w:val="apple-converted-space"/>
          <w:rFonts w:ascii="Arial" w:eastAsiaTheme="majorEastAsia" w:hAnsi="Arial" w:cs="Arial"/>
          <w:color w:val="000000"/>
        </w:rPr>
        <w:t> </w:t>
      </w:r>
      <w:hyperlink r:id="rId14" w:tgtFrame="_new" w:history="1">
        <w:r w:rsidRPr="00DC4AD0">
          <w:rPr>
            <w:rStyle w:val="Hyperlink"/>
            <w:rFonts w:ascii="Arial" w:eastAsiaTheme="majorEastAsia" w:hAnsi="Arial" w:cs="Arial"/>
          </w:rPr>
          <w:t>https://docs.un.org/en/a/hrc/55/48</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18BE06A4" w14:textId="77777777" w:rsidR="00DC4AD0" w:rsidRDefault="00DC4AD0" w:rsidP="00DC4AD0">
      <w:pPr>
        <w:pStyle w:val="NormalWeb"/>
        <w:spacing w:line="360" w:lineRule="auto"/>
        <w:rPr>
          <w:rFonts w:ascii="Arial" w:hAnsi="Arial" w:cs="Arial"/>
          <w:color w:val="000000"/>
        </w:rPr>
      </w:pPr>
    </w:p>
    <w:p w14:paraId="3592DFEB" w14:textId="65E8250F"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lastRenderedPageBreak/>
        <w:t>United Nations Human Rights Council (2024</w:t>
      </w:r>
      <w:r w:rsidRPr="00DC4AD0">
        <w:rPr>
          <w:rFonts w:ascii="Arial" w:hAnsi="Arial" w:cs="Arial"/>
          <w:color w:val="000000"/>
        </w:rPr>
        <w:t>b</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Report of the Special Rapporteur on the promotion and protection of human rights and fundamental freedoms while countering terrorism</w:t>
      </w:r>
      <w:r w:rsidRPr="00DC4AD0">
        <w:rPr>
          <w:rFonts w:ascii="Arial" w:hAnsi="Arial" w:cs="Arial"/>
          <w:color w:val="000000"/>
        </w:rPr>
        <w:t>. A/HRC/55/48. Geneva: United Nations.</w:t>
      </w:r>
    </w:p>
    <w:p w14:paraId="15DCD523" w14:textId="77777777" w:rsidR="00DC4AD0" w:rsidRPr="00DC4AD0" w:rsidRDefault="00DC4AD0" w:rsidP="00DC4AD0">
      <w:pPr>
        <w:pStyle w:val="NormalWeb"/>
        <w:spacing w:line="360" w:lineRule="auto"/>
        <w:rPr>
          <w:rFonts w:ascii="Arial" w:hAnsi="Arial" w:cs="Arial"/>
          <w:color w:val="000000"/>
        </w:rPr>
      </w:pPr>
    </w:p>
    <w:p w14:paraId="3C1895E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Upchurch, A. (2023) ‘Criminalisation of online extremist content’,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Social &amp; Legal Review</w:t>
      </w:r>
      <w:r w:rsidRPr="00DC4AD0">
        <w:rPr>
          <w:rFonts w:ascii="Arial" w:hAnsi="Arial" w:cs="Arial"/>
          <w:color w:val="000000"/>
        </w:rPr>
        <w:t>, 32(2), pp. 162–178.</w:t>
      </w:r>
    </w:p>
    <w:p w14:paraId="38F2BE03" w14:textId="77777777" w:rsidR="00DC4AD0" w:rsidRPr="00DC4AD0" w:rsidRDefault="00DC4AD0" w:rsidP="00DC4AD0">
      <w:pPr>
        <w:pStyle w:val="NormalWeb"/>
        <w:spacing w:line="360" w:lineRule="auto"/>
        <w:rPr>
          <w:rFonts w:ascii="Arial" w:hAnsi="Arial" w:cs="Arial"/>
          <w:color w:val="000000"/>
        </w:rPr>
      </w:pPr>
    </w:p>
    <w:p w14:paraId="185C3BDD" w14:textId="2C5272AC" w:rsid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Vasilopoulos</w:t>
      </w:r>
      <w:proofErr w:type="spellEnd"/>
      <w:r w:rsidRPr="00DC4AD0">
        <w:rPr>
          <w:rFonts w:ascii="Arial" w:hAnsi="Arial" w:cs="Arial"/>
          <w:color w:val="000000"/>
        </w:rPr>
        <w:t>, P., Marcus, G.E., Valentino, N.A. and Foucault, M. (20</w:t>
      </w:r>
      <w:r w:rsidRPr="00DC4AD0">
        <w:rPr>
          <w:rFonts w:ascii="Arial" w:hAnsi="Arial" w:cs="Arial"/>
          <w:color w:val="000000"/>
        </w:rPr>
        <w:t>24</w:t>
      </w:r>
      <w:r w:rsidRPr="00DC4AD0">
        <w:rPr>
          <w:rFonts w:ascii="Arial" w:hAnsi="Arial" w:cs="Arial"/>
          <w:color w:val="000000"/>
        </w:rPr>
        <w:t xml:space="preserve">) ‘Fear, anger and voting for the far right: Evidence from the November 13, </w:t>
      </w:r>
      <w:proofErr w:type="gramStart"/>
      <w:r w:rsidRPr="00DC4AD0">
        <w:rPr>
          <w:rFonts w:ascii="Arial" w:hAnsi="Arial" w:cs="Arial"/>
          <w:color w:val="000000"/>
        </w:rPr>
        <w:t>2015</w:t>
      </w:r>
      <w:proofErr w:type="gramEnd"/>
      <w:r w:rsidRPr="00DC4AD0">
        <w:rPr>
          <w:rFonts w:ascii="Arial" w:hAnsi="Arial" w:cs="Arial"/>
          <w:color w:val="000000"/>
        </w:rPr>
        <w:t xml:space="preserve"> Paris terror attacks’,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Political Psychology</w:t>
      </w:r>
      <w:r w:rsidRPr="00DC4AD0">
        <w:rPr>
          <w:rFonts w:ascii="Arial" w:hAnsi="Arial" w:cs="Arial"/>
          <w:color w:val="000000"/>
        </w:rPr>
        <w:t>, 40(4), pp. 679–704.</w:t>
      </w:r>
    </w:p>
    <w:p w14:paraId="0416C612" w14:textId="77777777" w:rsidR="00DC4AD0" w:rsidRPr="00DC4AD0" w:rsidRDefault="00DC4AD0" w:rsidP="00DC4AD0">
      <w:pPr>
        <w:pStyle w:val="NormalWeb"/>
        <w:spacing w:line="360" w:lineRule="auto"/>
        <w:rPr>
          <w:rFonts w:ascii="Arial" w:hAnsi="Arial" w:cs="Arial"/>
          <w:color w:val="000000"/>
        </w:rPr>
      </w:pPr>
    </w:p>
    <w:p w14:paraId="6CCF1BA6" w14:textId="698C4886" w:rsidR="00E9486D" w:rsidRDefault="00E9486D" w:rsidP="00DC4AD0">
      <w:pPr>
        <w:spacing w:after="0" w:line="360" w:lineRule="auto"/>
        <w:rPr>
          <w:rFonts w:ascii="Arial" w:eastAsia="Times New Roman" w:hAnsi="Arial" w:cs="Arial"/>
          <w:color w:val="000000"/>
          <w:kern w:val="0"/>
          <w:lang w:eastAsia="en-GB"/>
          <w14:ligatures w14:val="none"/>
        </w:rPr>
      </w:pPr>
      <w:r w:rsidRPr="00E9486D">
        <w:rPr>
          <w:rFonts w:ascii="Arial" w:eastAsia="Times New Roman" w:hAnsi="Arial" w:cs="Arial"/>
          <w:color w:val="000000"/>
          <w:kern w:val="0"/>
          <w:lang w:eastAsia="en-GB"/>
          <w14:ligatures w14:val="none"/>
        </w:rPr>
        <w:t xml:space="preserve">Warrington, L. (2024) ‘Operational agility in </w:t>
      </w:r>
      <w:proofErr w:type="gramStart"/>
      <w:r w:rsidRPr="00E9486D">
        <w:rPr>
          <w:rFonts w:ascii="Arial" w:eastAsia="Times New Roman" w:hAnsi="Arial" w:cs="Arial"/>
          <w:color w:val="000000"/>
          <w:kern w:val="0"/>
          <w:lang w:eastAsia="en-GB"/>
          <w14:ligatures w14:val="none"/>
        </w:rPr>
        <w:t>counter-terrorism</w:t>
      </w:r>
      <w:proofErr w:type="gramEnd"/>
      <w:r w:rsidRPr="00E9486D">
        <w:rPr>
          <w:rFonts w:ascii="Arial" w:eastAsia="Times New Roman" w:hAnsi="Arial" w:cs="Arial"/>
          <w:color w:val="000000"/>
          <w:kern w:val="0"/>
          <w:lang w:eastAsia="en-GB"/>
          <w14:ligatures w14:val="none"/>
        </w:rPr>
        <w:t>: anticipating adaptive threats’, </w:t>
      </w:r>
      <w:r w:rsidRPr="00E9486D">
        <w:rPr>
          <w:rFonts w:ascii="Arial" w:eastAsia="Times New Roman" w:hAnsi="Arial" w:cs="Arial"/>
          <w:i/>
          <w:iCs/>
          <w:color w:val="000000"/>
          <w:kern w:val="0"/>
          <w:lang w:eastAsia="en-GB"/>
          <w14:ligatures w14:val="none"/>
        </w:rPr>
        <w:t>Journal of Strategic Security</w:t>
      </w:r>
      <w:r w:rsidRPr="00E9486D">
        <w:rPr>
          <w:rFonts w:ascii="Arial" w:eastAsia="Times New Roman" w:hAnsi="Arial" w:cs="Arial"/>
          <w:color w:val="000000"/>
          <w:kern w:val="0"/>
          <w:lang w:eastAsia="en-GB"/>
          <w14:ligatures w14:val="none"/>
        </w:rPr>
        <w:t>, 17(2), pp. 201–223.</w:t>
      </w:r>
    </w:p>
    <w:p w14:paraId="328E0A34" w14:textId="77777777" w:rsidR="00DC4AD0" w:rsidRPr="00DC4AD0" w:rsidRDefault="00DC4AD0" w:rsidP="00DC4AD0">
      <w:pPr>
        <w:spacing w:after="0" w:line="360" w:lineRule="auto"/>
        <w:rPr>
          <w:rFonts w:ascii="Arial" w:eastAsia="Times New Roman" w:hAnsi="Arial" w:cs="Arial"/>
          <w:kern w:val="0"/>
          <w:lang w:eastAsia="en-GB"/>
          <w14:ligatures w14:val="none"/>
        </w:rPr>
      </w:pPr>
    </w:p>
    <w:p w14:paraId="163CD3A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Walsh, A. (2024) ‘Platform governance failures in online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Internet Policy Review</w:t>
      </w:r>
      <w:r w:rsidRPr="00DC4AD0">
        <w:rPr>
          <w:rFonts w:ascii="Arial" w:hAnsi="Arial" w:cs="Arial"/>
          <w:color w:val="000000"/>
        </w:rPr>
        <w:t>, 13(1), pp. 19–41.</w:t>
      </w:r>
    </w:p>
    <w:p w14:paraId="6B2FF2F6" w14:textId="77777777" w:rsidR="00DC4AD0" w:rsidRPr="00DC4AD0" w:rsidRDefault="00DC4AD0" w:rsidP="00DC4AD0">
      <w:pPr>
        <w:pStyle w:val="NormalWeb"/>
        <w:spacing w:line="360" w:lineRule="auto"/>
        <w:rPr>
          <w:rFonts w:ascii="Arial" w:hAnsi="Arial" w:cs="Arial"/>
          <w:color w:val="000000"/>
        </w:rPr>
      </w:pPr>
    </w:p>
    <w:p w14:paraId="36919C9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Warren, S. (2024) ‘Privacy, pre-emption and CT surveillance’,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Law and Society</w:t>
      </w:r>
      <w:r w:rsidRPr="00DC4AD0">
        <w:rPr>
          <w:rFonts w:ascii="Arial" w:hAnsi="Arial" w:cs="Arial"/>
          <w:color w:val="000000"/>
        </w:rPr>
        <w:t>, 51(2), pp. 231–250.</w:t>
      </w:r>
    </w:p>
    <w:p w14:paraId="4EB74B30" w14:textId="77777777" w:rsidR="00DC4AD0" w:rsidRPr="00DC4AD0" w:rsidRDefault="00DC4AD0" w:rsidP="00DC4AD0">
      <w:pPr>
        <w:pStyle w:val="NormalWeb"/>
        <w:spacing w:line="360" w:lineRule="auto"/>
        <w:rPr>
          <w:rFonts w:ascii="Arial" w:hAnsi="Arial" w:cs="Arial"/>
          <w:color w:val="000000"/>
        </w:rPr>
      </w:pPr>
    </w:p>
    <w:p w14:paraId="340A0D32" w14:textId="3C2C745E"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Whittaker, J. (2022) ‘Recommendation Algorithms and Extremist Content: A Review of Empirical Evidence’,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GIFCT Working Group Output 1.1</w:t>
      </w:r>
      <w:r w:rsidRPr="00DC4AD0">
        <w:rPr>
          <w:rFonts w:ascii="Arial" w:hAnsi="Arial" w:cs="Arial"/>
          <w:color w:val="000000"/>
        </w:rPr>
        <w:t>. Available at:</w:t>
      </w:r>
      <w:r w:rsidRPr="00DC4AD0">
        <w:rPr>
          <w:rStyle w:val="apple-converted-space"/>
          <w:rFonts w:ascii="Arial" w:eastAsiaTheme="majorEastAsia" w:hAnsi="Arial" w:cs="Arial"/>
          <w:color w:val="000000"/>
        </w:rPr>
        <w:t> </w:t>
      </w:r>
      <w:hyperlink r:id="rId15" w:tgtFrame="_new" w:history="1">
        <w:r w:rsidRPr="00DC4AD0">
          <w:rPr>
            <w:rStyle w:val="Hyperlink"/>
            <w:rFonts w:ascii="Arial" w:eastAsiaTheme="majorEastAsia" w:hAnsi="Arial" w:cs="Arial"/>
          </w:rPr>
          <w:t>https://gifct.org/wp-content/uploads/2022/07/GIFCT-22WG-TR-Empirical-1.1.pdf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0B3139A8"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Whittaker, J. (2024) ‘Digital accelerationism in UK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European Journal of Criminology</w:t>
      </w:r>
      <w:r w:rsidRPr="00DC4AD0">
        <w:rPr>
          <w:rFonts w:ascii="Arial" w:hAnsi="Arial" w:cs="Arial"/>
          <w:color w:val="000000"/>
        </w:rPr>
        <w:t>, 21(4), pp. 631–650.</w:t>
      </w:r>
    </w:p>
    <w:p w14:paraId="32970969" w14:textId="77777777" w:rsidR="00E9486D" w:rsidRPr="00DC4AD0" w:rsidRDefault="00E9486D" w:rsidP="00DC4AD0">
      <w:pPr>
        <w:pStyle w:val="NormalWeb"/>
        <w:spacing w:line="360" w:lineRule="auto"/>
        <w:rPr>
          <w:rFonts w:ascii="Arial" w:hAnsi="Arial" w:cs="Arial"/>
          <w:color w:val="000000"/>
        </w:rPr>
      </w:pPr>
      <w:r w:rsidRPr="00DC4AD0">
        <w:rPr>
          <w:rFonts w:ascii="Arial" w:hAnsi="Arial" w:cs="Arial"/>
          <w:color w:val="000000"/>
        </w:rPr>
        <w:t>Winter, C.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Extremism, </w:t>
      </w:r>
      <w:proofErr w:type="gramStart"/>
      <w:r w:rsidRPr="00DC4AD0">
        <w:rPr>
          <w:rStyle w:val="Emphasis"/>
          <w:rFonts w:ascii="Arial" w:eastAsiaTheme="majorEastAsia" w:hAnsi="Arial" w:cs="Arial"/>
          <w:color w:val="000000"/>
        </w:rPr>
        <w:t>culture</w:t>
      </w:r>
      <w:proofErr w:type="gramEnd"/>
      <w:r w:rsidRPr="00DC4AD0">
        <w:rPr>
          <w:rStyle w:val="Emphasis"/>
          <w:rFonts w:ascii="Arial" w:eastAsiaTheme="majorEastAsia" w:hAnsi="Arial" w:cs="Arial"/>
          <w:color w:val="000000"/>
        </w:rPr>
        <w:t xml:space="preserve"> and online radicalisation</w:t>
      </w:r>
      <w:r w:rsidRPr="00DC4AD0">
        <w:rPr>
          <w:rFonts w:ascii="Arial" w:hAnsi="Arial" w:cs="Arial"/>
          <w:color w:val="000000"/>
        </w:rPr>
        <w:t>. London: ICSR.</w:t>
      </w:r>
    </w:p>
    <w:p w14:paraId="22074BCA" w14:textId="77777777" w:rsidR="00E9486D" w:rsidRPr="00DC4AD0" w:rsidRDefault="00E9486D" w:rsidP="00DC4AD0">
      <w:pPr>
        <w:pStyle w:val="NormalWeb"/>
        <w:spacing w:line="360" w:lineRule="auto"/>
        <w:rPr>
          <w:rFonts w:ascii="Arial" w:hAnsi="Arial" w:cs="Arial"/>
          <w:color w:val="000000"/>
        </w:rPr>
      </w:pPr>
    </w:p>
    <w:p w14:paraId="3ACE8657" w14:textId="77777777" w:rsidR="00EE2E39" w:rsidRPr="00892FE0" w:rsidRDefault="00EE2E39" w:rsidP="00892FE0">
      <w:pPr>
        <w:spacing w:line="360" w:lineRule="auto"/>
        <w:rPr>
          <w:rFonts w:ascii="Arial" w:hAnsi="Arial" w:cs="Arial"/>
          <w:u w:val="single"/>
        </w:rPr>
      </w:pPr>
    </w:p>
    <w:sectPr w:rsidR="00EE2E39" w:rsidRPr="00892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53A18"/>
    <w:multiLevelType w:val="hybridMultilevel"/>
    <w:tmpl w:val="32B2222E"/>
    <w:lvl w:ilvl="0" w:tplc="07D82D82">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679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05"/>
    <w:rsid w:val="00006DA9"/>
    <w:rsid w:val="00010AC2"/>
    <w:rsid w:val="00041AFE"/>
    <w:rsid w:val="0009306E"/>
    <w:rsid w:val="000D0105"/>
    <w:rsid w:val="002044B5"/>
    <w:rsid w:val="003C7F06"/>
    <w:rsid w:val="00631874"/>
    <w:rsid w:val="00631AF1"/>
    <w:rsid w:val="00892FE0"/>
    <w:rsid w:val="00B25FF8"/>
    <w:rsid w:val="00DC4AD0"/>
    <w:rsid w:val="00E9486D"/>
    <w:rsid w:val="00EE2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6626"/>
  <w15:chartTrackingRefBased/>
  <w15:docId w15:val="{86C8D5E5-6AE4-B34A-849E-B19236980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105"/>
  </w:style>
  <w:style w:type="paragraph" w:styleId="Heading1">
    <w:name w:val="heading 1"/>
    <w:basedOn w:val="Normal"/>
    <w:next w:val="Normal"/>
    <w:link w:val="Heading1Char"/>
    <w:uiPriority w:val="9"/>
    <w:qFormat/>
    <w:rsid w:val="000D0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105"/>
    <w:rPr>
      <w:rFonts w:eastAsiaTheme="majorEastAsia" w:cstheme="majorBidi"/>
      <w:color w:val="272727" w:themeColor="text1" w:themeTint="D8"/>
    </w:rPr>
  </w:style>
  <w:style w:type="paragraph" w:styleId="Title">
    <w:name w:val="Title"/>
    <w:basedOn w:val="Normal"/>
    <w:next w:val="Normal"/>
    <w:link w:val="TitleChar"/>
    <w:uiPriority w:val="10"/>
    <w:qFormat/>
    <w:rsid w:val="000D0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105"/>
    <w:pPr>
      <w:spacing w:before="160"/>
      <w:jc w:val="center"/>
    </w:pPr>
    <w:rPr>
      <w:i/>
      <w:iCs/>
      <w:color w:val="404040" w:themeColor="text1" w:themeTint="BF"/>
    </w:rPr>
  </w:style>
  <w:style w:type="character" w:customStyle="1" w:styleId="QuoteChar">
    <w:name w:val="Quote Char"/>
    <w:basedOn w:val="DefaultParagraphFont"/>
    <w:link w:val="Quote"/>
    <w:uiPriority w:val="29"/>
    <w:rsid w:val="000D0105"/>
    <w:rPr>
      <w:i/>
      <w:iCs/>
      <w:color w:val="404040" w:themeColor="text1" w:themeTint="BF"/>
    </w:rPr>
  </w:style>
  <w:style w:type="paragraph" w:styleId="ListParagraph">
    <w:name w:val="List Paragraph"/>
    <w:basedOn w:val="Normal"/>
    <w:uiPriority w:val="34"/>
    <w:qFormat/>
    <w:rsid w:val="000D0105"/>
    <w:pPr>
      <w:ind w:left="720"/>
      <w:contextualSpacing/>
    </w:pPr>
  </w:style>
  <w:style w:type="character" w:styleId="IntenseEmphasis">
    <w:name w:val="Intense Emphasis"/>
    <w:basedOn w:val="DefaultParagraphFont"/>
    <w:uiPriority w:val="21"/>
    <w:qFormat/>
    <w:rsid w:val="000D0105"/>
    <w:rPr>
      <w:i/>
      <w:iCs/>
      <w:color w:val="0F4761" w:themeColor="accent1" w:themeShade="BF"/>
    </w:rPr>
  </w:style>
  <w:style w:type="paragraph" w:styleId="IntenseQuote">
    <w:name w:val="Intense Quote"/>
    <w:basedOn w:val="Normal"/>
    <w:next w:val="Normal"/>
    <w:link w:val="IntenseQuoteChar"/>
    <w:uiPriority w:val="30"/>
    <w:qFormat/>
    <w:rsid w:val="000D0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105"/>
    <w:rPr>
      <w:i/>
      <w:iCs/>
      <w:color w:val="0F4761" w:themeColor="accent1" w:themeShade="BF"/>
    </w:rPr>
  </w:style>
  <w:style w:type="character" w:styleId="IntenseReference">
    <w:name w:val="Intense Reference"/>
    <w:basedOn w:val="DefaultParagraphFont"/>
    <w:uiPriority w:val="32"/>
    <w:qFormat/>
    <w:rsid w:val="000D0105"/>
    <w:rPr>
      <w:b/>
      <w:bCs/>
      <w:smallCaps/>
      <w:color w:val="0F4761" w:themeColor="accent1" w:themeShade="BF"/>
      <w:spacing w:val="5"/>
    </w:rPr>
  </w:style>
  <w:style w:type="paragraph" w:styleId="NormalWeb">
    <w:name w:val="Normal (Web)"/>
    <w:basedOn w:val="Normal"/>
    <w:uiPriority w:val="99"/>
    <w:unhideWhenUsed/>
    <w:rsid w:val="000D01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10AC2"/>
  </w:style>
  <w:style w:type="character" w:styleId="Emphasis">
    <w:name w:val="Emphasis"/>
    <w:basedOn w:val="DefaultParagraphFont"/>
    <w:uiPriority w:val="20"/>
    <w:qFormat/>
    <w:rsid w:val="00010AC2"/>
    <w:rPr>
      <w:i/>
      <w:iCs/>
    </w:rPr>
  </w:style>
  <w:style w:type="paragraph" w:styleId="NoSpacing">
    <w:name w:val="No Spacing"/>
    <w:link w:val="NoSpacingChar"/>
    <w:uiPriority w:val="1"/>
    <w:qFormat/>
    <w:rsid w:val="00EE2E3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E2E39"/>
    <w:rPr>
      <w:rFonts w:eastAsiaTheme="minorEastAsia"/>
      <w:kern w:val="0"/>
      <w:sz w:val="22"/>
      <w:szCs w:val="22"/>
      <w:lang w:val="en-US" w:eastAsia="zh-CN"/>
      <w14:ligatures w14:val="none"/>
    </w:rPr>
  </w:style>
  <w:style w:type="character" w:styleId="Hyperlink">
    <w:name w:val="Hyperlink"/>
    <w:basedOn w:val="DefaultParagraphFont"/>
    <w:uiPriority w:val="99"/>
    <w:semiHidden/>
    <w:unhideWhenUsed/>
    <w:rsid w:val="00EE2E39"/>
    <w:rPr>
      <w:color w:val="0000FF"/>
      <w:u w:val="single"/>
    </w:rPr>
  </w:style>
  <w:style w:type="character" w:styleId="Strong">
    <w:name w:val="Strong"/>
    <w:basedOn w:val="DefaultParagraphFont"/>
    <w:uiPriority w:val="22"/>
    <w:qFormat/>
    <w:rsid w:val="00EE2E39"/>
    <w:rPr>
      <w:b/>
      <w:bCs/>
    </w:rPr>
  </w:style>
  <w:style w:type="character" w:styleId="HTMLCode">
    <w:name w:val="HTML Code"/>
    <w:basedOn w:val="DefaultParagraphFont"/>
    <w:uiPriority w:val="99"/>
    <w:semiHidden/>
    <w:unhideWhenUsed/>
    <w:rsid w:val="00DC4AD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309610">
      <w:bodyDiv w:val="1"/>
      <w:marLeft w:val="0"/>
      <w:marRight w:val="0"/>
      <w:marTop w:val="0"/>
      <w:marBottom w:val="0"/>
      <w:divBdr>
        <w:top w:val="none" w:sz="0" w:space="0" w:color="auto"/>
        <w:left w:val="none" w:sz="0" w:space="0" w:color="auto"/>
        <w:bottom w:val="none" w:sz="0" w:space="0" w:color="auto"/>
        <w:right w:val="none" w:sz="0" w:space="0" w:color="auto"/>
      </w:divBdr>
    </w:div>
    <w:div w:id="309602183">
      <w:bodyDiv w:val="1"/>
      <w:marLeft w:val="0"/>
      <w:marRight w:val="0"/>
      <w:marTop w:val="0"/>
      <w:marBottom w:val="0"/>
      <w:divBdr>
        <w:top w:val="none" w:sz="0" w:space="0" w:color="auto"/>
        <w:left w:val="none" w:sz="0" w:space="0" w:color="auto"/>
        <w:bottom w:val="none" w:sz="0" w:space="0" w:color="auto"/>
        <w:right w:val="none" w:sz="0" w:space="0" w:color="auto"/>
      </w:divBdr>
    </w:div>
    <w:div w:id="762995961">
      <w:bodyDiv w:val="1"/>
      <w:marLeft w:val="0"/>
      <w:marRight w:val="0"/>
      <w:marTop w:val="0"/>
      <w:marBottom w:val="0"/>
      <w:divBdr>
        <w:top w:val="none" w:sz="0" w:space="0" w:color="auto"/>
        <w:left w:val="none" w:sz="0" w:space="0" w:color="auto"/>
        <w:bottom w:val="none" w:sz="0" w:space="0" w:color="auto"/>
        <w:right w:val="none" w:sz="0" w:space="0" w:color="auto"/>
      </w:divBdr>
      <w:divsChild>
        <w:div w:id="833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9224505">
      <w:bodyDiv w:val="1"/>
      <w:marLeft w:val="0"/>
      <w:marRight w:val="0"/>
      <w:marTop w:val="0"/>
      <w:marBottom w:val="0"/>
      <w:divBdr>
        <w:top w:val="none" w:sz="0" w:space="0" w:color="auto"/>
        <w:left w:val="none" w:sz="0" w:space="0" w:color="auto"/>
        <w:bottom w:val="none" w:sz="0" w:space="0" w:color="auto"/>
        <w:right w:val="none" w:sz="0" w:space="0" w:color="auto"/>
      </w:divBdr>
    </w:div>
    <w:div w:id="951010653">
      <w:bodyDiv w:val="1"/>
      <w:marLeft w:val="0"/>
      <w:marRight w:val="0"/>
      <w:marTop w:val="0"/>
      <w:marBottom w:val="0"/>
      <w:divBdr>
        <w:top w:val="none" w:sz="0" w:space="0" w:color="auto"/>
        <w:left w:val="none" w:sz="0" w:space="0" w:color="auto"/>
        <w:bottom w:val="none" w:sz="0" w:space="0" w:color="auto"/>
        <w:right w:val="none" w:sz="0" w:space="0" w:color="auto"/>
      </w:divBdr>
      <w:divsChild>
        <w:div w:id="457064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306002">
      <w:bodyDiv w:val="1"/>
      <w:marLeft w:val="0"/>
      <w:marRight w:val="0"/>
      <w:marTop w:val="0"/>
      <w:marBottom w:val="0"/>
      <w:divBdr>
        <w:top w:val="none" w:sz="0" w:space="0" w:color="auto"/>
        <w:left w:val="none" w:sz="0" w:space="0" w:color="auto"/>
        <w:bottom w:val="none" w:sz="0" w:space="0" w:color="auto"/>
        <w:right w:val="none" w:sz="0" w:space="0" w:color="auto"/>
      </w:divBdr>
      <w:divsChild>
        <w:div w:id="836044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196207">
      <w:bodyDiv w:val="1"/>
      <w:marLeft w:val="0"/>
      <w:marRight w:val="0"/>
      <w:marTop w:val="0"/>
      <w:marBottom w:val="0"/>
      <w:divBdr>
        <w:top w:val="none" w:sz="0" w:space="0" w:color="auto"/>
        <w:left w:val="none" w:sz="0" w:space="0" w:color="auto"/>
        <w:bottom w:val="none" w:sz="0" w:space="0" w:color="auto"/>
        <w:right w:val="none" w:sz="0" w:space="0" w:color="auto"/>
      </w:divBdr>
    </w:div>
    <w:div w:id="1628193270">
      <w:bodyDiv w:val="1"/>
      <w:marLeft w:val="0"/>
      <w:marRight w:val="0"/>
      <w:marTop w:val="0"/>
      <w:marBottom w:val="0"/>
      <w:divBdr>
        <w:top w:val="none" w:sz="0" w:space="0" w:color="auto"/>
        <w:left w:val="none" w:sz="0" w:space="0" w:color="auto"/>
        <w:bottom w:val="none" w:sz="0" w:space="0" w:color="auto"/>
        <w:right w:val="none" w:sz="0" w:space="0" w:color="auto"/>
      </w:divBdr>
    </w:div>
    <w:div w:id="1675184064">
      <w:bodyDiv w:val="1"/>
      <w:marLeft w:val="0"/>
      <w:marRight w:val="0"/>
      <w:marTop w:val="0"/>
      <w:marBottom w:val="0"/>
      <w:divBdr>
        <w:top w:val="none" w:sz="0" w:space="0" w:color="auto"/>
        <w:left w:val="none" w:sz="0" w:space="0" w:color="auto"/>
        <w:bottom w:val="none" w:sz="0" w:space="0" w:color="auto"/>
        <w:right w:val="none" w:sz="0" w:space="0" w:color="auto"/>
      </w:divBdr>
    </w:div>
    <w:div w:id="1694844617">
      <w:bodyDiv w:val="1"/>
      <w:marLeft w:val="0"/>
      <w:marRight w:val="0"/>
      <w:marTop w:val="0"/>
      <w:marBottom w:val="0"/>
      <w:divBdr>
        <w:top w:val="none" w:sz="0" w:space="0" w:color="auto"/>
        <w:left w:val="none" w:sz="0" w:space="0" w:color="auto"/>
        <w:bottom w:val="none" w:sz="0" w:space="0" w:color="auto"/>
        <w:right w:val="none" w:sz="0" w:space="0" w:color="auto"/>
      </w:divBdr>
    </w:div>
    <w:div w:id="1729649301">
      <w:bodyDiv w:val="1"/>
      <w:marLeft w:val="0"/>
      <w:marRight w:val="0"/>
      <w:marTop w:val="0"/>
      <w:marBottom w:val="0"/>
      <w:divBdr>
        <w:top w:val="none" w:sz="0" w:space="0" w:color="auto"/>
        <w:left w:val="none" w:sz="0" w:space="0" w:color="auto"/>
        <w:bottom w:val="none" w:sz="0" w:space="0" w:color="auto"/>
        <w:right w:val="none" w:sz="0" w:space="0" w:color="auto"/>
      </w:divBdr>
    </w:div>
    <w:div w:id="1790080802">
      <w:bodyDiv w:val="1"/>
      <w:marLeft w:val="0"/>
      <w:marRight w:val="0"/>
      <w:marTop w:val="0"/>
      <w:marBottom w:val="0"/>
      <w:divBdr>
        <w:top w:val="none" w:sz="0" w:space="0" w:color="auto"/>
        <w:left w:val="none" w:sz="0" w:space="0" w:color="auto"/>
        <w:bottom w:val="none" w:sz="0" w:space="0" w:color="auto"/>
        <w:right w:val="none" w:sz="0" w:space="0" w:color="auto"/>
      </w:divBdr>
    </w:div>
    <w:div w:id="2028823788">
      <w:bodyDiv w:val="1"/>
      <w:marLeft w:val="0"/>
      <w:marRight w:val="0"/>
      <w:marTop w:val="0"/>
      <w:marBottom w:val="0"/>
      <w:divBdr>
        <w:top w:val="none" w:sz="0" w:space="0" w:color="auto"/>
        <w:left w:val="none" w:sz="0" w:space="0" w:color="auto"/>
        <w:bottom w:val="none" w:sz="0" w:space="0" w:color="auto"/>
        <w:right w:val="none" w:sz="0" w:space="0" w:color="auto"/>
      </w:divBdr>
      <w:divsChild>
        <w:div w:id="1318068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5445231">
      <w:bodyDiv w:val="1"/>
      <w:marLeft w:val="0"/>
      <w:marRight w:val="0"/>
      <w:marTop w:val="0"/>
      <w:marBottom w:val="0"/>
      <w:divBdr>
        <w:top w:val="none" w:sz="0" w:space="0" w:color="auto"/>
        <w:left w:val="none" w:sz="0" w:space="0" w:color="auto"/>
        <w:bottom w:val="none" w:sz="0" w:space="0" w:color="auto"/>
        <w:right w:val="none" w:sz="0" w:space="0" w:color="auto"/>
      </w:divBdr>
    </w:div>
    <w:div w:id="2103721883">
      <w:bodyDiv w:val="1"/>
      <w:marLeft w:val="0"/>
      <w:marRight w:val="0"/>
      <w:marTop w:val="0"/>
      <w:marBottom w:val="0"/>
      <w:divBdr>
        <w:top w:val="none" w:sz="0" w:space="0" w:color="auto"/>
        <w:left w:val="none" w:sz="0" w:space="0" w:color="auto"/>
        <w:bottom w:val="none" w:sz="0" w:space="0" w:color="auto"/>
        <w:right w:val="none" w:sz="0" w:space="0" w:color="auto"/>
      </w:divBdr>
    </w:div>
    <w:div w:id="2138210153">
      <w:bodyDiv w:val="1"/>
      <w:marLeft w:val="0"/>
      <w:marRight w:val="0"/>
      <w:marTop w:val="0"/>
      <w:marBottom w:val="0"/>
      <w:divBdr>
        <w:top w:val="none" w:sz="0" w:space="0" w:color="auto"/>
        <w:left w:val="none" w:sz="0" w:space="0" w:color="auto"/>
        <w:bottom w:val="none" w:sz="0" w:space="0" w:color="auto"/>
        <w:right w:val="none" w:sz="0" w:space="0" w:color="auto"/>
      </w:divBdr>
      <w:divsChild>
        <w:div w:id="678387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90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tdacademy.com/en/post/counter-terrorism-training-courses-in-london?utm_source=chatgpt.com" TargetMode="External"/><Relationship Id="rId13" Type="http://schemas.openxmlformats.org/officeDocument/2006/relationships/hyperlink" Target="https://assets.publishing.service.gov.uk/media/63e26a08d3bf7f172f6ce87f/Independent_Review_of_Prevent__print_.pdf?utm_source=chatgpt.com" TargetMode="External"/><Relationship Id="rId3" Type="http://schemas.openxmlformats.org/officeDocument/2006/relationships/styles" Target="styles.xml"/><Relationship Id="rId7" Type="http://schemas.openxmlformats.org/officeDocument/2006/relationships/hyperlink" Target="https://apccs.police.uk/" TargetMode="External"/><Relationship Id="rId12" Type="http://schemas.openxmlformats.org/officeDocument/2006/relationships/hyperlink" Target="https://www.legislation.gov.uk/ukpga/2023/50?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csc.gov.uk/files/NCSC_Annual_Review_2024.pdf?utm_source=chatgpt.com" TargetMode="External"/><Relationship Id="rId5" Type="http://schemas.openxmlformats.org/officeDocument/2006/relationships/webSettings" Target="webSettings.xml"/><Relationship Id="rId15" Type="http://schemas.openxmlformats.org/officeDocument/2006/relationships/hyperlink" Target="https://gifct.org/wp-content/uploads/2022/07/GIFCT-22WG-TR-Empirical-1.1.pdf?utm_source=chatgpt.com" TargetMode="External"/><Relationship Id="rId10" Type="http://schemas.openxmlformats.org/officeDocument/2006/relationships/hyperlink" Target="https://assets.publishing.service.gov.uk/media/638f089bd3bf7f327e1ea969/internet-radicalisation-report.pdf?utm_source=chatgpt.com" TargetMode="External"/><Relationship Id="rId4" Type="http://schemas.openxmlformats.org/officeDocument/2006/relationships/settings" Target="settings.xml"/><Relationship Id="rId9" Type="http://schemas.openxmlformats.org/officeDocument/2006/relationships/hyperlink" Target="https://www.gov.uk/government/news/un-human-rights-council-55-uk-statement-on-countering-terrorism?utm_source=chatgpt.com" TargetMode="External"/><Relationship Id="rId14" Type="http://schemas.openxmlformats.org/officeDocument/2006/relationships/hyperlink" Target="https://docs.un.org/en/a/hrc/55/4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72CEC-AB36-324E-BE75-4B1AF1A8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27</Pages>
  <Words>6340</Words>
  <Characters>38870</Characters>
  <Application>Microsoft Office Word</Application>
  <DocSecurity>0</DocSecurity>
  <Lines>598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5</cp:revision>
  <dcterms:created xsi:type="dcterms:W3CDTF">2025-11-19T12:54:00Z</dcterms:created>
  <dcterms:modified xsi:type="dcterms:W3CDTF">2025-11-21T15:40:00Z</dcterms:modified>
</cp:coreProperties>
</file>