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FE5960" w14:textId="20724AE3" w:rsidR="00D65CFB" w:rsidRPr="00CE79EF" w:rsidRDefault="007A0C41" w:rsidP="00CE79EF">
      <w:pPr>
        <w:spacing w:after="0" w:line="480" w:lineRule="auto"/>
        <w:rPr>
          <w:rFonts w:ascii="Times New Roman" w:hAnsi="Times New Roman" w:cs="Times New Roman"/>
        </w:rPr>
      </w:pPr>
      <w:r w:rsidRPr="00CE79EF">
        <w:rPr>
          <w:rFonts w:ascii="Times New Roman" w:hAnsi="Times New Roman" w:cs="Times New Roman"/>
        </w:rPr>
        <w:t>Saint Augustine of hippo</w:t>
      </w:r>
      <w:r w:rsidR="00B51F22" w:rsidRPr="00CE79EF">
        <w:rPr>
          <w:rFonts w:ascii="Times New Roman" w:hAnsi="Times New Roman" w:cs="Times New Roman"/>
        </w:rPr>
        <w:t xml:space="preserve"> </w:t>
      </w:r>
      <w:r w:rsidRPr="00CE79EF">
        <w:rPr>
          <w:rFonts w:ascii="Times New Roman" w:hAnsi="Times New Roman" w:cs="Times New Roman"/>
        </w:rPr>
        <w:t>is one of the most influential church fathers</w:t>
      </w:r>
      <w:r w:rsidR="00C7689B" w:rsidRPr="00CE79EF">
        <w:rPr>
          <w:rFonts w:ascii="Times New Roman" w:hAnsi="Times New Roman" w:cs="Times New Roman"/>
        </w:rPr>
        <w:t>,</w:t>
      </w:r>
      <w:r w:rsidR="00EC3134" w:rsidRPr="00CE79EF">
        <w:rPr>
          <w:rStyle w:val="FootnoteReference"/>
          <w:rFonts w:ascii="Times New Roman" w:hAnsi="Times New Roman" w:cs="Times New Roman"/>
        </w:rPr>
        <w:footnoteReference w:id="1"/>
      </w:r>
      <w:r w:rsidR="002C7C5A" w:rsidRPr="00CE79EF">
        <w:rPr>
          <w:rFonts w:ascii="Times New Roman" w:hAnsi="Times New Roman" w:cs="Times New Roman"/>
        </w:rPr>
        <w:t xml:space="preserve"> </w:t>
      </w:r>
      <w:r w:rsidR="00EC3134" w:rsidRPr="00CE79EF">
        <w:rPr>
          <w:rFonts w:ascii="Times New Roman" w:hAnsi="Times New Roman" w:cs="Times New Roman"/>
        </w:rPr>
        <w:t>and people</w:t>
      </w:r>
      <w:r w:rsidR="00534FB8" w:rsidRPr="00CE79EF">
        <w:rPr>
          <w:rFonts w:ascii="Times New Roman" w:hAnsi="Times New Roman" w:cs="Times New Roman"/>
        </w:rPr>
        <w:t>,</w:t>
      </w:r>
      <w:r w:rsidR="00EC3134" w:rsidRPr="00CE79EF">
        <w:rPr>
          <w:rFonts w:ascii="Times New Roman" w:hAnsi="Times New Roman" w:cs="Times New Roman"/>
        </w:rPr>
        <w:t xml:space="preserve"> when it comes to Christian theology</w:t>
      </w:r>
      <w:r w:rsidR="00534FB8" w:rsidRPr="00CE79EF">
        <w:rPr>
          <w:rFonts w:ascii="Times New Roman" w:hAnsi="Times New Roman" w:cs="Times New Roman"/>
        </w:rPr>
        <w:t xml:space="preserve">, </w:t>
      </w:r>
      <w:r w:rsidR="0013077B" w:rsidRPr="00CE79EF">
        <w:rPr>
          <w:rFonts w:ascii="Times New Roman" w:hAnsi="Times New Roman" w:cs="Times New Roman"/>
        </w:rPr>
        <w:t xml:space="preserve">and possibly Christianity as a whole. </w:t>
      </w:r>
      <w:r w:rsidR="00E053EB" w:rsidRPr="00CE79EF">
        <w:rPr>
          <w:rFonts w:ascii="Times New Roman" w:hAnsi="Times New Roman" w:cs="Times New Roman"/>
        </w:rPr>
        <w:t xml:space="preserve">It can be said that he is a fascinating character to read about, Augustine converted to Christianity </w:t>
      </w:r>
      <w:r w:rsidR="00895729" w:rsidRPr="00CE79EF">
        <w:rPr>
          <w:rFonts w:ascii="Times New Roman" w:hAnsi="Times New Roman" w:cs="Times New Roman"/>
        </w:rPr>
        <w:t>quite late in his life, in his thirties</w:t>
      </w:r>
      <w:r w:rsidR="00EF6C81" w:rsidRPr="00CE79EF">
        <w:rPr>
          <w:rFonts w:ascii="Times New Roman" w:hAnsi="Times New Roman" w:cs="Times New Roman"/>
        </w:rPr>
        <w:t>,</w:t>
      </w:r>
      <w:r w:rsidR="00EF6C81" w:rsidRPr="00CE79EF">
        <w:rPr>
          <w:rStyle w:val="FootnoteReference"/>
          <w:rFonts w:ascii="Times New Roman" w:hAnsi="Times New Roman" w:cs="Times New Roman"/>
        </w:rPr>
        <w:footnoteReference w:id="2"/>
      </w:r>
      <w:r w:rsidR="00EF6C81" w:rsidRPr="00CE79EF">
        <w:rPr>
          <w:rFonts w:ascii="Times New Roman" w:hAnsi="Times New Roman" w:cs="Times New Roman"/>
        </w:rPr>
        <w:t xml:space="preserve"> yet still became someone who beca</w:t>
      </w:r>
      <w:r w:rsidR="00D53613" w:rsidRPr="00CE79EF">
        <w:rPr>
          <w:rFonts w:ascii="Times New Roman" w:hAnsi="Times New Roman" w:cs="Times New Roman"/>
        </w:rPr>
        <w:t>me extremely influential in Catholic, Protestant, and Orthodox Christianity</w:t>
      </w:r>
      <w:r w:rsidR="008A7F47" w:rsidRPr="00CE79EF">
        <w:rPr>
          <w:rFonts w:ascii="Times New Roman" w:hAnsi="Times New Roman" w:cs="Times New Roman"/>
        </w:rPr>
        <w:t>.</w:t>
      </w:r>
      <w:r w:rsidR="00107F10" w:rsidRPr="00CE79EF">
        <w:rPr>
          <w:rFonts w:ascii="Times New Roman" w:hAnsi="Times New Roman" w:cs="Times New Roman"/>
        </w:rPr>
        <w:t xml:space="preserve"> This portfolio will </w:t>
      </w:r>
      <w:r w:rsidR="008E2223" w:rsidRPr="00CE79EF">
        <w:rPr>
          <w:rFonts w:ascii="Times New Roman" w:hAnsi="Times New Roman" w:cs="Times New Roman"/>
        </w:rPr>
        <w:t xml:space="preserve">have four main points </w:t>
      </w:r>
      <w:r w:rsidR="00733400" w:rsidRPr="00CE79EF">
        <w:rPr>
          <w:rFonts w:ascii="Times New Roman" w:hAnsi="Times New Roman" w:cs="Times New Roman"/>
        </w:rPr>
        <w:t>regarding</w:t>
      </w:r>
      <w:r w:rsidR="008E2223" w:rsidRPr="00CE79EF">
        <w:rPr>
          <w:rFonts w:ascii="Times New Roman" w:hAnsi="Times New Roman" w:cs="Times New Roman"/>
        </w:rPr>
        <w:t xml:space="preserve"> Augustine. There will firstly be a summary of the historiographical materials and how they relate to Augustine</w:t>
      </w:r>
      <w:r w:rsidR="00C722A6" w:rsidRPr="00CE79EF">
        <w:rPr>
          <w:rFonts w:ascii="Times New Roman" w:hAnsi="Times New Roman" w:cs="Times New Roman"/>
        </w:rPr>
        <w:t xml:space="preserve">. </w:t>
      </w:r>
      <w:r w:rsidR="008E2223" w:rsidRPr="00CE79EF">
        <w:rPr>
          <w:rFonts w:ascii="Times New Roman" w:hAnsi="Times New Roman" w:cs="Times New Roman"/>
        </w:rPr>
        <w:t xml:space="preserve">secondly there will be </w:t>
      </w:r>
      <w:r w:rsidR="00C722A6" w:rsidRPr="00CE79EF">
        <w:rPr>
          <w:rFonts w:ascii="Times New Roman" w:hAnsi="Times New Roman" w:cs="Times New Roman"/>
        </w:rPr>
        <w:t xml:space="preserve">a commentary on a textual source relating to a miracle by Augustine. Thirdly there will be a commentary on a visual source relating to </w:t>
      </w:r>
      <w:r w:rsidR="00733400" w:rsidRPr="00CE79EF">
        <w:rPr>
          <w:rFonts w:ascii="Times New Roman" w:hAnsi="Times New Roman" w:cs="Times New Roman"/>
        </w:rPr>
        <w:t>Augustine’s cult. And finally, there will be an analysis of how significant Augustine is in the theme of miracles.</w:t>
      </w:r>
    </w:p>
    <w:p w14:paraId="2A0B069A" w14:textId="77777777" w:rsidR="00CE79EF" w:rsidRDefault="00CE79EF" w:rsidP="00CE79EF">
      <w:pPr>
        <w:spacing w:line="480" w:lineRule="auto"/>
        <w:rPr>
          <w:rFonts w:ascii="Times New Roman" w:hAnsi="Times New Roman" w:cs="Times New Roman"/>
          <w:u w:val="single"/>
        </w:rPr>
      </w:pPr>
    </w:p>
    <w:p w14:paraId="1D1860F9" w14:textId="53922E67"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It is hard to summarise even a fraction of the historiographical materials about Augustine as there is so much written about him. But most applaud him and state how important he is to Christianity</w:t>
      </w:r>
      <w:r w:rsidR="00E77C43" w:rsidRPr="00CE79EF">
        <w:rPr>
          <w:rFonts w:ascii="Times New Roman" w:hAnsi="Times New Roman" w:cs="Times New Roman"/>
        </w:rPr>
        <w:t>.</w:t>
      </w:r>
      <w:r w:rsidRPr="00CE79EF">
        <w:rPr>
          <w:rFonts w:ascii="Times New Roman" w:hAnsi="Times New Roman" w:cs="Times New Roman"/>
        </w:rPr>
        <w:t xml:space="preserve"> </w:t>
      </w:r>
      <w:r w:rsidR="00E77C43" w:rsidRPr="00CE79EF">
        <w:rPr>
          <w:rFonts w:ascii="Times New Roman" w:hAnsi="Times New Roman" w:cs="Times New Roman"/>
        </w:rPr>
        <w:t>T</w:t>
      </w:r>
      <w:r w:rsidRPr="00CE79EF">
        <w:rPr>
          <w:rFonts w:ascii="Times New Roman" w:hAnsi="Times New Roman" w:cs="Times New Roman"/>
        </w:rPr>
        <w:t>wo examples of this are</w:t>
      </w:r>
      <w:r w:rsidR="00E77C43" w:rsidRPr="00CE79EF">
        <w:rPr>
          <w:rFonts w:ascii="Times New Roman" w:hAnsi="Times New Roman" w:cs="Times New Roman"/>
        </w:rPr>
        <w:t>;</w:t>
      </w:r>
      <w:r w:rsidRPr="00CE79EF">
        <w:rPr>
          <w:rFonts w:ascii="Times New Roman" w:hAnsi="Times New Roman" w:cs="Times New Roman"/>
        </w:rPr>
        <w:t xml:space="preserve"> the first is from the translation of </w:t>
      </w:r>
      <w:r w:rsidRPr="00CE79EF">
        <w:rPr>
          <w:rFonts w:ascii="Times New Roman" w:hAnsi="Times New Roman" w:cs="Times New Roman"/>
          <w:i/>
        </w:rPr>
        <w:t>the confessions</w:t>
      </w:r>
      <w:r w:rsidRPr="00CE79EF">
        <w:rPr>
          <w:rFonts w:ascii="Times New Roman" w:hAnsi="Times New Roman" w:cs="Times New Roman"/>
        </w:rPr>
        <w:t xml:space="preserve">, in the introduction to </w:t>
      </w:r>
      <w:r w:rsidR="00383B46" w:rsidRPr="00CE79EF">
        <w:rPr>
          <w:rFonts w:ascii="Times New Roman" w:hAnsi="Times New Roman" w:cs="Times New Roman"/>
        </w:rPr>
        <w:t>Augustines</w:t>
      </w:r>
      <w:r w:rsidRPr="00CE79EF">
        <w:rPr>
          <w:rFonts w:ascii="Times New Roman" w:hAnsi="Times New Roman" w:cs="Times New Roman"/>
        </w:rPr>
        <w:t xml:space="preserve"> work, Maria Boulding stated that </w:t>
      </w:r>
      <w:r w:rsidRPr="00CE79EF">
        <w:rPr>
          <w:rFonts w:ascii="Times New Roman" w:hAnsi="Times New Roman" w:cs="Times New Roman"/>
          <w:i/>
        </w:rPr>
        <w:t>the confessions</w:t>
      </w:r>
      <w:r w:rsidRPr="00CE79EF">
        <w:rPr>
          <w:rFonts w:ascii="Times New Roman" w:hAnsi="Times New Roman" w:cs="Times New Roman"/>
        </w:rPr>
        <w:t xml:space="preserve"> would have an impact on writers like Abelard, Pascal, Rousseau and Proust,</w:t>
      </w:r>
      <w:r w:rsidRPr="00CE79EF">
        <w:rPr>
          <w:rStyle w:val="FootnoteReference"/>
          <w:rFonts w:ascii="Times New Roman" w:hAnsi="Times New Roman" w:cs="Times New Roman"/>
        </w:rPr>
        <w:footnoteReference w:id="3"/>
      </w:r>
      <w:r w:rsidRPr="00CE79EF">
        <w:rPr>
          <w:rFonts w:ascii="Times New Roman" w:hAnsi="Times New Roman" w:cs="Times New Roman"/>
        </w:rPr>
        <w:t xml:space="preserve"> this shows how influential his works were. The second example is from the translation of </w:t>
      </w:r>
      <w:r w:rsidRPr="00CE79EF">
        <w:rPr>
          <w:rFonts w:ascii="Times New Roman" w:hAnsi="Times New Roman" w:cs="Times New Roman"/>
          <w:i/>
        </w:rPr>
        <w:t xml:space="preserve">The Christian </w:t>
      </w:r>
      <w:r w:rsidR="00247776" w:rsidRPr="00CE79EF">
        <w:rPr>
          <w:rFonts w:ascii="Times New Roman" w:hAnsi="Times New Roman" w:cs="Times New Roman"/>
          <w:i/>
        </w:rPr>
        <w:t>Philosophy</w:t>
      </w:r>
      <w:r w:rsidRPr="00CE79EF">
        <w:rPr>
          <w:rFonts w:ascii="Times New Roman" w:hAnsi="Times New Roman" w:cs="Times New Roman"/>
          <w:i/>
        </w:rPr>
        <w:t xml:space="preserve"> of Saint Augustine</w:t>
      </w:r>
      <w:r w:rsidRPr="00CE79EF">
        <w:rPr>
          <w:rFonts w:ascii="Times New Roman" w:hAnsi="Times New Roman" w:cs="Times New Roman"/>
        </w:rPr>
        <w:t>, Etienne Gilson mentions how incredibly intelligent Augustine was.</w:t>
      </w:r>
      <w:r w:rsidRPr="00CE79EF">
        <w:rPr>
          <w:rStyle w:val="FootnoteReference"/>
          <w:rFonts w:ascii="Times New Roman" w:hAnsi="Times New Roman" w:cs="Times New Roman"/>
        </w:rPr>
        <w:footnoteReference w:id="4"/>
      </w:r>
      <w:r w:rsidRPr="00CE79EF">
        <w:rPr>
          <w:rFonts w:ascii="Times New Roman" w:hAnsi="Times New Roman" w:cs="Times New Roman"/>
        </w:rPr>
        <w:t xml:space="preserve"> Augustine has been so widely written about because he discussed a wide variety of issues, three examples of this are that he wrote </w:t>
      </w:r>
      <w:r w:rsidR="003B5DF7" w:rsidRPr="00CE79EF">
        <w:rPr>
          <w:rFonts w:ascii="Times New Roman" w:hAnsi="Times New Roman" w:cs="Times New Roman"/>
        </w:rPr>
        <w:t>and discussed</w:t>
      </w:r>
      <w:r w:rsidR="008033E4" w:rsidRPr="00CE79EF">
        <w:rPr>
          <w:rFonts w:ascii="Times New Roman" w:hAnsi="Times New Roman" w:cs="Times New Roman"/>
        </w:rPr>
        <w:t xml:space="preserve"> the ideas of</w:t>
      </w:r>
      <w:r w:rsidRPr="00CE79EF">
        <w:rPr>
          <w:rFonts w:ascii="Times New Roman" w:hAnsi="Times New Roman" w:cs="Times New Roman"/>
        </w:rPr>
        <w:t xml:space="preserve"> predeterminism,</w:t>
      </w:r>
      <w:r w:rsidRPr="00CE79EF">
        <w:rPr>
          <w:rStyle w:val="FootnoteReference"/>
          <w:rFonts w:ascii="Times New Roman" w:hAnsi="Times New Roman" w:cs="Times New Roman"/>
        </w:rPr>
        <w:footnoteReference w:id="5"/>
      </w:r>
      <w:r w:rsidRPr="00CE79EF">
        <w:rPr>
          <w:rFonts w:ascii="Times New Roman" w:hAnsi="Times New Roman" w:cs="Times New Roman"/>
        </w:rPr>
        <w:t xml:space="preserve"> views on the role of women,</w:t>
      </w:r>
      <w:r w:rsidRPr="00CE79EF">
        <w:rPr>
          <w:rStyle w:val="FootnoteReference"/>
          <w:rFonts w:ascii="Times New Roman" w:hAnsi="Times New Roman" w:cs="Times New Roman"/>
        </w:rPr>
        <w:footnoteReference w:id="6"/>
      </w:r>
      <w:r w:rsidRPr="00CE79EF">
        <w:rPr>
          <w:rFonts w:ascii="Times New Roman" w:hAnsi="Times New Roman" w:cs="Times New Roman"/>
        </w:rPr>
        <w:t xml:space="preserve"> and the pursuit of knowledge.</w:t>
      </w:r>
      <w:r w:rsidRPr="00CE79EF">
        <w:rPr>
          <w:rStyle w:val="FootnoteReference"/>
          <w:rFonts w:ascii="Times New Roman" w:hAnsi="Times New Roman" w:cs="Times New Roman"/>
        </w:rPr>
        <w:footnoteReference w:id="7"/>
      </w:r>
      <w:r w:rsidR="00EE5F5A" w:rsidRPr="00CE79EF">
        <w:rPr>
          <w:rFonts w:ascii="Times New Roman" w:hAnsi="Times New Roman" w:cs="Times New Roman"/>
        </w:rPr>
        <w:t xml:space="preserve"> </w:t>
      </w:r>
    </w:p>
    <w:p w14:paraId="0AF2BFB4" w14:textId="5EF97AB9" w:rsidR="00DE11E1" w:rsidRPr="00CE79EF" w:rsidRDefault="00DE11E1" w:rsidP="00CE79EF">
      <w:pPr>
        <w:spacing w:after="0" w:line="480" w:lineRule="auto"/>
        <w:rPr>
          <w:rFonts w:ascii="Times New Roman" w:hAnsi="Times New Roman" w:cs="Times New Roman"/>
        </w:rPr>
      </w:pPr>
      <w:r w:rsidRPr="00CE79EF">
        <w:rPr>
          <w:rFonts w:ascii="Times New Roman" w:hAnsi="Times New Roman" w:cs="Times New Roman"/>
        </w:rPr>
        <w:t>An example of how widely read Augustine was, is that Emperor Charlemagne had Augustines work read to him over dinner,</w:t>
      </w:r>
      <w:r w:rsidRPr="00CE79EF">
        <w:rPr>
          <w:rStyle w:val="FootnoteReference"/>
          <w:rFonts w:ascii="Times New Roman" w:hAnsi="Times New Roman" w:cs="Times New Roman"/>
        </w:rPr>
        <w:footnoteReference w:id="8"/>
      </w:r>
      <w:r w:rsidRPr="00CE79EF">
        <w:rPr>
          <w:rFonts w:ascii="Times New Roman" w:hAnsi="Times New Roman" w:cs="Times New Roman"/>
        </w:rPr>
        <w:t xml:space="preserve"> and supposedly Charlemagne was quite fond of </w:t>
      </w:r>
      <w:r w:rsidRPr="00CE79EF">
        <w:rPr>
          <w:rFonts w:ascii="Times New Roman" w:hAnsi="Times New Roman" w:cs="Times New Roman"/>
          <w:i/>
        </w:rPr>
        <w:t>the City of God</w:t>
      </w:r>
      <w:r w:rsidRPr="00CE79EF">
        <w:rPr>
          <w:rFonts w:ascii="Times New Roman" w:hAnsi="Times New Roman" w:cs="Times New Roman"/>
        </w:rPr>
        <w:t xml:space="preserve">, and this work was possibly one of the influences for Charlemagne to create, or at least attempt to create, a </w:t>
      </w:r>
      <w:r w:rsidRPr="00CE79EF">
        <w:rPr>
          <w:rFonts w:ascii="Times New Roman" w:hAnsi="Times New Roman" w:cs="Times New Roman"/>
        </w:rPr>
        <w:lastRenderedPageBreak/>
        <w:t>Christian empire.</w:t>
      </w:r>
      <w:r w:rsidRPr="00CE79EF">
        <w:rPr>
          <w:rStyle w:val="FootnoteReference"/>
          <w:rFonts w:ascii="Times New Roman" w:hAnsi="Times New Roman" w:cs="Times New Roman"/>
        </w:rPr>
        <w:footnoteReference w:id="9"/>
      </w:r>
      <w:r w:rsidRPr="00CE79EF">
        <w:rPr>
          <w:rFonts w:ascii="Times New Roman" w:hAnsi="Times New Roman" w:cs="Times New Roman"/>
        </w:rPr>
        <w:t xml:space="preserve"> Even when looking at one particular work, </w:t>
      </w:r>
      <w:r w:rsidRPr="00CE79EF">
        <w:rPr>
          <w:rFonts w:ascii="Times New Roman" w:hAnsi="Times New Roman" w:cs="Times New Roman"/>
          <w:i/>
        </w:rPr>
        <w:t>The City of God</w:t>
      </w:r>
      <w:r w:rsidRPr="00CE79EF">
        <w:rPr>
          <w:rFonts w:ascii="Times New Roman" w:hAnsi="Times New Roman" w:cs="Times New Roman"/>
        </w:rPr>
        <w:t xml:space="preserve">, the ideas from this book, that being of a unified Church-state, and that religious authorities would work together for the common good, were used </w:t>
      </w:r>
      <w:r w:rsidR="001D68FE" w:rsidRPr="00CE79EF">
        <w:rPr>
          <w:rFonts w:ascii="Times New Roman" w:hAnsi="Times New Roman" w:cs="Times New Roman"/>
        </w:rPr>
        <w:t>by</w:t>
      </w:r>
      <w:r w:rsidRPr="00CE79EF">
        <w:rPr>
          <w:rFonts w:ascii="Times New Roman" w:hAnsi="Times New Roman" w:cs="Times New Roman"/>
        </w:rPr>
        <w:t xml:space="preserve"> both Protestants and Catholics during the reformation.</w:t>
      </w:r>
      <w:r w:rsidRPr="00CE79EF">
        <w:rPr>
          <w:rStyle w:val="FootnoteReference"/>
          <w:rFonts w:ascii="Times New Roman" w:hAnsi="Times New Roman" w:cs="Times New Roman"/>
        </w:rPr>
        <w:footnoteReference w:id="10"/>
      </w:r>
      <w:r w:rsidRPr="00CE79EF">
        <w:rPr>
          <w:rFonts w:ascii="Times New Roman" w:hAnsi="Times New Roman" w:cs="Times New Roman"/>
        </w:rPr>
        <w:t xml:space="preserve"> </w:t>
      </w:r>
      <w:r w:rsidRPr="00CE79EF">
        <w:rPr>
          <w:rFonts w:ascii="Times New Roman" w:hAnsi="Times New Roman" w:cs="Times New Roman"/>
          <w:i/>
        </w:rPr>
        <w:t>The City of God</w:t>
      </w:r>
      <w:r w:rsidRPr="00CE79EF">
        <w:rPr>
          <w:rFonts w:ascii="Times New Roman" w:hAnsi="Times New Roman" w:cs="Times New Roman"/>
        </w:rPr>
        <w:t xml:space="preserve"> was also used on both sides when power disputes would break out between kings and the pope as to who should be in charge.</w:t>
      </w:r>
      <w:r w:rsidRPr="00CE79EF">
        <w:rPr>
          <w:rStyle w:val="FootnoteReference"/>
          <w:rFonts w:ascii="Times New Roman" w:hAnsi="Times New Roman" w:cs="Times New Roman"/>
        </w:rPr>
        <w:footnoteReference w:id="11"/>
      </w:r>
    </w:p>
    <w:p w14:paraId="0E03CB1D" w14:textId="77777777" w:rsidR="003F6C92" w:rsidRPr="00CE79EF" w:rsidRDefault="003F6C92" w:rsidP="00CE79EF">
      <w:pPr>
        <w:spacing w:after="0" w:line="480" w:lineRule="auto"/>
        <w:rPr>
          <w:rFonts w:ascii="Times New Roman" w:hAnsi="Times New Roman" w:cs="Times New Roman"/>
        </w:rPr>
      </w:pPr>
    </w:p>
    <w:p w14:paraId="4B4D0008" w14:textId="7E6C7BC2" w:rsidR="009A7B3D" w:rsidRDefault="009A7B3D" w:rsidP="00CE79EF">
      <w:pPr>
        <w:spacing w:after="0" w:line="480" w:lineRule="auto"/>
        <w:rPr>
          <w:rFonts w:ascii="Times New Roman" w:hAnsi="Times New Roman" w:cs="Times New Roman"/>
        </w:rPr>
      </w:pPr>
      <w:r w:rsidRPr="00CE79EF">
        <w:rPr>
          <w:rFonts w:ascii="Times New Roman" w:hAnsi="Times New Roman" w:cs="Times New Roman"/>
        </w:rPr>
        <w:t>One reason why Augustine and the definitions and concepts he came up with have been written about to such an extent is that his philosophy appeals to many different groups. Unlike certain saints, Augustine is looked at and used by both Catholics and Protestants, this is due to his views of topics such as good and evil, the natural world, and the love of God.</w:t>
      </w:r>
      <w:r w:rsidRPr="00CE79EF">
        <w:rPr>
          <w:rStyle w:val="FootnoteReference"/>
          <w:rFonts w:ascii="Times New Roman" w:hAnsi="Times New Roman" w:cs="Times New Roman"/>
        </w:rPr>
        <w:footnoteReference w:id="12"/>
      </w:r>
      <w:r w:rsidRPr="00CE79EF">
        <w:rPr>
          <w:rFonts w:ascii="Times New Roman" w:hAnsi="Times New Roman" w:cs="Times New Roman"/>
        </w:rPr>
        <w:t xml:space="preserve"> A reason why Augustine has been so heavily looked at, and is still seen as important today has been summed up by Daniel D. Williams, who said that as “Western philosophy is a series of footnotes to Plato, we can say with equal justice that theology in Western Christianity has been a series of footnotes to Augustine”,</w:t>
      </w:r>
      <w:r w:rsidRPr="00CE79EF">
        <w:rPr>
          <w:rStyle w:val="FootnoteReference"/>
          <w:rFonts w:ascii="Times New Roman" w:hAnsi="Times New Roman" w:cs="Times New Roman"/>
        </w:rPr>
        <w:footnoteReference w:id="13"/>
      </w:r>
      <w:r w:rsidRPr="00CE79EF">
        <w:rPr>
          <w:rFonts w:ascii="Times New Roman" w:hAnsi="Times New Roman" w:cs="Times New Roman"/>
        </w:rPr>
        <w:t xml:space="preserve"> and it is because of this role he played in Christian theology that people like St. Anselm and Martin Luther would use his work to adapt and form their own theological perspectives.</w:t>
      </w:r>
      <w:r w:rsidRPr="00CE79EF">
        <w:rPr>
          <w:rStyle w:val="FootnoteReference"/>
          <w:rFonts w:ascii="Times New Roman" w:hAnsi="Times New Roman" w:cs="Times New Roman"/>
        </w:rPr>
        <w:footnoteReference w:id="14"/>
      </w:r>
    </w:p>
    <w:p w14:paraId="22D4B3BF" w14:textId="77777777" w:rsidR="00CE79EF" w:rsidRPr="00CE79EF" w:rsidRDefault="00CE79EF" w:rsidP="00CE79EF">
      <w:pPr>
        <w:spacing w:after="0" w:line="480" w:lineRule="auto"/>
        <w:rPr>
          <w:rFonts w:ascii="Times New Roman" w:hAnsi="Times New Roman" w:cs="Times New Roman"/>
        </w:rPr>
      </w:pPr>
    </w:p>
    <w:p w14:paraId="22492FFE" w14:textId="0CC7BEFE" w:rsidR="00F84960" w:rsidRPr="00CE79EF" w:rsidRDefault="00F84960" w:rsidP="00CE79EF">
      <w:pPr>
        <w:spacing w:line="480" w:lineRule="auto"/>
        <w:rPr>
          <w:rFonts w:ascii="Times New Roman" w:hAnsi="Times New Roman" w:cs="Times New Roman"/>
        </w:rPr>
      </w:pPr>
    </w:p>
    <w:p w14:paraId="5B685C22" w14:textId="77777777"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noProof/>
        </w:rPr>
        <w:lastRenderedPageBreak/>
        <w:drawing>
          <wp:inline distT="0" distB="0" distL="0" distR="0" wp14:anchorId="474B2C1D" wp14:editId="29E822E9">
            <wp:extent cx="1463040" cy="1998380"/>
            <wp:effectExtent l="0" t="0" r="3810" b="1905"/>
            <wp:docPr id="1" name="Picture 1" descr="http://ica.themorgan.org/icaimages/3/m357.194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ca.themorgan.org/icaimages/3/m357.194r.jpg"/>
                    <pic:cNvPicPr>
                      <a:picLocks noChangeAspect="1" noChangeArrowheads="1"/>
                    </pic:cNvPicPr>
                  </pic:nvPicPr>
                  <pic:blipFill rotWithShape="1">
                    <a:blip r:embed="rId8">
                      <a:extLst>
                        <a:ext uri="{28A0092B-C50C-407E-A947-70E740481C1C}">
                          <a14:useLocalDpi xmlns:a14="http://schemas.microsoft.com/office/drawing/2010/main" val="0"/>
                        </a:ext>
                      </a:extLst>
                    </a:blip>
                    <a:srcRect l="5776" t="8533" r="14800" b="11333"/>
                    <a:stretch/>
                  </pic:blipFill>
                  <pic:spPr bwMode="auto">
                    <a:xfrm>
                      <a:off x="0" y="0"/>
                      <a:ext cx="1465092" cy="2001183"/>
                    </a:xfrm>
                    <a:prstGeom prst="rect">
                      <a:avLst/>
                    </a:prstGeom>
                    <a:noFill/>
                    <a:ln>
                      <a:noFill/>
                    </a:ln>
                    <a:extLst>
                      <a:ext uri="{53640926-AAD7-44D8-BBD7-CCE9431645EC}">
                        <a14:shadowObscured xmlns:a14="http://schemas.microsoft.com/office/drawing/2010/main"/>
                      </a:ext>
                    </a:extLst>
                  </pic:spPr>
                </pic:pic>
              </a:graphicData>
            </a:graphic>
          </wp:inline>
        </w:drawing>
      </w:r>
    </w:p>
    <w:p w14:paraId="4DA359C5" w14:textId="524ED1D0"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The chosen image of Augustine, shown above, is from a Belgium manuscript and was possibly made in Tournai around 1440 CE.</w:t>
      </w:r>
      <w:r w:rsidRPr="00CE79EF">
        <w:rPr>
          <w:rStyle w:val="FootnoteReference"/>
          <w:rFonts w:ascii="Times New Roman" w:hAnsi="Times New Roman" w:cs="Times New Roman"/>
        </w:rPr>
        <w:footnoteReference w:id="15"/>
      </w:r>
      <w:r w:rsidRPr="00CE79EF">
        <w:rPr>
          <w:rFonts w:ascii="Times New Roman" w:hAnsi="Times New Roman" w:cs="Times New Roman"/>
        </w:rPr>
        <w:t xml:space="preserve">  The image shows Augustine and another person, more on her later. Augustine is seen wearing a mitre,</w:t>
      </w:r>
      <w:r w:rsidR="006E5256" w:rsidRPr="00CE79EF">
        <w:rPr>
          <w:rFonts w:ascii="Times New Roman" w:hAnsi="Times New Roman" w:cs="Times New Roman"/>
        </w:rPr>
        <w:t xml:space="preserve"> which is</w:t>
      </w:r>
      <w:r w:rsidRPr="00CE79EF">
        <w:rPr>
          <w:rFonts w:ascii="Times New Roman" w:hAnsi="Times New Roman" w:cs="Times New Roman"/>
        </w:rPr>
        <w:t xml:space="preserve"> a ceremonial head-dress for bishops and other clergy, in his right hand</w:t>
      </w:r>
      <w:r w:rsidR="001B7294" w:rsidRPr="00CE79EF">
        <w:rPr>
          <w:rFonts w:ascii="Times New Roman" w:hAnsi="Times New Roman" w:cs="Times New Roman"/>
        </w:rPr>
        <w:t xml:space="preserve"> he is holding</w:t>
      </w:r>
      <w:r w:rsidRPr="00CE79EF">
        <w:rPr>
          <w:rFonts w:ascii="Times New Roman" w:hAnsi="Times New Roman" w:cs="Times New Roman"/>
        </w:rPr>
        <w:t xml:space="preserve"> a crozier, </w:t>
      </w:r>
      <w:r w:rsidR="001B7294" w:rsidRPr="00CE79EF">
        <w:rPr>
          <w:rFonts w:ascii="Times New Roman" w:hAnsi="Times New Roman" w:cs="Times New Roman"/>
        </w:rPr>
        <w:t xml:space="preserve">which is </w:t>
      </w:r>
      <w:r w:rsidRPr="00CE79EF">
        <w:rPr>
          <w:rFonts w:ascii="Times New Roman" w:hAnsi="Times New Roman" w:cs="Times New Roman"/>
        </w:rPr>
        <w:t>a crooked staff, it is symbolic of a shepherd’s crook</w:t>
      </w:r>
      <w:r w:rsidR="00F03C92" w:rsidRPr="00CE79EF">
        <w:rPr>
          <w:rFonts w:ascii="Times New Roman" w:hAnsi="Times New Roman" w:cs="Times New Roman"/>
        </w:rPr>
        <w:t>.</w:t>
      </w:r>
      <w:r w:rsidRPr="00CE79EF">
        <w:rPr>
          <w:rStyle w:val="FootnoteReference"/>
          <w:rFonts w:ascii="Times New Roman" w:hAnsi="Times New Roman" w:cs="Times New Roman"/>
        </w:rPr>
        <w:footnoteReference w:id="16"/>
      </w:r>
      <w:r w:rsidRPr="00CE79EF">
        <w:rPr>
          <w:rFonts w:ascii="Times New Roman" w:hAnsi="Times New Roman" w:cs="Times New Roman"/>
        </w:rPr>
        <w:t xml:space="preserve"> </w:t>
      </w:r>
      <w:r w:rsidR="00F03C92" w:rsidRPr="00CE79EF">
        <w:rPr>
          <w:rFonts w:ascii="Times New Roman" w:hAnsi="Times New Roman" w:cs="Times New Roman"/>
        </w:rPr>
        <w:t>I</w:t>
      </w:r>
      <w:r w:rsidRPr="00CE79EF">
        <w:rPr>
          <w:rFonts w:ascii="Times New Roman" w:hAnsi="Times New Roman" w:cs="Times New Roman"/>
        </w:rPr>
        <w:t>n his left hand</w:t>
      </w:r>
      <w:r w:rsidR="00F03C92" w:rsidRPr="00CE79EF">
        <w:rPr>
          <w:rFonts w:ascii="Times New Roman" w:hAnsi="Times New Roman" w:cs="Times New Roman"/>
        </w:rPr>
        <w:t xml:space="preserve"> he holds</w:t>
      </w:r>
      <w:r w:rsidRPr="00CE79EF">
        <w:rPr>
          <w:rFonts w:ascii="Times New Roman" w:hAnsi="Times New Roman" w:cs="Times New Roman"/>
        </w:rPr>
        <w:t xml:space="preserve"> a heart with a cross on top</w:t>
      </w:r>
      <w:r w:rsidR="00825A33" w:rsidRPr="00CE79EF">
        <w:rPr>
          <w:rFonts w:ascii="Times New Roman" w:hAnsi="Times New Roman" w:cs="Times New Roman"/>
        </w:rPr>
        <w:t xml:space="preserve">, </w:t>
      </w:r>
      <w:r w:rsidRPr="00CE79EF">
        <w:rPr>
          <w:rFonts w:ascii="Times New Roman" w:hAnsi="Times New Roman" w:cs="Times New Roman"/>
        </w:rPr>
        <w:t>this is perhaps supposed to show Augustine carrying with him Jesus’ love for mankind, this is because many depictions of Jesus show him with a heart with a cross on it, which is sometimes surrounded by a burst of light or thorns, although not in this case, and it shows Jesus’ love for mankind.</w:t>
      </w:r>
      <w:r w:rsidRPr="00CE79EF">
        <w:rPr>
          <w:rStyle w:val="FootnoteReference"/>
          <w:rFonts w:ascii="Times New Roman" w:hAnsi="Times New Roman" w:cs="Times New Roman"/>
        </w:rPr>
        <w:footnoteReference w:id="17"/>
      </w:r>
    </w:p>
    <w:p w14:paraId="0EB7B71B" w14:textId="3E554E7E"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The image shows Augustine and his mother, Saint Monica.</w:t>
      </w:r>
      <w:r w:rsidRPr="00CE79EF">
        <w:rPr>
          <w:rStyle w:val="FootnoteReference"/>
          <w:rFonts w:ascii="Times New Roman" w:hAnsi="Times New Roman" w:cs="Times New Roman"/>
        </w:rPr>
        <w:footnoteReference w:id="18"/>
      </w:r>
      <w:r w:rsidRPr="00CE79EF">
        <w:rPr>
          <w:rFonts w:ascii="Times New Roman" w:hAnsi="Times New Roman" w:cs="Times New Roman"/>
        </w:rPr>
        <w:t xml:space="preserve"> Monica is shown holding open a book for Augustine, this could possibly represent th</w:t>
      </w:r>
      <w:r w:rsidR="00F03C92" w:rsidRPr="00CE79EF">
        <w:rPr>
          <w:rFonts w:ascii="Times New Roman" w:hAnsi="Times New Roman" w:cs="Times New Roman"/>
        </w:rPr>
        <w:t>e fact that</w:t>
      </w:r>
      <w:r w:rsidRPr="00CE79EF">
        <w:rPr>
          <w:rFonts w:ascii="Times New Roman" w:hAnsi="Times New Roman" w:cs="Times New Roman"/>
        </w:rPr>
        <w:t xml:space="preserve"> Monica was </w:t>
      </w:r>
      <w:r w:rsidR="005F7612" w:rsidRPr="00CE79EF">
        <w:rPr>
          <w:rFonts w:ascii="Times New Roman" w:hAnsi="Times New Roman" w:cs="Times New Roman"/>
        </w:rPr>
        <w:t>repeatedly</w:t>
      </w:r>
      <w:r w:rsidRPr="00CE79EF">
        <w:rPr>
          <w:rFonts w:ascii="Times New Roman" w:hAnsi="Times New Roman" w:cs="Times New Roman"/>
        </w:rPr>
        <w:t xml:space="preserve"> trying to convert Augustine to Christianity</w:t>
      </w:r>
      <w:r w:rsidR="008D4795" w:rsidRPr="00CE79EF">
        <w:rPr>
          <w:rFonts w:ascii="Times New Roman" w:hAnsi="Times New Roman" w:cs="Times New Roman"/>
        </w:rPr>
        <w:t>.</w:t>
      </w:r>
      <w:r w:rsidRPr="00CE79EF">
        <w:rPr>
          <w:rStyle w:val="FootnoteReference"/>
          <w:rFonts w:ascii="Times New Roman" w:hAnsi="Times New Roman" w:cs="Times New Roman"/>
        </w:rPr>
        <w:footnoteReference w:id="19"/>
      </w:r>
      <w:r w:rsidRPr="00CE79EF">
        <w:rPr>
          <w:rFonts w:ascii="Times New Roman" w:hAnsi="Times New Roman" w:cs="Times New Roman"/>
        </w:rPr>
        <w:t xml:space="preserve"> Monica would, according to Augustine, have played a decisive role in his life both before and after he became a Christian.</w:t>
      </w:r>
      <w:r w:rsidRPr="00CE79EF">
        <w:rPr>
          <w:rStyle w:val="FootnoteReference"/>
          <w:rFonts w:ascii="Times New Roman" w:hAnsi="Times New Roman" w:cs="Times New Roman"/>
        </w:rPr>
        <w:footnoteReference w:id="20"/>
      </w:r>
      <w:r w:rsidRPr="00CE79EF">
        <w:rPr>
          <w:rFonts w:ascii="Times New Roman" w:hAnsi="Times New Roman" w:cs="Times New Roman"/>
        </w:rPr>
        <w:t xml:space="preserve"> Although this does not relate to Augustines cult, this image shows that, to Augustine at least, how influential Monica was. In terms of his cult the role Monica played is of little importance, as most of the people who look at his writing do so in the pursuit of knowledge in Christian theology and whether Monica was helpful or not, does not matter, </w:t>
      </w:r>
      <w:r w:rsidRPr="00CE79EF">
        <w:rPr>
          <w:rFonts w:ascii="Times New Roman" w:hAnsi="Times New Roman" w:cs="Times New Roman"/>
        </w:rPr>
        <w:lastRenderedPageBreak/>
        <w:t xml:space="preserve">what matters </w:t>
      </w:r>
      <w:r w:rsidR="00EB203F" w:rsidRPr="00CE79EF">
        <w:rPr>
          <w:rFonts w:ascii="Times New Roman" w:hAnsi="Times New Roman" w:cs="Times New Roman"/>
        </w:rPr>
        <w:t xml:space="preserve">is </w:t>
      </w:r>
      <w:r w:rsidRPr="00CE79EF">
        <w:rPr>
          <w:rFonts w:ascii="Times New Roman" w:hAnsi="Times New Roman" w:cs="Times New Roman"/>
        </w:rPr>
        <w:t>that it was Augustine who came up with certain beliefs and ideas, and he wrote them down.</w:t>
      </w:r>
    </w:p>
    <w:p w14:paraId="27C0DE99" w14:textId="5735048A"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Saint Augustine’s cult is unlike many if not most other saints. Augustines impact on Christianity was not a list of supposed miracles, although apparently he did commit a few, it was his writings and impact on Christian theology that made him a saint</w:t>
      </w:r>
      <w:r w:rsidR="00056960" w:rsidRPr="00CE79EF">
        <w:rPr>
          <w:rFonts w:ascii="Times New Roman" w:hAnsi="Times New Roman" w:cs="Times New Roman"/>
        </w:rPr>
        <w:t>.</w:t>
      </w:r>
      <w:r w:rsidRPr="00CE79EF">
        <w:rPr>
          <w:rFonts w:ascii="Times New Roman" w:hAnsi="Times New Roman" w:cs="Times New Roman"/>
        </w:rPr>
        <w:t xml:space="preserve"> Augustine was a church father, these are a small group of individuals who were influential in defining Christian concepts and principles, two other church fathers were St. Paul the hermit and St. Honoratus.</w:t>
      </w:r>
      <w:r w:rsidRPr="00CE79EF">
        <w:rPr>
          <w:rStyle w:val="FootnoteReference"/>
          <w:rFonts w:ascii="Times New Roman" w:hAnsi="Times New Roman" w:cs="Times New Roman"/>
        </w:rPr>
        <w:footnoteReference w:id="21"/>
      </w:r>
      <w:r w:rsidRPr="00CE79EF">
        <w:rPr>
          <w:rFonts w:ascii="Times New Roman" w:hAnsi="Times New Roman" w:cs="Times New Roman"/>
        </w:rPr>
        <w:t xml:space="preserve"> The fact that he was a church father makes his cult different to the cults of martyr saints or saints in general, this is due to the fact that almost everyone who would be in the cult of Augustine would have to</w:t>
      </w:r>
      <w:r w:rsidR="0029118B" w:rsidRPr="00CE79EF">
        <w:rPr>
          <w:rFonts w:ascii="Times New Roman" w:hAnsi="Times New Roman" w:cs="Times New Roman"/>
        </w:rPr>
        <w:t xml:space="preserve"> be</w:t>
      </w:r>
      <w:r w:rsidRPr="00CE79EF">
        <w:rPr>
          <w:rFonts w:ascii="Times New Roman" w:hAnsi="Times New Roman" w:cs="Times New Roman"/>
        </w:rPr>
        <w:t xml:space="preserve"> literate</w:t>
      </w:r>
      <w:r w:rsidR="00C8052D" w:rsidRPr="00CE79EF">
        <w:rPr>
          <w:rFonts w:ascii="Times New Roman" w:hAnsi="Times New Roman" w:cs="Times New Roman"/>
        </w:rPr>
        <w:t>. I</w:t>
      </w:r>
      <w:r w:rsidRPr="00CE79EF">
        <w:rPr>
          <w:rFonts w:ascii="Times New Roman" w:hAnsi="Times New Roman" w:cs="Times New Roman"/>
        </w:rPr>
        <w:t xml:space="preserve">t is extremely difficult to estimate literacy rates in medieval Europe, one example of this is a rough estimation by B. V. Sapunov on the level of literacy in </w:t>
      </w:r>
      <w:r w:rsidR="00C8052D" w:rsidRPr="00CE79EF">
        <w:rPr>
          <w:rFonts w:ascii="Times New Roman" w:hAnsi="Times New Roman" w:cs="Times New Roman"/>
        </w:rPr>
        <w:t>K</w:t>
      </w:r>
      <w:r w:rsidRPr="00CE79EF">
        <w:rPr>
          <w:rFonts w:ascii="Times New Roman" w:hAnsi="Times New Roman" w:cs="Times New Roman"/>
        </w:rPr>
        <w:t>ievan Rus during the middle of the thirteenth century,</w:t>
      </w:r>
      <w:r w:rsidRPr="00CE79EF">
        <w:rPr>
          <w:rStyle w:val="FootnoteReference"/>
          <w:rFonts w:ascii="Times New Roman" w:hAnsi="Times New Roman" w:cs="Times New Roman"/>
        </w:rPr>
        <w:footnoteReference w:id="22"/>
      </w:r>
      <w:r w:rsidRPr="00CE79EF">
        <w:rPr>
          <w:rFonts w:ascii="Times New Roman" w:hAnsi="Times New Roman" w:cs="Times New Roman"/>
        </w:rPr>
        <w:t xml:space="preserve"> he estimates that due to their being around 10,00</w:t>
      </w:r>
      <w:r w:rsidR="00D572CA" w:rsidRPr="00CE79EF">
        <w:rPr>
          <w:rFonts w:ascii="Times New Roman" w:hAnsi="Times New Roman" w:cs="Times New Roman"/>
        </w:rPr>
        <w:t>0</w:t>
      </w:r>
      <w:r w:rsidRPr="00CE79EF">
        <w:rPr>
          <w:rFonts w:ascii="Times New Roman" w:hAnsi="Times New Roman" w:cs="Times New Roman"/>
        </w:rPr>
        <w:t xml:space="preserve"> churches and 300 monasteries </w:t>
      </w:r>
      <w:r w:rsidR="00D572CA" w:rsidRPr="00CE79EF">
        <w:rPr>
          <w:rFonts w:ascii="Times New Roman" w:hAnsi="Times New Roman" w:cs="Times New Roman"/>
        </w:rPr>
        <w:t>i</w:t>
      </w:r>
      <w:r w:rsidRPr="00CE79EF">
        <w:rPr>
          <w:rFonts w:ascii="Times New Roman" w:hAnsi="Times New Roman" w:cs="Times New Roman"/>
        </w:rPr>
        <w:t xml:space="preserve">n </w:t>
      </w:r>
      <w:r w:rsidR="00D572CA" w:rsidRPr="00CE79EF">
        <w:rPr>
          <w:rFonts w:ascii="Times New Roman" w:hAnsi="Times New Roman" w:cs="Times New Roman"/>
        </w:rPr>
        <w:t>K</w:t>
      </w:r>
      <w:r w:rsidRPr="00CE79EF">
        <w:rPr>
          <w:rFonts w:ascii="Times New Roman" w:hAnsi="Times New Roman" w:cs="Times New Roman"/>
        </w:rPr>
        <w:t>ievan Rus, that around 20,000 people would have been literate, this would have been out of a population of around seven million people,</w:t>
      </w:r>
      <w:r w:rsidRPr="00CE79EF">
        <w:rPr>
          <w:rStyle w:val="FootnoteReference"/>
          <w:rFonts w:ascii="Times New Roman" w:hAnsi="Times New Roman" w:cs="Times New Roman"/>
        </w:rPr>
        <w:footnoteReference w:id="23"/>
      </w:r>
      <w:r w:rsidRPr="00CE79EF">
        <w:rPr>
          <w:rFonts w:ascii="Times New Roman" w:hAnsi="Times New Roman" w:cs="Times New Roman"/>
        </w:rPr>
        <w:t xml:space="preserve"> this estimation is </w:t>
      </w:r>
      <w:r w:rsidR="004C325A" w:rsidRPr="00CE79EF">
        <w:rPr>
          <w:rFonts w:ascii="Times New Roman" w:hAnsi="Times New Roman" w:cs="Times New Roman"/>
        </w:rPr>
        <w:t xml:space="preserve">also </w:t>
      </w:r>
      <w:r w:rsidRPr="00CE79EF">
        <w:rPr>
          <w:rFonts w:ascii="Times New Roman" w:hAnsi="Times New Roman" w:cs="Times New Roman"/>
        </w:rPr>
        <w:t>making the big assumption that all clergy were literate, otherwise that number would decrease significantly.</w:t>
      </w:r>
      <w:r w:rsidRPr="00CE79EF">
        <w:rPr>
          <w:rStyle w:val="FootnoteReference"/>
          <w:rFonts w:ascii="Times New Roman" w:hAnsi="Times New Roman" w:cs="Times New Roman"/>
        </w:rPr>
        <w:footnoteReference w:id="24"/>
      </w:r>
      <w:r w:rsidRPr="00CE79EF">
        <w:rPr>
          <w:rFonts w:ascii="Times New Roman" w:hAnsi="Times New Roman" w:cs="Times New Roman"/>
        </w:rPr>
        <w:t xml:space="preserve"> As Sapunov shows, attempting to </w:t>
      </w:r>
      <w:r w:rsidR="004C325A" w:rsidRPr="00CE79EF">
        <w:rPr>
          <w:rFonts w:ascii="Times New Roman" w:hAnsi="Times New Roman" w:cs="Times New Roman"/>
        </w:rPr>
        <w:t>predict</w:t>
      </w:r>
      <w:r w:rsidRPr="00CE79EF">
        <w:rPr>
          <w:rFonts w:ascii="Times New Roman" w:hAnsi="Times New Roman" w:cs="Times New Roman"/>
        </w:rPr>
        <w:t xml:space="preserve"> the literacy rate in the medieval period is extremely difficult.</w:t>
      </w:r>
    </w:p>
    <w:p w14:paraId="2D2848EF" w14:textId="1AF84513"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 xml:space="preserve">It is well known that </w:t>
      </w:r>
      <w:r w:rsidR="004C325A" w:rsidRPr="00CE79EF">
        <w:rPr>
          <w:rFonts w:ascii="Times New Roman" w:hAnsi="Times New Roman" w:cs="Times New Roman"/>
        </w:rPr>
        <w:t>most</w:t>
      </w:r>
      <w:r w:rsidRPr="00CE79EF">
        <w:rPr>
          <w:rFonts w:ascii="Times New Roman" w:hAnsi="Times New Roman" w:cs="Times New Roman"/>
        </w:rPr>
        <w:t xml:space="preserve"> people in medieval Europe were illiterate. The fact that most people could not read means that it would be difficult for Augustine to have a widespread cult. Two ways to tell an illiterate group of people about a certain saint and try to get them to follow it would be, to tell short stories about certain deeds the saint </w:t>
      </w:r>
      <w:r w:rsidR="00BA36CB" w:rsidRPr="00CE79EF">
        <w:rPr>
          <w:rFonts w:ascii="Times New Roman" w:hAnsi="Times New Roman" w:cs="Times New Roman"/>
        </w:rPr>
        <w:t>has done</w:t>
      </w:r>
      <w:r w:rsidRPr="00CE79EF">
        <w:rPr>
          <w:rFonts w:ascii="Times New Roman" w:hAnsi="Times New Roman" w:cs="Times New Roman"/>
        </w:rPr>
        <w:t xml:space="preserve">, or by producing images of the saint. The short stories would be useful as they would be easy to remember and then an illiterate community can pass on the tale of a certain saint. The use of images is a very good way to tell the story of a saint to an illiterate community. One example of this is the martyr Saint Agatha (231-51) who would have a very popular </w:t>
      </w:r>
      <w:r w:rsidRPr="00CE79EF">
        <w:rPr>
          <w:rFonts w:ascii="Times New Roman" w:hAnsi="Times New Roman" w:cs="Times New Roman"/>
        </w:rPr>
        <w:lastRenderedPageBreak/>
        <w:t>cult in both the Roman Catholic church and the Orthodox church.</w:t>
      </w:r>
      <w:r w:rsidRPr="00CE79EF">
        <w:rPr>
          <w:rStyle w:val="FootnoteReference"/>
          <w:rFonts w:ascii="Times New Roman" w:hAnsi="Times New Roman" w:cs="Times New Roman"/>
        </w:rPr>
        <w:footnoteReference w:id="25"/>
      </w:r>
      <w:r w:rsidRPr="00CE79EF">
        <w:rPr>
          <w:rFonts w:ascii="Times New Roman" w:hAnsi="Times New Roman" w:cs="Times New Roman"/>
        </w:rPr>
        <w:t xml:space="preserve"> Images and recreations of her supposed deeds would be </w:t>
      </w:r>
      <w:r w:rsidR="0071181D" w:rsidRPr="00CE79EF">
        <w:rPr>
          <w:rFonts w:ascii="Times New Roman" w:hAnsi="Times New Roman" w:cs="Times New Roman"/>
        </w:rPr>
        <w:t>produced</w:t>
      </w:r>
      <w:r w:rsidRPr="00CE79EF">
        <w:rPr>
          <w:rFonts w:ascii="Times New Roman" w:hAnsi="Times New Roman" w:cs="Times New Roman"/>
        </w:rPr>
        <w:t xml:space="preserve"> as far as the 16</w:t>
      </w:r>
      <w:r w:rsidRPr="00CE79EF">
        <w:rPr>
          <w:rFonts w:ascii="Times New Roman" w:hAnsi="Times New Roman" w:cs="Times New Roman"/>
          <w:vertAlign w:val="superscript"/>
        </w:rPr>
        <w:t>th</w:t>
      </w:r>
      <w:r w:rsidRPr="00CE79EF">
        <w:rPr>
          <w:rFonts w:ascii="Times New Roman" w:hAnsi="Times New Roman" w:cs="Times New Roman"/>
        </w:rPr>
        <w:t xml:space="preserve"> century,</w:t>
      </w:r>
      <w:r w:rsidRPr="00CE79EF">
        <w:rPr>
          <w:rStyle w:val="FootnoteReference"/>
          <w:rFonts w:ascii="Times New Roman" w:hAnsi="Times New Roman" w:cs="Times New Roman"/>
        </w:rPr>
        <w:footnoteReference w:id="26"/>
      </w:r>
      <w:r w:rsidRPr="00CE79EF">
        <w:rPr>
          <w:rFonts w:ascii="Times New Roman" w:hAnsi="Times New Roman" w:cs="Times New Roman"/>
        </w:rPr>
        <w:t xml:space="preserve"> one of the most notable works she was a part of was the Golden Legend by Jacobus de Voragine.</w:t>
      </w:r>
      <w:r w:rsidRPr="00CE79EF">
        <w:rPr>
          <w:rStyle w:val="FootnoteReference"/>
          <w:rFonts w:ascii="Times New Roman" w:hAnsi="Times New Roman" w:cs="Times New Roman"/>
        </w:rPr>
        <w:footnoteReference w:id="27"/>
      </w:r>
      <w:r w:rsidRPr="00CE79EF">
        <w:rPr>
          <w:rFonts w:ascii="Times New Roman" w:hAnsi="Times New Roman" w:cs="Times New Roman"/>
        </w:rPr>
        <w:t xml:space="preserve"> The reason why saint Agatha is a good comparison to Augustine is that they both, depending on your definition of when the medieval period started, predate the medieval period. The significance of this is that they can both be summed up as saints from classical antiquity,</w:t>
      </w:r>
      <w:r w:rsidRPr="00CE79EF">
        <w:rPr>
          <w:rStyle w:val="FootnoteReference"/>
          <w:rFonts w:ascii="Times New Roman" w:hAnsi="Times New Roman" w:cs="Times New Roman"/>
        </w:rPr>
        <w:footnoteReference w:id="28"/>
      </w:r>
      <w:r w:rsidRPr="00CE79EF">
        <w:rPr>
          <w:rFonts w:ascii="Times New Roman" w:hAnsi="Times New Roman" w:cs="Times New Roman"/>
        </w:rPr>
        <w:t xml:space="preserve"> but these two saints have been treated completely differently in the medieval period, Agatha was made in to many images designed for the </w:t>
      </w:r>
      <w:r w:rsidR="00EC3789" w:rsidRPr="00CE79EF">
        <w:rPr>
          <w:rFonts w:ascii="Times New Roman" w:hAnsi="Times New Roman" w:cs="Times New Roman"/>
        </w:rPr>
        <w:t xml:space="preserve">use of the </w:t>
      </w:r>
      <w:r w:rsidRPr="00CE79EF">
        <w:rPr>
          <w:rFonts w:ascii="Times New Roman" w:hAnsi="Times New Roman" w:cs="Times New Roman"/>
        </w:rPr>
        <w:t>illiterate, this idea had the backing of Pope Gregory the great, whereas most images of Augustine, like the one I have chosen to look at, are from manuscripts and accompany a body of text</w:t>
      </w:r>
      <w:r w:rsidR="00161F5D" w:rsidRPr="00CE79EF">
        <w:rPr>
          <w:rFonts w:ascii="Times New Roman" w:hAnsi="Times New Roman" w:cs="Times New Roman"/>
        </w:rPr>
        <w:t>, which therefore means a lot less people are going to see it.</w:t>
      </w:r>
    </w:p>
    <w:p w14:paraId="124C9944" w14:textId="12AFF86B" w:rsidR="009A7B3D" w:rsidRDefault="009A7B3D" w:rsidP="00CE79EF">
      <w:pPr>
        <w:spacing w:line="480" w:lineRule="auto"/>
        <w:rPr>
          <w:rFonts w:ascii="Times New Roman" w:hAnsi="Times New Roman" w:cs="Times New Roman"/>
        </w:rPr>
      </w:pPr>
      <w:r w:rsidRPr="00CE79EF">
        <w:rPr>
          <w:rFonts w:ascii="Times New Roman" w:hAnsi="Times New Roman" w:cs="Times New Roman"/>
        </w:rPr>
        <w:t xml:space="preserve">This image of Augustine shows an important part of his journey and one of the reasons why he is a Christian, </w:t>
      </w:r>
      <w:r w:rsidR="00B46504" w:rsidRPr="00CE79EF">
        <w:rPr>
          <w:rFonts w:ascii="Times New Roman" w:hAnsi="Times New Roman" w:cs="Times New Roman"/>
        </w:rPr>
        <w:t xml:space="preserve">was </w:t>
      </w:r>
      <w:r w:rsidRPr="00CE79EF">
        <w:rPr>
          <w:rFonts w:ascii="Times New Roman" w:hAnsi="Times New Roman" w:cs="Times New Roman"/>
        </w:rPr>
        <w:t>his mother. And as useful as that is when looking into the life of Augustine and some of the reasoning behind certain choices he made in life, it does not relate to the cult of Augustine. Perhaps the way Augustine is presented in the image, with his bishops robes holding a crozier and a heart with a cross on top, possibly gives some insight into the cult, as it is showing his basic principles and beliefs, but even then it still says little about his cult. The reason why this image, and many images of Augustine, show little about his cult, is because he does not really have one. With the lack of miracles and the fact that to understand his work you would have to be an elite member of society</w:t>
      </w:r>
      <w:r w:rsidR="00F0186D" w:rsidRPr="00CE79EF">
        <w:rPr>
          <w:rFonts w:ascii="Times New Roman" w:hAnsi="Times New Roman" w:cs="Times New Roman"/>
        </w:rPr>
        <w:t>, this means that</w:t>
      </w:r>
      <w:r w:rsidRPr="00CE79EF">
        <w:rPr>
          <w:rFonts w:ascii="Times New Roman" w:hAnsi="Times New Roman" w:cs="Times New Roman"/>
        </w:rPr>
        <w:t xml:space="preserve"> there is not enough support for him to have a cult</w:t>
      </w:r>
      <w:r w:rsidR="006C6364" w:rsidRPr="00CE79EF">
        <w:rPr>
          <w:rFonts w:ascii="Times New Roman" w:hAnsi="Times New Roman" w:cs="Times New Roman"/>
        </w:rPr>
        <w:t>, or at least one with a big following.</w:t>
      </w:r>
    </w:p>
    <w:p w14:paraId="03D9DF24" w14:textId="77777777" w:rsidR="00CE79EF" w:rsidRPr="00CE79EF" w:rsidRDefault="00CE79EF" w:rsidP="00CE79EF">
      <w:pPr>
        <w:spacing w:line="480" w:lineRule="auto"/>
        <w:rPr>
          <w:rFonts w:ascii="Times New Roman" w:hAnsi="Times New Roman" w:cs="Times New Roman"/>
        </w:rPr>
      </w:pPr>
    </w:p>
    <w:p w14:paraId="1FA07549" w14:textId="4ECCBA11" w:rsidR="009A7B3D" w:rsidRPr="00CE79EF" w:rsidRDefault="009A7B3D" w:rsidP="00CE79EF">
      <w:pPr>
        <w:spacing w:after="0" w:line="480" w:lineRule="auto"/>
        <w:rPr>
          <w:rFonts w:ascii="Times New Roman" w:hAnsi="Times New Roman" w:cs="Times New Roman"/>
        </w:rPr>
      </w:pPr>
      <w:r w:rsidRPr="00CE79EF">
        <w:rPr>
          <w:rFonts w:ascii="Times New Roman" w:hAnsi="Times New Roman" w:cs="Times New Roman"/>
        </w:rPr>
        <w:t>Saint Augustine of hippo is different when compared to many saints as he was only involved with a few miracles.</w:t>
      </w:r>
      <w:r w:rsidRPr="00CE79EF">
        <w:rPr>
          <w:rStyle w:val="FootnoteReference"/>
          <w:rFonts w:ascii="Times New Roman" w:hAnsi="Times New Roman" w:cs="Times New Roman"/>
        </w:rPr>
        <w:footnoteReference w:id="29"/>
      </w:r>
      <w:r w:rsidRPr="00CE79EF">
        <w:rPr>
          <w:rFonts w:ascii="Times New Roman" w:hAnsi="Times New Roman" w:cs="Times New Roman"/>
        </w:rPr>
        <w:t xml:space="preserve"> The difference is</w:t>
      </w:r>
      <w:r w:rsidR="00AB7450" w:rsidRPr="00CE79EF">
        <w:rPr>
          <w:rFonts w:ascii="Times New Roman" w:hAnsi="Times New Roman" w:cs="Times New Roman"/>
        </w:rPr>
        <w:t>,</w:t>
      </w:r>
      <w:r w:rsidRPr="00CE79EF">
        <w:rPr>
          <w:rFonts w:ascii="Times New Roman" w:hAnsi="Times New Roman" w:cs="Times New Roman"/>
        </w:rPr>
        <w:t xml:space="preserve"> when compared with someone like Saint Benedict where there are lots of written accounts of the miracles he committed, one example of this is the recording of the life </w:t>
      </w:r>
      <w:r w:rsidRPr="00CE79EF">
        <w:rPr>
          <w:rFonts w:ascii="Times New Roman" w:hAnsi="Times New Roman" w:cs="Times New Roman"/>
        </w:rPr>
        <w:lastRenderedPageBreak/>
        <w:t>and miracles of St. Benedict by pope Gregory the great (c.540-604).</w:t>
      </w:r>
      <w:r w:rsidRPr="00CE79EF">
        <w:rPr>
          <w:rStyle w:val="FootnoteReference"/>
          <w:rFonts w:ascii="Times New Roman" w:hAnsi="Times New Roman" w:cs="Times New Roman"/>
        </w:rPr>
        <w:footnoteReference w:id="30"/>
      </w:r>
      <w:r w:rsidRPr="00CE79EF">
        <w:rPr>
          <w:rFonts w:ascii="Times New Roman" w:hAnsi="Times New Roman" w:cs="Times New Roman"/>
        </w:rPr>
        <w:t xml:space="preserve"> </w:t>
      </w:r>
      <w:r w:rsidR="00056960" w:rsidRPr="00CE79EF">
        <w:rPr>
          <w:rFonts w:ascii="Times New Roman" w:hAnsi="Times New Roman" w:cs="Times New Roman"/>
        </w:rPr>
        <w:t>O</w:t>
      </w:r>
      <w:r w:rsidRPr="00CE79EF">
        <w:rPr>
          <w:rFonts w:ascii="Times New Roman" w:hAnsi="Times New Roman" w:cs="Times New Roman"/>
        </w:rPr>
        <w:t xml:space="preserve">r in the later middle ages there are extensive papal records on accounts and testimonies of witnesses to certain miracles and wonderous events, these were then looked through in an attempt by the papacy to determine if a certain event was miraculous, had been the act of a certain saint or God, or simply a wonder. One example of this would be saint Thomas Cantilupe and </w:t>
      </w:r>
      <w:r w:rsidR="00540E0C" w:rsidRPr="00CE79EF">
        <w:rPr>
          <w:rFonts w:ascii="Times New Roman" w:hAnsi="Times New Roman" w:cs="Times New Roman"/>
        </w:rPr>
        <w:t>the</w:t>
      </w:r>
      <w:r w:rsidRPr="00CE79EF">
        <w:rPr>
          <w:rFonts w:ascii="Times New Roman" w:hAnsi="Times New Roman" w:cs="Times New Roman"/>
        </w:rPr>
        <w:t xml:space="preserve"> resurrection of a toddler who had died in 1303.</w:t>
      </w:r>
      <w:r w:rsidRPr="00CE79EF">
        <w:rPr>
          <w:rStyle w:val="FootnoteReference"/>
          <w:rFonts w:ascii="Times New Roman" w:hAnsi="Times New Roman" w:cs="Times New Roman"/>
        </w:rPr>
        <w:footnoteReference w:id="31"/>
      </w:r>
      <w:r w:rsidRPr="00CE79EF">
        <w:rPr>
          <w:rFonts w:ascii="Times New Roman" w:hAnsi="Times New Roman" w:cs="Times New Roman"/>
        </w:rPr>
        <w:t xml:space="preserve"> There are very few works that look into the miracles of Augustine and none of them contain extensive accounts or witness statements. Arguably the best contemporary work that describes Augustine’s miracles is by Possidius, a friend and student of Augustine.</w:t>
      </w:r>
      <w:r w:rsidRPr="00CE79EF">
        <w:rPr>
          <w:rStyle w:val="FootnoteReference"/>
          <w:rFonts w:ascii="Times New Roman" w:hAnsi="Times New Roman" w:cs="Times New Roman"/>
        </w:rPr>
        <w:footnoteReference w:id="32"/>
      </w:r>
      <w:r w:rsidRPr="00CE79EF">
        <w:rPr>
          <w:rFonts w:ascii="Times New Roman" w:hAnsi="Times New Roman" w:cs="Times New Roman"/>
        </w:rPr>
        <w:t xml:space="preserve"> he would write ‘</w:t>
      </w:r>
      <w:r w:rsidRPr="00CE79EF">
        <w:rPr>
          <w:rFonts w:ascii="Times New Roman" w:hAnsi="Times New Roman" w:cs="Times New Roman"/>
          <w:i/>
        </w:rPr>
        <w:t>Vita Augustini’</w:t>
      </w:r>
      <w:r w:rsidRPr="00CE79EF">
        <w:rPr>
          <w:rFonts w:ascii="Times New Roman" w:hAnsi="Times New Roman" w:cs="Times New Roman"/>
        </w:rPr>
        <w:t xml:space="preserve"> about thirty years after the death of Augustine.</w:t>
      </w:r>
      <w:r w:rsidRPr="00CE79EF">
        <w:rPr>
          <w:rStyle w:val="FootnoteReference"/>
          <w:rFonts w:ascii="Times New Roman" w:hAnsi="Times New Roman" w:cs="Times New Roman"/>
        </w:rPr>
        <w:footnoteReference w:id="33"/>
      </w:r>
      <w:r w:rsidRPr="00CE79EF">
        <w:rPr>
          <w:rFonts w:ascii="Times New Roman" w:hAnsi="Times New Roman" w:cs="Times New Roman"/>
        </w:rPr>
        <w:t xml:space="preserve"> Possidius’ aim was to write a biography of Augustine, not to write in length about his supposed miracles, this can be seen as any mention of possible miraculous deeds is about eleven lines on a single page.</w:t>
      </w:r>
      <w:r w:rsidRPr="00CE79EF">
        <w:rPr>
          <w:rStyle w:val="FootnoteReference"/>
          <w:rFonts w:ascii="Times New Roman" w:hAnsi="Times New Roman" w:cs="Times New Roman"/>
        </w:rPr>
        <w:footnoteReference w:id="34"/>
      </w:r>
    </w:p>
    <w:p w14:paraId="69C0321B" w14:textId="77777777" w:rsidR="009A7B3D" w:rsidRPr="00CE79EF" w:rsidRDefault="009A7B3D" w:rsidP="00CE79EF">
      <w:pPr>
        <w:spacing w:after="0" w:line="480" w:lineRule="auto"/>
        <w:rPr>
          <w:rFonts w:ascii="Times New Roman" w:hAnsi="Times New Roman" w:cs="Times New Roman"/>
        </w:rPr>
      </w:pPr>
    </w:p>
    <w:p w14:paraId="0D4F25AE" w14:textId="002F5A65" w:rsidR="009A7B3D" w:rsidRPr="00CE79EF" w:rsidRDefault="009A7B3D" w:rsidP="00CE79EF">
      <w:pPr>
        <w:spacing w:after="0" w:line="480" w:lineRule="auto"/>
        <w:rPr>
          <w:rFonts w:ascii="Times New Roman" w:hAnsi="Times New Roman" w:cs="Times New Roman"/>
        </w:rPr>
      </w:pPr>
      <w:r w:rsidRPr="00CE79EF">
        <w:rPr>
          <w:rFonts w:ascii="Times New Roman" w:hAnsi="Times New Roman" w:cs="Times New Roman"/>
        </w:rPr>
        <w:t>Nonetheless within these eleven lines Possidius mentions two miracles.</w:t>
      </w:r>
      <w:r w:rsidRPr="00CE79EF">
        <w:rPr>
          <w:rStyle w:val="FootnoteReference"/>
          <w:rFonts w:ascii="Times New Roman" w:hAnsi="Times New Roman" w:cs="Times New Roman"/>
        </w:rPr>
        <w:footnoteReference w:id="35"/>
      </w:r>
      <w:r w:rsidRPr="00CE79EF">
        <w:rPr>
          <w:rFonts w:ascii="Times New Roman" w:hAnsi="Times New Roman" w:cs="Times New Roman"/>
        </w:rPr>
        <w:t xml:space="preserve"> The first being that Augustine would be asked to pray for people possessed by demons, and that with ‘tears and supplications’ the demons would leave the person’s body.</w:t>
      </w:r>
      <w:r w:rsidRPr="00CE79EF">
        <w:rPr>
          <w:rStyle w:val="FootnoteReference"/>
          <w:rFonts w:ascii="Times New Roman" w:hAnsi="Times New Roman" w:cs="Times New Roman"/>
        </w:rPr>
        <w:footnoteReference w:id="36"/>
      </w:r>
      <w:r w:rsidRPr="00CE79EF">
        <w:rPr>
          <w:rFonts w:ascii="Times New Roman" w:hAnsi="Times New Roman" w:cs="Times New Roman"/>
        </w:rPr>
        <w:t xml:space="preserve"> The second miracle would be the healing of a visitor brought to him; Augustine was able to heal him immediately upon touching him.</w:t>
      </w:r>
      <w:r w:rsidRPr="00CE79EF">
        <w:rPr>
          <w:rStyle w:val="FootnoteReference"/>
          <w:rFonts w:ascii="Times New Roman" w:hAnsi="Times New Roman" w:cs="Times New Roman"/>
        </w:rPr>
        <w:footnoteReference w:id="37"/>
      </w:r>
      <w:r w:rsidRPr="00CE79EF">
        <w:rPr>
          <w:rFonts w:ascii="Times New Roman" w:hAnsi="Times New Roman" w:cs="Times New Roman"/>
        </w:rPr>
        <w:t xml:space="preserve"> Arguably the most important of these two miracles is the second one, so that is the one I will be looking at further. According to Possidius, Augustine was doubtful about his ability to heal and he even joked about if he had this power he would of used it on himself first, he was quite ill at this time and it was shortly before his death in 430 CE.</w:t>
      </w:r>
      <w:r w:rsidRPr="00CE79EF">
        <w:rPr>
          <w:rStyle w:val="FootnoteReference"/>
          <w:rFonts w:ascii="Times New Roman" w:hAnsi="Times New Roman" w:cs="Times New Roman"/>
        </w:rPr>
        <w:footnoteReference w:id="38"/>
      </w:r>
      <w:r w:rsidRPr="00CE79EF">
        <w:rPr>
          <w:rFonts w:ascii="Times New Roman" w:hAnsi="Times New Roman" w:cs="Times New Roman"/>
        </w:rPr>
        <w:t xml:space="preserve"> it was supposedly only after Augustine was told about a vision this person had about Augustine healing the visitor, that Augustine immediately put his hand on the person and healed them.</w:t>
      </w:r>
      <w:r w:rsidRPr="00CE79EF">
        <w:rPr>
          <w:rStyle w:val="FootnoteReference"/>
          <w:rFonts w:ascii="Times New Roman" w:hAnsi="Times New Roman" w:cs="Times New Roman"/>
        </w:rPr>
        <w:footnoteReference w:id="39"/>
      </w:r>
      <w:r w:rsidRPr="00CE79EF">
        <w:rPr>
          <w:rFonts w:ascii="Times New Roman" w:hAnsi="Times New Roman" w:cs="Times New Roman"/>
        </w:rPr>
        <w:t xml:space="preserve"> Whether this is true or not, it seems likely that Augustine would </w:t>
      </w:r>
      <w:r w:rsidRPr="00CE79EF">
        <w:rPr>
          <w:rFonts w:ascii="Times New Roman" w:hAnsi="Times New Roman" w:cs="Times New Roman"/>
        </w:rPr>
        <w:lastRenderedPageBreak/>
        <w:t xml:space="preserve">have acted in this way, this can be seen by his writings in </w:t>
      </w:r>
      <w:r w:rsidRPr="00CE79EF">
        <w:rPr>
          <w:rFonts w:ascii="Times New Roman" w:hAnsi="Times New Roman" w:cs="Times New Roman"/>
          <w:i/>
        </w:rPr>
        <w:t>Eighty-three different questions</w:t>
      </w:r>
      <w:r w:rsidRPr="00CE79EF">
        <w:rPr>
          <w:rFonts w:ascii="Times New Roman" w:hAnsi="Times New Roman" w:cs="Times New Roman"/>
        </w:rPr>
        <w:t>, and in particular question 79, where he discusses the type of people who can commit miracles.</w:t>
      </w:r>
      <w:r w:rsidRPr="00CE79EF">
        <w:rPr>
          <w:rStyle w:val="FootnoteReference"/>
          <w:rFonts w:ascii="Times New Roman" w:hAnsi="Times New Roman" w:cs="Times New Roman"/>
        </w:rPr>
        <w:footnoteReference w:id="40"/>
      </w:r>
      <w:r w:rsidRPr="00CE79EF">
        <w:rPr>
          <w:rFonts w:ascii="Times New Roman" w:hAnsi="Times New Roman" w:cs="Times New Roman"/>
        </w:rPr>
        <w:t xml:space="preserve"> Within this chapter he expresses the idea that the Christian soul, at least a good Christian soul, always wants to act on and obey the will of God.</w:t>
      </w:r>
      <w:r w:rsidRPr="00CE79EF">
        <w:rPr>
          <w:rStyle w:val="FootnoteReference"/>
          <w:rFonts w:ascii="Times New Roman" w:hAnsi="Times New Roman" w:cs="Times New Roman"/>
        </w:rPr>
        <w:footnoteReference w:id="41"/>
      </w:r>
      <w:r w:rsidRPr="00CE79EF">
        <w:rPr>
          <w:rFonts w:ascii="Times New Roman" w:hAnsi="Times New Roman" w:cs="Times New Roman"/>
        </w:rPr>
        <w:t xml:space="preserve"> so upon hearing the vision this person had</w:t>
      </w:r>
      <w:r w:rsidR="001D2B29" w:rsidRPr="00CE79EF">
        <w:rPr>
          <w:rFonts w:ascii="Times New Roman" w:hAnsi="Times New Roman" w:cs="Times New Roman"/>
        </w:rPr>
        <w:t>,</w:t>
      </w:r>
      <w:r w:rsidRPr="00CE79EF">
        <w:rPr>
          <w:rFonts w:ascii="Times New Roman" w:hAnsi="Times New Roman" w:cs="Times New Roman"/>
        </w:rPr>
        <w:t xml:space="preserve"> Augustine must of thought it was his duty to obey God and do what was commanded, hence him placing his hand on him immediately, and his actions were rewarded with the immediate healing of this person.</w:t>
      </w:r>
    </w:p>
    <w:p w14:paraId="30653EF5" w14:textId="77777777" w:rsidR="009A7B3D" w:rsidRPr="00CE79EF" w:rsidRDefault="009A7B3D" w:rsidP="00CE79EF">
      <w:pPr>
        <w:spacing w:after="0" w:line="480" w:lineRule="auto"/>
        <w:ind w:left="720"/>
        <w:rPr>
          <w:rFonts w:ascii="Times New Roman" w:hAnsi="Times New Roman" w:cs="Times New Roman"/>
        </w:rPr>
      </w:pPr>
    </w:p>
    <w:p w14:paraId="372D0011" w14:textId="77777777" w:rsidR="009A7B3D" w:rsidRPr="00CE79EF" w:rsidRDefault="009A7B3D" w:rsidP="00CE79EF">
      <w:pPr>
        <w:spacing w:after="0" w:line="480" w:lineRule="auto"/>
        <w:rPr>
          <w:rFonts w:ascii="Times New Roman" w:hAnsi="Times New Roman" w:cs="Times New Roman"/>
        </w:rPr>
      </w:pPr>
    </w:p>
    <w:p w14:paraId="54685574" w14:textId="33AB8266" w:rsidR="009A7B3D" w:rsidRPr="00CE79EF" w:rsidRDefault="009A7B3D" w:rsidP="00CE79EF">
      <w:pPr>
        <w:spacing w:after="0" w:line="480" w:lineRule="auto"/>
        <w:rPr>
          <w:rFonts w:ascii="Times New Roman" w:hAnsi="Times New Roman" w:cs="Times New Roman"/>
        </w:rPr>
      </w:pPr>
      <w:r w:rsidRPr="00CE79EF">
        <w:rPr>
          <w:rFonts w:ascii="Times New Roman" w:hAnsi="Times New Roman" w:cs="Times New Roman"/>
        </w:rPr>
        <w:t>At the start of his biography Possidius stat</w:t>
      </w:r>
      <w:r w:rsidR="001D2B29" w:rsidRPr="00CE79EF">
        <w:rPr>
          <w:rFonts w:ascii="Times New Roman" w:hAnsi="Times New Roman" w:cs="Times New Roman"/>
        </w:rPr>
        <w:t>e</w:t>
      </w:r>
      <w:r w:rsidRPr="00CE79EF">
        <w:rPr>
          <w:rFonts w:ascii="Times New Roman" w:hAnsi="Times New Roman" w:cs="Times New Roman"/>
        </w:rPr>
        <w:t>s that the reason why he is writing this biography is because he is “under the inspiration of God”.</w:t>
      </w:r>
      <w:r w:rsidRPr="00CE79EF">
        <w:rPr>
          <w:rStyle w:val="FootnoteReference"/>
          <w:rFonts w:ascii="Times New Roman" w:hAnsi="Times New Roman" w:cs="Times New Roman"/>
        </w:rPr>
        <w:footnoteReference w:id="42"/>
      </w:r>
      <w:r w:rsidRPr="00CE79EF">
        <w:rPr>
          <w:rFonts w:ascii="Times New Roman" w:hAnsi="Times New Roman" w:cs="Times New Roman"/>
        </w:rPr>
        <w:t xml:space="preserve"> Whether this is true or not is irrelevant, but the fact he said this shows that, at least to some extent, there is continuity between Christian biographies, especially biographies of saints, throughout the medieval period. Many accounts of the lives or actions of saints start in a similar way, although instead of being under the inspiration of God, the author is normally inspired by a saint who came to them in a vision. The significance of this is that it shows the impact that church fathers, such as Augustine had on Christian literature. Often Christian biographies, as well as other Christian literature, would go back to classical works as a model example of how things should be written, although this slightly changes in the later medieval period. another example is that many early Christian writings of saints, mainly martyr saints at this time, would normally start with the author apologising for their writing and ability to write down this persons work, a pre-medieval example of this is in </w:t>
      </w:r>
      <w:r w:rsidRPr="00CE79EF">
        <w:rPr>
          <w:rFonts w:ascii="Times New Roman" w:hAnsi="Times New Roman" w:cs="Times New Roman"/>
          <w:i/>
        </w:rPr>
        <w:t>the life of Cecil Cyprian</w:t>
      </w:r>
      <w:r w:rsidRPr="00CE79EF">
        <w:rPr>
          <w:rFonts w:ascii="Times New Roman" w:hAnsi="Times New Roman" w:cs="Times New Roman"/>
        </w:rPr>
        <w:t xml:space="preserve"> by Pontius in 259 CE who states that “he is unequal to the task of using diction in a manner worthy of the honour due his merits”,</w:t>
      </w:r>
      <w:r w:rsidR="004E4F7E" w:rsidRPr="00CE79EF">
        <w:rPr>
          <w:rStyle w:val="FootnoteReference"/>
          <w:rFonts w:ascii="Times New Roman" w:hAnsi="Times New Roman" w:cs="Times New Roman"/>
        </w:rPr>
        <w:footnoteReference w:id="43"/>
      </w:r>
      <w:r w:rsidRPr="00CE79EF">
        <w:rPr>
          <w:rFonts w:ascii="Times New Roman" w:hAnsi="Times New Roman" w:cs="Times New Roman"/>
        </w:rPr>
        <w:t xml:space="preserve"> another example of this is the crusading text </w:t>
      </w:r>
      <w:r w:rsidRPr="00CE79EF">
        <w:rPr>
          <w:rFonts w:ascii="Times New Roman" w:hAnsi="Times New Roman" w:cs="Times New Roman"/>
          <w:i/>
        </w:rPr>
        <w:t>Gesta Tancredi</w:t>
      </w:r>
      <w:r w:rsidRPr="00CE79EF">
        <w:rPr>
          <w:rFonts w:ascii="Times New Roman" w:hAnsi="Times New Roman" w:cs="Times New Roman"/>
        </w:rPr>
        <w:t xml:space="preserve"> by Ralph of Caen, which follows this pattern stating that he was not confident in his skills to record the events of the first </w:t>
      </w:r>
      <w:r w:rsidRPr="00CE79EF">
        <w:rPr>
          <w:rFonts w:ascii="Times New Roman" w:hAnsi="Times New Roman" w:cs="Times New Roman"/>
        </w:rPr>
        <w:lastRenderedPageBreak/>
        <w:t>crusade from the perspective of Tancred and Bohemond.</w:t>
      </w:r>
      <w:r w:rsidR="00E44A28" w:rsidRPr="00CE79EF">
        <w:rPr>
          <w:rStyle w:val="FootnoteReference"/>
          <w:rFonts w:ascii="Times New Roman" w:hAnsi="Times New Roman" w:cs="Times New Roman"/>
        </w:rPr>
        <w:footnoteReference w:id="44"/>
      </w:r>
      <w:r w:rsidRPr="00CE79EF">
        <w:rPr>
          <w:rFonts w:ascii="Times New Roman" w:hAnsi="Times New Roman" w:cs="Times New Roman"/>
        </w:rPr>
        <w:t xml:space="preserve"> This shows how influential and important texts like Possidius’ were when looking at later Christian texts.</w:t>
      </w:r>
    </w:p>
    <w:p w14:paraId="41A335B5" w14:textId="77777777" w:rsidR="009A7B3D" w:rsidRPr="00CE79EF" w:rsidRDefault="009A7B3D" w:rsidP="00CE79EF">
      <w:pPr>
        <w:spacing w:after="0" w:line="480" w:lineRule="auto"/>
        <w:ind w:left="720"/>
        <w:rPr>
          <w:rFonts w:ascii="Times New Roman" w:hAnsi="Times New Roman" w:cs="Times New Roman"/>
        </w:rPr>
      </w:pPr>
    </w:p>
    <w:p w14:paraId="2D50302E" w14:textId="2BEF1E01" w:rsidR="009A7B3D" w:rsidRPr="00CE79EF" w:rsidRDefault="009A7B3D" w:rsidP="00CE79EF">
      <w:pPr>
        <w:spacing w:after="0" w:line="480" w:lineRule="auto"/>
        <w:rPr>
          <w:rFonts w:ascii="Times New Roman" w:hAnsi="Times New Roman" w:cs="Times New Roman"/>
        </w:rPr>
      </w:pPr>
      <w:r w:rsidRPr="00CE79EF">
        <w:rPr>
          <w:rFonts w:ascii="Times New Roman" w:hAnsi="Times New Roman" w:cs="Times New Roman"/>
        </w:rPr>
        <w:t xml:space="preserve">The biography of Augustine by Possidius can be seen as both a useful and not useful text when looking at Augustine. It is useful in the sense that despite there being very few miracles mentioned, it is was of the few sources that state Augustine did commit some miracles. It is not useful in the sense that if a person wanted to read </w:t>
      </w:r>
      <w:r w:rsidR="00AF7907" w:rsidRPr="00CE79EF">
        <w:rPr>
          <w:rFonts w:ascii="Times New Roman" w:hAnsi="Times New Roman" w:cs="Times New Roman"/>
        </w:rPr>
        <w:t>this as a</w:t>
      </w:r>
      <w:r w:rsidRPr="00CE79EF">
        <w:rPr>
          <w:rFonts w:ascii="Times New Roman" w:hAnsi="Times New Roman" w:cs="Times New Roman"/>
        </w:rPr>
        <w:t xml:space="preserve"> biography of Augustine. This biography has been described as a ‘minimalist biography’,</w:t>
      </w:r>
      <w:r w:rsidRPr="00CE79EF">
        <w:rPr>
          <w:rStyle w:val="FootnoteReference"/>
          <w:rFonts w:ascii="Times New Roman" w:hAnsi="Times New Roman" w:cs="Times New Roman"/>
        </w:rPr>
        <w:footnoteReference w:id="45"/>
      </w:r>
      <w:r w:rsidRPr="00CE79EF">
        <w:rPr>
          <w:rFonts w:ascii="Times New Roman" w:hAnsi="Times New Roman" w:cs="Times New Roman"/>
        </w:rPr>
        <w:t xml:space="preserve"> this is not necessarily a bad thing though, Possidus makes a point of excluding most detail that was included in </w:t>
      </w:r>
      <w:r w:rsidRPr="00CE79EF">
        <w:rPr>
          <w:rFonts w:ascii="Times New Roman" w:hAnsi="Times New Roman" w:cs="Times New Roman"/>
          <w:i/>
        </w:rPr>
        <w:t>the confessions</w:t>
      </w:r>
      <w:r w:rsidRPr="00CE79EF">
        <w:rPr>
          <w:rFonts w:ascii="Times New Roman" w:hAnsi="Times New Roman" w:cs="Times New Roman"/>
        </w:rPr>
        <w:t>,</w:t>
      </w:r>
      <w:r w:rsidRPr="00CE79EF">
        <w:rPr>
          <w:rStyle w:val="FootnoteReference"/>
          <w:rFonts w:ascii="Times New Roman" w:hAnsi="Times New Roman" w:cs="Times New Roman"/>
        </w:rPr>
        <w:footnoteReference w:id="46"/>
      </w:r>
      <w:r w:rsidRPr="00CE79EF">
        <w:rPr>
          <w:rFonts w:ascii="Times New Roman" w:hAnsi="Times New Roman" w:cs="Times New Roman"/>
        </w:rPr>
        <w:t xml:space="preserve"> without these details</w:t>
      </w:r>
      <w:r w:rsidR="00374C62" w:rsidRPr="00CE79EF">
        <w:rPr>
          <w:rFonts w:ascii="Times New Roman" w:hAnsi="Times New Roman" w:cs="Times New Roman"/>
        </w:rPr>
        <w:t>,</w:t>
      </w:r>
      <w:r w:rsidRPr="00CE79EF">
        <w:rPr>
          <w:rFonts w:ascii="Times New Roman" w:hAnsi="Times New Roman" w:cs="Times New Roman"/>
        </w:rPr>
        <w:t xml:space="preserve"> the text can be seen as a bit flat in areas,</w:t>
      </w:r>
      <w:r w:rsidRPr="00CE79EF">
        <w:rPr>
          <w:rStyle w:val="FootnoteReference"/>
          <w:rFonts w:ascii="Times New Roman" w:hAnsi="Times New Roman" w:cs="Times New Roman"/>
        </w:rPr>
        <w:footnoteReference w:id="47"/>
      </w:r>
      <w:r w:rsidRPr="00CE79EF">
        <w:rPr>
          <w:rFonts w:ascii="Times New Roman" w:hAnsi="Times New Roman" w:cs="Times New Roman"/>
        </w:rPr>
        <w:t xml:space="preserve"> but</w:t>
      </w:r>
      <w:r w:rsidR="00374C62" w:rsidRPr="00CE79EF">
        <w:rPr>
          <w:rFonts w:ascii="Times New Roman" w:hAnsi="Times New Roman" w:cs="Times New Roman"/>
        </w:rPr>
        <w:t xml:space="preserve"> it also</w:t>
      </w:r>
      <w:r w:rsidRPr="00CE79EF">
        <w:rPr>
          <w:rFonts w:ascii="Times New Roman" w:hAnsi="Times New Roman" w:cs="Times New Roman"/>
        </w:rPr>
        <w:t xml:space="preserve"> makes it a lot easier to read, and this also means that it is a shorter text, and therefore it can be read in a shorter time. Possidius’ work is 51 pages,</w:t>
      </w:r>
      <w:r w:rsidRPr="00CE79EF">
        <w:rPr>
          <w:rStyle w:val="FootnoteReference"/>
          <w:rFonts w:ascii="Times New Roman" w:hAnsi="Times New Roman" w:cs="Times New Roman"/>
        </w:rPr>
        <w:footnoteReference w:id="48"/>
      </w:r>
      <w:r w:rsidRPr="00CE79EF">
        <w:rPr>
          <w:rFonts w:ascii="Times New Roman" w:hAnsi="Times New Roman" w:cs="Times New Roman"/>
        </w:rPr>
        <w:t xml:space="preserve"> whereas </w:t>
      </w:r>
      <w:r w:rsidRPr="00CE79EF">
        <w:rPr>
          <w:rFonts w:ascii="Times New Roman" w:hAnsi="Times New Roman" w:cs="Times New Roman"/>
          <w:i/>
        </w:rPr>
        <w:t xml:space="preserve">the confessions </w:t>
      </w:r>
      <w:r w:rsidR="00832F67" w:rsidRPr="00CE79EF">
        <w:rPr>
          <w:rFonts w:ascii="Times New Roman" w:hAnsi="Times New Roman" w:cs="Times New Roman"/>
        </w:rPr>
        <w:t>are</w:t>
      </w:r>
      <w:r w:rsidRPr="00CE79EF">
        <w:rPr>
          <w:rFonts w:ascii="Times New Roman" w:hAnsi="Times New Roman" w:cs="Times New Roman"/>
        </w:rPr>
        <w:t xml:space="preserve"> 341 pages long.</w:t>
      </w:r>
      <w:r w:rsidRPr="00CE79EF">
        <w:rPr>
          <w:rStyle w:val="FootnoteReference"/>
          <w:rFonts w:ascii="Times New Roman" w:hAnsi="Times New Roman" w:cs="Times New Roman"/>
        </w:rPr>
        <w:footnoteReference w:id="49"/>
      </w:r>
      <w:r w:rsidR="002471C5" w:rsidRPr="00CE79EF">
        <w:rPr>
          <w:rFonts w:ascii="Times New Roman" w:hAnsi="Times New Roman" w:cs="Times New Roman"/>
        </w:rPr>
        <w:t xml:space="preserve"> </w:t>
      </w:r>
    </w:p>
    <w:p w14:paraId="78551CDD" w14:textId="77777777" w:rsidR="009A7B3D" w:rsidRPr="00CE79EF" w:rsidRDefault="009A7B3D" w:rsidP="00CE79EF">
      <w:pPr>
        <w:spacing w:after="0" w:line="480" w:lineRule="auto"/>
        <w:ind w:left="720"/>
        <w:rPr>
          <w:rFonts w:ascii="Times New Roman" w:hAnsi="Times New Roman" w:cs="Times New Roman"/>
        </w:rPr>
      </w:pPr>
    </w:p>
    <w:p w14:paraId="075D948A" w14:textId="30577DDC" w:rsidR="009A7B3D" w:rsidRPr="00CE79EF" w:rsidRDefault="00054295" w:rsidP="00CE79EF">
      <w:pPr>
        <w:spacing w:after="0" w:line="480" w:lineRule="auto"/>
        <w:rPr>
          <w:rFonts w:ascii="Times New Roman" w:hAnsi="Times New Roman" w:cs="Times New Roman"/>
        </w:rPr>
      </w:pPr>
      <w:r w:rsidRPr="00CE79EF">
        <w:rPr>
          <w:rFonts w:ascii="Times New Roman" w:hAnsi="Times New Roman" w:cs="Times New Roman"/>
        </w:rPr>
        <w:t xml:space="preserve">Possidius’ </w:t>
      </w:r>
      <w:r w:rsidR="00162932" w:rsidRPr="00CE79EF">
        <w:rPr>
          <w:rFonts w:ascii="Times New Roman" w:hAnsi="Times New Roman" w:cs="Times New Roman"/>
        </w:rPr>
        <w:t xml:space="preserve">biography </w:t>
      </w:r>
      <w:r w:rsidR="00546357" w:rsidRPr="00CE79EF">
        <w:rPr>
          <w:rFonts w:ascii="Times New Roman" w:hAnsi="Times New Roman" w:cs="Times New Roman"/>
        </w:rPr>
        <w:t xml:space="preserve">can be seen as helpful as it </w:t>
      </w:r>
      <w:r w:rsidR="00E74493" w:rsidRPr="00CE79EF">
        <w:rPr>
          <w:rFonts w:ascii="Times New Roman" w:hAnsi="Times New Roman" w:cs="Times New Roman"/>
        </w:rPr>
        <w:t>gives</w:t>
      </w:r>
      <w:r w:rsidR="00F0154B" w:rsidRPr="00CE79EF">
        <w:rPr>
          <w:rFonts w:ascii="Times New Roman" w:hAnsi="Times New Roman" w:cs="Times New Roman"/>
        </w:rPr>
        <w:t xml:space="preserve"> some, although very minor, detail into miracles performed by Augustine</w:t>
      </w:r>
      <w:r w:rsidR="00373246" w:rsidRPr="00CE79EF">
        <w:rPr>
          <w:rFonts w:ascii="Times New Roman" w:hAnsi="Times New Roman" w:cs="Times New Roman"/>
        </w:rPr>
        <w:t>. As stated previously there are barely any sources on Augustine</w:t>
      </w:r>
      <w:r w:rsidR="00162932" w:rsidRPr="00CE79EF">
        <w:rPr>
          <w:rFonts w:ascii="Times New Roman" w:hAnsi="Times New Roman" w:cs="Times New Roman"/>
        </w:rPr>
        <w:t>’s miracles, so because of this</w:t>
      </w:r>
      <w:r w:rsidR="00C0398C" w:rsidRPr="00CE79EF">
        <w:rPr>
          <w:rFonts w:ascii="Times New Roman" w:hAnsi="Times New Roman" w:cs="Times New Roman"/>
        </w:rPr>
        <w:t>,</w:t>
      </w:r>
      <w:r w:rsidR="00162932" w:rsidRPr="00CE79EF">
        <w:rPr>
          <w:rFonts w:ascii="Times New Roman" w:hAnsi="Times New Roman" w:cs="Times New Roman"/>
        </w:rPr>
        <w:t xml:space="preserve"> Possidius’ work </w:t>
      </w:r>
      <w:r w:rsidR="00C0398C" w:rsidRPr="00CE79EF">
        <w:rPr>
          <w:rFonts w:ascii="Times New Roman" w:hAnsi="Times New Roman" w:cs="Times New Roman"/>
        </w:rPr>
        <w:t xml:space="preserve">is extremely important and gives a rare insight into </w:t>
      </w:r>
      <w:r w:rsidR="00DE108A" w:rsidRPr="00CE79EF">
        <w:rPr>
          <w:rFonts w:ascii="Times New Roman" w:hAnsi="Times New Roman" w:cs="Times New Roman"/>
        </w:rPr>
        <w:t xml:space="preserve">how </w:t>
      </w:r>
      <w:r w:rsidR="00AF769B" w:rsidRPr="00CE79EF">
        <w:rPr>
          <w:rFonts w:ascii="Times New Roman" w:hAnsi="Times New Roman" w:cs="Times New Roman"/>
        </w:rPr>
        <w:t xml:space="preserve">Augustine used this gift. But if you were to view this text as </w:t>
      </w:r>
      <w:r w:rsidR="00860999" w:rsidRPr="00CE79EF">
        <w:rPr>
          <w:rFonts w:ascii="Times New Roman" w:hAnsi="Times New Roman" w:cs="Times New Roman"/>
        </w:rPr>
        <w:t xml:space="preserve">being a biography first, rather than </w:t>
      </w:r>
      <w:r w:rsidR="00EB7408" w:rsidRPr="00CE79EF">
        <w:rPr>
          <w:rFonts w:ascii="Times New Roman" w:hAnsi="Times New Roman" w:cs="Times New Roman"/>
        </w:rPr>
        <w:t>to</w:t>
      </w:r>
      <w:r w:rsidR="00860999" w:rsidRPr="00CE79EF">
        <w:rPr>
          <w:rFonts w:ascii="Times New Roman" w:hAnsi="Times New Roman" w:cs="Times New Roman"/>
        </w:rPr>
        <w:t xml:space="preserve"> learn about Augustine’s miracles, then this text would </w:t>
      </w:r>
      <w:r w:rsidR="004E7726" w:rsidRPr="00CE79EF">
        <w:rPr>
          <w:rFonts w:ascii="Times New Roman" w:hAnsi="Times New Roman" w:cs="Times New Roman"/>
        </w:rPr>
        <w:t>be</w:t>
      </w:r>
      <w:r w:rsidR="00860999" w:rsidRPr="00CE79EF">
        <w:rPr>
          <w:rFonts w:ascii="Times New Roman" w:hAnsi="Times New Roman" w:cs="Times New Roman"/>
        </w:rPr>
        <w:t xml:space="preserve"> a lot less important</w:t>
      </w:r>
      <w:r w:rsidR="001A5313" w:rsidRPr="00CE79EF">
        <w:rPr>
          <w:rFonts w:ascii="Times New Roman" w:hAnsi="Times New Roman" w:cs="Times New Roman"/>
        </w:rPr>
        <w:t>. It does give a somewhat good contemporary view into Augustines life, but there are many better biographies of Augustine out there</w:t>
      </w:r>
      <w:r w:rsidR="00E74493" w:rsidRPr="00CE79EF">
        <w:rPr>
          <w:rFonts w:ascii="Times New Roman" w:hAnsi="Times New Roman" w:cs="Times New Roman"/>
        </w:rPr>
        <w:t xml:space="preserve">. </w:t>
      </w:r>
    </w:p>
    <w:p w14:paraId="38925199" w14:textId="77777777" w:rsidR="009A7B3D" w:rsidRPr="00CE79EF" w:rsidRDefault="009A7B3D" w:rsidP="00CE79EF">
      <w:pPr>
        <w:spacing w:after="0" w:line="480" w:lineRule="auto"/>
        <w:rPr>
          <w:rFonts w:ascii="Times New Roman" w:hAnsi="Times New Roman" w:cs="Times New Roman"/>
        </w:rPr>
      </w:pPr>
    </w:p>
    <w:p w14:paraId="60512C8D" w14:textId="77777777" w:rsidR="009A7B3D" w:rsidRPr="00CE79EF" w:rsidRDefault="009A7B3D" w:rsidP="00CE79EF">
      <w:pPr>
        <w:spacing w:after="0" w:line="480" w:lineRule="auto"/>
        <w:ind w:left="720"/>
        <w:rPr>
          <w:rFonts w:ascii="Times New Roman" w:hAnsi="Times New Roman" w:cs="Times New Roman"/>
        </w:rPr>
      </w:pPr>
      <w:r w:rsidRPr="00CE79EF">
        <w:rPr>
          <w:rFonts w:ascii="Times New Roman" w:hAnsi="Times New Roman" w:cs="Times New Roman"/>
        </w:rPr>
        <w:t xml:space="preserve"> </w:t>
      </w:r>
    </w:p>
    <w:p w14:paraId="2527127D" w14:textId="77777777" w:rsidR="009A7B3D" w:rsidRPr="00CE79EF" w:rsidRDefault="009A7B3D" w:rsidP="00CE79EF">
      <w:pPr>
        <w:spacing w:after="0" w:line="480" w:lineRule="auto"/>
        <w:rPr>
          <w:rFonts w:ascii="Times New Roman" w:hAnsi="Times New Roman" w:cs="Times New Roman"/>
        </w:rPr>
      </w:pPr>
    </w:p>
    <w:p w14:paraId="66FD0326" w14:textId="77777777" w:rsidR="009A7B3D" w:rsidRPr="00CE79EF" w:rsidRDefault="009A7B3D" w:rsidP="00CE79EF">
      <w:pPr>
        <w:spacing w:after="0" w:line="480" w:lineRule="auto"/>
        <w:ind w:left="720"/>
        <w:rPr>
          <w:rFonts w:ascii="Times New Roman" w:hAnsi="Times New Roman" w:cs="Times New Roman"/>
        </w:rPr>
      </w:pPr>
    </w:p>
    <w:p w14:paraId="136EBC6C" w14:textId="7BDB35D5"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lastRenderedPageBreak/>
        <w:t>Saint Augustine has influenced many key medieval Christian principles. These include, the idea of purgatory,</w:t>
      </w:r>
      <w:r w:rsidRPr="00CE79EF">
        <w:rPr>
          <w:rStyle w:val="FootnoteReference"/>
          <w:rFonts w:ascii="Times New Roman" w:hAnsi="Times New Roman" w:cs="Times New Roman"/>
        </w:rPr>
        <w:footnoteReference w:id="50"/>
      </w:r>
      <w:r w:rsidRPr="00CE79EF">
        <w:rPr>
          <w:rFonts w:ascii="Times New Roman" w:hAnsi="Times New Roman" w:cs="Times New Roman"/>
        </w:rPr>
        <w:t xml:space="preserve"> the concept of good and evil, spirituality, and materiality, although there are many more concepts and ideas in Christian doctrine that have either been directly or indirectly affected by Augustine’s work.</w:t>
      </w:r>
      <w:r w:rsidR="00943812" w:rsidRPr="00CE79EF">
        <w:rPr>
          <w:rStyle w:val="FootnoteReference"/>
          <w:rFonts w:ascii="Times New Roman" w:hAnsi="Times New Roman" w:cs="Times New Roman"/>
        </w:rPr>
        <w:footnoteReference w:id="51"/>
      </w:r>
      <w:r w:rsidRPr="00CE79EF">
        <w:rPr>
          <w:rFonts w:ascii="Times New Roman" w:hAnsi="Times New Roman" w:cs="Times New Roman"/>
        </w:rPr>
        <w:t xml:space="preserve"> Out of all the many areas Augustine has been influential in, the area I am going to be focusing on is the concept of miracles and the things that come </w:t>
      </w:r>
      <w:r w:rsidR="005C628F" w:rsidRPr="00CE79EF">
        <w:rPr>
          <w:rFonts w:ascii="Times New Roman" w:hAnsi="Times New Roman" w:cs="Times New Roman"/>
        </w:rPr>
        <w:t>as a result of them</w:t>
      </w:r>
      <w:r w:rsidR="007705F7" w:rsidRPr="00CE79EF">
        <w:rPr>
          <w:rFonts w:ascii="Times New Roman" w:hAnsi="Times New Roman" w:cs="Times New Roman"/>
        </w:rPr>
        <w:t>. This can be as</w:t>
      </w:r>
      <w:r w:rsidRPr="00CE79EF">
        <w:rPr>
          <w:rFonts w:ascii="Times New Roman" w:hAnsi="Times New Roman" w:cs="Times New Roman"/>
        </w:rPr>
        <w:t xml:space="preserve"> either a direct result, such as economic factors, or a</w:t>
      </w:r>
      <w:r w:rsidR="00390B7E" w:rsidRPr="00CE79EF">
        <w:rPr>
          <w:rFonts w:ascii="Times New Roman" w:hAnsi="Times New Roman" w:cs="Times New Roman"/>
        </w:rPr>
        <w:t>n</w:t>
      </w:r>
      <w:r w:rsidRPr="00CE79EF">
        <w:rPr>
          <w:rFonts w:ascii="Times New Roman" w:hAnsi="Times New Roman" w:cs="Times New Roman"/>
        </w:rPr>
        <w:t xml:space="preserve"> indirect result, such as the sense of community and creation of a local identity. Miracles were an important part of medieval life throughout Christendom for everyone in society, it impacted the lives of the clergy, nobles and the ruling families, and the common people alike. Miracles can be seen as important because they</w:t>
      </w:r>
      <w:r w:rsidR="00B46473" w:rsidRPr="00CE79EF">
        <w:rPr>
          <w:rFonts w:ascii="Times New Roman" w:hAnsi="Times New Roman" w:cs="Times New Roman"/>
        </w:rPr>
        <w:t xml:space="preserve"> were</w:t>
      </w:r>
      <w:r w:rsidRPr="00CE79EF">
        <w:rPr>
          <w:rFonts w:ascii="Times New Roman" w:hAnsi="Times New Roman" w:cs="Times New Roman"/>
        </w:rPr>
        <w:t xml:space="preserve"> used in many ways, they were used as a tool by the clergy to control a local population by enforcing certain ideals, they were a key pillar in the creation of a saint’s cult, and often miracles were used as a propaganda tool.</w:t>
      </w:r>
    </w:p>
    <w:p w14:paraId="1A3F3921" w14:textId="0DC46074"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 xml:space="preserve">Before discussing the impact Augustine had in the use and understandings of miracles, it is important to firstly discuss why miracles were such a crucial part of medieval life, and the role they played in society. The act of a miracle could come in several forms, it could be by a person, </w:t>
      </w:r>
      <w:r w:rsidR="00DE438A" w:rsidRPr="00CE79EF">
        <w:rPr>
          <w:rFonts w:ascii="Times New Roman" w:hAnsi="Times New Roman" w:cs="Times New Roman"/>
        </w:rPr>
        <w:t>two examples of this are; firstly</w:t>
      </w:r>
      <w:r w:rsidR="00DA18DB" w:rsidRPr="00CE79EF">
        <w:rPr>
          <w:rFonts w:ascii="Times New Roman" w:hAnsi="Times New Roman" w:cs="Times New Roman"/>
        </w:rPr>
        <w:t>,</w:t>
      </w:r>
      <w:r w:rsidRPr="00CE79EF">
        <w:rPr>
          <w:rFonts w:ascii="Times New Roman" w:hAnsi="Times New Roman" w:cs="Times New Roman"/>
        </w:rPr>
        <w:t xml:space="preserve"> Saint Francis who tamed a cicada,</w:t>
      </w:r>
      <w:r w:rsidRPr="00CE79EF">
        <w:rPr>
          <w:rStyle w:val="FootnoteReference"/>
          <w:rFonts w:ascii="Times New Roman" w:hAnsi="Times New Roman" w:cs="Times New Roman"/>
        </w:rPr>
        <w:footnoteReference w:id="52"/>
      </w:r>
      <w:r w:rsidRPr="00CE79EF">
        <w:rPr>
          <w:rFonts w:ascii="Times New Roman" w:hAnsi="Times New Roman" w:cs="Times New Roman"/>
        </w:rPr>
        <w:t xml:space="preserve"> </w:t>
      </w:r>
      <w:r w:rsidR="00DE438A" w:rsidRPr="00CE79EF">
        <w:rPr>
          <w:rFonts w:ascii="Times New Roman" w:hAnsi="Times New Roman" w:cs="Times New Roman"/>
        </w:rPr>
        <w:t>and secondly</w:t>
      </w:r>
      <w:r w:rsidR="00DA18DB" w:rsidRPr="00CE79EF">
        <w:rPr>
          <w:rFonts w:ascii="Times New Roman" w:hAnsi="Times New Roman" w:cs="Times New Roman"/>
        </w:rPr>
        <w:t>,</w:t>
      </w:r>
      <w:r w:rsidRPr="00CE79EF">
        <w:rPr>
          <w:rFonts w:ascii="Times New Roman" w:hAnsi="Times New Roman" w:cs="Times New Roman"/>
        </w:rPr>
        <w:t xml:space="preserve"> Thomas Cantilupe who has 29 miracles attested to him</w:t>
      </w:r>
      <w:r w:rsidR="00DA18DB" w:rsidRPr="00CE79EF">
        <w:rPr>
          <w:rFonts w:ascii="Times New Roman" w:hAnsi="Times New Roman" w:cs="Times New Roman"/>
        </w:rPr>
        <w:t>.</w:t>
      </w:r>
      <w:r w:rsidR="00314318" w:rsidRPr="00CE79EF">
        <w:rPr>
          <w:rStyle w:val="FootnoteReference"/>
          <w:rFonts w:ascii="Times New Roman" w:hAnsi="Times New Roman" w:cs="Times New Roman"/>
        </w:rPr>
        <w:footnoteReference w:id="53"/>
      </w:r>
      <w:r w:rsidRPr="00CE79EF">
        <w:rPr>
          <w:rFonts w:ascii="Times New Roman" w:hAnsi="Times New Roman" w:cs="Times New Roman"/>
        </w:rPr>
        <w:t xml:space="preserve"> </w:t>
      </w:r>
      <w:r w:rsidR="00DA18DB" w:rsidRPr="00CE79EF">
        <w:rPr>
          <w:rFonts w:ascii="Times New Roman" w:hAnsi="Times New Roman" w:cs="Times New Roman"/>
        </w:rPr>
        <w:t>Vi</w:t>
      </w:r>
      <w:r w:rsidRPr="00CE79EF">
        <w:rPr>
          <w:rFonts w:ascii="Times New Roman" w:hAnsi="Times New Roman" w:cs="Times New Roman"/>
        </w:rPr>
        <w:t>a visions like saint Nicholas who appeared to emperor Constantine,</w:t>
      </w:r>
      <w:r w:rsidR="007234E1" w:rsidRPr="00CE79EF">
        <w:rPr>
          <w:rStyle w:val="FootnoteReference"/>
          <w:rFonts w:ascii="Times New Roman" w:hAnsi="Times New Roman" w:cs="Times New Roman"/>
        </w:rPr>
        <w:footnoteReference w:id="54"/>
      </w:r>
      <w:r w:rsidRPr="00CE79EF">
        <w:rPr>
          <w:rFonts w:ascii="Times New Roman" w:hAnsi="Times New Roman" w:cs="Times New Roman"/>
        </w:rPr>
        <w:t xml:space="preserve"> or as a relic either on its own or in a reliquary, one example of this would be the use of Thomas Becket’s blood, where a man healed his paralyzed wife with the Becket’s blood on the day he was murdered.</w:t>
      </w:r>
      <w:r w:rsidRPr="00CE79EF">
        <w:rPr>
          <w:rStyle w:val="FootnoteReference"/>
          <w:rFonts w:ascii="Times New Roman" w:hAnsi="Times New Roman" w:cs="Times New Roman"/>
        </w:rPr>
        <w:footnoteReference w:id="55"/>
      </w:r>
      <w:r w:rsidRPr="00CE79EF">
        <w:rPr>
          <w:rFonts w:ascii="Times New Roman" w:hAnsi="Times New Roman" w:cs="Times New Roman"/>
        </w:rPr>
        <w:t xml:space="preserve"> Although in a sense, how the miracle happened, such as by a saint or relic, is less important </w:t>
      </w:r>
      <w:r w:rsidR="006E0753" w:rsidRPr="00CE79EF">
        <w:rPr>
          <w:rFonts w:ascii="Times New Roman" w:hAnsi="Times New Roman" w:cs="Times New Roman"/>
        </w:rPr>
        <w:t>than</w:t>
      </w:r>
      <w:r w:rsidRPr="00CE79EF">
        <w:rPr>
          <w:rFonts w:ascii="Times New Roman" w:hAnsi="Times New Roman" w:cs="Times New Roman"/>
        </w:rPr>
        <w:t xml:space="preserve"> the miracle itself. To the average person, even if a certain relic or action, caused a miracle to happen, the importance is usually placed upon the teachings or messages the miracle, or story of the miracle, contains. Most miracles have a moral story or lesson to them, two examples of this would be</w:t>
      </w:r>
      <w:r w:rsidR="00051650" w:rsidRPr="00CE79EF">
        <w:rPr>
          <w:rFonts w:ascii="Times New Roman" w:hAnsi="Times New Roman" w:cs="Times New Roman"/>
        </w:rPr>
        <w:t>; firstly,</w:t>
      </w:r>
      <w:r w:rsidRPr="00CE79EF">
        <w:rPr>
          <w:rFonts w:ascii="Times New Roman" w:hAnsi="Times New Roman" w:cs="Times New Roman"/>
        </w:rPr>
        <w:t xml:space="preserve"> </w:t>
      </w:r>
      <w:r w:rsidRPr="00CE79EF">
        <w:rPr>
          <w:rFonts w:ascii="Times New Roman" w:hAnsi="Times New Roman" w:cs="Times New Roman"/>
        </w:rPr>
        <w:lastRenderedPageBreak/>
        <w:t>the resurrection of William the scabby, and that due to him bending a penny in the name of Thomas Cantilupe he was resurrected, this act of devotion, the offering of the penny for Thomas Cantilupe, was seen as enough for William to be given another chance</w:t>
      </w:r>
      <w:r w:rsidR="00051650" w:rsidRPr="00CE79EF">
        <w:rPr>
          <w:rFonts w:ascii="Times New Roman" w:hAnsi="Times New Roman" w:cs="Times New Roman"/>
        </w:rPr>
        <w:t>. Secondly,</w:t>
      </w:r>
      <w:r w:rsidRPr="00CE79EF">
        <w:rPr>
          <w:rFonts w:ascii="Times New Roman" w:hAnsi="Times New Roman" w:cs="Times New Roman"/>
        </w:rPr>
        <w:t xml:space="preserve"> the case of St. Benedict who through prayer to God and doing the sign of the cross was able to dismiss the devil, the lesson here being that through pious thoughts and deeds a person could get rid of evil.</w:t>
      </w:r>
      <w:r w:rsidR="00361832" w:rsidRPr="00CE79EF">
        <w:rPr>
          <w:rStyle w:val="FootnoteReference"/>
          <w:rFonts w:ascii="Times New Roman" w:hAnsi="Times New Roman" w:cs="Times New Roman"/>
        </w:rPr>
        <w:footnoteReference w:id="56"/>
      </w:r>
    </w:p>
    <w:p w14:paraId="067F5BD1" w14:textId="66C9E3FB"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It can be said that Augustine was less significant when it came to the reality of medieval miracles, when compared to the theory and concept of miracles in the medieval period. As said previously, arguably the most important thing about a miracle is the lesson it is trying to impose on a populace, Augustine mainly dealt with the theological side of miracles, looking at how a miracle happens and who could create a miracle.</w:t>
      </w:r>
      <w:r w:rsidRPr="00CE79EF">
        <w:rPr>
          <w:rStyle w:val="FootnoteReference"/>
          <w:rFonts w:ascii="Times New Roman" w:hAnsi="Times New Roman" w:cs="Times New Roman"/>
        </w:rPr>
        <w:footnoteReference w:id="57"/>
      </w:r>
      <w:r w:rsidRPr="00CE79EF">
        <w:rPr>
          <w:rFonts w:ascii="Times New Roman" w:hAnsi="Times New Roman" w:cs="Times New Roman"/>
        </w:rPr>
        <w:t xml:space="preserve"> He does not focus on the more human aspect of miracles, if you were to disregard the holy side of a miracle, that being God or a saint hav</w:t>
      </w:r>
      <w:r w:rsidR="006670C8" w:rsidRPr="00CE79EF">
        <w:rPr>
          <w:rFonts w:ascii="Times New Roman" w:hAnsi="Times New Roman" w:cs="Times New Roman"/>
        </w:rPr>
        <w:t>ing</w:t>
      </w:r>
      <w:r w:rsidRPr="00CE79EF">
        <w:rPr>
          <w:rFonts w:ascii="Times New Roman" w:hAnsi="Times New Roman" w:cs="Times New Roman"/>
        </w:rPr>
        <w:t xml:space="preserve"> the ability to change or altar things as they see fit, a miracle then becomes an economic and social tool. The economic side of a miracle can be seen in </w:t>
      </w:r>
      <w:r w:rsidR="001C374F" w:rsidRPr="00CE79EF">
        <w:rPr>
          <w:rFonts w:ascii="Times New Roman" w:hAnsi="Times New Roman" w:cs="Times New Roman"/>
        </w:rPr>
        <w:t>several</w:t>
      </w:r>
      <w:r w:rsidRPr="00CE79EF">
        <w:rPr>
          <w:rFonts w:ascii="Times New Roman" w:hAnsi="Times New Roman" w:cs="Times New Roman"/>
        </w:rPr>
        <w:t xml:space="preserve"> ways, this could be through the act of pilgrimage to a shrine or holy sight, or by using certain feast days as more of a market day. A lot of people would go on pilgrimage to give thanks for a miracle, or to request one,</w:t>
      </w:r>
      <w:r w:rsidRPr="00CE79EF">
        <w:rPr>
          <w:rStyle w:val="FootnoteReference"/>
          <w:rFonts w:ascii="Times New Roman" w:hAnsi="Times New Roman" w:cs="Times New Roman"/>
        </w:rPr>
        <w:footnoteReference w:id="58"/>
      </w:r>
      <w:r w:rsidRPr="00CE79EF">
        <w:rPr>
          <w:rFonts w:ascii="Times New Roman" w:hAnsi="Times New Roman" w:cs="Times New Roman"/>
        </w:rPr>
        <w:t xml:space="preserve"> either reason would lead most people to giving some sort of gift to the shrine guardians or to </w:t>
      </w:r>
      <w:r w:rsidR="001C374F" w:rsidRPr="00CE79EF">
        <w:rPr>
          <w:rFonts w:ascii="Times New Roman" w:hAnsi="Times New Roman" w:cs="Times New Roman"/>
        </w:rPr>
        <w:t>whoever</w:t>
      </w:r>
      <w:r w:rsidRPr="00CE79EF">
        <w:rPr>
          <w:rFonts w:ascii="Times New Roman" w:hAnsi="Times New Roman" w:cs="Times New Roman"/>
        </w:rPr>
        <w:t xml:space="preserve"> looks after the specific site. These gifts would often be candles or some sort of wax object, often the sum of gifts given to a specific shrine or holy site would be worth quite a lot and would lead to disagreements between monastic houses and other groups as to who deserves these valuable gifts. One example is from the shrine of Thomas becket in 1520, when Pope Leo X refused to grant a plenary indulgence for the jubilee of the shrine, 350 years, unless half of all offerings by pilgrims went towards the rebuilding of St. Peters shrine in Rome.</w:t>
      </w:r>
      <w:r w:rsidRPr="00CE79EF">
        <w:rPr>
          <w:rStyle w:val="FootnoteReference"/>
          <w:rFonts w:ascii="Times New Roman" w:hAnsi="Times New Roman" w:cs="Times New Roman"/>
        </w:rPr>
        <w:footnoteReference w:id="59"/>
      </w:r>
      <w:r w:rsidRPr="00CE79EF">
        <w:rPr>
          <w:rFonts w:ascii="Times New Roman" w:hAnsi="Times New Roman" w:cs="Times New Roman"/>
        </w:rPr>
        <w:t xml:space="preserve"> There are many accounts of stalls and vendors being set up on popular feast days, this would boost the local economy quite substantially. The social factors of a miracle are that it forms a sense of community, this is especially important when considering that there was no real concept of nation and </w:t>
      </w:r>
      <w:r w:rsidRPr="00CE79EF">
        <w:rPr>
          <w:rFonts w:ascii="Times New Roman" w:hAnsi="Times New Roman" w:cs="Times New Roman"/>
        </w:rPr>
        <w:lastRenderedPageBreak/>
        <w:t>statehood and that for many ordinary people</w:t>
      </w:r>
      <w:r w:rsidR="001B5ACE" w:rsidRPr="00CE79EF">
        <w:rPr>
          <w:rFonts w:ascii="Times New Roman" w:hAnsi="Times New Roman" w:cs="Times New Roman"/>
        </w:rPr>
        <w:t>,</w:t>
      </w:r>
      <w:r w:rsidRPr="00CE79EF">
        <w:rPr>
          <w:rFonts w:ascii="Times New Roman" w:hAnsi="Times New Roman" w:cs="Times New Roman"/>
        </w:rPr>
        <w:t xml:space="preserve"> a cult, or local religious community, was one of the best ways a person could escape their almost oppressive lifestyles confined to an area.</w:t>
      </w:r>
      <w:r w:rsidRPr="00CE79EF">
        <w:rPr>
          <w:rStyle w:val="FootnoteReference"/>
          <w:rFonts w:ascii="Times New Roman" w:hAnsi="Times New Roman" w:cs="Times New Roman"/>
        </w:rPr>
        <w:footnoteReference w:id="60"/>
      </w:r>
      <w:r w:rsidRPr="00CE79EF">
        <w:rPr>
          <w:rFonts w:ascii="Times New Roman" w:hAnsi="Times New Roman" w:cs="Times New Roman"/>
        </w:rPr>
        <w:t xml:space="preserve"> The communities or cults that built around certain saints were a way for a local populous to bond. So for all the work and impact Augustine had on the concept of miracles, he was not significant at all when it came to the actions of the general public on miracles, this is not an attempt to say Augustine simply did not bother to think about this, but rather he could not, nor can anyone, predict how people will view and act on a certain matter far in the future.</w:t>
      </w:r>
    </w:p>
    <w:p w14:paraId="5EF21693" w14:textId="7D96E159"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 xml:space="preserve">A core principle Augustine had on miracles is that there are, according to his work </w:t>
      </w:r>
      <w:r w:rsidRPr="00CE79EF">
        <w:rPr>
          <w:rFonts w:ascii="Times New Roman" w:hAnsi="Times New Roman" w:cs="Times New Roman"/>
          <w:i/>
        </w:rPr>
        <w:t>eighty-three different questions</w:t>
      </w:r>
      <w:r w:rsidRPr="00CE79EF">
        <w:rPr>
          <w:rFonts w:ascii="Times New Roman" w:hAnsi="Times New Roman" w:cs="Times New Roman"/>
        </w:rPr>
        <w:t>, three types of people who can commit miracles, these are magicians, namely the pharaohs magicians, good Christians and evil Christians.</w:t>
      </w:r>
      <w:r w:rsidRPr="00CE79EF">
        <w:rPr>
          <w:rStyle w:val="FootnoteReference"/>
          <w:rFonts w:ascii="Times New Roman" w:hAnsi="Times New Roman" w:cs="Times New Roman"/>
        </w:rPr>
        <w:footnoteReference w:id="61"/>
      </w:r>
      <w:r w:rsidRPr="00CE79EF">
        <w:rPr>
          <w:rFonts w:ascii="Times New Roman" w:hAnsi="Times New Roman" w:cs="Times New Roman"/>
        </w:rPr>
        <w:t xml:space="preserve"> These magicians were a group of people within Egyptian society who could supposedly create miracles,</w:t>
      </w:r>
      <w:r w:rsidRPr="00CE79EF">
        <w:rPr>
          <w:rStyle w:val="FootnoteReference"/>
          <w:rFonts w:ascii="Times New Roman" w:hAnsi="Times New Roman" w:cs="Times New Roman"/>
        </w:rPr>
        <w:footnoteReference w:id="62"/>
      </w:r>
      <w:r w:rsidRPr="00CE79EF">
        <w:rPr>
          <w:rFonts w:ascii="Times New Roman" w:hAnsi="Times New Roman" w:cs="Times New Roman"/>
        </w:rPr>
        <w:t xml:space="preserve"> although there is potential for the idea of these magicians to be built upon later in the medieval period during the proto-renaissance in the twelfth century,</w:t>
      </w:r>
      <w:r w:rsidRPr="00CE79EF">
        <w:rPr>
          <w:rStyle w:val="FootnoteReference"/>
          <w:rFonts w:ascii="Times New Roman" w:hAnsi="Times New Roman" w:cs="Times New Roman"/>
        </w:rPr>
        <w:footnoteReference w:id="63"/>
      </w:r>
      <w:r w:rsidRPr="00CE79EF">
        <w:rPr>
          <w:rFonts w:ascii="Times New Roman" w:hAnsi="Times New Roman" w:cs="Times New Roman"/>
        </w:rPr>
        <w:t xml:space="preserve"> in terms of Christian principles and theology the idea of good and evil Christians can be seen as more important, and will therefore be looked at more. Augustine’s use of good Christians and evil Christians seem to echo points he made in his work </w:t>
      </w:r>
      <w:r w:rsidRPr="00CE79EF">
        <w:rPr>
          <w:rFonts w:ascii="Times New Roman" w:hAnsi="Times New Roman" w:cs="Times New Roman"/>
          <w:i/>
        </w:rPr>
        <w:t>the City of God</w:t>
      </w:r>
      <w:r w:rsidRPr="00CE79EF">
        <w:rPr>
          <w:rFonts w:ascii="Times New Roman" w:hAnsi="Times New Roman" w:cs="Times New Roman"/>
        </w:rPr>
        <w:t xml:space="preserve"> where he created this idea of the good and faithful going to a certain city, and the evil Christians going to the other.</w:t>
      </w:r>
      <w:r w:rsidRPr="00CE79EF">
        <w:rPr>
          <w:rStyle w:val="FootnoteReference"/>
          <w:rFonts w:ascii="Times New Roman" w:hAnsi="Times New Roman" w:cs="Times New Roman"/>
        </w:rPr>
        <w:footnoteReference w:id="64"/>
      </w:r>
      <w:r w:rsidRPr="00CE79EF">
        <w:rPr>
          <w:rFonts w:ascii="Times New Roman" w:hAnsi="Times New Roman" w:cs="Times New Roman"/>
        </w:rPr>
        <w:t xml:space="preserve"> Evil Christians, who are often referred to as Heretics by Augustine</w:t>
      </w:r>
      <w:r w:rsidR="00C46A58" w:rsidRPr="00CE79EF">
        <w:rPr>
          <w:rFonts w:ascii="Times New Roman" w:hAnsi="Times New Roman" w:cs="Times New Roman"/>
        </w:rPr>
        <w:t>,</w:t>
      </w:r>
      <w:r w:rsidRPr="00CE79EF">
        <w:rPr>
          <w:rFonts w:ascii="Times New Roman" w:hAnsi="Times New Roman" w:cs="Times New Roman"/>
        </w:rPr>
        <w:t xml:space="preserve"> act on miracles not because they should or since it is the right thing to do, but rather as a way to gain power or prestige.</w:t>
      </w:r>
      <w:r w:rsidRPr="00CE79EF">
        <w:rPr>
          <w:rStyle w:val="FootnoteReference"/>
          <w:rFonts w:ascii="Times New Roman" w:hAnsi="Times New Roman" w:cs="Times New Roman"/>
        </w:rPr>
        <w:footnoteReference w:id="65"/>
      </w:r>
      <w:r w:rsidRPr="00CE79EF">
        <w:rPr>
          <w:rFonts w:ascii="Times New Roman" w:hAnsi="Times New Roman" w:cs="Times New Roman"/>
        </w:rPr>
        <w:t xml:space="preserve"> As one might expect, good Christians do the opposite to the evil ones, the good do miracles for public righteousness</w:t>
      </w:r>
      <w:r w:rsidR="00CB547B" w:rsidRPr="00CE79EF">
        <w:rPr>
          <w:rFonts w:ascii="Times New Roman" w:hAnsi="Times New Roman" w:cs="Times New Roman"/>
        </w:rPr>
        <w:t>,</w:t>
      </w:r>
      <w:r w:rsidRPr="00CE79EF">
        <w:rPr>
          <w:rFonts w:ascii="Times New Roman" w:hAnsi="Times New Roman" w:cs="Times New Roman"/>
        </w:rPr>
        <w:t xml:space="preserve"> and because a good Christian will always act on and obey the will of God.</w:t>
      </w:r>
      <w:r w:rsidRPr="00CE79EF">
        <w:rPr>
          <w:rStyle w:val="FootnoteReference"/>
          <w:rFonts w:ascii="Times New Roman" w:hAnsi="Times New Roman" w:cs="Times New Roman"/>
        </w:rPr>
        <w:footnoteReference w:id="66"/>
      </w:r>
    </w:p>
    <w:p w14:paraId="0858E158" w14:textId="112AB43F"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A key part of Augustine’s definition of a miracle is that there is, and only will be, one miracle, and that is the creation of everything by God.</w:t>
      </w:r>
      <w:r w:rsidRPr="00CE79EF">
        <w:rPr>
          <w:rStyle w:val="FootnoteReference"/>
          <w:rFonts w:ascii="Times New Roman" w:hAnsi="Times New Roman" w:cs="Times New Roman"/>
        </w:rPr>
        <w:footnoteReference w:id="67"/>
      </w:r>
      <w:r w:rsidRPr="00CE79EF">
        <w:rPr>
          <w:rFonts w:ascii="Times New Roman" w:hAnsi="Times New Roman" w:cs="Times New Roman"/>
        </w:rPr>
        <w:t xml:space="preserve"> This leads Augustine to belief that nature itself is a </w:t>
      </w:r>
      <w:r w:rsidRPr="00CE79EF">
        <w:rPr>
          <w:rFonts w:ascii="Times New Roman" w:hAnsi="Times New Roman" w:cs="Times New Roman"/>
        </w:rPr>
        <w:lastRenderedPageBreak/>
        <w:t>miracle,</w:t>
      </w:r>
      <w:r w:rsidRPr="00CE79EF">
        <w:rPr>
          <w:rStyle w:val="FootnoteReference"/>
          <w:rFonts w:ascii="Times New Roman" w:hAnsi="Times New Roman" w:cs="Times New Roman"/>
        </w:rPr>
        <w:footnoteReference w:id="68"/>
      </w:r>
      <w:r w:rsidRPr="00CE79EF">
        <w:rPr>
          <w:rFonts w:ascii="Times New Roman" w:hAnsi="Times New Roman" w:cs="Times New Roman"/>
        </w:rPr>
        <w:t xml:space="preserve"> and that miraculous and wonderful things are inherent in nature, because it was created by God</w:t>
      </w:r>
      <w:r w:rsidR="00290D55" w:rsidRPr="00CE79EF">
        <w:rPr>
          <w:rFonts w:ascii="Times New Roman" w:hAnsi="Times New Roman" w:cs="Times New Roman"/>
        </w:rPr>
        <w:t>. T</w:t>
      </w:r>
      <w:r w:rsidRPr="00CE79EF">
        <w:rPr>
          <w:rFonts w:ascii="Times New Roman" w:hAnsi="Times New Roman" w:cs="Times New Roman"/>
        </w:rPr>
        <w:t xml:space="preserve">his leads Augustine to say that the strange and exotic are not </w:t>
      </w:r>
      <w:r w:rsidRPr="00CE79EF">
        <w:rPr>
          <w:rFonts w:ascii="Times New Roman" w:hAnsi="Times New Roman" w:cs="Times New Roman"/>
          <w:i/>
        </w:rPr>
        <w:t>contra naturam</w:t>
      </w:r>
      <w:r w:rsidRPr="00CE79EF">
        <w:rPr>
          <w:rFonts w:ascii="Times New Roman" w:hAnsi="Times New Roman" w:cs="Times New Roman"/>
        </w:rPr>
        <w:t xml:space="preserve">, meaning against nature , but rather that they are </w:t>
      </w:r>
      <w:r w:rsidRPr="00CE79EF">
        <w:rPr>
          <w:rFonts w:ascii="Times New Roman" w:hAnsi="Times New Roman" w:cs="Times New Roman"/>
          <w:i/>
        </w:rPr>
        <w:t>contra natura cursum</w:t>
      </w:r>
      <w:r w:rsidRPr="00CE79EF">
        <w:rPr>
          <w:rFonts w:ascii="Times New Roman" w:hAnsi="Times New Roman" w:cs="Times New Roman"/>
        </w:rPr>
        <w:t>, meaning the natural course, and are therefore all works of God.</w:t>
      </w:r>
      <w:r w:rsidRPr="00CE79EF">
        <w:rPr>
          <w:rStyle w:val="FootnoteReference"/>
          <w:rFonts w:ascii="Times New Roman" w:hAnsi="Times New Roman" w:cs="Times New Roman"/>
        </w:rPr>
        <w:footnoteReference w:id="69"/>
      </w:r>
      <w:r w:rsidRPr="00CE79EF">
        <w:rPr>
          <w:rFonts w:ascii="Times New Roman" w:hAnsi="Times New Roman" w:cs="Times New Roman"/>
        </w:rPr>
        <w:t xml:space="preserve"> Augustine also believed in divine healing, and would at times invoke God through prayer to heal the sick,</w:t>
      </w:r>
      <w:r w:rsidRPr="00CE79EF">
        <w:rPr>
          <w:rStyle w:val="FootnoteReference"/>
          <w:rFonts w:ascii="Times New Roman" w:hAnsi="Times New Roman" w:cs="Times New Roman"/>
        </w:rPr>
        <w:footnoteReference w:id="70"/>
      </w:r>
      <w:r w:rsidRPr="00CE79EF">
        <w:rPr>
          <w:rFonts w:ascii="Times New Roman" w:hAnsi="Times New Roman" w:cs="Times New Roman"/>
        </w:rPr>
        <w:t xml:space="preserve"> he also performed the miracle of healing the visitor during the siege of Carthage 430 CE, his actions in these matters also support his idea of miracles being through God. The significance of this is that for many Christians in the medieval period they more or less held this opinion of a miracle, up until the enlightenment most people were fine with the idea of a miracle as a</w:t>
      </w:r>
      <w:r w:rsidR="00D67E28" w:rsidRPr="00CE79EF">
        <w:rPr>
          <w:rFonts w:ascii="Times New Roman" w:hAnsi="Times New Roman" w:cs="Times New Roman"/>
        </w:rPr>
        <w:t>n</w:t>
      </w:r>
      <w:r w:rsidRPr="00CE79EF">
        <w:rPr>
          <w:rFonts w:ascii="Times New Roman" w:hAnsi="Times New Roman" w:cs="Times New Roman"/>
        </w:rPr>
        <w:t xml:space="preserve"> extraordinary or supernatural event that was the work of God,</w:t>
      </w:r>
      <w:r w:rsidR="005A7B6B" w:rsidRPr="00CE79EF">
        <w:rPr>
          <w:rStyle w:val="FootnoteReference"/>
          <w:rFonts w:ascii="Times New Roman" w:hAnsi="Times New Roman" w:cs="Times New Roman"/>
        </w:rPr>
        <w:footnoteReference w:id="71"/>
      </w:r>
      <w:r w:rsidRPr="00CE79EF">
        <w:rPr>
          <w:rFonts w:ascii="Times New Roman" w:hAnsi="Times New Roman" w:cs="Times New Roman"/>
        </w:rPr>
        <w:t xml:space="preserve"> and it is only during the enlightenment that Augustines natural outlook on miracles is revisited and criticised, one critic being David Hume</w:t>
      </w:r>
      <w:r w:rsidR="00C100E4" w:rsidRPr="00CE79EF">
        <w:rPr>
          <w:rFonts w:ascii="Times New Roman" w:hAnsi="Times New Roman" w:cs="Times New Roman"/>
        </w:rPr>
        <w:t>.</w:t>
      </w:r>
      <w:r w:rsidR="00C100E4" w:rsidRPr="00CE79EF">
        <w:rPr>
          <w:rStyle w:val="FootnoteReference"/>
          <w:rFonts w:ascii="Times New Roman" w:hAnsi="Times New Roman" w:cs="Times New Roman"/>
        </w:rPr>
        <w:footnoteReference w:id="72"/>
      </w:r>
    </w:p>
    <w:p w14:paraId="54C99B93" w14:textId="52A86252"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t>Augustine’s belief that only God could perform miracles can be further seen by a passage he wrote that states “It is confirmed today, by the numerous miracles accomplished by the power of Christ, often through the prayers or with the aid of the relics of the martyrs”.</w:t>
      </w:r>
      <w:r w:rsidRPr="00CE79EF">
        <w:rPr>
          <w:rStyle w:val="FootnoteReference"/>
          <w:rFonts w:ascii="Times New Roman" w:hAnsi="Times New Roman" w:cs="Times New Roman"/>
        </w:rPr>
        <w:footnoteReference w:id="73"/>
      </w:r>
      <w:r w:rsidRPr="00CE79EF">
        <w:rPr>
          <w:rFonts w:ascii="Times New Roman" w:hAnsi="Times New Roman" w:cs="Times New Roman"/>
        </w:rPr>
        <w:t xml:space="preserve"> In this statement he is saying that while the martyrs, martyrs being the only type of saints until the Roman empire became Christian under emperor Constantine,</w:t>
      </w:r>
      <w:r w:rsidRPr="00CE79EF">
        <w:rPr>
          <w:rStyle w:val="FootnoteReference"/>
          <w:rFonts w:ascii="Times New Roman" w:hAnsi="Times New Roman" w:cs="Times New Roman"/>
        </w:rPr>
        <w:footnoteReference w:id="74"/>
      </w:r>
      <w:r w:rsidRPr="00CE79EF">
        <w:rPr>
          <w:rFonts w:ascii="Times New Roman" w:hAnsi="Times New Roman" w:cs="Times New Roman"/>
        </w:rPr>
        <w:t xml:space="preserve"> and their relics helped God in performing miracles, it was still only God that could perform miracles. This idea that all miracles are the result of God was important for Augustine, but </w:t>
      </w:r>
      <w:bookmarkStart w:id="0" w:name="_GoBack"/>
      <w:proofErr w:type="gramStart"/>
      <w:r w:rsidRPr="00CE79EF">
        <w:rPr>
          <w:rFonts w:ascii="Times New Roman" w:hAnsi="Times New Roman" w:cs="Times New Roman"/>
        </w:rPr>
        <w:t>it can be seen that in</w:t>
      </w:r>
      <w:bookmarkEnd w:id="0"/>
      <w:proofErr w:type="gramEnd"/>
      <w:r w:rsidRPr="00CE79EF">
        <w:rPr>
          <w:rFonts w:ascii="Times New Roman" w:hAnsi="Times New Roman" w:cs="Times New Roman"/>
        </w:rPr>
        <w:t xml:space="preserve"> the medieval period, at least when looking at the common people, that most believed that saints and relics would be the cause of miracles. Some saints even had a large amount of witnesses to supposed miracles, one example being Yves who had 243 witnesses to miracles he had done.</w:t>
      </w:r>
      <w:r w:rsidRPr="00CE79EF">
        <w:rPr>
          <w:rStyle w:val="FootnoteReference"/>
          <w:rFonts w:ascii="Times New Roman" w:hAnsi="Times New Roman" w:cs="Times New Roman"/>
        </w:rPr>
        <w:footnoteReference w:id="75"/>
      </w:r>
    </w:p>
    <w:p w14:paraId="32C4CD7D" w14:textId="25FFE123" w:rsidR="009A7B3D" w:rsidRPr="00CE79EF" w:rsidRDefault="009A7B3D" w:rsidP="00CE79EF">
      <w:pPr>
        <w:spacing w:line="480" w:lineRule="auto"/>
        <w:rPr>
          <w:rFonts w:ascii="Times New Roman" w:hAnsi="Times New Roman" w:cs="Times New Roman"/>
        </w:rPr>
      </w:pPr>
      <w:r w:rsidRPr="00CE79EF">
        <w:rPr>
          <w:rFonts w:ascii="Times New Roman" w:hAnsi="Times New Roman" w:cs="Times New Roman"/>
        </w:rPr>
        <w:lastRenderedPageBreak/>
        <w:t xml:space="preserve">It can be said that Augustine was somewhat significant in the idea and theme of miracles. He defined what a miracle was, who could commit then, and </w:t>
      </w:r>
      <w:r w:rsidR="00BE5813" w:rsidRPr="00CE79EF">
        <w:rPr>
          <w:rFonts w:ascii="Times New Roman" w:hAnsi="Times New Roman" w:cs="Times New Roman"/>
        </w:rPr>
        <w:t>within</w:t>
      </w:r>
      <w:r w:rsidRPr="00CE79EF">
        <w:rPr>
          <w:rFonts w:ascii="Times New Roman" w:hAnsi="Times New Roman" w:cs="Times New Roman"/>
        </w:rPr>
        <w:t xml:space="preserve"> these areas, he should </w:t>
      </w:r>
      <w:proofErr w:type="gramStart"/>
      <w:r w:rsidRPr="00CE79EF">
        <w:rPr>
          <w:rFonts w:ascii="Times New Roman" w:hAnsi="Times New Roman" w:cs="Times New Roman"/>
        </w:rPr>
        <w:t>be seen as</w:t>
      </w:r>
      <w:proofErr w:type="gramEnd"/>
      <w:r w:rsidRPr="00CE79EF">
        <w:rPr>
          <w:rFonts w:ascii="Times New Roman" w:hAnsi="Times New Roman" w:cs="Times New Roman"/>
        </w:rPr>
        <w:t xml:space="preserve"> very significant. but when looking at non theological areas of miracles, like the socio-economic factors, he should </w:t>
      </w:r>
      <w:proofErr w:type="gramStart"/>
      <w:r w:rsidRPr="00CE79EF">
        <w:rPr>
          <w:rFonts w:ascii="Times New Roman" w:hAnsi="Times New Roman" w:cs="Times New Roman"/>
        </w:rPr>
        <w:t>be seen as</w:t>
      </w:r>
      <w:proofErr w:type="gramEnd"/>
      <w:r w:rsidRPr="00CE79EF">
        <w:rPr>
          <w:rFonts w:ascii="Times New Roman" w:hAnsi="Times New Roman" w:cs="Times New Roman"/>
        </w:rPr>
        <w:t xml:space="preserve"> less significant. He did not see the import</w:t>
      </w:r>
      <w:r w:rsidR="00BE5813" w:rsidRPr="00CE79EF">
        <w:rPr>
          <w:rFonts w:ascii="Times New Roman" w:hAnsi="Times New Roman" w:cs="Times New Roman"/>
        </w:rPr>
        <w:t>ant</w:t>
      </w:r>
      <w:r w:rsidRPr="00CE79EF">
        <w:rPr>
          <w:rFonts w:ascii="Times New Roman" w:hAnsi="Times New Roman" w:cs="Times New Roman"/>
        </w:rPr>
        <w:t xml:space="preserve"> role miracles would play for the average person in the medieval period, he failed to see how local economies would form around miracles, and how a communal identity was to be formed around the essence of miracles. When considering all these factors, both theological and non-theological, it </w:t>
      </w:r>
      <w:r w:rsidR="00C054A6" w:rsidRPr="00CE79EF">
        <w:rPr>
          <w:rFonts w:ascii="Times New Roman" w:hAnsi="Times New Roman" w:cs="Times New Roman"/>
        </w:rPr>
        <w:t>cannot</w:t>
      </w:r>
      <w:r w:rsidRPr="00CE79EF">
        <w:rPr>
          <w:rFonts w:ascii="Times New Roman" w:hAnsi="Times New Roman" w:cs="Times New Roman"/>
        </w:rPr>
        <w:t xml:space="preserve"> be said that Augustine was insignificant by any means, but it also </w:t>
      </w:r>
      <w:r w:rsidR="00107212" w:rsidRPr="00CE79EF">
        <w:rPr>
          <w:rFonts w:ascii="Times New Roman" w:hAnsi="Times New Roman" w:cs="Times New Roman"/>
        </w:rPr>
        <w:t>cannot</w:t>
      </w:r>
      <w:r w:rsidRPr="00CE79EF">
        <w:rPr>
          <w:rFonts w:ascii="Times New Roman" w:hAnsi="Times New Roman" w:cs="Times New Roman"/>
        </w:rPr>
        <w:t xml:space="preserve"> be said that he most the most significant on the overarching theme of miracles. </w:t>
      </w:r>
      <w:r w:rsidR="00C054A6" w:rsidRPr="00CE79EF">
        <w:rPr>
          <w:rFonts w:ascii="Times New Roman" w:hAnsi="Times New Roman" w:cs="Times New Roman"/>
        </w:rPr>
        <w:t>But i</w:t>
      </w:r>
      <w:r w:rsidRPr="00CE79EF">
        <w:rPr>
          <w:rFonts w:ascii="Times New Roman" w:hAnsi="Times New Roman" w:cs="Times New Roman"/>
        </w:rPr>
        <w:t>t can be said that perhaps Augustine would fall somewhere between these two extremes and that he was somewhat significant to the theme of miracles.</w:t>
      </w:r>
    </w:p>
    <w:p w14:paraId="646CBD33" w14:textId="3AA3444A" w:rsidR="00DA2A4A" w:rsidRPr="00CE79EF" w:rsidRDefault="00DA2A4A" w:rsidP="00CE79EF">
      <w:pPr>
        <w:spacing w:line="480" w:lineRule="auto"/>
        <w:rPr>
          <w:rFonts w:ascii="Times New Roman" w:hAnsi="Times New Roman" w:cs="Times New Roman"/>
        </w:rPr>
      </w:pPr>
    </w:p>
    <w:p w14:paraId="247FA0E7" w14:textId="4F4C8579" w:rsidR="00DA2A4A" w:rsidRPr="00CE79EF" w:rsidRDefault="00DA2A4A" w:rsidP="00CE79EF">
      <w:pPr>
        <w:spacing w:line="480" w:lineRule="auto"/>
        <w:rPr>
          <w:rFonts w:ascii="Times New Roman" w:hAnsi="Times New Roman" w:cs="Times New Roman"/>
        </w:rPr>
      </w:pPr>
    </w:p>
    <w:p w14:paraId="45A95EB4" w14:textId="0DA300E0" w:rsidR="00DA2A4A" w:rsidRPr="00CE79EF" w:rsidRDefault="00DA2A4A" w:rsidP="00CE79EF">
      <w:pPr>
        <w:spacing w:line="480" w:lineRule="auto"/>
        <w:rPr>
          <w:rFonts w:ascii="Times New Roman" w:hAnsi="Times New Roman" w:cs="Times New Roman"/>
        </w:rPr>
      </w:pPr>
    </w:p>
    <w:p w14:paraId="416550EA" w14:textId="66DDFC0B" w:rsidR="00DA2A4A" w:rsidRPr="00CE79EF" w:rsidRDefault="00DA2A4A" w:rsidP="00CE79EF">
      <w:pPr>
        <w:spacing w:line="480" w:lineRule="auto"/>
        <w:rPr>
          <w:rFonts w:ascii="Times New Roman" w:hAnsi="Times New Roman" w:cs="Times New Roman"/>
        </w:rPr>
      </w:pPr>
    </w:p>
    <w:p w14:paraId="6D1B266F" w14:textId="459E5481" w:rsidR="00DA2A4A" w:rsidRPr="00CE79EF" w:rsidRDefault="00DA2A4A" w:rsidP="00CE79EF">
      <w:pPr>
        <w:spacing w:line="480" w:lineRule="auto"/>
        <w:rPr>
          <w:rFonts w:ascii="Times New Roman" w:hAnsi="Times New Roman" w:cs="Times New Roman"/>
        </w:rPr>
      </w:pPr>
    </w:p>
    <w:p w14:paraId="028A2B2F" w14:textId="77777777" w:rsidR="00CE79EF" w:rsidRDefault="00CE79EF" w:rsidP="00CE79EF">
      <w:pPr>
        <w:spacing w:line="480" w:lineRule="auto"/>
        <w:rPr>
          <w:rFonts w:ascii="Times New Roman" w:hAnsi="Times New Roman" w:cs="Times New Roman"/>
          <w:u w:val="single"/>
        </w:rPr>
      </w:pPr>
    </w:p>
    <w:p w14:paraId="7366AB49" w14:textId="77777777" w:rsidR="00CE79EF" w:rsidRDefault="00CE79EF" w:rsidP="00CE79EF">
      <w:pPr>
        <w:spacing w:line="480" w:lineRule="auto"/>
        <w:rPr>
          <w:rFonts w:ascii="Times New Roman" w:hAnsi="Times New Roman" w:cs="Times New Roman"/>
          <w:u w:val="single"/>
        </w:rPr>
      </w:pPr>
    </w:p>
    <w:p w14:paraId="79B80B95" w14:textId="77777777" w:rsidR="00CE79EF" w:rsidRDefault="00CE79EF" w:rsidP="00CE79EF">
      <w:pPr>
        <w:spacing w:line="480" w:lineRule="auto"/>
        <w:rPr>
          <w:rFonts w:ascii="Times New Roman" w:hAnsi="Times New Roman" w:cs="Times New Roman"/>
          <w:u w:val="single"/>
        </w:rPr>
      </w:pPr>
    </w:p>
    <w:p w14:paraId="5A54A914" w14:textId="77777777" w:rsidR="00CE79EF" w:rsidRDefault="00CE79EF" w:rsidP="00CE79EF">
      <w:pPr>
        <w:spacing w:line="480" w:lineRule="auto"/>
        <w:rPr>
          <w:rFonts w:ascii="Times New Roman" w:hAnsi="Times New Roman" w:cs="Times New Roman"/>
          <w:u w:val="single"/>
        </w:rPr>
      </w:pPr>
    </w:p>
    <w:p w14:paraId="4F79F5A4" w14:textId="77777777" w:rsidR="00CE79EF" w:rsidRDefault="00CE79EF" w:rsidP="00CE79EF">
      <w:pPr>
        <w:spacing w:line="480" w:lineRule="auto"/>
        <w:rPr>
          <w:rFonts w:ascii="Times New Roman" w:hAnsi="Times New Roman" w:cs="Times New Roman"/>
          <w:u w:val="single"/>
        </w:rPr>
      </w:pPr>
    </w:p>
    <w:p w14:paraId="445FEFB2" w14:textId="77777777" w:rsidR="00CE79EF" w:rsidRDefault="00CE79EF" w:rsidP="00CE79EF">
      <w:pPr>
        <w:spacing w:line="480" w:lineRule="auto"/>
        <w:rPr>
          <w:rFonts w:ascii="Times New Roman" w:hAnsi="Times New Roman" w:cs="Times New Roman"/>
          <w:u w:val="single"/>
        </w:rPr>
      </w:pPr>
    </w:p>
    <w:p w14:paraId="28708F32" w14:textId="77777777" w:rsidR="00CE79EF" w:rsidRDefault="00CE79EF" w:rsidP="00CE79EF">
      <w:pPr>
        <w:spacing w:line="480" w:lineRule="auto"/>
        <w:rPr>
          <w:rFonts w:ascii="Times New Roman" w:hAnsi="Times New Roman" w:cs="Times New Roman"/>
          <w:u w:val="single"/>
        </w:rPr>
      </w:pPr>
    </w:p>
    <w:p w14:paraId="7D86244C" w14:textId="77777777" w:rsidR="00CE79EF" w:rsidRDefault="00CE79EF" w:rsidP="00CE79EF">
      <w:pPr>
        <w:spacing w:line="480" w:lineRule="auto"/>
        <w:rPr>
          <w:rFonts w:ascii="Times New Roman" w:hAnsi="Times New Roman" w:cs="Times New Roman"/>
          <w:u w:val="single"/>
        </w:rPr>
      </w:pPr>
    </w:p>
    <w:p w14:paraId="661CAD28" w14:textId="013230C8" w:rsidR="00DA2A4A" w:rsidRPr="00CE79EF" w:rsidRDefault="00DA2A4A" w:rsidP="00CE79EF">
      <w:pPr>
        <w:spacing w:line="240" w:lineRule="auto"/>
        <w:rPr>
          <w:rFonts w:ascii="Times New Roman" w:hAnsi="Times New Roman" w:cs="Times New Roman"/>
          <w:sz w:val="20"/>
          <w:u w:val="single"/>
        </w:rPr>
      </w:pPr>
      <w:r w:rsidRPr="00CE79EF">
        <w:rPr>
          <w:rFonts w:ascii="Times New Roman" w:hAnsi="Times New Roman" w:cs="Times New Roman"/>
          <w:sz w:val="20"/>
          <w:u w:val="single"/>
        </w:rPr>
        <w:lastRenderedPageBreak/>
        <w:t xml:space="preserve">Bibliography </w:t>
      </w:r>
    </w:p>
    <w:p w14:paraId="68191910" w14:textId="209540E3" w:rsidR="00A57372" w:rsidRPr="00CE79EF" w:rsidRDefault="00A57372" w:rsidP="00CE79EF">
      <w:pPr>
        <w:spacing w:line="240" w:lineRule="auto"/>
        <w:rPr>
          <w:rFonts w:ascii="Times New Roman" w:hAnsi="Times New Roman" w:cs="Times New Roman"/>
          <w:sz w:val="20"/>
          <w:u w:val="single"/>
        </w:rPr>
      </w:pPr>
      <w:r w:rsidRPr="00CE79EF">
        <w:rPr>
          <w:rFonts w:ascii="Times New Roman" w:hAnsi="Times New Roman" w:cs="Times New Roman"/>
          <w:sz w:val="20"/>
          <w:u w:val="single"/>
        </w:rPr>
        <w:t>Primary Sources</w:t>
      </w:r>
    </w:p>
    <w:p w14:paraId="5DF9E9E2" w14:textId="180F7907" w:rsidR="00673D21" w:rsidRPr="00CE79EF" w:rsidRDefault="00673D21"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Augustine, </w:t>
      </w:r>
      <w:r w:rsidRPr="00CE79EF">
        <w:rPr>
          <w:rFonts w:ascii="Times New Roman" w:hAnsi="Times New Roman" w:cs="Times New Roman"/>
          <w:i/>
          <w:sz w:val="20"/>
        </w:rPr>
        <w:t>On Christian Belief</w:t>
      </w:r>
      <w:r w:rsidRPr="00CE79EF">
        <w:rPr>
          <w:rFonts w:ascii="Times New Roman" w:hAnsi="Times New Roman" w:cs="Times New Roman"/>
          <w:sz w:val="20"/>
        </w:rPr>
        <w:t xml:space="preserve">, translated by Hill, E </w:t>
      </w:r>
      <w:r w:rsidRPr="00CE79EF">
        <w:rPr>
          <w:rFonts w:ascii="Times New Roman" w:hAnsi="Times New Roman" w:cs="Times New Roman"/>
          <w:i/>
          <w:sz w:val="20"/>
        </w:rPr>
        <w:t>et all</w:t>
      </w:r>
      <w:r w:rsidRPr="00CE79EF">
        <w:rPr>
          <w:rFonts w:ascii="Times New Roman" w:hAnsi="Times New Roman" w:cs="Times New Roman"/>
          <w:sz w:val="20"/>
        </w:rPr>
        <w:t xml:space="preserve"> (New York: New City Press, 2005)</w:t>
      </w:r>
    </w:p>
    <w:p w14:paraId="220F04B6" w14:textId="77777777" w:rsidR="00A63472" w:rsidRPr="00CE79EF" w:rsidRDefault="002B3AA9"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Augustine. </w:t>
      </w:r>
      <w:r w:rsidRPr="00CE79EF">
        <w:rPr>
          <w:rFonts w:ascii="Times New Roman" w:hAnsi="Times New Roman" w:cs="Times New Roman"/>
          <w:i/>
          <w:sz w:val="20"/>
        </w:rPr>
        <w:t>The Confessions</w:t>
      </w:r>
      <w:r w:rsidRPr="00CE79EF">
        <w:rPr>
          <w:rFonts w:ascii="Times New Roman" w:hAnsi="Times New Roman" w:cs="Times New Roman"/>
          <w:sz w:val="20"/>
        </w:rPr>
        <w:t>, translated by Maria Boulding (New York: New City Press, 1997)</w:t>
      </w:r>
      <w:r w:rsidR="00A63472" w:rsidRPr="00CE79EF">
        <w:rPr>
          <w:rFonts w:ascii="Times New Roman" w:hAnsi="Times New Roman" w:cs="Times New Roman"/>
          <w:sz w:val="20"/>
        </w:rPr>
        <w:t xml:space="preserve"> </w:t>
      </w:r>
    </w:p>
    <w:p w14:paraId="268D75A6" w14:textId="1FE05C1B" w:rsidR="00A63472" w:rsidRPr="00CE79EF" w:rsidRDefault="00A63472"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Augustine, </w:t>
      </w:r>
      <w:r w:rsidRPr="00CE79EF">
        <w:rPr>
          <w:rFonts w:ascii="Times New Roman" w:hAnsi="Times New Roman" w:cs="Times New Roman"/>
          <w:i/>
          <w:sz w:val="20"/>
        </w:rPr>
        <w:t>Eighty-Three different questions</w:t>
      </w:r>
      <w:r w:rsidRPr="00CE79EF">
        <w:rPr>
          <w:rFonts w:ascii="Times New Roman" w:hAnsi="Times New Roman" w:cs="Times New Roman"/>
          <w:sz w:val="20"/>
        </w:rPr>
        <w:t>, translated by Mosher, D. (Washington, D.C.: The Catholic University of America Press, 1982)</w:t>
      </w:r>
    </w:p>
    <w:p w14:paraId="7D3A4069" w14:textId="3C7E7AAB" w:rsidR="00A63472" w:rsidRPr="00CE79EF" w:rsidRDefault="00A63472" w:rsidP="00CE79EF">
      <w:pPr>
        <w:spacing w:line="240" w:lineRule="auto"/>
        <w:rPr>
          <w:rFonts w:ascii="Times New Roman" w:hAnsi="Times New Roman" w:cs="Times New Roman"/>
          <w:sz w:val="20"/>
        </w:rPr>
      </w:pPr>
      <w:r w:rsidRPr="00CE79EF">
        <w:rPr>
          <w:rFonts w:ascii="Times New Roman" w:hAnsi="Times New Roman" w:cs="Times New Roman"/>
          <w:sz w:val="20"/>
        </w:rPr>
        <w:t>Bachrach, B and Bachrach, D. The Gesta Tancredi of Ralph of Caen, A History of the Normans on the First Crusade. (Hampshire: Ashgate Publishing Limited, 2005)</w:t>
      </w:r>
    </w:p>
    <w:p w14:paraId="5B34C2AB" w14:textId="28567AC8" w:rsidR="00FD5218" w:rsidRPr="00CE79EF" w:rsidRDefault="00FD5218"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Deferrari, R. </w:t>
      </w:r>
      <w:r w:rsidRPr="00CE79EF">
        <w:rPr>
          <w:rFonts w:ascii="Times New Roman" w:hAnsi="Times New Roman" w:cs="Times New Roman"/>
          <w:i/>
          <w:sz w:val="20"/>
        </w:rPr>
        <w:t>The Fathers of the church Early Christian biographies</w:t>
      </w:r>
      <w:r w:rsidRPr="00CE79EF">
        <w:rPr>
          <w:rFonts w:ascii="Times New Roman" w:hAnsi="Times New Roman" w:cs="Times New Roman"/>
          <w:sz w:val="20"/>
        </w:rPr>
        <w:t xml:space="preserve"> (Washington, D.C.: The Catholic University of America Press, 1952)</w:t>
      </w:r>
    </w:p>
    <w:p w14:paraId="0466E4EC" w14:textId="77777777" w:rsidR="0001097C" w:rsidRPr="00CE79EF" w:rsidRDefault="0001097C"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Gilson, E. </w:t>
      </w:r>
      <w:r w:rsidRPr="00CE79EF">
        <w:rPr>
          <w:rFonts w:ascii="Times New Roman" w:hAnsi="Times New Roman" w:cs="Times New Roman"/>
          <w:i/>
          <w:sz w:val="20"/>
        </w:rPr>
        <w:t>The Christian Philosophy of Saint Augustine</w:t>
      </w:r>
      <w:r w:rsidRPr="00CE79EF">
        <w:rPr>
          <w:rFonts w:ascii="Times New Roman" w:hAnsi="Times New Roman" w:cs="Times New Roman"/>
          <w:sz w:val="20"/>
        </w:rPr>
        <w:t>, translated by L, Lynch. (London: Lowe &amp; Brydone Ltd, 1961)</w:t>
      </w:r>
    </w:p>
    <w:p w14:paraId="3BCC69AC" w14:textId="7964458A" w:rsidR="00CD48D0" w:rsidRPr="00CE79EF" w:rsidRDefault="00544D06" w:rsidP="00CE79EF">
      <w:pPr>
        <w:spacing w:line="240" w:lineRule="auto"/>
        <w:rPr>
          <w:rFonts w:ascii="Times New Roman" w:hAnsi="Times New Roman" w:cs="Times New Roman"/>
          <w:sz w:val="20"/>
          <w:u w:val="single"/>
        </w:rPr>
      </w:pPr>
      <w:r w:rsidRPr="00CE79EF">
        <w:rPr>
          <w:rFonts w:ascii="Times New Roman" w:hAnsi="Times New Roman" w:cs="Times New Roman"/>
          <w:sz w:val="20"/>
          <w:u w:val="single"/>
        </w:rPr>
        <w:t>Secondary Sources</w:t>
      </w:r>
    </w:p>
    <w:p w14:paraId="16CCA664" w14:textId="1CD0767D" w:rsidR="00FD5218" w:rsidRPr="00CE79EF" w:rsidRDefault="00FD5218"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Bailey, A. ‘Wives, mothers and widows on pilgrimage: categories of ‘woman’ recorded at English healing shrines in the High Middle Ages’ </w:t>
      </w:r>
      <w:r w:rsidRPr="00CE79EF">
        <w:rPr>
          <w:rFonts w:ascii="Times New Roman" w:hAnsi="Times New Roman" w:cs="Times New Roman"/>
          <w:i/>
          <w:sz w:val="20"/>
        </w:rPr>
        <w:t>Journal of Medieval History</w:t>
      </w:r>
      <w:r w:rsidRPr="00CE79EF">
        <w:rPr>
          <w:rFonts w:ascii="Times New Roman" w:hAnsi="Times New Roman" w:cs="Times New Roman"/>
          <w:sz w:val="20"/>
        </w:rPr>
        <w:t xml:space="preserve">, vol 39, pp 197-219. Available at: </w:t>
      </w:r>
      <w:hyperlink r:id="rId9" w:history="1">
        <w:r w:rsidRPr="00CE79EF">
          <w:rPr>
            <w:rStyle w:val="Hyperlink"/>
            <w:rFonts w:ascii="Times New Roman" w:hAnsi="Times New Roman" w:cs="Times New Roman"/>
            <w:sz w:val="20"/>
          </w:rPr>
          <w:t>https://moodle.uwtsd.ac.uk/pluginfile.php/247542/mod_resource/content/0/Bailey_Wives%2C%20mothers%20and%20widows.pdf</w:t>
        </w:r>
      </w:hyperlink>
      <w:r w:rsidRPr="00CE79EF">
        <w:rPr>
          <w:rFonts w:ascii="Times New Roman" w:hAnsi="Times New Roman" w:cs="Times New Roman"/>
          <w:sz w:val="20"/>
        </w:rPr>
        <w:t xml:space="preserve"> (accessed 11th April 2019)</w:t>
      </w:r>
    </w:p>
    <w:p w14:paraId="4C5E2618" w14:textId="77777777" w:rsidR="00E03CD4" w:rsidRPr="00CE79EF" w:rsidRDefault="00E03CD4"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Battenhouse, R. </w:t>
      </w:r>
      <w:r w:rsidRPr="00CE79EF">
        <w:rPr>
          <w:rFonts w:ascii="Times New Roman" w:hAnsi="Times New Roman" w:cs="Times New Roman"/>
          <w:i/>
          <w:sz w:val="20"/>
        </w:rPr>
        <w:t>A companion to the study of St. Augustine</w:t>
      </w:r>
      <w:r w:rsidRPr="00CE79EF">
        <w:rPr>
          <w:rFonts w:ascii="Times New Roman" w:hAnsi="Times New Roman" w:cs="Times New Roman"/>
          <w:sz w:val="20"/>
        </w:rPr>
        <w:t xml:space="preserve"> (New York: Oxford University Press, 1955)</w:t>
      </w:r>
    </w:p>
    <w:p w14:paraId="52E838C4" w14:textId="3BDD4B34" w:rsidR="00E03CD4" w:rsidRPr="00CE79EF" w:rsidRDefault="00E03CD4"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Bartlett, R. </w:t>
      </w:r>
      <w:r w:rsidRPr="00CE79EF">
        <w:rPr>
          <w:rFonts w:ascii="Times New Roman" w:hAnsi="Times New Roman" w:cs="Times New Roman"/>
          <w:i/>
          <w:sz w:val="20"/>
        </w:rPr>
        <w:t>Why can the Dead do Such Great Things?</w:t>
      </w:r>
      <w:r w:rsidRPr="00CE79EF">
        <w:rPr>
          <w:rFonts w:ascii="Times New Roman" w:hAnsi="Times New Roman" w:cs="Times New Roman"/>
          <w:sz w:val="20"/>
        </w:rPr>
        <w:t xml:space="preserve"> (Princeton: Princeton University Press, 2013)</w:t>
      </w:r>
    </w:p>
    <w:p w14:paraId="339AF0D8" w14:textId="55083D62" w:rsidR="00FD5218" w:rsidRPr="00CE79EF" w:rsidRDefault="00FD5218"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Barrow, R. </w:t>
      </w:r>
      <w:r w:rsidRPr="00CE79EF">
        <w:rPr>
          <w:rFonts w:ascii="Times New Roman" w:hAnsi="Times New Roman" w:cs="Times New Roman"/>
          <w:i/>
          <w:sz w:val="20"/>
        </w:rPr>
        <w:t>Introduction to St. Augustine, The City of God</w:t>
      </w:r>
      <w:r w:rsidRPr="00CE79EF">
        <w:rPr>
          <w:rFonts w:ascii="Times New Roman" w:hAnsi="Times New Roman" w:cs="Times New Roman"/>
          <w:sz w:val="20"/>
        </w:rPr>
        <w:t xml:space="preserve"> (London: Faber and Faber Limited, 1950)</w:t>
      </w:r>
    </w:p>
    <w:p w14:paraId="3827BAFC" w14:textId="03C85C05" w:rsidR="005435AA" w:rsidRPr="00CE79EF" w:rsidRDefault="005435AA"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Cheney, L. ‘The Cult of Saint Agatha’ </w:t>
      </w:r>
      <w:r w:rsidRPr="00CE79EF">
        <w:rPr>
          <w:rFonts w:ascii="Times New Roman" w:hAnsi="Times New Roman" w:cs="Times New Roman"/>
          <w:i/>
          <w:sz w:val="20"/>
        </w:rPr>
        <w:t>Woman’s Art Journal</w:t>
      </w:r>
      <w:r w:rsidRPr="00CE79EF">
        <w:rPr>
          <w:rFonts w:ascii="Times New Roman" w:hAnsi="Times New Roman" w:cs="Times New Roman"/>
          <w:sz w:val="20"/>
        </w:rPr>
        <w:t xml:space="preserve">, vol. 17, pp 3-9. Available at: </w:t>
      </w:r>
      <w:hyperlink r:id="rId10" w:history="1">
        <w:r w:rsidRPr="00CE79EF">
          <w:rPr>
            <w:rStyle w:val="Hyperlink"/>
            <w:rFonts w:ascii="Times New Roman" w:hAnsi="Times New Roman" w:cs="Times New Roman"/>
            <w:sz w:val="20"/>
          </w:rPr>
          <w:t>https://www.jstor.org/stable/1358522</w:t>
        </w:r>
      </w:hyperlink>
      <w:r w:rsidRPr="00CE79EF">
        <w:rPr>
          <w:rFonts w:ascii="Times New Roman" w:hAnsi="Times New Roman" w:cs="Times New Roman"/>
          <w:sz w:val="20"/>
        </w:rPr>
        <w:t xml:space="preserve"> (accessed 7th April 2019)</w:t>
      </w:r>
    </w:p>
    <w:p w14:paraId="7538F073" w14:textId="2FFF75E5" w:rsidR="005435AA" w:rsidRPr="00CE79EF" w:rsidRDefault="005435AA"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Christian Iconography, Sacred Heart Images. Available at: </w:t>
      </w:r>
      <w:hyperlink r:id="rId11" w:history="1">
        <w:r w:rsidRPr="00CE79EF">
          <w:rPr>
            <w:rStyle w:val="Hyperlink"/>
            <w:rFonts w:ascii="Times New Roman" w:hAnsi="Times New Roman" w:cs="Times New Roman"/>
            <w:sz w:val="20"/>
          </w:rPr>
          <w:t>http://www.christianiconography.info/sacredHeart.html</w:t>
        </w:r>
      </w:hyperlink>
      <w:r w:rsidRPr="00CE79EF">
        <w:rPr>
          <w:rFonts w:ascii="Times New Roman" w:hAnsi="Times New Roman" w:cs="Times New Roman"/>
          <w:sz w:val="20"/>
        </w:rPr>
        <w:t xml:space="preserve"> (accessed 14th April 2019)</w:t>
      </w:r>
    </w:p>
    <w:p w14:paraId="765AB0F9" w14:textId="6AAB823B" w:rsidR="005435AA" w:rsidRPr="00CE79EF" w:rsidRDefault="005435AA"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Curran, J. </w:t>
      </w:r>
      <w:r w:rsidRPr="00CE79EF">
        <w:rPr>
          <w:rFonts w:ascii="Times New Roman" w:hAnsi="Times New Roman" w:cs="Times New Roman"/>
          <w:i/>
          <w:sz w:val="20"/>
        </w:rPr>
        <w:t>Pagan City and Christian Capital: Rome in the Fourth Century</w:t>
      </w:r>
      <w:r w:rsidRPr="00CE79EF">
        <w:rPr>
          <w:rFonts w:ascii="Times New Roman" w:hAnsi="Times New Roman" w:cs="Times New Roman"/>
          <w:sz w:val="20"/>
        </w:rPr>
        <w:t xml:space="preserve"> (Oxford Scholarship online, 2010) Available at: </w:t>
      </w:r>
      <w:hyperlink r:id="rId12" w:history="1">
        <w:r w:rsidRPr="00CE79EF">
          <w:rPr>
            <w:rStyle w:val="Hyperlink"/>
            <w:rFonts w:ascii="Times New Roman" w:hAnsi="Times New Roman" w:cs="Times New Roman"/>
            <w:color w:val="4472C4" w:themeColor="accent1"/>
            <w:sz w:val="20"/>
          </w:rPr>
          <w:t>http://www.oxfordscholarship.com.ezproxy.uwtsd.ac.uk/view/10.1093/acprof:oso/9780199254200.001.0001/acprof-9780199254200-chapter-3</w:t>
        </w:r>
      </w:hyperlink>
      <w:r w:rsidRPr="00CE79EF">
        <w:rPr>
          <w:rFonts w:ascii="Times New Roman" w:hAnsi="Times New Roman" w:cs="Times New Roman"/>
          <w:sz w:val="20"/>
        </w:rPr>
        <w:t xml:space="preserve"> (accessed 9th April 2019)</w:t>
      </w:r>
    </w:p>
    <w:p w14:paraId="50B00426" w14:textId="558DA41B" w:rsidR="00F66172" w:rsidRPr="00CE79EF" w:rsidRDefault="00F66172"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Godich, M. </w:t>
      </w:r>
      <w:r w:rsidRPr="00CE79EF">
        <w:rPr>
          <w:rFonts w:ascii="Times New Roman" w:hAnsi="Times New Roman" w:cs="Times New Roman"/>
          <w:i/>
          <w:sz w:val="20"/>
        </w:rPr>
        <w:t>Voices from the Bench: The Narratives of lesser folk in Medieval trials</w:t>
      </w:r>
      <w:r w:rsidRPr="00CE79EF">
        <w:rPr>
          <w:rFonts w:ascii="Times New Roman" w:hAnsi="Times New Roman" w:cs="Times New Roman"/>
          <w:sz w:val="20"/>
        </w:rPr>
        <w:t xml:space="preserve">. Available at: </w:t>
      </w:r>
      <w:hyperlink r:id="rId13" w:history="1">
        <w:r w:rsidRPr="00CE79EF">
          <w:rPr>
            <w:rStyle w:val="Hyperlink"/>
            <w:rFonts w:ascii="Times New Roman" w:hAnsi="Times New Roman" w:cs="Times New Roman"/>
            <w:sz w:val="20"/>
          </w:rPr>
          <w:t>https://moodle.uwtsd.ac.uk/pluginfile.php/250048/mod_resource/content/0/Finucane%20Article.pdf</w:t>
        </w:r>
      </w:hyperlink>
      <w:r w:rsidRPr="00CE79EF">
        <w:rPr>
          <w:rFonts w:ascii="Times New Roman" w:hAnsi="Times New Roman" w:cs="Times New Roman"/>
          <w:sz w:val="20"/>
        </w:rPr>
        <w:t xml:space="preserve"> (accessed 9th April 2019)</w:t>
      </w:r>
    </w:p>
    <w:p w14:paraId="35DD942C" w14:textId="42241A41" w:rsidR="00F66172" w:rsidRPr="00CE79EF" w:rsidRDefault="00F66172"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Grieb, K. ‘Pharaoh’s magicians at the holy of holies? Appraising an early debate between Tillich and Barth on the relationship between philosophy and theology’ </w:t>
      </w:r>
      <w:r w:rsidRPr="00CE79EF">
        <w:rPr>
          <w:rFonts w:ascii="Times New Roman" w:hAnsi="Times New Roman" w:cs="Times New Roman"/>
          <w:i/>
          <w:sz w:val="20"/>
        </w:rPr>
        <w:t>Scottish Journal of Theology</w:t>
      </w:r>
      <w:r w:rsidRPr="00CE79EF">
        <w:rPr>
          <w:rFonts w:ascii="Times New Roman" w:hAnsi="Times New Roman" w:cs="Times New Roman"/>
          <w:sz w:val="20"/>
        </w:rPr>
        <w:t xml:space="preserve">, vol. 56, pp 360-380. Available at: </w:t>
      </w:r>
      <w:hyperlink r:id="rId14" w:history="1">
        <w:r w:rsidRPr="00CE79EF">
          <w:rPr>
            <w:rStyle w:val="Hyperlink"/>
            <w:rFonts w:ascii="Times New Roman" w:hAnsi="Times New Roman" w:cs="Times New Roman"/>
            <w:sz w:val="20"/>
          </w:rPr>
          <w:t>https://search-proquest-com.ezproxy.uwtsd.ac.uk/docview/222305489?OpenUrlRefId=info:xri/sid:primo&amp;accountid=130472</w:t>
        </w:r>
      </w:hyperlink>
      <w:r w:rsidRPr="00CE79EF">
        <w:rPr>
          <w:rFonts w:ascii="Times New Roman" w:hAnsi="Times New Roman" w:cs="Times New Roman"/>
          <w:sz w:val="20"/>
        </w:rPr>
        <w:t xml:space="preserve"> (accessed 11th April 2019)</w:t>
      </w:r>
    </w:p>
    <w:p w14:paraId="4883D619" w14:textId="2DADB2A2" w:rsidR="00F66172" w:rsidRPr="00CE79EF" w:rsidRDefault="00F66172"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Hermanowicz, E. </w:t>
      </w:r>
      <w:r w:rsidRPr="00CE79EF">
        <w:rPr>
          <w:rFonts w:ascii="Times New Roman" w:hAnsi="Times New Roman" w:cs="Times New Roman"/>
          <w:i/>
          <w:sz w:val="20"/>
        </w:rPr>
        <w:t>Possidius of Calama: A study of the North African Episcopate in the Age of Augustine</w:t>
      </w:r>
      <w:r w:rsidRPr="00CE79EF">
        <w:rPr>
          <w:rFonts w:ascii="Times New Roman" w:hAnsi="Times New Roman" w:cs="Times New Roman"/>
          <w:sz w:val="20"/>
        </w:rPr>
        <w:t xml:space="preserve"> (Oxford: Oxford University Press, 2008), available at</w:t>
      </w:r>
      <w:r w:rsidRPr="00CE79EF">
        <w:rPr>
          <w:rFonts w:ascii="Times New Roman" w:hAnsi="Times New Roman" w:cs="Times New Roman"/>
          <w:i/>
          <w:sz w:val="20"/>
        </w:rPr>
        <w:t xml:space="preserve"> </w:t>
      </w:r>
      <w:hyperlink r:id="rId15" w:history="1">
        <w:r w:rsidRPr="00CE79EF">
          <w:rPr>
            <w:rStyle w:val="Hyperlink"/>
            <w:rFonts w:ascii="Times New Roman" w:hAnsi="Times New Roman" w:cs="Times New Roman"/>
            <w:sz w:val="20"/>
          </w:rPr>
          <w:t>http://www.oxfordscholarship.com.ezproxy.uwtsd.ac.uk/view/10.1093/acprof:oso/9780199236350.001.0001/acprof-9780199236350-chapter-2</w:t>
        </w:r>
      </w:hyperlink>
      <w:r w:rsidRPr="00CE79EF">
        <w:rPr>
          <w:rFonts w:ascii="Times New Roman" w:hAnsi="Times New Roman" w:cs="Times New Roman"/>
          <w:sz w:val="20"/>
        </w:rPr>
        <w:t xml:space="preserve"> (accessed 8th April 2019)</w:t>
      </w:r>
    </w:p>
    <w:p w14:paraId="7E100B06" w14:textId="3BEC26AE" w:rsidR="00F66172" w:rsidRPr="00CE79EF" w:rsidRDefault="00F66172"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Hollingworth, H. </w:t>
      </w:r>
      <w:r w:rsidRPr="00CE79EF">
        <w:rPr>
          <w:rFonts w:ascii="Times New Roman" w:hAnsi="Times New Roman" w:cs="Times New Roman"/>
          <w:i/>
          <w:sz w:val="20"/>
        </w:rPr>
        <w:t>Saint Augustine of Hippo: An Intellectual Biography</w:t>
      </w:r>
      <w:r w:rsidRPr="00CE79EF">
        <w:rPr>
          <w:rFonts w:ascii="Times New Roman" w:hAnsi="Times New Roman" w:cs="Times New Roman"/>
          <w:sz w:val="20"/>
        </w:rPr>
        <w:t xml:space="preserve"> (Oxford Scholarship Online, 2013), available at: </w:t>
      </w:r>
      <w:hyperlink r:id="rId16" w:history="1">
        <w:r w:rsidRPr="00CE79EF">
          <w:rPr>
            <w:rStyle w:val="Hyperlink"/>
            <w:rFonts w:ascii="Times New Roman" w:hAnsi="Times New Roman" w:cs="Times New Roman"/>
            <w:sz w:val="20"/>
          </w:rPr>
          <w:t>http://www.oxfordscholarship.com.ezproxy.uwtsd.ac.uk/view/10.1093/acprof:oso/9780199861590.001.0001/acprof-9780199861590-chapter-3</w:t>
        </w:r>
      </w:hyperlink>
      <w:r w:rsidRPr="00CE79EF">
        <w:rPr>
          <w:rFonts w:ascii="Times New Roman" w:hAnsi="Times New Roman" w:cs="Times New Roman"/>
          <w:sz w:val="20"/>
        </w:rPr>
        <w:t xml:space="preserve"> (accessed 8th April 2019)</w:t>
      </w:r>
    </w:p>
    <w:p w14:paraId="6D94B2A8" w14:textId="377EB4DB" w:rsidR="0004789F" w:rsidRPr="00CE79EF" w:rsidRDefault="0004789F"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Kellenberger, J. ‘Miracles’ </w:t>
      </w:r>
      <w:r w:rsidRPr="00CE79EF">
        <w:rPr>
          <w:rFonts w:ascii="Times New Roman" w:hAnsi="Times New Roman" w:cs="Times New Roman"/>
          <w:i/>
          <w:sz w:val="20"/>
        </w:rPr>
        <w:t>International Journal for philosophy of Religion</w:t>
      </w:r>
      <w:r w:rsidRPr="00CE79EF">
        <w:rPr>
          <w:rFonts w:ascii="Times New Roman" w:hAnsi="Times New Roman" w:cs="Times New Roman"/>
          <w:sz w:val="20"/>
        </w:rPr>
        <w:t xml:space="preserve">, vol. 10, pp 145-162. Available at: </w:t>
      </w:r>
      <w:hyperlink r:id="rId17" w:anchor="metadata_info_tab_contents" w:history="1">
        <w:r w:rsidRPr="00CE79EF">
          <w:rPr>
            <w:rStyle w:val="Hyperlink"/>
            <w:rFonts w:ascii="Times New Roman" w:hAnsi="Times New Roman" w:cs="Times New Roman"/>
            <w:sz w:val="20"/>
          </w:rPr>
          <w:t>https://www.jstor.org/stable/40012505?Search=yes&amp;resultItemClick=true&amp;searchText=miracles&amp;searchUri=%</w:t>
        </w:r>
        <w:r w:rsidRPr="00CE79EF">
          <w:rPr>
            <w:rStyle w:val="Hyperlink"/>
            <w:rFonts w:ascii="Times New Roman" w:hAnsi="Times New Roman" w:cs="Times New Roman"/>
            <w:sz w:val="20"/>
          </w:rPr>
          <w:lastRenderedPageBreak/>
          <w:t>2Faction%2FdoBasicSearch%3Fwc%3Don%26amp%3Bacc%3Don%26amp%3BQuery%3Dmiracles%26amp%3Bfc%3Doff%26amp%3Bgroup%3Dnone&amp;ab_segments=0%2Fdefault-2%2Fcontrol&amp;refreqid=search%3Ac0c6797d8228147406df6038df5bb157&amp;seq=1#metadata_info_tab_contents</w:t>
        </w:r>
      </w:hyperlink>
      <w:r w:rsidRPr="00CE79EF">
        <w:rPr>
          <w:rFonts w:ascii="Times New Roman" w:hAnsi="Times New Roman" w:cs="Times New Roman"/>
          <w:sz w:val="20"/>
        </w:rPr>
        <w:t xml:space="preserve"> (accessed 12th April 2019)</w:t>
      </w:r>
    </w:p>
    <w:p w14:paraId="12ED030A" w14:textId="5AB566EE" w:rsidR="0004789F" w:rsidRPr="00CE79EF" w:rsidRDefault="0004789F"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Mironov, B. ‘The Development of Literacy in Russia and the USSR from the Tenth to the Twentieth Centuries’ </w:t>
      </w:r>
      <w:r w:rsidRPr="00CE79EF">
        <w:rPr>
          <w:rFonts w:ascii="Times New Roman" w:hAnsi="Times New Roman" w:cs="Times New Roman"/>
          <w:i/>
          <w:sz w:val="20"/>
        </w:rPr>
        <w:t>History of Education Quarterly</w:t>
      </w:r>
      <w:r w:rsidRPr="00CE79EF">
        <w:rPr>
          <w:rFonts w:ascii="Times New Roman" w:hAnsi="Times New Roman" w:cs="Times New Roman"/>
          <w:sz w:val="20"/>
        </w:rPr>
        <w:t xml:space="preserve">, vol. 31, pp 229-252. Available at: </w:t>
      </w:r>
      <w:hyperlink r:id="rId18" w:history="1">
        <w:r w:rsidRPr="00CE79EF">
          <w:rPr>
            <w:rStyle w:val="Hyperlink"/>
            <w:rFonts w:ascii="Times New Roman" w:hAnsi="Times New Roman" w:cs="Times New Roman"/>
            <w:sz w:val="20"/>
          </w:rPr>
          <w:t>https://www.jstor.org/stable/368437?Search=yes&amp;resultItemClick=true&amp;searchText=literacy&amp;searchText=rate&amp;searchText=in&amp;searchText=medieval&amp;searchText=europe&amp;searchUri=%2Faction%2FdoBasicSearch%3FQuery%3Dliteracy%2Brate%2Bin%2Bmedieval%2Beurope&amp;ab_segments=0%2Fdefault-2%2Fcontrol&amp;refreqid=search%3A35692069177efe53c8389ba847d31c8e&amp;seq=2#metadata_info_tab_contents</w:t>
        </w:r>
      </w:hyperlink>
      <w:r w:rsidRPr="00CE79EF">
        <w:rPr>
          <w:rFonts w:ascii="Times New Roman" w:hAnsi="Times New Roman" w:cs="Times New Roman"/>
          <w:sz w:val="20"/>
        </w:rPr>
        <w:t xml:space="preserve"> (accessed 13th April 2019)</w:t>
      </w:r>
    </w:p>
    <w:p w14:paraId="6FF40FA8" w14:textId="77777777" w:rsidR="0004789F" w:rsidRPr="00CE79EF" w:rsidRDefault="0004789F"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Reader, A. </w:t>
      </w:r>
      <w:r w:rsidRPr="00CE79EF">
        <w:rPr>
          <w:rFonts w:ascii="Times New Roman" w:hAnsi="Times New Roman" w:cs="Times New Roman"/>
          <w:i/>
          <w:sz w:val="20"/>
        </w:rPr>
        <w:t>Medieval Popular Religion, 1000-1500</w:t>
      </w:r>
      <w:r w:rsidRPr="00CE79EF">
        <w:rPr>
          <w:rFonts w:ascii="Times New Roman" w:hAnsi="Times New Roman" w:cs="Times New Roman"/>
          <w:sz w:val="20"/>
        </w:rPr>
        <w:t xml:space="preserve"> (n/a: Broadview Press, 2007)</w:t>
      </w:r>
    </w:p>
    <w:p w14:paraId="7C3A9F09" w14:textId="74EA0DD4" w:rsidR="0004789F" w:rsidRPr="00CE79EF" w:rsidRDefault="0004789F"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Reader, A. </w:t>
      </w:r>
      <w:r w:rsidRPr="00CE79EF">
        <w:rPr>
          <w:rFonts w:ascii="Times New Roman" w:hAnsi="Times New Roman" w:cs="Times New Roman"/>
          <w:i/>
          <w:sz w:val="20"/>
        </w:rPr>
        <w:t>Medieval Saints</w:t>
      </w:r>
      <w:r w:rsidRPr="00CE79EF">
        <w:rPr>
          <w:rFonts w:ascii="Times New Roman" w:hAnsi="Times New Roman" w:cs="Times New Roman"/>
          <w:sz w:val="20"/>
        </w:rPr>
        <w:t xml:space="preserve"> (Michigan: Broadview Press, 1999) </w:t>
      </w:r>
    </w:p>
    <w:p w14:paraId="522176B9" w14:textId="47D84EC8" w:rsidR="0004789F" w:rsidRPr="00CE79EF" w:rsidRDefault="0004789F"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Scully, R. ‘The Unmaking of a saint: Thomas Becket and the English Reformation’ </w:t>
      </w:r>
      <w:r w:rsidRPr="00CE79EF">
        <w:rPr>
          <w:rFonts w:ascii="Times New Roman" w:hAnsi="Times New Roman" w:cs="Times New Roman"/>
          <w:i/>
          <w:sz w:val="20"/>
        </w:rPr>
        <w:t>The Catholic Historical Review</w:t>
      </w:r>
      <w:r w:rsidRPr="00CE79EF">
        <w:rPr>
          <w:rFonts w:ascii="Times New Roman" w:hAnsi="Times New Roman" w:cs="Times New Roman"/>
          <w:sz w:val="20"/>
        </w:rPr>
        <w:t xml:space="preserve">, vol. 86, pp 579-602. Available at: </w:t>
      </w:r>
      <w:hyperlink r:id="rId19" w:history="1">
        <w:r w:rsidRPr="00CE79EF">
          <w:rPr>
            <w:rStyle w:val="Hyperlink"/>
            <w:rFonts w:ascii="Times New Roman" w:hAnsi="Times New Roman" w:cs="Times New Roman"/>
            <w:sz w:val="20"/>
          </w:rPr>
          <w:t>https://muse-jhu-edu.ezproxy.uwtsd.ac.uk/article/6967</w:t>
        </w:r>
      </w:hyperlink>
      <w:r w:rsidRPr="00CE79EF">
        <w:rPr>
          <w:rFonts w:ascii="Times New Roman" w:hAnsi="Times New Roman" w:cs="Times New Roman"/>
          <w:sz w:val="20"/>
        </w:rPr>
        <w:t xml:space="preserve"> (accessed 9th April 2019)</w:t>
      </w:r>
    </w:p>
    <w:p w14:paraId="50533C47" w14:textId="36C190CC" w:rsidR="0004789F" w:rsidRPr="00CE79EF" w:rsidRDefault="0004789F"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‘St George and the dragon’ </w:t>
      </w:r>
      <w:r w:rsidRPr="00CE79EF">
        <w:rPr>
          <w:rFonts w:ascii="Times New Roman" w:hAnsi="Times New Roman" w:cs="Times New Roman"/>
          <w:i/>
          <w:sz w:val="20"/>
        </w:rPr>
        <w:t>History today</w:t>
      </w:r>
      <w:r w:rsidRPr="00CE79EF">
        <w:rPr>
          <w:rFonts w:ascii="Times New Roman" w:hAnsi="Times New Roman" w:cs="Times New Roman"/>
          <w:sz w:val="20"/>
        </w:rPr>
        <w:t xml:space="preserve">, vol. 68, 4-5, p. 4. Available at: </w:t>
      </w:r>
      <w:hyperlink r:id="rId20" w:history="1">
        <w:r w:rsidRPr="00CE79EF">
          <w:rPr>
            <w:rStyle w:val="Hyperlink"/>
            <w:rFonts w:ascii="Times New Roman" w:hAnsi="Times New Roman" w:cs="Times New Roman"/>
            <w:sz w:val="20"/>
          </w:rPr>
          <w:t>https://web-a-ebscohost-com.ezproxy.uwtsd.ac.uk/ehost/pdfviewer/pdfviewer?vid=1&amp;sid=835d647c-95ee-466d-91bf-56dee3a32ba3%40sdc-v-sessmgr03</w:t>
        </w:r>
      </w:hyperlink>
      <w:r w:rsidRPr="00CE79EF">
        <w:rPr>
          <w:rFonts w:ascii="Times New Roman" w:hAnsi="Times New Roman" w:cs="Times New Roman"/>
          <w:sz w:val="20"/>
        </w:rPr>
        <w:t xml:space="preserve"> (accessed 10th April 2019) </w:t>
      </w:r>
    </w:p>
    <w:p w14:paraId="01DD7C89" w14:textId="0FF2E262" w:rsidR="00473945" w:rsidRPr="00CE79EF" w:rsidRDefault="00473945"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Sumption, J. </w:t>
      </w:r>
      <w:r w:rsidRPr="00CE79EF">
        <w:rPr>
          <w:rFonts w:ascii="Times New Roman" w:hAnsi="Times New Roman" w:cs="Times New Roman"/>
          <w:i/>
          <w:sz w:val="20"/>
        </w:rPr>
        <w:t>Pilgrimage an image of Medieval Religion</w:t>
      </w:r>
      <w:r w:rsidRPr="00CE79EF">
        <w:rPr>
          <w:rFonts w:ascii="Times New Roman" w:hAnsi="Times New Roman" w:cs="Times New Roman"/>
          <w:sz w:val="20"/>
        </w:rPr>
        <w:t xml:space="preserve"> (London: Faber and Faber, nd)</w:t>
      </w:r>
    </w:p>
    <w:p w14:paraId="797317BC" w14:textId="0B3F93B4" w:rsidR="00C018CB" w:rsidRPr="00CE79EF" w:rsidRDefault="00C018CB"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The Episcopal church, An Episcopal Dictionary of the Church. Available at: </w:t>
      </w:r>
      <w:hyperlink r:id="rId21" w:history="1">
        <w:r w:rsidRPr="00CE79EF">
          <w:rPr>
            <w:rStyle w:val="Hyperlink"/>
            <w:rFonts w:ascii="Times New Roman" w:hAnsi="Times New Roman" w:cs="Times New Roman"/>
            <w:sz w:val="20"/>
          </w:rPr>
          <w:t>https://www.episcopalchurch.org/library/glossary/crozier-or-crosier</w:t>
        </w:r>
      </w:hyperlink>
      <w:r w:rsidRPr="00CE79EF">
        <w:rPr>
          <w:rFonts w:ascii="Times New Roman" w:hAnsi="Times New Roman" w:cs="Times New Roman"/>
          <w:sz w:val="20"/>
        </w:rPr>
        <w:t xml:space="preserve"> (accessed 14th April 2019)</w:t>
      </w:r>
    </w:p>
    <w:p w14:paraId="50A779C1" w14:textId="666D40F2" w:rsidR="00C018CB" w:rsidRPr="00CE79EF" w:rsidRDefault="00C018CB"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The Morgan Library &amp; Museum, Augustine of Hippo. Available at: </w:t>
      </w:r>
      <w:hyperlink r:id="rId22" w:history="1">
        <w:r w:rsidRPr="00CE79EF">
          <w:rPr>
            <w:rStyle w:val="Hyperlink"/>
            <w:rFonts w:ascii="Times New Roman" w:hAnsi="Times New Roman" w:cs="Times New Roman"/>
            <w:sz w:val="20"/>
          </w:rPr>
          <w:t>http://ica.themorgan.org/manuscript/page/31/112382</w:t>
        </w:r>
      </w:hyperlink>
      <w:r w:rsidRPr="00CE79EF">
        <w:rPr>
          <w:rFonts w:ascii="Times New Roman" w:hAnsi="Times New Roman" w:cs="Times New Roman"/>
          <w:sz w:val="20"/>
        </w:rPr>
        <w:t xml:space="preserve"> (accessed 10th April 2019)</w:t>
      </w:r>
    </w:p>
    <w:p w14:paraId="1FF0E641" w14:textId="77777777" w:rsidR="00C018CB" w:rsidRPr="00CE79EF" w:rsidRDefault="00C018CB" w:rsidP="00CE79EF">
      <w:pPr>
        <w:spacing w:line="240" w:lineRule="auto"/>
        <w:rPr>
          <w:rFonts w:ascii="Times New Roman" w:hAnsi="Times New Roman" w:cs="Times New Roman"/>
          <w:sz w:val="20"/>
        </w:rPr>
      </w:pPr>
      <w:r w:rsidRPr="00CE79EF">
        <w:rPr>
          <w:rFonts w:ascii="Times New Roman" w:hAnsi="Times New Roman" w:cs="Times New Roman"/>
          <w:i/>
          <w:sz w:val="20"/>
        </w:rPr>
        <w:t>The Twelfth Century – Renaissance or Proto-Renaissance?</w:t>
      </w:r>
      <w:r w:rsidRPr="00CE79EF">
        <w:rPr>
          <w:rFonts w:ascii="Times New Roman" w:hAnsi="Times New Roman" w:cs="Times New Roman"/>
          <w:sz w:val="20"/>
        </w:rPr>
        <w:t xml:space="preserve"> Speculum, vol. 26, pp 635-642. Available at: </w:t>
      </w:r>
      <w:hyperlink r:id="rId23" w:anchor="metadata_info_tab_contents" w:history="1">
        <w:r w:rsidRPr="00CE79EF">
          <w:rPr>
            <w:rStyle w:val="Hyperlink"/>
            <w:rFonts w:ascii="Times New Roman" w:hAnsi="Times New Roman" w:cs="Times New Roman"/>
            <w:sz w:val="20"/>
          </w:rPr>
          <w:t>https://www-jstor-org.ezproxy.uwtsd.ac.uk/stable/2853056?sid=primo&amp;origin=crossref&amp;seq=2#metadata_info_tab_contents</w:t>
        </w:r>
      </w:hyperlink>
      <w:r w:rsidRPr="00CE79EF">
        <w:rPr>
          <w:rFonts w:ascii="Times New Roman" w:hAnsi="Times New Roman" w:cs="Times New Roman"/>
          <w:sz w:val="20"/>
        </w:rPr>
        <w:t xml:space="preserve"> (accessed 11th April 2019) </w:t>
      </w:r>
    </w:p>
    <w:p w14:paraId="79DEC6DD" w14:textId="77777777" w:rsidR="00C018CB" w:rsidRPr="00CE79EF" w:rsidRDefault="00C018CB"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Vauchez, A. </w:t>
      </w:r>
      <w:r w:rsidRPr="00CE79EF">
        <w:rPr>
          <w:rFonts w:ascii="Times New Roman" w:hAnsi="Times New Roman" w:cs="Times New Roman"/>
          <w:i/>
          <w:sz w:val="20"/>
        </w:rPr>
        <w:t>Sainthood in the later Middle Ages</w:t>
      </w:r>
      <w:r w:rsidRPr="00CE79EF">
        <w:rPr>
          <w:rFonts w:ascii="Times New Roman" w:hAnsi="Times New Roman" w:cs="Times New Roman"/>
          <w:sz w:val="20"/>
        </w:rPr>
        <w:t xml:space="preserve"> (Cambridge: Cambridge University Press, 1997)</w:t>
      </w:r>
    </w:p>
    <w:p w14:paraId="027DD1D1" w14:textId="77777777" w:rsidR="00C018CB" w:rsidRPr="00CE79EF" w:rsidRDefault="00C018CB"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Visser, A. </w:t>
      </w:r>
      <w:r w:rsidRPr="00CE79EF">
        <w:rPr>
          <w:rFonts w:ascii="Times New Roman" w:hAnsi="Times New Roman" w:cs="Times New Roman"/>
          <w:i/>
          <w:sz w:val="20"/>
        </w:rPr>
        <w:t>Reading Augustine in the reformation: The Flexibility of Intellectual Authority in Europe, 1500-1620</w:t>
      </w:r>
      <w:r w:rsidRPr="00CE79EF">
        <w:rPr>
          <w:rFonts w:ascii="Times New Roman" w:hAnsi="Times New Roman" w:cs="Times New Roman"/>
          <w:sz w:val="20"/>
        </w:rPr>
        <w:t xml:space="preserve"> (Oxford Scholarship Online, 2011), available at: </w:t>
      </w:r>
      <w:hyperlink r:id="rId24" w:history="1">
        <w:r w:rsidRPr="00CE79EF">
          <w:rPr>
            <w:rStyle w:val="Hyperlink"/>
            <w:rFonts w:ascii="Times New Roman" w:hAnsi="Times New Roman" w:cs="Times New Roman"/>
            <w:sz w:val="20"/>
          </w:rPr>
          <w:t>http://www.oxfordscholarship.com.ezproxy.uwtsd.ac.uk/view/10.1093/acprof:oso/9780199765935.001.0001/acprof-9780199765935</w:t>
        </w:r>
      </w:hyperlink>
      <w:r w:rsidRPr="00CE79EF">
        <w:rPr>
          <w:rFonts w:ascii="Times New Roman" w:hAnsi="Times New Roman" w:cs="Times New Roman"/>
          <w:sz w:val="20"/>
        </w:rPr>
        <w:t xml:space="preserve"> (accessed 9th April 2019)</w:t>
      </w:r>
    </w:p>
    <w:p w14:paraId="71361202" w14:textId="77777777" w:rsidR="00C018CB" w:rsidRPr="00CE79EF" w:rsidRDefault="00C018CB" w:rsidP="00CE79EF">
      <w:pPr>
        <w:spacing w:line="240" w:lineRule="auto"/>
        <w:rPr>
          <w:rFonts w:ascii="Times New Roman" w:hAnsi="Times New Roman" w:cs="Times New Roman"/>
          <w:sz w:val="20"/>
        </w:rPr>
      </w:pPr>
      <w:r w:rsidRPr="00CE79EF">
        <w:rPr>
          <w:rFonts w:ascii="Times New Roman" w:hAnsi="Times New Roman" w:cs="Times New Roman"/>
          <w:sz w:val="20"/>
        </w:rPr>
        <w:t xml:space="preserve">Ward, B. </w:t>
      </w:r>
      <w:r w:rsidRPr="00CE79EF">
        <w:rPr>
          <w:rFonts w:ascii="Times New Roman" w:hAnsi="Times New Roman" w:cs="Times New Roman"/>
          <w:i/>
          <w:sz w:val="20"/>
        </w:rPr>
        <w:t>Miracles and the Medieval Mind Theory, Record and Event 1000-1215</w:t>
      </w:r>
      <w:r w:rsidRPr="00CE79EF">
        <w:rPr>
          <w:rFonts w:ascii="Times New Roman" w:hAnsi="Times New Roman" w:cs="Times New Roman"/>
          <w:sz w:val="20"/>
        </w:rPr>
        <w:t xml:space="preserve"> (London: Scolar Press, 1987)</w:t>
      </w:r>
    </w:p>
    <w:p w14:paraId="08618325" w14:textId="77777777" w:rsidR="00C018CB" w:rsidRPr="00CE79EF" w:rsidRDefault="00C018CB" w:rsidP="00CE79EF">
      <w:pPr>
        <w:spacing w:line="480" w:lineRule="auto"/>
        <w:rPr>
          <w:rFonts w:ascii="Times New Roman" w:hAnsi="Times New Roman" w:cs="Times New Roman"/>
        </w:rPr>
      </w:pPr>
    </w:p>
    <w:p w14:paraId="21122879" w14:textId="77777777" w:rsidR="00C018CB" w:rsidRPr="00CE79EF" w:rsidRDefault="00C018CB" w:rsidP="00CE79EF">
      <w:pPr>
        <w:spacing w:line="480" w:lineRule="auto"/>
        <w:rPr>
          <w:rFonts w:ascii="Times New Roman" w:hAnsi="Times New Roman" w:cs="Times New Roman"/>
        </w:rPr>
      </w:pPr>
    </w:p>
    <w:p w14:paraId="73E37E59" w14:textId="77777777" w:rsidR="00C018CB" w:rsidRPr="00CE79EF" w:rsidRDefault="00C018CB" w:rsidP="00CE79EF">
      <w:pPr>
        <w:spacing w:line="480" w:lineRule="auto"/>
        <w:rPr>
          <w:rFonts w:ascii="Times New Roman" w:hAnsi="Times New Roman" w:cs="Times New Roman"/>
        </w:rPr>
      </w:pPr>
    </w:p>
    <w:p w14:paraId="19AE49BC" w14:textId="77777777" w:rsidR="00612E72" w:rsidRPr="00CE79EF" w:rsidRDefault="00612E72" w:rsidP="00CE79EF">
      <w:pPr>
        <w:spacing w:line="480" w:lineRule="auto"/>
        <w:rPr>
          <w:rFonts w:ascii="Times New Roman" w:hAnsi="Times New Roman" w:cs="Times New Roman"/>
        </w:rPr>
      </w:pPr>
    </w:p>
    <w:p w14:paraId="24A2C3DB" w14:textId="77777777" w:rsidR="002B3AA9" w:rsidRPr="00CE79EF" w:rsidRDefault="002B3AA9" w:rsidP="00CE79EF">
      <w:pPr>
        <w:spacing w:line="480" w:lineRule="auto"/>
        <w:rPr>
          <w:rFonts w:ascii="Times New Roman" w:hAnsi="Times New Roman" w:cs="Times New Roman"/>
        </w:rPr>
      </w:pPr>
    </w:p>
    <w:p w14:paraId="18E71743" w14:textId="77777777" w:rsidR="00A57372" w:rsidRPr="00CE79EF" w:rsidRDefault="00A57372" w:rsidP="00CE79EF">
      <w:pPr>
        <w:spacing w:line="480" w:lineRule="auto"/>
        <w:rPr>
          <w:rFonts w:ascii="Times New Roman" w:hAnsi="Times New Roman" w:cs="Times New Roman"/>
        </w:rPr>
      </w:pPr>
    </w:p>
    <w:p w14:paraId="430C10A6" w14:textId="77777777" w:rsidR="009A7B3D" w:rsidRPr="00CE79EF" w:rsidRDefault="009A7B3D" w:rsidP="00CE79EF">
      <w:pPr>
        <w:spacing w:line="480" w:lineRule="auto"/>
        <w:rPr>
          <w:rFonts w:ascii="Times New Roman" w:hAnsi="Times New Roman" w:cs="Times New Roman"/>
        </w:rPr>
      </w:pPr>
    </w:p>
    <w:p w14:paraId="65F6DA88" w14:textId="77777777" w:rsidR="009A7B3D" w:rsidRPr="00CE79EF" w:rsidRDefault="009A7B3D" w:rsidP="00CE79EF">
      <w:pPr>
        <w:spacing w:line="480" w:lineRule="auto"/>
        <w:rPr>
          <w:rFonts w:ascii="Times New Roman" w:hAnsi="Times New Roman" w:cs="Times New Roman"/>
        </w:rPr>
      </w:pPr>
    </w:p>
    <w:sectPr w:rsidR="009A7B3D" w:rsidRPr="00CE79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0A68C9" w14:textId="77777777" w:rsidR="00D6653E" w:rsidRDefault="00D6653E" w:rsidP="009A7B3D">
      <w:pPr>
        <w:spacing w:after="0" w:line="240" w:lineRule="auto"/>
      </w:pPr>
      <w:r>
        <w:separator/>
      </w:r>
    </w:p>
  </w:endnote>
  <w:endnote w:type="continuationSeparator" w:id="0">
    <w:p w14:paraId="0F00DB72" w14:textId="77777777" w:rsidR="00D6653E" w:rsidRDefault="00D6653E" w:rsidP="009A7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F5C22A" w14:textId="77777777" w:rsidR="00D6653E" w:rsidRDefault="00D6653E" w:rsidP="009A7B3D">
      <w:pPr>
        <w:spacing w:after="0" w:line="240" w:lineRule="auto"/>
      </w:pPr>
      <w:r>
        <w:separator/>
      </w:r>
    </w:p>
  </w:footnote>
  <w:footnote w:type="continuationSeparator" w:id="0">
    <w:p w14:paraId="647621FA" w14:textId="77777777" w:rsidR="00D6653E" w:rsidRDefault="00D6653E" w:rsidP="009A7B3D">
      <w:pPr>
        <w:spacing w:after="0" w:line="240" w:lineRule="auto"/>
      </w:pPr>
      <w:r>
        <w:continuationSeparator/>
      </w:r>
    </w:p>
  </w:footnote>
  <w:footnote w:id="1">
    <w:p w14:paraId="59544467" w14:textId="4A110F30" w:rsidR="00EC3134" w:rsidRPr="00C02DEE" w:rsidRDefault="00EC3134">
      <w:pPr>
        <w:pStyle w:val="FootnoteText"/>
        <w:rPr>
          <w:sz w:val="16"/>
        </w:rPr>
      </w:pPr>
      <w:r>
        <w:rPr>
          <w:rStyle w:val="FootnoteReference"/>
        </w:rPr>
        <w:footnoteRef/>
      </w:r>
      <w:r>
        <w:t xml:space="preserve"> </w:t>
      </w:r>
      <w:r w:rsidR="00C02DEE">
        <w:rPr>
          <w:sz w:val="16"/>
        </w:rPr>
        <w:t xml:space="preserve">R, Bartlett. </w:t>
      </w:r>
      <w:r w:rsidR="00C02DEE">
        <w:rPr>
          <w:i/>
          <w:sz w:val="16"/>
        </w:rPr>
        <w:t>Why can the Dead do Such Great Things?</w:t>
      </w:r>
      <w:r w:rsidR="00C02DEE">
        <w:rPr>
          <w:sz w:val="16"/>
        </w:rPr>
        <w:t xml:space="preserve"> (Princeton: Princeton University Press, 2013)</w:t>
      </w:r>
      <w:r w:rsidR="00251FE0">
        <w:rPr>
          <w:sz w:val="16"/>
        </w:rPr>
        <w:t>, P. 29</w:t>
      </w:r>
    </w:p>
  </w:footnote>
  <w:footnote w:id="2">
    <w:p w14:paraId="014369CE" w14:textId="68741F2C" w:rsidR="00EF6C81" w:rsidRPr="002634DF" w:rsidRDefault="00EF6C81">
      <w:pPr>
        <w:pStyle w:val="FootnoteText"/>
        <w:rPr>
          <w:sz w:val="16"/>
        </w:rPr>
      </w:pPr>
      <w:r>
        <w:rPr>
          <w:rStyle w:val="FootnoteReference"/>
        </w:rPr>
        <w:footnoteRef/>
      </w:r>
      <w:r>
        <w:t xml:space="preserve"> </w:t>
      </w:r>
      <w:r w:rsidR="00AF328E">
        <w:rPr>
          <w:sz w:val="16"/>
        </w:rPr>
        <w:t>Augustine</w:t>
      </w:r>
      <w:r w:rsidR="002634DF">
        <w:rPr>
          <w:sz w:val="16"/>
        </w:rPr>
        <w:t xml:space="preserve">, </w:t>
      </w:r>
      <w:r w:rsidR="002634DF">
        <w:rPr>
          <w:i/>
          <w:sz w:val="16"/>
        </w:rPr>
        <w:t>The Confessions,</w:t>
      </w:r>
      <w:r w:rsidR="002634DF">
        <w:rPr>
          <w:sz w:val="16"/>
        </w:rPr>
        <w:t xml:space="preserve"> trans. By Maria Boulding (New York: New City Press, 1997)</w:t>
      </w:r>
      <w:r w:rsidR="00F811CB">
        <w:rPr>
          <w:sz w:val="16"/>
        </w:rPr>
        <w:t>,</w:t>
      </w:r>
      <w:r w:rsidR="00871BDB">
        <w:rPr>
          <w:sz w:val="16"/>
        </w:rPr>
        <w:t xml:space="preserve"> P. 209</w:t>
      </w:r>
    </w:p>
  </w:footnote>
  <w:footnote w:id="3">
    <w:p w14:paraId="4786E34E" w14:textId="7A9B6DE3" w:rsidR="009A7B3D" w:rsidRPr="001D70F5" w:rsidRDefault="009A7B3D" w:rsidP="009A7B3D">
      <w:pPr>
        <w:pStyle w:val="FootnoteText"/>
        <w:rPr>
          <w:sz w:val="16"/>
        </w:rPr>
      </w:pPr>
      <w:r>
        <w:rPr>
          <w:rStyle w:val="FootnoteReference"/>
        </w:rPr>
        <w:footnoteRef/>
      </w:r>
      <w:r>
        <w:t xml:space="preserve"> </w:t>
      </w:r>
      <w:r w:rsidR="00871BDB">
        <w:rPr>
          <w:sz w:val="16"/>
        </w:rPr>
        <w:t>Augustine</w:t>
      </w:r>
      <w:r w:rsidR="001D70F5">
        <w:rPr>
          <w:sz w:val="16"/>
        </w:rPr>
        <w:t xml:space="preserve">, </w:t>
      </w:r>
      <w:r w:rsidR="001D70F5">
        <w:rPr>
          <w:i/>
          <w:sz w:val="16"/>
        </w:rPr>
        <w:t>The confessions</w:t>
      </w:r>
      <w:r w:rsidR="001D70F5">
        <w:rPr>
          <w:sz w:val="16"/>
        </w:rPr>
        <w:t>, P. 32</w:t>
      </w:r>
    </w:p>
  </w:footnote>
  <w:footnote w:id="4">
    <w:p w14:paraId="1CCB0945" w14:textId="72E48A67" w:rsidR="009A7B3D" w:rsidRPr="00D0221D" w:rsidRDefault="009A7B3D" w:rsidP="009A7B3D">
      <w:pPr>
        <w:pStyle w:val="FootnoteText"/>
        <w:rPr>
          <w:sz w:val="16"/>
        </w:rPr>
      </w:pPr>
      <w:r>
        <w:rPr>
          <w:rStyle w:val="FootnoteReference"/>
        </w:rPr>
        <w:footnoteRef/>
      </w:r>
      <w:r>
        <w:t xml:space="preserve"> </w:t>
      </w:r>
      <w:r w:rsidR="00D0221D">
        <w:rPr>
          <w:sz w:val="16"/>
        </w:rPr>
        <w:t>E</w:t>
      </w:r>
      <w:r w:rsidR="000A6E6A">
        <w:rPr>
          <w:sz w:val="16"/>
        </w:rPr>
        <w:t>, Gilson</w:t>
      </w:r>
      <w:r w:rsidR="009D169F">
        <w:rPr>
          <w:sz w:val="16"/>
        </w:rPr>
        <w:t>. ‘The Christian Philosophy of Saint Augustine’</w:t>
      </w:r>
      <w:r w:rsidR="00936989">
        <w:rPr>
          <w:sz w:val="16"/>
        </w:rPr>
        <w:t xml:space="preserve"> </w:t>
      </w:r>
      <w:r w:rsidR="00547324">
        <w:rPr>
          <w:sz w:val="16"/>
        </w:rPr>
        <w:t>trans. By L, Lynch</w:t>
      </w:r>
      <w:r w:rsidR="009D169F">
        <w:rPr>
          <w:sz w:val="16"/>
        </w:rPr>
        <w:t xml:space="preserve"> (London: Lowe &amp; Brydone Ltd, 1961)</w:t>
      </w:r>
      <w:r w:rsidR="00417C50">
        <w:rPr>
          <w:sz w:val="16"/>
        </w:rPr>
        <w:t xml:space="preserve"> P. ix</w:t>
      </w:r>
    </w:p>
  </w:footnote>
  <w:footnote w:id="5">
    <w:p w14:paraId="342F5F0E" w14:textId="58D5D57F" w:rsidR="009A7B3D" w:rsidRPr="00927D44" w:rsidRDefault="009A7B3D" w:rsidP="009A7B3D">
      <w:pPr>
        <w:pStyle w:val="FootnoteText"/>
        <w:rPr>
          <w:sz w:val="14"/>
        </w:rPr>
      </w:pPr>
      <w:r>
        <w:rPr>
          <w:rStyle w:val="FootnoteReference"/>
        </w:rPr>
        <w:footnoteRef/>
      </w:r>
      <w:r>
        <w:t xml:space="preserve"> </w:t>
      </w:r>
      <w:r w:rsidR="00927D44">
        <w:rPr>
          <w:sz w:val="14"/>
        </w:rPr>
        <w:t xml:space="preserve">Augustine, </w:t>
      </w:r>
      <w:r w:rsidR="00927D44">
        <w:rPr>
          <w:i/>
          <w:sz w:val="14"/>
        </w:rPr>
        <w:t>Eighty-Three different questions</w:t>
      </w:r>
      <w:r w:rsidR="00927D44">
        <w:rPr>
          <w:sz w:val="14"/>
        </w:rPr>
        <w:t>, trans. By David Mosher</w:t>
      </w:r>
      <w:r w:rsidR="0007047C">
        <w:rPr>
          <w:sz w:val="14"/>
        </w:rPr>
        <w:t xml:space="preserve"> (Washington D.C.: The Catholic University of America Press, 1982),</w:t>
      </w:r>
      <w:r w:rsidR="004113C9">
        <w:rPr>
          <w:sz w:val="14"/>
        </w:rPr>
        <w:t xml:space="preserve"> P. 37</w:t>
      </w:r>
    </w:p>
  </w:footnote>
  <w:footnote w:id="6">
    <w:p w14:paraId="185E5E66" w14:textId="36747A71" w:rsidR="009A7B3D" w:rsidRPr="0052591C" w:rsidRDefault="009A7B3D" w:rsidP="009A7B3D">
      <w:pPr>
        <w:pStyle w:val="FootnoteText"/>
        <w:rPr>
          <w:sz w:val="16"/>
        </w:rPr>
      </w:pPr>
      <w:r>
        <w:rPr>
          <w:rStyle w:val="FootnoteReference"/>
        </w:rPr>
        <w:footnoteRef/>
      </w:r>
      <w:r>
        <w:t xml:space="preserve"> </w:t>
      </w:r>
      <w:r w:rsidR="00EE5F5A">
        <w:rPr>
          <w:sz w:val="16"/>
        </w:rPr>
        <w:t xml:space="preserve">Ibid </w:t>
      </w:r>
      <w:r w:rsidR="0052591C">
        <w:rPr>
          <w:sz w:val="16"/>
        </w:rPr>
        <w:t>P. 42</w:t>
      </w:r>
      <w:r w:rsidR="00DA2375">
        <w:rPr>
          <w:sz w:val="16"/>
        </w:rPr>
        <w:t xml:space="preserve"> (</w:t>
      </w:r>
      <w:r w:rsidR="000A6E6A">
        <w:rPr>
          <w:sz w:val="16"/>
        </w:rPr>
        <w:t>DQ)</w:t>
      </w:r>
    </w:p>
  </w:footnote>
  <w:footnote w:id="7">
    <w:p w14:paraId="77583F60" w14:textId="4935F6BB" w:rsidR="009A7B3D" w:rsidRPr="00985178" w:rsidRDefault="009A7B3D" w:rsidP="009A7B3D">
      <w:pPr>
        <w:pStyle w:val="FootnoteText"/>
        <w:rPr>
          <w:sz w:val="16"/>
        </w:rPr>
      </w:pPr>
      <w:r>
        <w:rPr>
          <w:rStyle w:val="FootnoteReference"/>
        </w:rPr>
        <w:footnoteRef/>
      </w:r>
      <w:r>
        <w:t xml:space="preserve"> </w:t>
      </w:r>
      <w:r w:rsidR="00985178">
        <w:rPr>
          <w:sz w:val="16"/>
        </w:rPr>
        <w:t>Ibid</w:t>
      </w:r>
      <w:r w:rsidR="00EE5F5A">
        <w:rPr>
          <w:sz w:val="16"/>
        </w:rPr>
        <w:t xml:space="preserve"> P. 61</w:t>
      </w:r>
      <w:r w:rsidR="007221DD">
        <w:rPr>
          <w:sz w:val="16"/>
        </w:rPr>
        <w:t xml:space="preserve"> (</w:t>
      </w:r>
      <w:r w:rsidR="00DA2375">
        <w:rPr>
          <w:sz w:val="16"/>
        </w:rPr>
        <w:t>DQ)</w:t>
      </w:r>
    </w:p>
  </w:footnote>
  <w:footnote w:id="8">
    <w:p w14:paraId="1DB12200" w14:textId="77777777" w:rsidR="00DE11E1" w:rsidRPr="000F1F67" w:rsidRDefault="00DE11E1" w:rsidP="00DE11E1">
      <w:pPr>
        <w:pStyle w:val="FootnoteText"/>
        <w:rPr>
          <w:sz w:val="16"/>
        </w:rPr>
      </w:pPr>
      <w:r>
        <w:rPr>
          <w:rStyle w:val="FootnoteReference"/>
        </w:rPr>
        <w:footnoteRef/>
      </w:r>
      <w:r>
        <w:t xml:space="preserve"> </w:t>
      </w:r>
      <w:r>
        <w:rPr>
          <w:sz w:val="16"/>
        </w:rPr>
        <w:t>R, Battenhouse. ‘A companion to the study of Augustine’ (New York: Oxford University Press, 1955), P. 257</w:t>
      </w:r>
    </w:p>
  </w:footnote>
  <w:footnote w:id="9">
    <w:p w14:paraId="2F722A06" w14:textId="77777777" w:rsidR="00DE11E1" w:rsidRPr="00D557A8" w:rsidRDefault="00DE11E1" w:rsidP="00DE11E1">
      <w:pPr>
        <w:pStyle w:val="FootnoteText"/>
        <w:rPr>
          <w:sz w:val="16"/>
        </w:rPr>
      </w:pPr>
      <w:r>
        <w:rPr>
          <w:rStyle w:val="FootnoteReference"/>
        </w:rPr>
        <w:footnoteRef/>
      </w:r>
      <w:r>
        <w:t xml:space="preserve"> </w:t>
      </w:r>
      <w:r>
        <w:rPr>
          <w:sz w:val="16"/>
        </w:rPr>
        <w:t>Ibid, P.257</w:t>
      </w:r>
    </w:p>
  </w:footnote>
  <w:footnote w:id="10">
    <w:p w14:paraId="49C301B8" w14:textId="77777777" w:rsidR="00DE11E1" w:rsidRPr="00D557A8" w:rsidRDefault="00DE11E1" w:rsidP="00DE11E1">
      <w:pPr>
        <w:pStyle w:val="FootnoteText"/>
        <w:rPr>
          <w:sz w:val="16"/>
        </w:rPr>
      </w:pPr>
      <w:r>
        <w:rPr>
          <w:rStyle w:val="FootnoteReference"/>
        </w:rPr>
        <w:footnoteRef/>
      </w:r>
      <w:r>
        <w:t xml:space="preserve"> </w:t>
      </w:r>
      <w:r>
        <w:rPr>
          <w:sz w:val="16"/>
        </w:rPr>
        <w:t>Ibid, P. 257</w:t>
      </w:r>
    </w:p>
  </w:footnote>
  <w:footnote w:id="11">
    <w:p w14:paraId="5925CC01" w14:textId="77777777" w:rsidR="00DE11E1" w:rsidRPr="00623F44" w:rsidRDefault="00DE11E1" w:rsidP="00DE11E1">
      <w:pPr>
        <w:pStyle w:val="FootnoteText"/>
        <w:rPr>
          <w:sz w:val="16"/>
        </w:rPr>
      </w:pPr>
      <w:r>
        <w:rPr>
          <w:rStyle w:val="FootnoteReference"/>
        </w:rPr>
        <w:footnoteRef/>
      </w:r>
      <w:r>
        <w:t xml:space="preserve"> </w:t>
      </w:r>
      <w:r>
        <w:rPr>
          <w:sz w:val="16"/>
        </w:rPr>
        <w:t>Ibid, P. 257</w:t>
      </w:r>
    </w:p>
  </w:footnote>
  <w:footnote w:id="12">
    <w:p w14:paraId="0F843B4A" w14:textId="0FA5304D" w:rsidR="009A7B3D" w:rsidRPr="0023117B" w:rsidRDefault="009A7B3D" w:rsidP="009A7B3D">
      <w:pPr>
        <w:pStyle w:val="FootnoteText"/>
        <w:rPr>
          <w:sz w:val="16"/>
        </w:rPr>
      </w:pPr>
      <w:r>
        <w:rPr>
          <w:rStyle w:val="FootnoteReference"/>
        </w:rPr>
        <w:footnoteRef/>
      </w:r>
      <w:r>
        <w:t xml:space="preserve"> </w:t>
      </w:r>
      <w:r w:rsidR="0023117B">
        <w:rPr>
          <w:sz w:val="16"/>
        </w:rPr>
        <w:t>Battenhouse</w:t>
      </w:r>
      <w:r w:rsidR="000A6E6A">
        <w:rPr>
          <w:sz w:val="16"/>
        </w:rPr>
        <w:t xml:space="preserve">, </w:t>
      </w:r>
      <w:r w:rsidR="0023117B">
        <w:rPr>
          <w:sz w:val="16"/>
        </w:rPr>
        <w:t>P.3</w:t>
      </w:r>
    </w:p>
  </w:footnote>
  <w:footnote w:id="13">
    <w:p w14:paraId="5EE351A2" w14:textId="55141F26" w:rsidR="009A7B3D" w:rsidRPr="0090148A" w:rsidRDefault="009A7B3D" w:rsidP="009A7B3D">
      <w:pPr>
        <w:pStyle w:val="FootnoteText"/>
        <w:rPr>
          <w:sz w:val="16"/>
        </w:rPr>
      </w:pPr>
      <w:r>
        <w:rPr>
          <w:rStyle w:val="FootnoteReference"/>
        </w:rPr>
        <w:footnoteRef/>
      </w:r>
      <w:r>
        <w:t xml:space="preserve"> </w:t>
      </w:r>
      <w:r w:rsidR="0090148A">
        <w:rPr>
          <w:sz w:val="16"/>
        </w:rPr>
        <w:t>Battenhouse</w:t>
      </w:r>
      <w:r w:rsidR="00BC2E5C">
        <w:rPr>
          <w:sz w:val="16"/>
        </w:rPr>
        <w:t>. ‘Companion to Augustine’ P.</w:t>
      </w:r>
      <w:r w:rsidR="009E0655">
        <w:rPr>
          <w:sz w:val="16"/>
        </w:rPr>
        <w:t>4</w:t>
      </w:r>
    </w:p>
  </w:footnote>
  <w:footnote w:id="14">
    <w:p w14:paraId="51BFA631" w14:textId="4A5BA29B" w:rsidR="009A7B3D" w:rsidRPr="007A4ACC" w:rsidRDefault="009A7B3D" w:rsidP="009A7B3D">
      <w:pPr>
        <w:pStyle w:val="FootnoteText"/>
        <w:rPr>
          <w:sz w:val="16"/>
        </w:rPr>
      </w:pPr>
      <w:r>
        <w:rPr>
          <w:rStyle w:val="FootnoteReference"/>
        </w:rPr>
        <w:footnoteRef/>
      </w:r>
      <w:r>
        <w:t xml:space="preserve"> </w:t>
      </w:r>
      <w:r w:rsidR="005C3801">
        <w:rPr>
          <w:sz w:val="16"/>
        </w:rPr>
        <w:t xml:space="preserve">A, Visser. </w:t>
      </w:r>
      <w:r w:rsidR="007A4ACC">
        <w:rPr>
          <w:sz w:val="16"/>
        </w:rPr>
        <w:t>‘Reading Augustine in the reformation: The Flexibility of Intellectual Authority in Europe, 1500-1620 (Oxford Scholarship Online, 2011) P.</w:t>
      </w:r>
      <w:r w:rsidR="00B94772">
        <w:rPr>
          <w:sz w:val="16"/>
        </w:rPr>
        <w:t xml:space="preserve"> 23</w:t>
      </w:r>
    </w:p>
  </w:footnote>
  <w:footnote w:id="15">
    <w:p w14:paraId="49901E55" w14:textId="31688FAA" w:rsidR="009A7B3D" w:rsidRPr="005B487C" w:rsidRDefault="009A7B3D" w:rsidP="009A7B3D">
      <w:pPr>
        <w:pStyle w:val="FootnoteText"/>
        <w:rPr>
          <w:sz w:val="16"/>
        </w:rPr>
      </w:pPr>
      <w:r>
        <w:rPr>
          <w:rStyle w:val="FootnoteReference"/>
        </w:rPr>
        <w:footnoteRef/>
      </w:r>
      <w:r>
        <w:t xml:space="preserve"> </w:t>
      </w:r>
      <w:r w:rsidR="005B487C">
        <w:rPr>
          <w:sz w:val="16"/>
        </w:rPr>
        <w:t>The Morgan Library &amp; Museum, Augustine of Hippo</w:t>
      </w:r>
    </w:p>
  </w:footnote>
  <w:footnote w:id="16">
    <w:p w14:paraId="476A139E" w14:textId="7FA86853" w:rsidR="009A7B3D" w:rsidRPr="00196E7E" w:rsidRDefault="009A7B3D" w:rsidP="009A7B3D">
      <w:pPr>
        <w:pStyle w:val="FootnoteText"/>
        <w:rPr>
          <w:sz w:val="16"/>
        </w:rPr>
      </w:pPr>
      <w:r>
        <w:rPr>
          <w:rStyle w:val="FootnoteReference"/>
        </w:rPr>
        <w:footnoteRef/>
      </w:r>
      <w:r>
        <w:t xml:space="preserve"> </w:t>
      </w:r>
      <w:r w:rsidR="00196E7E">
        <w:rPr>
          <w:sz w:val="16"/>
        </w:rPr>
        <w:t>The Episcopal church, An Episcopal Dictionary of the Church</w:t>
      </w:r>
    </w:p>
  </w:footnote>
  <w:footnote w:id="17">
    <w:p w14:paraId="71A6B7FC" w14:textId="1A175169" w:rsidR="009A7B3D" w:rsidRPr="00AA2624" w:rsidRDefault="009A7B3D" w:rsidP="009A7B3D">
      <w:pPr>
        <w:pStyle w:val="FootnoteText"/>
        <w:rPr>
          <w:sz w:val="16"/>
        </w:rPr>
      </w:pPr>
      <w:r>
        <w:rPr>
          <w:rStyle w:val="FootnoteReference"/>
        </w:rPr>
        <w:footnoteRef/>
      </w:r>
      <w:r>
        <w:t xml:space="preserve"> </w:t>
      </w:r>
      <w:r w:rsidR="00AA2624">
        <w:rPr>
          <w:sz w:val="16"/>
        </w:rPr>
        <w:t>Christian Iconography, Sacred Heart Images</w:t>
      </w:r>
    </w:p>
  </w:footnote>
  <w:footnote w:id="18">
    <w:p w14:paraId="23ED420C" w14:textId="7A5DF4F0" w:rsidR="009A7B3D" w:rsidRPr="007B644C" w:rsidRDefault="009A7B3D" w:rsidP="009A7B3D">
      <w:pPr>
        <w:pStyle w:val="FootnoteText"/>
        <w:rPr>
          <w:sz w:val="16"/>
        </w:rPr>
      </w:pPr>
      <w:r>
        <w:rPr>
          <w:rStyle w:val="FootnoteReference"/>
        </w:rPr>
        <w:footnoteRef/>
      </w:r>
      <w:r>
        <w:t xml:space="preserve"> </w:t>
      </w:r>
      <w:r w:rsidR="007B644C">
        <w:rPr>
          <w:sz w:val="16"/>
        </w:rPr>
        <w:t>Morgan Library</w:t>
      </w:r>
    </w:p>
  </w:footnote>
  <w:footnote w:id="19">
    <w:p w14:paraId="600B97CE" w14:textId="15D96B03" w:rsidR="009A7B3D" w:rsidRPr="00B7496C" w:rsidRDefault="009A7B3D" w:rsidP="009A7B3D">
      <w:pPr>
        <w:pStyle w:val="FootnoteText"/>
        <w:rPr>
          <w:sz w:val="16"/>
        </w:rPr>
      </w:pPr>
      <w:r>
        <w:rPr>
          <w:rStyle w:val="FootnoteReference"/>
        </w:rPr>
        <w:footnoteRef/>
      </w:r>
      <w:r>
        <w:t xml:space="preserve"> </w:t>
      </w:r>
      <w:r w:rsidR="00B7496C">
        <w:rPr>
          <w:sz w:val="16"/>
        </w:rPr>
        <w:t xml:space="preserve">Augustine, </w:t>
      </w:r>
      <w:r w:rsidR="00B7496C">
        <w:rPr>
          <w:i/>
          <w:sz w:val="16"/>
        </w:rPr>
        <w:t>The confessions</w:t>
      </w:r>
      <w:r w:rsidR="00B7496C">
        <w:rPr>
          <w:sz w:val="16"/>
        </w:rPr>
        <w:t>, P. 213</w:t>
      </w:r>
    </w:p>
  </w:footnote>
  <w:footnote w:id="20">
    <w:p w14:paraId="37CBA4AF" w14:textId="73ACB6CC" w:rsidR="009A7B3D" w:rsidRPr="00B83EEE" w:rsidRDefault="009A7B3D" w:rsidP="009A7B3D">
      <w:pPr>
        <w:pStyle w:val="FootnoteText"/>
        <w:rPr>
          <w:sz w:val="16"/>
        </w:rPr>
      </w:pPr>
      <w:r>
        <w:rPr>
          <w:rStyle w:val="FootnoteReference"/>
        </w:rPr>
        <w:footnoteRef/>
      </w:r>
      <w:r>
        <w:t xml:space="preserve"> </w:t>
      </w:r>
      <w:r w:rsidR="00B83EEE">
        <w:rPr>
          <w:sz w:val="16"/>
        </w:rPr>
        <w:t>H, Hollingworth</w:t>
      </w:r>
      <w:r w:rsidR="00BE4A2E">
        <w:rPr>
          <w:sz w:val="16"/>
        </w:rPr>
        <w:t>. ‘Saint Augustine of Hippo: An Intellectual Biography’ (Oxford Scholarship Online, 2013), P. 47</w:t>
      </w:r>
    </w:p>
  </w:footnote>
  <w:footnote w:id="21">
    <w:p w14:paraId="48351DE3" w14:textId="2191562C" w:rsidR="009A7B3D" w:rsidRPr="008F1555" w:rsidRDefault="009A7B3D" w:rsidP="009A7B3D">
      <w:pPr>
        <w:pStyle w:val="FootnoteText"/>
        <w:rPr>
          <w:sz w:val="16"/>
        </w:rPr>
      </w:pPr>
      <w:r>
        <w:rPr>
          <w:rStyle w:val="FootnoteReference"/>
        </w:rPr>
        <w:footnoteRef/>
      </w:r>
      <w:r>
        <w:t xml:space="preserve"> </w:t>
      </w:r>
      <w:r w:rsidR="00F369F7">
        <w:rPr>
          <w:sz w:val="16"/>
        </w:rPr>
        <w:t xml:space="preserve">R, Deferrari. </w:t>
      </w:r>
      <w:r w:rsidR="00F369F7">
        <w:rPr>
          <w:i/>
          <w:sz w:val="16"/>
        </w:rPr>
        <w:t>The Fathers of the church Early Christian biographie</w:t>
      </w:r>
      <w:r w:rsidR="008F1555">
        <w:rPr>
          <w:i/>
          <w:sz w:val="16"/>
        </w:rPr>
        <w:t>s</w:t>
      </w:r>
      <w:r w:rsidR="008F1555">
        <w:rPr>
          <w:sz w:val="16"/>
        </w:rPr>
        <w:t xml:space="preserve"> (Washington, D.C.: The Catholic University of America Press, 1952) </w:t>
      </w:r>
      <w:r w:rsidR="00836EAC">
        <w:rPr>
          <w:sz w:val="16"/>
        </w:rPr>
        <w:t>pp 221-361</w:t>
      </w:r>
    </w:p>
  </w:footnote>
  <w:footnote w:id="22">
    <w:p w14:paraId="38C86402" w14:textId="5999EA25" w:rsidR="009A7B3D" w:rsidRPr="00D14B19" w:rsidRDefault="009A7B3D" w:rsidP="009A7B3D">
      <w:pPr>
        <w:pStyle w:val="FootnoteText"/>
        <w:rPr>
          <w:sz w:val="16"/>
        </w:rPr>
      </w:pPr>
      <w:r>
        <w:rPr>
          <w:rStyle w:val="FootnoteReference"/>
        </w:rPr>
        <w:footnoteRef/>
      </w:r>
      <w:r>
        <w:t xml:space="preserve"> </w:t>
      </w:r>
      <w:r w:rsidR="00712640">
        <w:rPr>
          <w:sz w:val="16"/>
        </w:rPr>
        <w:t>B, Miro</w:t>
      </w:r>
      <w:r w:rsidR="00D14B19">
        <w:rPr>
          <w:sz w:val="16"/>
        </w:rPr>
        <w:t xml:space="preserve">nov. ‘The development of Literacy in Russia and the USSR from the Tenth to the Twentieth Centuries’ </w:t>
      </w:r>
      <w:r w:rsidR="00D14B19">
        <w:rPr>
          <w:i/>
          <w:sz w:val="16"/>
        </w:rPr>
        <w:t>History of Education Quarterly</w:t>
      </w:r>
      <w:r w:rsidR="00D14B19">
        <w:rPr>
          <w:sz w:val="16"/>
        </w:rPr>
        <w:t>, vol. 31</w:t>
      </w:r>
      <w:r w:rsidR="003D0104">
        <w:rPr>
          <w:sz w:val="16"/>
        </w:rPr>
        <w:t>, pp 229-252. P. 230</w:t>
      </w:r>
    </w:p>
  </w:footnote>
  <w:footnote w:id="23">
    <w:p w14:paraId="7AB172B2" w14:textId="6D732CA1" w:rsidR="009A7B3D" w:rsidRPr="003D0104" w:rsidRDefault="009A7B3D" w:rsidP="009A7B3D">
      <w:pPr>
        <w:pStyle w:val="FootnoteText"/>
        <w:rPr>
          <w:sz w:val="16"/>
        </w:rPr>
      </w:pPr>
      <w:r>
        <w:rPr>
          <w:rStyle w:val="FootnoteReference"/>
        </w:rPr>
        <w:footnoteRef/>
      </w:r>
      <w:r>
        <w:t xml:space="preserve"> </w:t>
      </w:r>
      <w:r w:rsidR="003D0104">
        <w:rPr>
          <w:sz w:val="16"/>
        </w:rPr>
        <w:t>Ibid</w:t>
      </w:r>
      <w:r w:rsidR="00175E01">
        <w:rPr>
          <w:sz w:val="16"/>
        </w:rPr>
        <w:t xml:space="preserve"> P. 230</w:t>
      </w:r>
    </w:p>
  </w:footnote>
  <w:footnote w:id="24">
    <w:p w14:paraId="048A0BEE" w14:textId="1DB5F5F6" w:rsidR="009A7B3D" w:rsidRPr="00175E01" w:rsidRDefault="009A7B3D" w:rsidP="009A7B3D">
      <w:pPr>
        <w:pStyle w:val="FootnoteText"/>
        <w:rPr>
          <w:sz w:val="16"/>
        </w:rPr>
      </w:pPr>
      <w:r>
        <w:rPr>
          <w:rStyle w:val="FootnoteReference"/>
        </w:rPr>
        <w:footnoteRef/>
      </w:r>
      <w:r>
        <w:t xml:space="preserve"> </w:t>
      </w:r>
      <w:r w:rsidR="00175E01">
        <w:rPr>
          <w:sz w:val="16"/>
        </w:rPr>
        <w:t>Ibid P. 230</w:t>
      </w:r>
    </w:p>
  </w:footnote>
  <w:footnote w:id="25">
    <w:p w14:paraId="3EF86747" w14:textId="69A2280B" w:rsidR="009A7B3D" w:rsidRPr="001C39E3" w:rsidRDefault="009A7B3D" w:rsidP="009A7B3D">
      <w:pPr>
        <w:pStyle w:val="FootnoteText"/>
        <w:rPr>
          <w:sz w:val="16"/>
        </w:rPr>
      </w:pPr>
      <w:r>
        <w:rPr>
          <w:rStyle w:val="FootnoteReference"/>
        </w:rPr>
        <w:footnoteRef/>
      </w:r>
      <w:r>
        <w:t xml:space="preserve"> </w:t>
      </w:r>
      <w:r w:rsidR="00CC56E6">
        <w:rPr>
          <w:sz w:val="16"/>
        </w:rPr>
        <w:t>L, Cheney</w:t>
      </w:r>
      <w:r w:rsidR="001C39E3">
        <w:rPr>
          <w:sz w:val="16"/>
        </w:rPr>
        <w:t xml:space="preserve">. ‘The Cult of Saint Agatha’ </w:t>
      </w:r>
      <w:r w:rsidR="001C39E3">
        <w:rPr>
          <w:i/>
          <w:sz w:val="16"/>
        </w:rPr>
        <w:t>Woman’s Art Journal</w:t>
      </w:r>
      <w:r w:rsidR="001C39E3">
        <w:rPr>
          <w:sz w:val="16"/>
        </w:rPr>
        <w:t>, vol. 17, pp</w:t>
      </w:r>
      <w:r w:rsidR="00A102FC">
        <w:rPr>
          <w:sz w:val="16"/>
        </w:rPr>
        <w:t xml:space="preserve"> 3-9. P. 5</w:t>
      </w:r>
    </w:p>
  </w:footnote>
  <w:footnote w:id="26">
    <w:p w14:paraId="5A9EE303" w14:textId="23361306" w:rsidR="009A7B3D" w:rsidRPr="00A102FC" w:rsidRDefault="009A7B3D" w:rsidP="009A7B3D">
      <w:pPr>
        <w:pStyle w:val="FootnoteText"/>
        <w:rPr>
          <w:sz w:val="16"/>
        </w:rPr>
      </w:pPr>
      <w:r>
        <w:rPr>
          <w:rStyle w:val="FootnoteReference"/>
        </w:rPr>
        <w:footnoteRef/>
      </w:r>
      <w:r>
        <w:t xml:space="preserve"> </w:t>
      </w:r>
      <w:r w:rsidR="00A102FC">
        <w:rPr>
          <w:sz w:val="16"/>
        </w:rPr>
        <w:t>Ibid P</w:t>
      </w:r>
      <w:r w:rsidR="00954B4F">
        <w:rPr>
          <w:sz w:val="16"/>
        </w:rPr>
        <w:t>. 6</w:t>
      </w:r>
    </w:p>
  </w:footnote>
  <w:footnote w:id="27">
    <w:p w14:paraId="1C77CA3A" w14:textId="3052DD8D" w:rsidR="009A7B3D" w:rsidRPr="00954B4F" w:rsidRDefault="009A7B3D" w:rsidP="009A7B3D">
      <w:pPr>
        <w:pStyle w:val="FootnoteText"/>
        <w:rPr>
          <w:sz w:val="16"/>
        </w:rPr>
      </w:pPr>
      <w:r>
        <w:rPr>
          <w:rStyle w:val="FootnoteReference"/>
        </w:rPr>
        <w:footnoteRef/>
      </w:r>
      <w:r>
        <w:t xml:space="preserve"> </w:t>
      </w:r>
      <w:r w:rsidR="00954B4F">
        <w:rPr>
          <w:sz w:val="16"/>
        </w:rPr>
        <w:t>Ibid P.3</w:t>
      </w:r>
    </w:p>
  </w:footnote>
  <w:footnote w:id="28">
    <w:p w14:paraId="3A95C845" w14:textId="50413D63" w:rsidR="009A7B3D" w:rsidRPr="008432F5" w:rsidRDefault="009A7B3D" w:rsidP="009A7B3D">
      <w:pPr>
        <w:pStyle w:val="FootnoteText"/>
        <w:rPr>
          <w:sz w:val="16"/>
        </w:rPr>
      </w:pPr>
      <w:r>
        <w:rPr>
          <w:rStyle w:val="FootnoteReference"/>
        </w:rPr>
        <w:footnoteRef/>
      </w:r>
      <w:r>
        <w:t xml:space="preserve"> </w:t>
      </w:r>
      <w:r w:rsidR="008432F5">
        <w:rPr>
          <w:sz w:val="16"/>
        </w:rPr>
        <w:t>Deferrari, P. vii</w:t>
      </w:r>
    </w:p>
  </w:footnote>
  <w:footnote w:id="29">
    <w:p w14:paraId="34033362" w14:textId="40414B4A" w:rsidR="009A7B3D" w:rsidRPr="00A30FD9" w:rsidRDefault="009A7B3D" w:rsidP="009A7B3D">
      <w:pPr>
        <w:pStyle w:val="FootnoteText"/>
        <w:rPr>
          <w:sz w:val="16"/>
        </w:rPr>
      </w:pPr>
      <w:r>
        <w:rPr>
          <w:rStyle w:val="FootnoteReference"/>
        </w:rPr>
        <w:footnoteRef/>
      </w:r>
      <w:r w:rsidR="00056960">
        <w:rPr>
          <w:sz w:val="16"/>
        </w:rPr>
        <w:t xml:space="preserve">Hermanowicz. </w:t>
      </w:r>
      <w:r w:rsidR="00056960">
        <w:rPr>
          <w:i/>
          <w:sz w:val="16"/>
        </w:rPr>
        <w:t>Possidius of Calama: A study of the North African Episcopate in the Age of Augustine</w:t>
      </w:r>
      <w:r w:rsidR="00056960">
        <w:rPr>
          <w:sz w:val="16"/>
        </w:rPr>
        <w:t xml:space="preserve"> (Oxford: Oxford University Press, 2008), P.22</w:t>
      </w:r>
      <w:r>
        <w:t xml:space="preserve"> </w:t>
      </w:r>
    </w:p>
  </w:footnote>
  <w:footnote w:id="30">
    <w:p w14:paraId="79D6F5EA" w14:textId="0B9B4565" w:rsidR="009A7B3D" w:rsidRPr="009B07C1" w:rsidRDefault="009A7B3D" w:rsidP="009A7B3D">
      <w:pPr>
        <w:pStyle w:val="FootnoteText"/>
        <w:rPr>
          <w:sz w:val="16"/>
        </w:rPr>
      </w:pPr>
      <w:r>
        <w:rPr>
          <w:rStyle w:val="FootnoteReference"/>
        </w:rPr>
        <w:footnoteRef/>
      </w:r>
      <w:r>
        <w:t xml:space="preserve"> </w:t>
      </w:r>
      <w:r w:rsidR="009B07C1">
        <w:rPr>
          <w:sz w:val="16"/>
        </w:rPr>
        <w:t xml:space="preserve">A, Reader. </w:t>
      </w:r>
      <w:r w:rsidR="009B07C1">
        <w:rPr>
          <w:i/>
          <w:sz w:val="16"/>
        </w:rPr>
        <w:t>Medieval Saints</w:t>
      </w:r>
      <w:r w:rsidR="009B07C1">
        <w:rPr>
          <w:sz w:val="16"/>
        </w:rPr>
        <w:t xml:space="preserve"> (Michigan: Broadview Press, 1999) </w:t>
      </w:r>
    </w:p>
  </w:footnote>
  <w:footnote w:id="31">
    <w:p w14:paraId="46A4FE81" w14:textId="763CE284" w:rsidR="009A7B3D" w:rsidRPr="00E2495B" w:rsidRDefault="009A7B3D" w:rsidP="009A7B3D">
      <w:pPr>
        <w:pStyle w:val="FootnoteText"/>
        <w:rPr>
          <w:sz w:val="16"/>
        </w:rPr>
      </w:pPr>
      <w:r>
        <w:rPr>
          <w:rStyle w:val="FootnoteReference"/>
        </w:rPr>
        <w:footnoteRef/>
      </w:r>
      <w:r>
        <w:t xml:space="preserve"> </w:t>
      </w:r>
      <w:r w:rsidR="00E2495B">
        <w:rPr>
          <w:sz w:val="16"/>
        </w:rPr>
        <w:t xml:space="preserve">M, Godich. </w:t>
      </w:r>
      <w:r w:rsidR="00E2495B">
        <w:rPr>
          <w:i/>
          <w:sz w:val="16"/>
        </w:rPr>
        <w:t>Voices from the Bench: The Narratives of lesser folk in Medieval trials</w:t>
      </w:r>
      <w:r w:rsidR="002F79CF">
        <w:rPr>
          <w:sz w:val="16"/>
        </w:rPr>
        <w:t>, P. 127</w:t>
      </w:r>
    </w:p>
  </w:footnote>
  <w:footnote w:id="32">
    <w:p w14:paraId="42C4754D" w14:textId="0F6243FE" w:rsidR="009A7B3D" w:rsidRPr="008432F5" w:rsidRDefault="009A7B3D" w:rsidP="009A7B3D">
      <w:pPr>
        <w:pStyle w:val="FootnoteText"/>
        <w:rPr>
          <w:sz w:val="16"/>
        </w:rPr>
      </w:pPr>
      <w:r>
        <w:rPr>
          <w:rStyle w:val="FootnoteReference"/>
        </w:rPr>
        <w:footnoteRef/>
      </w:r>
      <w:r>
        <w:t xml:space="preserve"> </w:t>
      </w:r>
      <w:r w:rsidR="008432F5">
        <w:rPr>
          <w:sz w:val="16"/>
        </w:rPr>
        <w:t>Deferrari, P. 69</w:t>
      </w:r>
    </w:p>
  </w:footnote>
  <w:footnote w:id="33">
    <w:p w14:paraId="05D4EE08" w14:textId="0F518F52" w:rsidR="009A7B3D" w:rsidRPr="00806F63" w:rsidRDefault="009A7B3D" w:rsidP="009A7B3D">
      <w:pPr>
        <w:pStyle w:val="FootnoteText"/>
        <w:rPr>
          <w:sz w:val="16"/>
        </w:rPr>
      </w:pPr>
      <w:r>
        <w:rPr>
          <w:rStyle w:val="FootnoteReference"/>
        </w:rPr>
        <w:footnoteRef/>
      </w:r>
      <w:r>
        <w:t xml:space="preserve"> </w:t>
      </w:r>
      <w:r w:rsidR="00587452">
        <w:rPr>
          <w:sz w:val="16"/>
        </w:rPr>
        <w:t>Ibid P. 69</w:t>
      </w:r>
    </w:p>
  </w:footnote>
  <w:footnote w:id="34">
    <w:p w14:paraId="54BC6154" w14:textId="0D771AD4" w:rsidR="009A7B3D" w:rsidRPr="0063172A" w:rsidRDefault="009A7B3D" w:rsidP="009A7B3D">
      <w:pPr>
        <w:pStyle w:val="FootnoteText"/>
        <w:rPr>
          <w:sz w:val="16"/>
        </w:rPr>
      </w:pPr>
      <w:r>
        <w:rPr>
          <w:rStyle w:val="FootnoteReference"/>
        </w:rPr>
        <w:footnoteRef/>
      </w:r>
      <w:r>
        <w:t xml:space="preserve"> </w:t>
      </w:r>
      <w:r w:rsidR="0063172A">
        <w:rPr>
          <w:sz w:val="16"/>
        </w:rPr>
        <w:t>D</w:t>
      </w:r>
      <w:r w:rsidR="00760184">
        <w:rPr>
          <w:sz w:val="16"/>
        </w:rPr>
        <w:t>eferrari, P. 111</w:t>
      </w:r>
    </w:p>
  </w:footnote>
  <w:footnote w:id="35">
    <w:p w14:paraId="59EEA4BD" w14:textId="066FB7E4" w:rsidR="009A7B3D" w:rsidRPr="00760184" w:rsidRDefault="009A7B3D" w:rsidP="009A7B3D">
      <w:pPr>
        <w:pStyle w:val="FootnoteText"/>
        <w:rPr>
          <w:sz w:val="16"/>
        </w:rPr>
      </w:pPr>
      <w:r>
        <w:rPr>
          <w:rStyle w:val="FootnoteReference"/>
        </w:rPr>
        <w:footnoteRef/>
      </w:r>
      <w:r>
        <w:t xml:space="preserve"> </w:t>
      </w:r>
      <w:r w:rsidR="00760184">
        <w:rPr>
          <w:sz w:val="16"/>
        </w:rPr>
        <w:t>Ibid</w:t>
      </w:r>
    </w:p>
  </w:footnote>
  <w:footnote w:id="36">
    <w:p w14:paraId="3332BC9B" w14:textId="0FC7A77E" w:rsidR="009A7B3D" w:rsidRPr="00760184" w:rsidRDefault="009A7B3D" w:rsidP="009A7B3D">
      <w:pPr>
        <w:pStyle w:val="FootnoteText"/>
        <w:rPr>
          <w:sz w:val="16"/>
        </w:rPr>
      </w:pPr>
      <w:r>
        <w:rPr>
          <w:rStyle w:val="FootnoteReference"/>
        </w:rPr>
        <w:footnoteRef/>
      </w:r>
      <w:r>
        <w:t xml:space="preserve"> </w:t>
      </w:r>
      <w:r w:rsidR="00760184">
        <w:rPr>
          <w:sz w:val="16"/>
        </w:rPr>
        <w:t>Ibid, P.111</w:t>
      </w:r>
    </w:p>
  </w:footnote>
  <w:footnote w:id="37">
    <w:p w14:paraId="3C7A46E6" w14:textId="0174D1ED" w:rsidR="009A7B3D" w:rsidRPr="00760184" w:rsidRDefault="009A7B3D" w:rsidP="009A7B3D">
      <w:pPr>
        <w:pStyle w:val="FootnoteText"/>
        <w:rPr>
          <w:sz w:val="16"/>
        </w:rPr>
      </w:pPr>
      <w:r>
        <w:rPr>
          <w:rStyle w:val="FootnoteReference"/>
        </w:rPr>
        <w:footnoteRef/>
      </w:r>
      <w:r>
        <w:t xml:space="preserve"> </w:t>
      </w:r>
      <w:r w:rsidR="00760184">
        <w:rPr>
          <w:sz w:val="16"/>
        </w:rPr>
        <w:t>Ibid, P.111</w:t>
      </w:r>
    </w:p>
  </w:footnote>
  <w:footnote w:id="38">
    <w:p w14:paraId="39FEAF0F" w14:textId="0CC8C018" w:rsidR="009A7B3D" w:rsidRPr="003311C6" w:rsidRDefault="009A7B3D" w:rsidP="009A7B3D">
      <w:pPr>
        <w:pStyle w:val="FootnoteText"/>
        <w:rPr>
          <w:sz w:val="16"/>
        </w:rPr>
      </w:pPr>
      <w:r>
        <w:rPr>
          <w:rStyle w:val="FootnoteReference"/>
        </w:rPr>
        <w:footnoteRef/>
      </w:r>
      <w:r>
        <w:t xml:space="preserve"> </w:t>
      </w:r>
      <w:r w:rsidR="003311C6">
        <w:rPr>
          <w:sz w:val="16"/>
        </w:rPr>
        <w:t>Ibid, P.111</w:t>
      </w:r>
    </w:p>
  </w:footnote>
  <w:footnote w:id="39">
    <w:p w14:paraId="7A8EB38E" w14:textId="299027F2" w:rsidR="009A7B3D" w:rsidRPr="003311C6" w:rsidRDefault="009A7B3D" w:rsidP="009A7B3D">
      <w:pPr>
        <w:pStyle w:val="FootnoteText"/>
        <w:rPr>
          <w:sz w:val="16"/>
        </w:rPr>
      </w:pPr>
      <w:r>
        <w:rPr>
          <w:rStyle w:val="FootnoteReference"/>
        </w:rPr>
        <w:footnoteRef/>
      </w:r>
      <w:r>
        <w:t xml:space="preserve"> </w:t>
      </w:r>
      <w:r w:rsidR="003311C6">
        <w:rPr>
          <w:sz w:val="16"/>
        </w:rPr>
        <w:t>Ibid, P.111</w:t>
      </w:r>
    </w:p>
  </w:footnote>
  <w:footnote w:id="40">
    <w:p w14:paraId="4F8B3802" w14:textId="46B37FC2" w:rsidR="009A7B3D" w:rsidRPr="00F64DF3" w:rsidRDefault="009A7B3D" w:rsidP="009A7B3D">
      <w:pPr>
        <w:pStyle w:val="FootnoteText"/>
        <w:rPr>
          <w:sz w:val="16"/>
        </w:rPr>
      </w:pPr>
      <w:r>
        <w:rPr>
          <w:rStyle w:val="FootnoteReference"/>
        </w:rPr>
        <w:footnoteRef/>
      </w:r>
      <w:r>
        <w:t xml:space="preserve"> </w:t>
      </w:r>
      <w:r w:rsidR="00F64DF3">
        <w:rPr>
          <w:sz w:val="16"/>
        </w:rPr>
        <w:t xml:space="preserve">Augustine, </w:t>
      </w:r>
      <w:r w:rsidR="00F64DF3">
        <w:rPr>
          <w:i/>
          <w:sz w:val="16"/>
        </w:rPr>
        <w:t>Eighty-Three questions</w:t>
      </w:r>
      <w:r w:rsidR="00F64DF3">
        <w:rPr>
          <w:sz w:val="16"/>
        </w:rPr>
        <w:t xml:space="preserve">, </w:t>
      </w:r>
      <w:r w:rsidR="00CD4F63">
        <w:rPr>
          <w:sz w:val="16"/>
        </w:rPr>
        <w:t>pp 200-205</w:t>
      </w:r>
    </w:p>
  </w:footnote>
  <w:footnote w:id="41">
    <w:p w14:paraId="2AF09472" w14:textId="3A408E32" w:rsidR="009A7B3D" w:rsidRPr="00CD4F63" w:rsidRDefault="009A7B3D" w:rsidP="009A7B3D">
      <w:pPr>
        <w:pStyle w:val="FootnoteText"/>
        <w:rPr>
          <w:sz w:val="16"/>
        </w:rPr>
      </w:pPr>
      <w:r>
        <w:rPr>
          <w:rStyle w:val="FootnoteReference"/>
        </w:rPr>
        <w:footnoteRef/>
      </w:r>
      <w:r>
        <w:t xml:space="preserve"> </w:t>
      </w:r>
      <w:r w:rsidR="00CD4F63">
        <w:rPr>
          <w:sz w:val="16"/>
        </w:rPr>
        <w:t>Ibid P. 205</w:t>
      </w:r>
    </w:p>
  </w:footnote>
  <w:footnote w:id="42">
    <w:p w14:paraId="6A7BAC95" w14:textId="10E588F0" w:rsidR="009A7B3D" w:rsidRPr="00BB6F73" w:rsidRDefault="009A7B3D" w:rsidP="009A7B3D">
      <w:pPr>
        <w:pStyle w:val="FootnoteText"/>
        <w:rPr>
          <w:sz w:val="16"/>
        </w:rPr>
      </w:pPr>
      <w:r>
        <w:rPr>
          <w:rStyle w:val="FootnoteReference"/>
        </w:rPr>
        <w:footnoteRef/>
      </w:r>
      <w:r>
        <w:t xml:space="preserve"> </w:t>
      </w:r>
      <w:r w:rsidR="00BB6F73">
        <w:rPr>
          <w:sz w:val="16"/>
        </w:rPr>
        <w:t>Deferrari, P. 73</w:t>
      </w:r>
    </w:p>
  </w:footnote>
  <w:footnote w:id="43">
    <w:p w14:paraId="0235E144" w14:textId="271D987B" w:rsidR="004E4F7E" w:rsidRPr="004E4F7E" w:rsidRDefault="004E4F7E">
      <w:pPr>
        <w:pStyle w:val="FootnoteText"/>
        <w:rPr>
          <w:sz w:val="16"/>
        </w:rPr>
      </w:pPr>
      <w:r>
        <w:rPr>
          <w:rStyle w:val="FootnoteReference"/>
        </w:rPr>
        <w:footnoteRef/>
      </w:r>
      <w:r>
        <w:t xml:space="preserve"> </w:t>
      </w:r>
      <w:r w:rsidR="00A31E0C">
        <w:rPr>
          <w:sz w:val="16"/>
        </w:rPr>
        <w:t>Ibid</w:t>
      </w:r>
      <w:r>
        <w:rPr>
          <w:sz w:val="16"/>
        </w:rPr>
        <w:t xml:space="preserve">, P. </w:t>
      </w:r>
      <w:r w:rsidR="00A31E0C">
        <w:rPr>
          <w:sz w:val="16"/>
        </w:rPr>
        <w:t>5</w:t>
      </w:r>
    </w:p>
  </w:footnote>
  <w:footnote w:id="44">
    <w:p w14:paraId="23C1859F" w14:textId="022C6276" w:rsidR="00E44A28" w:rsidRPr="004214F5" w:rsidRDefault="00E44A28">
      <w:pPr>
        <w:pStyle w:val="FootnoteText"/>
        <w:rPr>
          <w:sz w:val="16"/>
        </w:rPr>
      </w:pPr>
      <w:r>
        <w:rPr>
          <w:rStyle w:val="FootnoteReference"/>
        </w:rPr>
        <w:footnoteRef/>
      </w:r>
      <w:r>
        <w:t xml:space="preserve"> </w:t>
      </w:r>
      <w:r w:rsidR="003312F5">
        <w:rPr>
          <w:sz w:val="16"/>
        </w:rPr>
        <w:t>B, Bachrach and D, Bachrach.</w:t>
      </w:r>
      <w:r w:rsidR="004214F5">
        <w:rPr>
          <w:sz w:val="16"/>
        </w:rPr>
        <w:t xml:space="preserve"> </w:t>
      </w:r>
      <w:r w:rsidR="004214F5">
        <w:rPr>
          <w:i/>
          <w:sz w:val="16"/>
        </w:rPr>
        <w:t>The Gesta Tancredi of Ralph of Caen, A History of the Normans on the First Crusade</w:t>
      </w:r>
      <w:r w:rsidR="004D211E">
        <w:rPr>
          <w:sz w:val="16"/>
        </w:rPr>
        <w:t>. (Hampshire: Ashgate Publishing Limited, 2005)</w:t>
      </w:r>
    </w:p>
  </w:footnote>
  <w:footnote w:id="45">
    <w:p w14:paraId="704F77A3" w14:textId="4E414C4A" w:rsidR="009A7B3D" w:rsidRPr="00AC221E" w:rsidRDefault="009A7B3D" w:rsidP="009A7B3D">
      <w:pPr>
        <w:pStyle w:val="FootnoteText"/>
        <w:rPr>
          <w:sz w:val="16"/>
        </w:rPr>
      </w:pPr>
      <w:r>
        <w:rPr>
          <w:rStyle w:val="FootnoteReference"/>
        </w:rPr>
        <w:footnoteRef/>
      </w:r>
      <w:r>
        <w:t xml:space="preserve"> </w:t>
      </w:r>
      <w:r w:rsidR="00AC221E">
        <w:rPr>
          <w:sz w:val="16"/>
        </w:rPr>
        <w:t>Ibid, P.</w:t>
      </w:r>
      <w:r w:rsidR="004968E9">
        <w:rPr>
          <w:sz w:val="16"/>
        </w:rPr>
        <w:t xml:space="preserve"> 17</w:t>
      </w:r>
    </w:p>
  </w:footnote>
  <w:footnote w:id="46">
    <w:p w14:paraId="33ADA1D3" w14:textId="0EBD1CF5" w:rsidR="009A7B3D" w:rsidRPr="007F6339" w:rsidRDefault="009A7B3D" w:rsidP="009A7B3D">
      <w:pPr>
        <w:pStyle w:val="FootnoteText"/>
        <w:rPr>
          <w:sz w:val="16"/>
        </w:rPr>
      </w:pPr>
      <w:r>
        <w:rPr>
          <w:rStyle w:val="FootnoteReference"/>
        </w:rPr>
        <w:footnoteRef/>
      </w:r>
      <w:r>
        <w:t xml:space="preserve"> </w:t>
      </w:r>
      <w:r w:rsidR="007F6339">
        <w:rPr>
          <w:sz w:val="16"/>
        </w:rPr>
        <w:t>Deferrari, P</w:t>
      </w:r>
      <w:r w:rsidR="007E6297">
        <w:rPr>
          <w:sz w:val="16"/>
        </w:rPr>
        <w:t>. 74</w:t>
      </w:r>
    </w:p>
  </w:footnote>
  <w:footnote w:id="47">
    <w:p w14:paraId="2725EE00" w14:textId="54522593" w:rsidR="009A7B3D" w:rsidRPr="00832F67" w:rsidRDefault="009A7B3D" w:rsidP="009A7B3D">
      <w:pPr>
        <w:pStyle w:val="FootnoteText"/>
        <w:rPr>
          <w:sz w:val="16"/>
        </w:rPr>
      </w:pPr>
      <w:r>
        <w:rPr>
          <w:rStyle w:val="FootnoteReference"/>
        </w:rPr>
        <w:footnoteRef/>
      </w:r>
      <w:r>
        <w:t xml:space="preserve"> </w:t>
      </w:r>
      <w:r w:rsidR="00832F67">
        <w:rPr>
          <w:sz w:val="16"/>
        </w:rPr>
        <w:t>Hermanowicz, P. 17</w:t>
      </w:r>
    </w:p>
  </w:footnote>
  <w:footnote w:id="48">
    <w:p w14:paraId="75284160" w14:textId="2868392E" w:rsidR="009A7B3D" w:rsidRPr="008D45F5" w:rsidRDefault="009A7B3D" w:rsidP="009A7B3D">
      <w:pPr>
        <w:pStyle w:val="FootnoteText"/>
        <w:rPr>
          <w:sz w:val="16"/>
        </w:rPr>
      </w:pPr>
      <w:r>
        <w:rPr>
          <w:rStyle w:val="FootnoteReference"/>
        </w:rPr>
        <w:footnoteRef/>
      </w:r>
      <w:r>
        <w:t xml:space="preserve"> </w:t>
      </w:r>
      <w:r w:rsidR="001E732E">
        <w:rPr>
          <w:sz w:val="16"/>
        </w:rPr>
        <w:t>Deferrari, P. v</w:t>
      </w:r>
    </w:p>
  </w:footnote>
  <w:footnote w:id="49">
    <w:p w14:paraId="2460F5BD" w14:textId="7C16816C" w:rsidR="009A7B3D" w:rsidRPr="00EF2E8B" w:rsidRDefault="009A7B3D" w:rsidP="009A7B3D">
      <w:pPr>
        <w:pStyle w:val="FootnoteText"/>
        <w:rPr>
          <w:sz w:val="16"/>
        </w:rPr>
      </w:pPr>
      <w:r>
        <w:rPr>
          <w:rStyle w:val="FootnoteReference"/>
        </w:rPr>
        <w:footnoteRef/>
      </w:r>
      <w:r>
        <w:t xml:space="preserve"> </w:t>
      </w:r>
      <w:r w:rsidR="00EF2E8B">
        <w:rPr>
          <w:sz w:val="16"/>
        </w:rPr>
        <w:t xml:space="preserve">Augustine, </w:t>
      </w:r>
      <w:r w:rsidR="00EF2E8B">
        <w:rPr>
          <w:i/>
          <w:sz w:val="16"/>
        </w:rPr>
        <w:t>The Confessions</w:t>
      </w:r>
      <w:r w:rsidR="00EF2E8B">
        <w:rPr>
          <w:sz w:val="16"/>
        </w:rPr>
        <w:t>.</w:t>
      </w:r>
    </w:p>
  </w:footnote>
  <w:footnote w:id="50">
    <w:p w14:paraId="40E77AC9" w14:textId="1F79B7C9" w:rsidR="009A7B3D" w:rsidRPr="00FB625B" w:rsidRDefault="009A7B3D" w:rsidP="009A7B3D">
      <w:pPr>
        <w:pStyle w:val="FootnoteText"/>
        <w:rPr>
          <w:sz w:val="16"/>
        </w:rPr>
      </w:pPr>
      <w:r>
        <w:rPr>
          <w:rStyle w:val="FootnoteReference"/>
        </w:rPr>
        <w:footnoteRef/>
      </w:r>
      <w:r>
        <w:t xml:space="preserve"> </w:t>
      </w:r>
      <w:r w:rsidR="00FB625B">
        <w:rPr>
          <w:sz w:val="16"/>
        </w:rPr>
        <w:t>R</w:t>
      </w:r>
      <w:r w:rsidR="00795231">
        <w:rPr>
          <w:sz w:val="16"/>
        </w:rPr>
        <w:t>, Battenhouse. ‘A companion the study of St. Augustine’ (New York: Oxford University Press,</w:t>
      </w:r>
      <w:r w:rsidR="00A14BB1">
        <w:rPr>
          <w:sz w:val="16"/>
        </w:rPr>
        <w:t xml:space="preserve"> 1955), P. 68</w:t>
      </w:r>
    </w:p>
  </w:footnote>
  <w:footnote w:id="51">
    <w:p w14:paraId="43590AEF" w14:textId="736C15D4" w:rsidR="00943812" w:rsidRPr="00BC2FAF" w:rsidRDefault="00943812">
      <w:pPr>
        <w:pStyle w:val="FootnoteText"/>
        <w:rPr>
          <w:sz w:val="16"/>
        </w:rPr>
      </w:pPr>
      <w:r>
        <w:rPr>
          <w:rStyle w:val="FootnoteReference"/>
        </w:rPr>
        <w:footnoteRef/>
      </w:r>
      <w:r>
        <w:t xml:space="preserve"> </w:t>
      </w:r>
      <w:r w:rsidR="001C3AC7">
        <w:rPr>
          <w:sz w:val="16"/>
        </w:rPr>
        <w:t xml:space="preserve">Augustine, </w:t>
      </w:r>
      <w:r w:rsidR="001C3AC7">
        <w:rPr>
          <w:i/>
          <w:sz w:val="16"/>
        </w:rPr>
        <w:t>On Christian Belief</w:t>
      </w:r>
      <w:r w:rsidR="001C3AC7">
        <w:rPr>
          <w:sz w:val="16"/>
        </w:rPr>
        <w:t>, translated by Hill</w:t>
      </w:r>
      <w:r w:rsidR="00BC2FAF">
        <w:rPr>
          <w:sz w:val="16"/>
        </w:rPr>
        <w:t xml:space="preserve">, E, </w:t>
      </w:r>
      <w:r w:rsidR="00BC2FAF">
        <w:rPr>
          <w:i/>
          <w:sz w:val="16"/>
        </w:rPr>
        <w:t>et all</w:t>
      </w:r>
      <w:r w:rsidR="00BC2FAF">
        <w:rPr>
          <w:sz w:val="16"/>
        </w:rPr>
        <w:t xml:space="preserve"> (New York: New City Press, 2005)</w:t>
      </w:r>
    </w:p>
  </w:footnote>
  <w:footnote w:id="52">
    <w:p w14:paraId="73029CC1" w14:textId="3B25C5E3" w:rsidR="009A7B3D" w:rsidRPr="007162CC" w:rsidRDefault="009A7B3D" w:rsidP="009A7B3D">
      <w:pPr>
        <w:pStyle w:val="FootnoteText"/>
        <w:rPr>
          <w:sz w:val="16"/>
        </w:rPr>
      </w:pPr>
      <w:r>
        <w:rPr>
          <w:rStyle w:val="FootnoteReference"/>
        </w:rPr>
        <w:footnoteRef/>
      </w:r>
      <w:r>
        <w:t xml:space="preserve"> </w:t>
      </w:r>
      <w:r w:rsidR="007162CC">
        <w:rPr>
          <w:sz w:val="16"/>
        </w:rPr>
        <w:t>Reader, Medieval Saints</w:t>
      </w:r>
    </w:p>
  </w:footnote>
  <w:footnote w:id="53">
    <w:p w14:paraId="3DE6D81D" w14:textId="7354F46E" w:rsidR="00314318" w:rsidRPr="00AF00FF" w:rsidRDefault="00314318">
      <w:pPr>
        <w:pStyle w:val="FootnoteText"/>
        <w:rPr>
          <w:sz w:val="16"/>
        </w:rPr>
      </w:pPr>
      <w:r>
        <w:rPr>
          <w:rStyle w:val="FootnoteReference"/>
        </w:rPr>
        <w:footnoteRef/>
      </w:r>
      <w:r>
        <w:t xml:space="preserve"> </w:t>
      </w:r>
      <w:r w:rsidR="00502A66">
        <w:rPr>
          <w:sz w:val="16"/>
        </w:rPr>
        <w:t>A</w:t>
      </w:r>
      <w:r w:rsidR="009B7C72">
        <w:rPr>
          <w:sz w:val="16"/>
        </w:rPr>
        <w:t xml:space="preserve">, Vauchez. </w:t>
      </w:r>
      <w:r w:rsidR="009B7C72">
        <w:rPr>
          <w:i/>
          <w:sz w:val="16"/>
        </w:rPr>
        <w:t>Sainthood in the later Middle Ages</w:t>
      </w:r>
      <w:r w:rsidR="00DD55CF">
        <w:rPr>
          <w:sz w:val="16"/>
        </w:rPr>
        <w:t xml:space="preserve"> (Cambridge: Cambridge University Press, 1997), P. 503</w:t>
      </w:r>
    </w:p>
  </w:footnote>
  <w:footnote w:id="54">
    <w:p w14:paraId="167477C7" w14:textId="4245921C" w:rsidR="007234E1" w:rsidRPr="007234E1" w:rsidRDefault="007234E1">
      <w:pPr>
        <w:pStyle w:val="FootnoteText"/>
        <w:rPr>
          <w:sz w:val="16"/>
        </w:rPr>
      </w:pPr>
      <w:r>
        <w:rPr>
          <w:rStyle w:val="FootnoteReference"/>
        </w:rPr>
        <w:footnoteRef/>
      </w:r>
      <w:r>
        <w:t xml:space="preserve"> </w:t>
      </w:r>
      <w:r>
        <w:rPr>
          <w:sz w:val="16"/>
        </w:rPr>
        <w:t>A, Reader. Medieval Popular Religion, 1000-1500 (n/a: Broadview Press, 2007) P. 197</w:t>
      </w:r>
    </w:p>
  </w:footnote>
  <w:footnote w:id="55">
    <w:p w14:paraId="46448343" w14:textId="2A6A80B5" w:rsidR="009A7B3D" w:rsidRPr="00375CD6" w:rsidRDefault="009A7B3D" w:rsidP="009A7B3D">
      <w:pPr>
        <w:pStyle w:val="FootnoteText"/>
        <w:rPr>
          <w:sz w:val="16"/>
        </w:rPr>
      </w:pPr>
      <w:r>
        <w:rPr>
          <w:rStyle w:val="FootnoteReference"/>
        </w:rPr>
        <w:footnoteRef/>
      </w:r>
      <w:r>
        <w:t xml:space="preserve"> </w:t>
      </w:r>
      <w:r w:rsidR="008E21A3">
        <w:rPr>
          <w:sz w:val="16"/>
        </w:rPr>
        <w:t xml:space="preserve">R, Scully. ‘The Unmaking of a </w:t>
      </w:r>
      <w:r w:rsidR="00375CD6">
        <w:rPr>
          <w:sz w:val="16"/>
        </w:rPr>
        <w:t xml:space="preserve">saint: Thomas Becket and the English Reformation’ </w:t>
      </w:r>
      <w:r w:rsidR="00375CD6">
        <w:rPr>
          <w:i/>
          <w:sz w:val="16"/>
        </w:rPr>
        <w:t>The Catholic Historical Review</w:t>
      </w:r>
      <w:r w:rsidR="00375CD6">
        <w:rPr>
          <w:sz w:val="16"/>
        </w:rPr>
        <w:t>, vol. 86, pp</w:t>
      </w:r>
      <w:r w:rsidR="006E0753">
        <w:rPr>
          <w:sz w:val="16"/>
        </w:rPr>
        <w:t xml:space="preserve"> 579-602, P. 582</w:t>
      </w:r>
    </w:p>
  </w:footnote>
  <w:footnote w:id="56">
    <w:p w14:paraId="6BD7A50D" w14:textId="40775B61" w:rsidR="00361832" w:rsidRPr="003F1E5C" w:rsidRDefault="00361832">
      <w:pPr>
        <w:pStyle w:val="FootnoteText"/>
        <w:rPr>
          <w:sz w:val="16"/>
        </w:rPr>
      </w:pPr>
      <w:r>
        <w:rPr>
          <w:rStyle w:val="FootnoteReference"/>
        </w:rPr>
        <w:footnoteRef/>
      </w:r>
      <w:r>
        <w:t xml:space="preserve"> </w:t>
      </w:r>
      <w:r w:rsidR="003F1E5C">
        <w:rPr>
          <w:sz w:val="16"/>
        </w:rPr>
        <w:t>Reader, Medieval Saints</w:t>
      </w:r>
    </w:p>
  </w:footnote>
  <w:footnote w:id="57">
    <w:p w14:paraId="4D6C7196" w14:textId="0211726C" w:rsidR="009A7B3D" w:rsidRPr="008977E8" w:rsidRDefault="009A7B3D" w:rsidP="009A7B3D">
      <w:pPr>
        <w:pStyle w:val="FootnoteText"/>
        <w:rPr>
          <w:sz w:val="16"/>
        </w:rPr>
      </w:pPr>
      <w:r>
        <w:rPr>
          <w:rStyle w:val="FootnoteReference"/>
        </w:rPr>
        <w:footnoteRef/>
      </w:r>
      <w:r>
        <w:t xml:space="preserve"> </w:t>
      </w:r>
      <w:r w:rsidR="008977E8">
        <w:rPr>
          <w:sz w:val="16"/>
        </w:rPr>
        <w:t xml:space="preserve">Augustine, </w:t>
      </w:r>
      <w:r w:rsidR="008977E8">
        <w:rPr>
          <w:i/>
          <w:sz w:val="16"/>
        </w:rPr>
        <w:t>Eighty-Three questions</w:t>
      </w:r>
      <w:r w:rsidR="008977E8">
        <w:rPr>
          <w:sz w:val="16"/>
        </w:rPr>
        <w:t xml:space="preserve">, </w:t>
      </w:r>
      <w:r w:rsidR="00A42668">
        <w:rPr>
          <w:sz w:val="16"/>
        </w:rPr>
        <w:t>P. 203</w:t>
      </w:r>
    </w:p>
  </w:footnote>
  <w:footnote w:id="58">
    <w:p w14:paraId="544E75F0" w14:textId="2B2F6EB5" w:rsidR="009A7B3D" w:rsidRPr="00345DFF" w:rsidRDefault="009A7B3D" w:rsidP="009A7B3D">
      <w:pPr>
        <w:pStyle w:val="FootnoteText"/>
        <w:rPr>
          <w:sz w:val="16"/>
        </w:rPr>
      </w:pPr>
      <w:r>
        <w:rPr>
          <w:rStyle w:val="FootnoteReference"/>
        </w:rPr>
        <w:footnoteRef/>
      </w:r>
      <w:r>
        <w:t xml:space="preserve"> </w:t>
      </w:r>
      <w:r w:rsidR="00345DFF">
        <w:rPr>
          <w:sz w:val="16"/>
        </w:rPr>
        <w:t xml:space="preserve">A, Bailey. ‘Wives, mothers and widows on pilgrimage: categories of ‘woman’ recorded at English healing shrines in the High Middle Ages’ </w:t>
      </w:r>
      <w:r w:rsidR="00345DFF">
        <w:rPr>
          <w:i/>
          <w:sz w:val="16"/>
        </w:rPr>
        <w:t>Journal of Medieval History</w:t>
      </w:r>
      <w:r w:rsidR="00345DFF">
        <w:rPr>
          <w:sz w:val="16"/>
        </w:rPr>
        <w:t>, vol 39, pp 197</w:t>
      </w:r>
      <w:r w:rsidR="00D829A7">
        <w:rPr>
          <w:sz w:val="16"/>
        </w:rPr>
        <w:t>-219, P. 197</w:t>
      </w:r>
    </w:p>
  </w:footnote>
  <w:footnote w:id="59">
    <w:p w14:paraId="610F47FC" w14:textId="3DAA4828" w:rsidR="009A7B3D" w:rsidRPr="00D778BD" w:rsidRDefault="009A7B3D" w:rsidP="009A7B3D">
      <w:pPr>
        <w:pStyle w:val="FootnoteText"/>
        <w:rPr>
          <w:sz w:val="16"/>
        </w:rPr>
      </w:pPr>
      <w:r>
        <w:rPr>
          <w:rStyle w:val="FootnoteReference"/>
        </w:rPr>
        <w:footnoteRef/>
      </w:r>
      <w:r>
        <w:t xml:space="preserve"> </w:t>
      </w:r>
      <w:r w:rsidR="00DB6404">
        <w:rPr>
          <w:sz w:val="16"/>
        </w:rPr>
        <w:t>R, Scully. ‘The Unmaking of a saint: Thomas Becket and the English Reformation</w:t>
      </w:r>
      <w:r w:rsidR="00D778BD">
        <w:rPr>
          <w:sz w:val="16"/>
        </w:rPr>
        <w:t xml:space="preserve">’ </w:t>
      </w:r>
      <w:r w:rsidR="00D778BD">
        <w:rPr>
          <w:i/>
          <w:sz w:val="16"/>
        </w:rPr>
        <w:t>The Catholic Historical Review</w:t>
      </w:r>
      <w:r w:rsidR="00D778BD">
        <w:rPr>
          <w:sz w:val="16"/>
        </w:rPr>
        <w:t>, vol. 86, pp 579-602, P 586</w:t>
      </w:r>
    </w:p>
  </w:footnote>
  <w:footnote w:id="60">
    <w:p w14:paraId="2249798C" w14:textId="457E6878" w:rsidR="009A7B3D" w:rsidRPr="005F0059" w:rsidRDefault="009A7B3D" w:rsidP="009A7B3D">
      <w:pPr>
        <w:pStyle w:val="FootnoteText"/>
        <w:rPr>
          <w:sz w:val="16"/>
        </w:rPr>
      </w:pPr>
      <w:r>
        <w:rPr>
          <w:rStyle w:val="FootnoteReference"/>
        </w:rPr>
        <w:footnoteRef/>
      </w:r>
      <w:r>
        <w:t xml:space="preserve"> </w:t>
      </w:r>
      <w:r w:rsidR="002750FE">
        <w:rPr>
          <w:sz w:val="16"/>
        </w:rPr>
        <w:t xml:space="preserve">J, Sumption. </w:t>
      </w:r>
      <w:r w:rsidR="002750FE">
        <w:rPr>
          <w:i/>
          <w:sz w:val="16"/>
        </w:rPr>
        <w:t xml:space="preserve">Pilgrimage </w:t>
      </w:r>
      <w:r w:rsidR="005F0059">
        <w:rPr>
          <w:i/>
          <w:sz w:val="16"/>
        </w:rPr>
        <w:t>an image of Medieval Religion</w:t>
      </w:r>
      <w:r w:rsidR="005F0059">
        <w:rPr>
          <w:sz w:val="16"/>
        </w:rPr>
        <w:t xml:space="preserve"> (London: Faber and Faber, nd) </w:t>
      </w:r>
    </w:p>
  </w:footnote>
  <w:footnote w:id="61">
    <w:p w14:paraId="77C8B205" w14:textId="6268C015" w:rsidR="009A7B3D" w:rsidRPr="00A42668" w:rsidRDefault="009A7B3D" w:rsidP="009A7B3D">
      <w:pPr>
        <w:pStyle w:val="FootnoteText"/>
        <w:rPr>
          <w:sz w:val="16"/>
        </w:rPr>
      </w:pPr>
      <w:r>
        <w:rPr>
          <w:rStyle w:val="FootnoteReference"/>
        </w:rPr>
        <w:footnoteRef/>
      </w:r>
      <w:r>
        <w:t xml:space="preserve"> </w:t>
      </w:r>
      <w:r w:rsidR="00A42668">
        <w:rPr>
          <w:sz w:val="16"/>
        </w:rPr>
        <w:t xml:space="preserve">Augustine, </w:t>
      </w:r>
      <w:r w:rsidR="00A42668">
        <w:rPr>
          <w:i/>
          <w:sz w:val="16"/>
        </w:rPr>
        <w:t>Eighty-Three questions</w:t>
      </w:r>
      <w:r w:rsidR="00A42668">
        <w:rPr>
          <w:sz w:val="16"/>
        </w:rPr>
        <w:t>, P. 203</w:t>
      </w:r>
    </w:p>
  </w:footnote>
  <w:footnote w:id="62">
    <w:p w14:paraId="69625290" w14:textId="497E4515" w:rsidR="009A7B3D" w:rsidRPr="00221469" w:rsidRDefault="009A7B3D" w:rsidP="009A7B3D">
      <w:pPr>
        <w:pStyle w:val="FootnoteText"/>
        <w:rPr>
          <w:sz w:val="16"/>
        </w:rPr>
      </w:pPr>
      <w:r>
        <w:rPr>
          <w:rStyle w:val="FootnoteReference"/>
        </w:rPr>
        <w:footnoteRef/>
      </w:r>
      <w:r>
        <w:t xml:space="preserve"> </w:t>
      </w:r>
      <w:r w:rsidR="000A77B5">
        <w:rPr>
          <w:sz w:val="16"/>
        </w:rPr>
        <w:t>Grieb, K. ‘</w:t>
      </w:r>
      <w:r w:rsidR="00122FF7">
        <w:rPr>
          <w:sz w:val="16"/>
        </w:rPr>
        <w:t>Pharaoh’s magicians at</w:t>
      </w:r>
      <w:r w:rsidR="007D2FF0">
        <w:rPr>
          <w:sz w:val="16"/>
        </w:rPr>
        <w:t xml:space="preserve"> the holy of holies? Appraising an early debate between Tillich and Barth on the relationship between philosophy and theology</w:t>
      </w:r>
      <w:r w:rsidR="00221469">
        <w:rPr>
          <w:sz w:val="16"/>
        </w:rPr>
        <w:t xml:space="preserve">’ </w:t>
      </w:r>
      <w:r w:rsidR="00221469">
        <w:rPr>
          <w:i/>
          <w:sz w:val="16"/>
        </w:rPr>
        <w:t>Scottish Journal of Theology</w:t>
      </w:r>
      <w:r w:rsidR="00221469">
        <w:rPr>
          <w:sz w:val="16"/>
        </w:rPr>
        <w:t>, vol. 56, pp 360-380. P. 368</w:t>
      </w:r>
    </w:p>
  </w:footnote>
  <w:footnote w:id="63">
    <w:p w14:paraId="7C065C1D" w14:textId="454A6A26" w:rsidR="009A7B3D" w:rsidRPr="00AE3E63" w:rsidRDefault="009A7B3D" w:rsidP="009A7B3D">
      <w:pPr>
        <w:pStyle w:val="FootnoteText"/>
        <w:rPr>
          <w:i/>
          <w:sz w:val="16"/>
        </w:rPr>
      </w:pPr>
      <w:r>
        <w:rPr>
          <w:rStyle w:val="FootnoteReference"/>
        </w:rPr>
        <w:footnoteRef/>
      </w:r>
      <w:r>
        <w:t xml:space="preserve"> </w:t>
      </w:r>
      <w:r w:rsidR="00AE3E63">
        <w:rPr>
          <w:sz w:val="16"/>
        </w:rPr>
        <w:t xml:space="preserve">B, Ward. </w:t>
      </w:r>
      <w:r w:rsidR="00AE3E63">
        <w:rPr>
          <w:i/>
          <w:sz w:val="16"/>
        </w:rPr>
        <w:t>Miracles and the Medieval Mind Theory, Record and Event 1000-1215 (London: Scolar Pre</w:t>
      </w:r>
      <w:r w:rsidR="002F2A1B">
        <w:rPr>
          <w:i/>
          <w:sz w:val="16"/>
        </w:rPr>
        <w:t>ss</w:t>
      </w:r>
      <w:r w:rsidR="00DF3799">
        <w:rPr>
          <w:i/>
          <w:sz w:val="16"/>
        </w:rPr>
        <w:t>, 1987)</w:t>
      </w:r>
      <w:r w:rsidR="00B1587B">
        <w:rPr>
          <w:i/>
          <w:sz w:val="16"/>
        </w:rPr>
        <w:t>, P. 9</w:t>
      </w:r>
    </w:p>
  </w:footnote>
  <w:footnote w:id="64">
    <w:p w14:paraId="1B08C3C4" w14:textId="646F667A" w:rsidR="009A7B3D" w:rsidRPr="00CD1356" w:rsidRDefault="009A7B3D" w:rsidP="009A7B3D">
      <w:pPr>
        <w:pStyle w:val="FootnoteText"/>
        <w:rPr>
          <w:sz w:val="16"/>
        </w:rPr>
      </w:pPr>
      <w:r>
        <w:rPr>
          <w:rStyle w:val="FootnoteReference"/>
        </w:rPr>
        <w:footnoteRef/>
      </w:r>
      <w:r>
        <w:t xml:space="preserve"> </w:t>
      </w:r>
      <w:r w:rsidR="00274801">
        <w:rPr>
          <w:sz w:val="16"/>
        </w:rPr>
        <w:t>R, Barrow</w:t>
      </w:r>
      <w:r w:rsidR="00CD1356">
        <w:rPr>
          <w:sz w:val="16"/>
        </w:rPr>
        <w:t xml:space="preserve">. </w:t>
      </w:r>
      <w:r w:rsidR="00CD1356">
        <w:rPr>
          <w:i/>
          <w:sz w:val="16"/>
        </w:rPr>
        <w:t>Introduction to the St. Augustine, The City of God</w:t>
      </w:r>
      <w:r w:rsidR="00CD1356">
        <w:rPr>
          <w:sz w:val="16"/>
        </w:rPr>
        <w:t xml:space="preserve"> (London: Faber and Faber Limited</w:t>
      </w:r>
      <w:r w:rsidR="001D6559">
        <w:rPr>
          <w:sz w:val="16"/>
        </w:rPr>
        <w:t>, 1950)</w:t>
      </w:r>
      <w:r w:rsidR="0046580D">
        <w:rPr>
          <w:sz w:val="16"/>
        </w:rPr>
        <w:t xml:space="preserve"> P.36</w:t>
      </w:r>
    </w:p>
  </w:footnote>
  <w:footnote w:id="65">
    <w:p w14:paraId="3A4AFA2A" w14:textId="674346FF" w:rsidR="009A7B3D" w:rsidRPr="00C46A58" w:rsidRDefault="009A7B3D" w:rsidP="009A7B3D">
      <w:pPr>
        <w:pStyle w:val="FootnoteText"/>
        <w:rPr>
          <w:sz w:val="16"/>
        </w:rPr>
      </w:pPr>
      <w:r>
        <w:rPr>
          <w:rStyle w:val="FootnoteReference"/>
        </w:rPr>
        <w:footnoteRef/>
      </w:r>
      <w:r>
        <w:t xml:space="preserve"> </w:t>
      </w:r>
      <w:r w:rsidR="00C46A58">
        <w:rPr>
          <w:sz w:val="16"/>
        </w:rPr>
        <w:t xml:space="preserve">Augustine, </w:t>
      </w:r>
      <w:r w:rsidR="00C46A58">
        <w:rPr>
          <w:i/>
          <w:sz w:val="16"/>
        </w:rPr>
        <w:t>Eighty-Three questions</w:t>
      </w:r>
      <w:r w:rsidR="00C46A58">
        <w:rPr>
          <w:sz w:val="16"/>
        </w:rPr>
        <w:t>, P. 203</w:t>
      </w:r>
    </w:p>
  </w:footnote>
  <w:footnote w:id="66">
    <w:p w14:paraId="6C807C6F" w14:textId="6D2CF68D" w:rsidR="009A7B3D" w:rsidRPr="00CB547B" w:rsidRDefault="009A7B3D" w:rsidP="009A7B3D">
      <w:pPr>
        <w:pStyle w:val="FootnoteText"/>
        <w:rPr>
          <w:sz w:val="16"/>
        </w:rPr>
      </w:pPr>
      <w:r>
        <w:rPr>
          <w:rStyle w:val="FootnoteReference"/>
        </w:rPr>
        <w:footnoteRef/>
      </w:r>
      <w:r>
        <w:t xml:space="preserve"> </w:t>
      </w:r>
      <w:r w:rsidR="00CB547B">
        <w:rPr>
          <w:sz w:val="16"/>
        </w:rPr>
        <w:t>Ibid, P.205</w:t>
      </w:r>
    </w:p>
  </w:footnote>
  <w:footnote w:id="67">
    <w:p w14:paraId="1832A89C" w14:textId="066AE13E" w:rsidR="009A7B3D" w:rsidRPr="00293FCE" w:rsidRDefault="009A7B3D" w:rsidP="009A7B3D">
      <w:pPr>
        <w:pStyle w:val="FootnoteText"/>
        <w:rPr>
          <w:sz w:val="16"/>
        </w:rPr>
      </w:pPr>
      <w:r>
        <w:rPr>
          <w:rStyle w:val="FootnoteReference"/>
        </w:rPr>
        <w:footnoteRef/>
      </w:r>
      <w:r>
        <w:t xml:space="preserve"> </w:t>
      </w:r>
      <w:r w:rsidR="00293FCE">
        <w:rPr>
          <w:sz w:val="16"/>
        </w:rPr>
        <w:t>Ward, P.3</w:t>
      </w:r>
    </w:p>
  </w:footnote>
  <w:footnote w:id="68">
    <w:p w14:paraId="6A7B2CEE" w14:textId="618D978B" w:rsidR="009A7B3D" w:rsidRPr="00293FCE" w:rsidRDefault="009A7B3D" w:rsidP="009A7B3D">
      <w:pPr>
        <w:pStyle w:val="FootnoteText"/>
        <w:rPr>
          <w:sz w:val="16"/>
        </w:rPr>
      </w:pPr>
      <w:r>
        <w:rPr>
          <w:rStyle w:val="FootnoteReference"/>
        </w:rPr>
        <w:footnoteRef/>
      </w:r>
      <w:r>
        <w:t xml:space="preserve"> </w:t>
      </w:r>
      <w:r w:rsidR="00293FCE">
        <w:rPr>
          <w:sz w:val="16"/>
        </w:rPr>
        <w:t>Ibid, P.3</w:t>
      </w:r>
    </w:p>
  </w:footnote>
  <w:footnote w:id="69">
    <w:p w14:paraId="12779283" w14:textId="6FAE5797" w:rsidR="009A7B3D" w:rsidRPr="00C163D0" w:rsidRDefault="009A7B3D" w:rsidP="009A7B3D">
      <w:pPr>
        <w:pStyle w:val="FootnoteText"/>
        <w:rPr>
          <w:sz w:val="16"/>
        </w:rPr>
      </w:pPr>
      <w:r>
        <w:rPr>
          <w:rStyle w:val="FootnoteReference"/>
        </w:rPr>
        <w:footnoteRef/>
      </w:r>
      <w:r>
        <w:t xml:space="preserve"> </w:t>
      </w:r>
      <w:r w:rsidR="00C163D0">
        <w:rPr>
          <w:sz w:val="16"/>
        </w:rPr>
        <w:t>Ibid, P.7</w:t>
      </w:r>
    </w:p>
  </w:footnote>
  <w:footnote w:id="70">
    <w:p w14:paraId="103C5C39" w14:textId="2ABF87A4" w:rsidR="009A7B3D" w:rsidRPr="00C163D0" w:rsidRDefault="009A7B3D" w:rsidP="009A7B3D">
      <w:pPr>
        <w:pStyle w:val="FootnoteText"/>
        <w:rPr>
          <w:sz w:val="16"/>
        </w:rPr>
      </w:pPr>
      <w:r>
        <w:rPr>
          <w:rStyle w:val="FootnoteReference"/>
        </w:rPr>
        <w:footnoteRef/>
      </w:r>
      <w:r>
        <w:t xml:space="preserve"> </w:t>
      </w:r>
      <w:r w:rsidR="004044C7">
        <w:rPr>
          <w:sz w:val="16"/>
        </w:rPr>
        <w:t>Deferrari, P.68</w:t>
      </w:r>
    </w:p>
  </w:footnote>
  <w:footnote w:id="71">
    <w:p w14:paraId="56CD01C9" w14:textId="6AAA0253" w:rsidR="005A7B6B" w:rsidRPr="00B60A0B" w:rsidRDefault="005A7B6B">
      <w:pPr>
        <w:pStyle w:val="FootnoteText"/>
        <w:rPr>
          <w:sz w:val="16"/>
        </w:rPr>
      </w:pPr>
      <w:r>
        <w:rPr>
          <w:rStyle w:val="FootnoteReference"/>
        </w:rPr>
        <w:footnoteRef/>
      </w:r>
      <w:r>
        <w:t xml:space="preserve"> </w:t>
      </w:r>
      <w:r w:rsidR="00C100E4">
        <w:rPr>
          <w:sz w:val="16"/>
        </w:rPr>
        <w:t>J, Kellenberger</w:t>
      </w:r>
      <w:r w:rsidR="00B60A0B">
        <w:rPr>
          <w:sz w:val="16"/>
        </w:rPr>
        <w:t xml:space="preserve">. ‘Miracles’ </w:t>
      </w:r>
      <w:r w:rsidR="00B60A0B">
        <w:rPr>
          <w:i/>
          <w:sz w:val="16"/>
        </w:rPr>
        <w:t>International Journal for Philosophy or Religion</w:t>
      </w:r>
      <w:r w:rsidR="00B60A0B">
        <w:rPr>
          <w:sz w:val="16"/>
        </w:rPr>
        <w:t>, vol. 10, pp 145-162. P</w:t>
      </w:r>
      <w:r w:rsidR="00F7511E">
        <w:rPr>
          <w:sz w:val="16"/>
        </w:rPr>
        <w:t>. 145</w:t>
      </w:r>
    </w:p>
  </w:footnote>
  <w:footnote w:id="72">
    <w:p w14:paraId="15177C23" w14:textId="31B128A9" w:rsidR="00C100E4" w:rsidRPr="00F7511E" w:rsidRDefault="00C100E4">
      <w:pPr>
        <w:pStyle w:val="FootnoteText"/>
        <w:rPr>
          <w:sz w:val="16"/>
        </w:rPr>
      </w:pPr>
      <w:r>
        <w:rPr>
          <w:rStyle w:val="FootnoteReference"/>
        </w:rPr>
        <w:footnoteRef/>
      </w:r>
      <w:r>
        <w:t xml:space="preserve"> </w:t>
      </w:r>
      <w:r w:rsidR="00F7511E">
        <w:rPr>
          <w:sz w:val="16"/>
        </w:rPr>
        <w:t>Ibid, P. 146</w:t>
      </w:r>
    </w:p>
  </w:footnote>
  <w:footnote w:id="73">
    <w:p w14:paraId="0BA60661" w14:textId="74BFB94B" w:rsidR="009A7B3D" w:rsidRPr="00E0429F" w:rsidRDefault="009A7B3D" w:rsidP="009A7B3D">
      <w:pPr>
        <w:pStyle w:val="FootnoteText"/>
        <w:rPr>
          <w:sz w:val="16"/>
        </w:rPr>
      </w:pPr>
      <w:r>
        <w:rPr>
          <w:rStyle w:val="FootnoteReference"/>
        </w:rPr>
        <w:footnoteRef/>
      </w:r>
      <w:r>
        <w:t xml:space="preserve"> </w:t>
      </w:r>
      <w:r w:rsidR="00E0429F">
        <w:rPr>
          <w:sz w:val="16"/>
        </w:rPr>
        <w:t>Battenhouse, P</w:t>
      </w:r>
      <w:r w:rsidR="00B742AF">
        <w:rPr>
          <w:sz w:val="16"/>
        </w:rPr>
        <w:t>. 242</w:t>
      </w:r>
    </w:p>
  </w:footnote>
  <w:footnote w:id="74">
    <w:p w14:paraId="7B4F774C" w14:textId="12910DD9" w:rsidR="009A7B3D" w:rsidRDefault="009A7B3D" w:rsidP="009A7B3D">
      <w:pPr>
        <w:pStyle w:val="FootnoteText"/>
      </w:pPr>
      <w:r>
        <w:rPr>
          <w:rStyle w:val="FootnoteReference"/>
        </w:rPr>
        <w:footnoteRef/>
      </w:r>
      <w:r w:rsidR="00915F51">
        <w:rPr>
          <w:sz w:val="16"/>
        </w:rPr>
        <w:t xml:space="preserve">J, Curran. </w:t>
      </w:r>
      <w:r w:rsidR="00915F51">
        <w:rPr>
          <w:i/>
          <w:sz w:val="16"/>
        </w:rPr>
        <w:t xml:space="preserve">Pagan City and Christian Capital: Rome in the Fourth Century </w:t>
      </w:r>
      <w:r w:rsidR="001803DB">
        <w:rPr>
          <w:sz w:val="16"/>
        </w:rPr>
        <w:t>(Oxford Scholarship online, 2010) pp 71-78</w:t>
      </w:r>
      <w:r>
        <w:t xml:space="preserve"> </w:t>
      </w:r>
    </w:p>
  </w:footnote>
  <w:footnote w:id="75">
    <w:p w14:paraId="32A0AA6D" w14:textId="7812A5B4" w:rsidR="009A7B3D" w:rsidRPr="007F1185" w:rsidRDefault="009A7B3D" w:rsidP="009A7B3D">
      <w:pPr>
        <w:pStyle w:val="FootnoteText"/>
        <w:rPr>
          <w:sz w:val="16"/>
        </w:rPr>
      </w:pPr>
      <w:r>
        <w:rPr>
          <w:rStyle w:val="FootnoteReference"/>
        </w:rPr>
        <w:footnoteRef/>
      </w:r>
      <w:r>
        <w:t xml:space="preserve"> </w:t>
      </w:r>
      <w:r w:rsidR="007F1185">
        <w:rPr>
          <w:sz w:val="16"/>
        </w:rPr>
        <w:t>Vauchez, P. 500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DE023F"/>
    <w:multiLevelType w:val="hybridMultilevel"/>
    <w:tmpl w:val="C6C054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B3D"/>
    <w:rsid w:val="0001097C"/>
    <w:rsid w:val="00016F03"/>
    <w:rsid w:val="0004789F"/>
    <w:rsid w:val="00051650"/>
    <w:rsid w:val="00054295"/>
    <w:rsid w:val="00056960"/>
    <w:rsid w:val="0007047C"/>
    <w:rsid w:val="00073CA3"/>
    <w:rsid w:val="000822E9"/>
    <w:rsid w:val="00085D12"/>
    <w:rsid w:val="000A6E6A"/>
    <w:rsid w:val="000A77B5"/>
    <w:rsid w:val="000F1F67"/>
    <w:rsid w:val="000F5EAB"/>
    <w:rsid w:val="00107212"/>
    <w:rsid w:val="00107F10"/>
    <w:rsid w:val="00122FF7"/>
    <w:rsid w:val="0013077B"/>
    <w:rsid w:val="00161F5D"/>
    <w:rsid w:val="00162932"/>
    <w:rsid w:val="00165BA7"/>
    <w:rsid w:val="00172FF8"/>
    <w:rsid w:val="00175E01"/>
    <w:rsid w:val="001803DB"/>
    <w:rsid w:val="00196E7E"/>
    <w:rsid w:val="001A022B"/>
    <w:rsid w:val="001A5313"/>
    <w:rsid w:val="001B0D13"/>
    <w:rsid w:val="001B5ACE"/>
    <w:rsid w:val="001B7294"/>
    <w:rsid w:val="001C374F"/>
    <w:rsid w:val="001C39E3"/>
    <w:rsid w:val="001C3AC7"/>
    <w:rsid w:val="001D06BB"/>
    <w:rsid w:val="001D2B29"/>
    <w:rsid w:val="001D6559"/>
    <w:rsid w:val="001D68FE"/>
    <w:rsid w:val="001D70F5"/>
    <w:rsid w:val="001E732E"/>
    <w:rsid w:val="001F69F6"/>
    <w:rsid w:val="00202058"/>
    <w:rsid w:val="00221469"/>
    <w:rsid w:val="00230474"/>
    <w:rsid w:val="0023117B"/>
    <w:rsid w:val="002471C5"/>
    <w:rsid w:val="00247776"/>
    <w:rsid w:val="00251FE0"/>
    <w:rsid w:val="002634DF"/>
    <w:rsid w:val="00274801"/>
    <w:rsid w:val="002750FE"/>
    <w:rsid w:val="0029071B"/>
    <w:rsid w:val="00290D55"/>
    <w:rsid w:val="0029118B"/>
    <w:rsid w:val="00293FCE"/>
    <w:rsid w:val="002A1F69"/>
    <w:rsid w:val="002B3AA9"/>
    <w:rsid w:val="002C7C5A"/>
    <w:rsid w:val="002F2A1B"/>
    <w:rsid w:val="002F79CF"/>
    <w:rsid w:val="00314318"/>
    <w:rsid w:val="00314AA3"/>
    <w:rsid w:val="003311C6"/>
    <w:rsid w:val="003312F5"/>
    <w:rsid w:val="00345DFF"/>
    <w:rsid w:val="00361832"/>
    <w:rsid w:val="00373246"/>
    <w:rsid w:val="00374C62"/>
    <w:rsid w:val="00375CD6"/>
    <w:rsid w:val="00383B46"/>
    <w:rsid w:val="00390B7E"/>
    <w:rsid w:val="003915E3"/>
    <w:rsid w:val="003B5DF7"/>
    <w:rsid w:val="003D0104"/>
    <w:rsid w:val="003D31D1"/>
    <w:rsid w:val="003E653E"/>
    <w:rsid w:val="003F1E5C"/>
    <w:rsid w:val="003F6C92"/>
    <w:rsid w:val="004044C7"/>
    <w:rsid w:val="004113C9"/>
    <w:rsid w:val="00417C50"/>
    <w:rsid w:val="004214F5"/>
    <w:rsid w:val="004258CF"/>
    <w:rsid w:val="00452D19"/>
    <w:rsid w:val="0046580D"/>
    <w:rsid w:val="00473945"/>
    <w:rsid w:val="004968E9"/>
    <w:rsid w:val="004C325A"/>
    <w:rsid w:val="004C36C1"/>
    <w:rsid w:val="004D211E"/>
    <w:rsid w:val="004E4F7E"/>
    <w:rsid w:val="004E7726"/>
    <w:rsid w:val="004F502F"/>
    <w:rsid w:val="00502A66"/>
    <w:rsid w:val="005119AD"/>
    <w:rsid w:val="00514E38"/>
    <w:rsid w:val="0052591C"/>
    <w:rsid w:val="00534FB8"/>
    <w:rsid w:val="00535ABB"/>
    <w:rsid w:val="00540E0C"/>
    <w:rsid w:val="005435AA"/>
    <w:rsid w:val="00544D06"/>
    <w:rsid w:val="00546357"/>
    <w:rsid w:val="00547324"/>
    <w:rsid w:val="005732B6"/>
    <w:rsid w:val="00587452"/>
    <w:rsid w:val="005A7B6B"/>
    <w:rsid w:val="005B487C"/>
    <w:rsid w:val="005C3801"/>
    <w:rsid w:val="005C424B"/>
    <w:rsid w:val="005C628F"/>
    <w:rsid w:val="005D26EE"/>
    <w:rsid w:val="005F0059"/>
    <w:rsid w:val="005F7612"/>
    <w:rsid w:val="00605A95"/>
    <w:rsid w:val="00612E72"/>
    <w:rsid w:val="00623F44"/>
    <w:rsid w:val="0063172A"/>
    <w:rsid w:val="00640877"/>
    <w:rsid w:val="006670C8"/>
    <w:rsid w:val="00670590"/>
    <w:rsid w:val="00673D21"/>
    <w:rsid w:val="006A4CE3"/>
    <w:rsid w:val="006C6364"/>
    <w:rsid w:val="006E0753"/>
    <w:rsid w:val="006E5256"/>
    <w:rsid w:val="006E5522"/>
    <w:rsid w:val="00703E14"/>
    <w:rsid w:val="0071181D"/>
    <w:rsid w:val="00712640"/>
    <w:rsid w:val="00715A3E"/>
    <w:rsid w:val="007162CC"/>
    <w:rsid w:val="007221DD"/>
    <w:rsid w:val="007234E1"/>
    <w:rsid w:val="00727367"/>
    <w:rsid w:val="00733400"/>
    <w:rsid w:val="00751163"/>
    <w:rsid w:val="00760184"/>
    <w:rsid w:val="00763F1F"/>
    <w:rsid w:val="007705F7"/>
    <w:rsid w:val="0077148A"/>
    <w:rsid w:val="00795231"/>
    <w:rsid w:val="007A0C41"/>
    <w:rsid w:val="007A4ACC"/>
    <w:rsid w:val="007B644C"/>
    <w:rsid w:val="007C25EC"/>
    <w:rsid w:val="007D2FF0"/>
    <w:rsid w:val="007E6297"/>
    <w:rsid w:val="007F1185"/>
    <w:rsid w:val="007F6339"/>
    <w:rsid w:val="008033E4"/>
    <w:rsid w:val="00806F63"/>
    <w:rsid w:val="00825A33"/>
    <w:rsid w:val="00832F67"/>
    <w:rsid w:val="00836EAC"/>
    <w:rsid w:val="008432F5"/>
    <w:rsid w:val="00860999"/>
    <w:rsid w:val="00871BDB"/>
    <w:rsid w:val="00895729"/>
    <w:rsid w:val="008977E8"/>
    <w:rsid w:val="008A7F47"/>
    <w:rsid w:val="008D45F5"/>
    <w:rsid w:val="008D4795"/>
    <w:rsid w:val="008E21A3"/>
    <w:rsid w:val="008E2223"/>
    <w:rsid w:val="008F1555"/>
    <w:rsid w:val="0090148A"/>
    <w:rsid w:val="00915F51"/>
    <w:rsid w:val="00927D44"/>
    <w:rsid w:val="00933BB5"/>
    <w:rsid w:val="00936989"/>
    <w:rsid w:val="00943812"/>
    <w:rsid w:val="0095199D"/>
    <w:rsid w:val="00954B4F"/>
    <w:rsid w:val="0096511F"/>
    <w:rsid w:val="00971870"/>
    <w:rsid w:val="00985178"/>
    <w:rsid w:val="009A4FD1"/>
    <w:rsid w:val="009A7B3D"/>
    <w:rsid w:val="009B07C1"/>
    <w:rsid w:val="009B731E"/>
    <w:rsid w:val="009B7C72"/>
    <w:rsid w:val="009D169F"/>
    <w:rsid w:val="009D54DF"/>
    <w:rsid w:val="009E01FD"/>
    <w:rsid w:val="009E0655"/>
    <w:rsid w:val="009E0DDB"/>
    <w:rsid w:val="00A102FC"/>
    <w:rsid w:val="00A14BB1"/>
    <w:rsid w:val="00A30FD9"/>
    <w:rsid w:val="00A31E0C"/>
    <w:rsid w:val="00A42668"/>
    <w:rsid w:val="00A57372"/>
    <w:rsid w:val="00A63472"/>
    <w:rsid w:val="00A923AE"/>
    <w:rsid w:val="00AA2624"/>
    <w:rsid w:val="00AA515E"/>
    <w:rsid w:val="00AB013B"/>
    <w:rsid w:val="00AB7450"/>
    <w:rsid w:val="00AC221E"/>
    <w:rsid w:val="00AC3C36"/>
    <w:rsid w:val="00AE3E63"/>
    <w:rsid w:val="00AE7215"/>
    <w:rsid w:val="00AF00FF"/>
    <w:rsid w:val="00AF328E"/>
    <w:rsid w:val="00AF52EB"/>
    <w:rsid w:val="00AF769B"/>
    <w:rsid w:val="00AF7907"/>
    <w:rsid w:val="00B1587B"/>
    <w:rsid w:val="00B46473"/>
    <w:rsid w:val="00B46504"/>
    <w:rsid w:val="00B51F22"/>
    <w:rsid w:val="00B60A0B"/>
    <w:rsid w:val="00B742AF"/>
    <w:rsid w:val="00B7496C"/>
    <w:rsid w:val="00B83EEE"/>
    <w:rsid w:val="00B91A52"/>
    <w:rsid w:val="00B938B9"/>
    <w:rsid w:val="00B94772"/>
    <w:rsid w:val="00BA36CB"/>
    <w:rsid w:val="00BB6F73"/>
    <w:rsid w:val="00BC2E5C"/>
    <w:rsid w:val="00BC2FAF"/>
    <w:rsid w:val="00BD05B3"/>
    <w:rsid w:val="00BE4A2E"/>
    <w:rsid w:val="00BE5813"/>
    <w:rsid w:val="00BF3E4F"/>
    <w:rsid w:val="00BF6AF1"/>
    <w:rsid w:val="00C018CB"/>
    <w:rsid w:val="00C02DEE"/>
    <w:rsid w:val="00C0398C"/>
    <w:rsid w:val="00C054A6"/>
    <w:rsid w:val="00C100E4"/>
    <w:rsid w:val="00C163D0"/>
    <w:rsid w:val="00C46A58"/>
    <w:rsid w:val="00C64258"/>
    <w:rsid w:val="00C67E6C"/>
    <w:rsid w:val="00C722A6"/>
    <w:rsid w:val="00C7689B"/>
    <w:rsid w:val="00C8052D"/>
    <w:rsid w:val="00CB547B"/>
    <w:rsid w:val="00CC56E6"/>
    <w:rsid w:val="00CD1356"/>
    <w:rsid w:val="00CD48D0"/>
    <w:rsid w:val="00CD4F63"/>
    <w:rsid w:val="00CE79EF"/>
    <w:rsid w:val="00D0221D"/>
    <w:rsid w:val="00D07C2A"/>
    <w:rsid w:val="00D14B19"/>
    <w:rsid w:val="00D222B0"/>
    <w:rsid w:val="00D53613"/>
    <w:rsid w:val="00D557A8"/>
    <w:rsid w:val="00D5671E"/>
    <w:rsid w:val="00D572CA"/>
    <w:rsid w:val="00D65CFB"/>
    <w:rsid w:val="00D6653E"/>
    <w:rsid w:val="00D67E28"/>
    <w:rsid w:val="00D778BD"/>
    <w:rsid w:val="00D829A7"/>
    <w:rsid w:val="00D9712C"/>
    <w:rsid w:val="00DA18DB"/>
    <w:rsid w:val="00DA2375"/>
    <w:rsid w:val="00DA2A4A"/>
    <w:rsid w:val="00DB34C7"/>
    <w:rsid w:val="00DB6404"/>
    <w:rsid w:val="00DC5E9F"/>
    <w:rsid w:val="00DD55CF"/>
    <w:rsid w:val="00DE108A"/>
    <w:rsid w:val="00DE11E1"/>
    <w:rsid w:val="00DE438A"/>
    <w:rsid w:val="00DF3799"/>
    <w:rsid w:val="00E03CD4"/>
    <w:rsid w:val="00E0429F"/>
    <w:rsid w:val="00E053EB"/>
    <w:rsid w:val="00E2495B"/>
    <w:rsid w:val="00E44A28"/>
    <w:rsid w:val="00E625C2"/>
    <w:rsid w:val="00E74493"/>
    <w:rsid w:val="00E77C43"/>
    <w:rsid w:val="00E83CD6"/>
    <w:rsid w:val="00EB203F"/>
    <w:rsid w:val="00EB7408"/>
    <w:rsid w:val="00EC3134"/>
    <w:rsid w:val="00EC3789"/>
    <w:rsid w:val="00EE5F5A"/>
    <w:rsid w:val="00EF2E8B"/>
    <w:rsid w:val="00EF6C81"/>
    <w:rsid w:val="00F0154B"/>
    <w:rsid w:val="00F0186D"/>
    <w:rsid w:val="00F03C92"/>
    <w:rsid w:val="00F369F7"/>
    <w:rsid w:val="00F41FFA"/>
    <w:rsid w:val="00F64DF3"/>
    <w:rsid w:val="00F66172"/>
    <w:rsid w:val="00F7511E"/>
    <w:rsid w:val="00F811CB"/>
    <w:rsid w:val="00F834FC"/>
    <w:rsid w:val="00F84960"/>
    <w:rsid w:val="00FB625B"/>
    <w:rsid w:val="00FD20BA"/>
    <w:rsid w:val="00FD5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A3137"/>
  <w15:chartTrackingRefBased/>
  <w15:docId w15:val="{32E595C5-9AF7-495E-9B8F-EF6E1277E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B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7B3D"/>
    <w:pPr>
      <w:ind w:left="720"/>
      <w:contextualSpacing/>
    </w:pPr>
  </w:style>
  <w:style w:type="paragraph" w:styleId="FootnoteText">
    <w:name w:val="footnote text"/>
    <w:basedOn w:val="Normal"/>
    <w:link w:val="FootnoteTextChar"/>
    <w:uiPriority w:val="99"/>
    <w:semiHidden/>
    <w:unhideWhenUsed/>
    <w:rsid w:val="009A7B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7B3D"/>
    <w:rPr>
      <w:sz w:val="20"/>
      <w:szCs w:val="20"/>
    </w:rPr>
  </w:style>
  <w:style w:type="character" w:styleId="FootnoteReference">
    <w:name w:val="footnote reference"/>
    <w:basedOn w:val="DefaultParagraphFont"/>
    <w:uiPriority w:val="99"/>
    <w:semiHidden/>
    <w:unhideWhenUsed/>
    <w:rsid w:val="009A7B3D"/>
    <w:rPr>
      <w:vertAlign w:val="superscript"/>
    </w:rPr>
  </w:style>
  <w:style w:type="character" w:styleId="Hyperlink">
    <w:name w:val="Hyperlink"/>
    <w:basedOn w:val="DefaultParagraphFont"/>
    <w:uiPriority w:val="99"/>
    <w:unhideWhenUsed/>
    <w:rsid w:val="009A7B3D"/>
    <w:rPr>
      <w:color w:val="0000FF"/>
      <w:u w:val="single"/>
    </w:rPr>
  </w:style>
  <w:style w:type="paragraph" w:styleId="BalloonText">
    <w:name w:val="Balloon Text"/>
    <w:basedOn w:val="Normal"/>
    <w:link w:val="BalloonTextChar"/>
    <w:uiPriority w:val="99"/>
    <w:semiHidden/>
    <w:unhideWhenUsed/>
    <w:rsid w:val="009A7B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7B3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oodle.uwtsd.ac.uk/pluginfile.php/250048/mod_resource/content/0/Finucane%20Article.pdf" TargetMode="External"/><Relationship Id="rId18" Type="http://schemas.openxmlformats.org/officeDocument/2006/relationships/hyperlink" Target="https://www.jstor.org/stable/368437?Search=yes&amp;resultItemClick=true&amp;searchText=literacy&amp;searchText=rate&amp;searchText=in&amp;searchText=medieval&amp;searchText=europe&amp;searchUri=%2Faction%2FdoBasicSearch%3FQuery%3Dliteracy%2Brate%2Bin%2Bmedieval%2Beurope&amp;ab_segments=0%2Fdefault-2%2Fcontrol&amp;refreqid=search%3A35692069177efe53c8389ba847d31c8e&amp;seq=2#metadata_info_tab_content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piscopalchurch.org/library/glossary/crozier-or-crosier" TargetMode="External"/><Relationship Id="rId7" Type="http://schemas.openxmlformats.org/officeDocument/2006/relationships/endnotes" Target="endnotes.xml"/><Relationship Id="rId12" Type="http://schemas.openxmlformats.org/officeDocument/2006/relationships/hyperlink" Target="http://www.oxfordscholarship.com.ezproxy.uwtsd.ac.uk/view/10.1093/acprof:oso/9780199254200.001.0001/acprof-9780199254200-chapter-3" TargetMode="External"/><Relationship Id="rId17" Type="http://schemas.openxmlformats.org/officeDocument/2006/relationships/hyperlink" Target="https://www.jstor.org/stable/40012505?Search=yes&amp;resultItemClick=true&amp;searchText=miracles&amp;searchUri=%2Faction%2FdoBasicSearch%3Fwc%3Don%26amp%3Bacc%3Don%26amp%3BQuery%3Dmiracles%26amp%3Bfc%3Doff%26amp%3Bgroup%3Dnone&amp;ab_segments=0%2Fdefault-2%2Fcontrol&amp;refreqid=search%3Ac0c6797d8228147406df6038df5bb157&amp;seq=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oxfordscholarship.com.ezproxy.uwtsd.ac.uk/view/10.1093/acprof:oso/9780199861590.001.0001/acprof-9780199861590-chapter-3" TargetMode="External"/><Relationship Id="rId20" Type="http://schemas.openxmlformats.org/officeDocument/2006/relationships/hyperlink" Target="https://web-a-ebscohost-com.ezproxy.uwtsd.ac.uk/ehost/pdfviewer/pdfviewer?vid=1&amp;sid=835d647c-95ee-466d-91bf-56dee3a32ba3%40sdc-v-sessmgr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ristianiconography.info/sacredHeart.html" TargetMode="External"/><Relationship Id="rId24" Type="http://schemas.openxmlformats.org/officeDocument/2006/relationships/hyperlink" Target="http://www.oxfordscholarship.com.ezproxy.uwtsd.ac.uk/view/10.1093/acprof:oso/9780199765935.001.0001/acprof-9780199765935" TargetMode="External"/><Relationship Id="rId5" Type="http://schemas.openxmlformats.org/officeDocument/2006/relationships/webSettings" Target="webSettings.xml"/><Relationship Id="rId15" Type="http://schemas.openxmlformats.org/officeDocument/2006/relationships/hyperlink" Target="http://www.oxfordscholarship.com.ezproxy.uwtsd.ac.uk/view/10.1093/acprof:oso/9780199236350.001.0001/acprof-9780199236350-chapter-2" TargetMode="External"/><Relationship Id="rId23" Type="http://schemas.openxmlformats.org/officeDocument/2006/relationships/hyperlink" Target="https://www-jstor-org.ezproxy.uwtsd.ac.uk/stable/2853056?sid=primo&amp;origin=crossref&amp;seq=2" TargetMode="External"/><Relationship Id="rId10" Type="http://schemas.openxmlformats.org/officeDocument/2006/relationships/hyperlink" Target="https://www.jstor.org/stable/1358522" TargetMode="External"/><Relationship Id="rId19" Type="http://schemas.openxmlformats.org/officeDocument/2006/relationships/hyperlink" Target="https://muse-jhu-edu.ezproxy.uwtsd.ac.uk/article/6967" TargetMode="External"/><Relationship Id="rId4" Type="http://schemas.openxmlformats.org/officeDocument/2006/relationships/settings" Target="settings.xml"/><Relationship Id="rId9" Type="http://schemas.openxmlformats.org/officeDocument/2006/relationships/hyperlink" Target="https://moodle.uwtsd.ac.uk/pluginfile.php/247542/mod_resource/content/0/Bailey_Wives%2C%20mothers%20and%20widows.pdf" TargetMode="External"/><Relationship Id="rId14" Type="http://schemas.openxmlformats.org/officeDocument/2006/relationships/hyperlink" Target="https://search-proquest-com.ezproxy.uwtsd.ac.uk/docview/222305489?OpenUrlRefId=info:xri/sid:primo&amp;accountid=130472" TargetMode="External"/><Relationship Id="rId22" Type="http://schemas.openxmlformats.org/officeDocument/2006/relationships/hyperlink" Target="http://ica.themorgan.org/manuscript/page/31/112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21CD7-DCF5-4056-AC57-BB6172BD5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4890</Words>
  <Characters>27876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10</cp:revision>
  <dcterms:created xsi:type="dcterms:W3CDTF">2019-04-14T21:55:00Z</dcterms:created>
  <dcterms:modified xsi:type="dcterms:W3CDTF">2019-04-14T22:08:00Z</dcterms:modified>
</cp:coreProperties>
</file>