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D2A731" w14:textId="622844C1" w:rsidR="007F738D" w:rsidRDefault="007F738D">
      <w:pPr>
        <w:rPr>
          <w:rFonts w:ascii="Times New Roman" w:hAnsi="Times New Roman" w:cs="Times New Roman"/>
          <w:sz w:val="28"/>
          <w:szCs w:val="28"/>
          <w:u w:val="single"/>
        </w:rPr>
      </w:pPr>
      <w:bookmarkStart w:id="0" w:name="_GoBack"/>
      <w:bookmarkEnd w:id="0"/>
      <w:r w:rsidRPr="007F738D">
        <w:rPr>
          <w:rFonts w:ascii="Times New Roman" w:hAnsi="Times New Roman" w:cs="Times New Roman"/>
          <w:sz w:val="28"/>
          <w:szCs w:val="28"/>
          <w:u w:val="single"/>
        </w:rPr>
        <w:t xml:space="preserve">Titus Lucretius </w:t>
      </w:r>
      <w:proofErr w:type="spellStart"/>
      <w:r w:rsidRPr="007F738D">
        <w:rPr>
          <w:rFonts w:ascii="Times New Roman" w:hAnsi="Times New Roman" w:cs="Times New Roman"/>
          <w:sz w:val="28"/>
          <w:szCs w:val="28"/>
          <w:u w:val="single"/>
        </w:rPr>
        <w:t>Carus</w:t>
      </w:r>
      <w:proofErr w:type="spellEnd"/>
    </w:p>
    <w:p w14:paraId="3DE27E86" w14:textId="2597DE05" w:rsidR="007F738D" w:rsidRDefault="000A3780">
      <w:pPr>
        <w:rPr>
          <w:rFonts w:ascii="Times New Roman" w:hAnsi="Times New Roman" w:cs="Times New Roman"/>
        </w:rPr>
      </w:pPr>
      <w:r>
        <w:rPr>
          <w:rFonts w:ascii="Times New Roman" w:hAnsi="Times New Roman" w:cs="Times New Roman"/>
        </w:rPr>
        <w:t xml:space="preserve">Much of </w:t>
      </w:r>
      <w:r w:rsidR="002A721D">
        <w:rPr>
          <w:rFonts w:ascii="Times New Roman" w:hAnsi="Times New Roman" w:cs="Times New Roman"/>
        </w:rPr>
        <w:t>Lucretius</w:t>
      </w:r>
      <w:r>
        <w:rPr>
          <w:rFonts w:ascii="Times New Roman" w:hAnsi="Times New Roman" w:cs="Times New Roman"/>
        </w:rPr>
        <w:t>’s life is unknown to us</w:t>
      </w:r>
      <w:r w:rsidR="0070040F">
        <w:rPr>
          <w:rFonts w:ascii="Times New Roman" w:hAnsi="Times New Roman" w:cs="Times New Roman"/>
        </w:rPr>
        <w:t>:</w:t>
      </w:r>
      <w:r>
        <w:rPr>
          <w:rFonts w:ascii="Times New Roman" w:hAnsi="Times New Roman" w:cs="Times New Roman"/>
        </w:rPr>
        <w:t xml:space="preserve"> </w:t>
      </w:r>
      <w:r w:rsidR="0070040F">
        <w:rPr>
          <w:rFonts w:ascii="Times New Roman" w:hAnsi="Times New Roman" w:cs="Times New Roman"/>
        </w:rPr>
        <w:t>though some sources say that he was born in Pompeii</w:t>
      </w:r>
      <w:r w:rsidR="00187239">
        <w:rPr>
          <w:rFonts w:ascii="Times New Roman" w:hAnsi="Times New Roman" w:cs="Times New Roman"/>
        </w:rPr>
        <w:t>, very little reliable sources exist. He is said to have been born in 99 B.C and killed himself aged either 43/44 in 55 B.C.</w:t>
      </w:r>
      <w:r w:rsidR="00187239">
        <w:rPr>
          <w:rStyle w:val="FootnoteReference"/>
          <w:rFonts w:ascii="Times New Roman" w:hAnsi="Times New Roman" w:cs="Times New Roman"/>
        </w:rPr>
        <w:footnoteReference w:id="1"/>
      </w:r>
    </w:p>
    <w:p w14:paraId="3E52EF50" w14:textId="07B64FBC" w:rsidR="009A47A4" w:rsidRDefault="00187239">
      <w:pPr>
        <w:rPr>
          <w:rFonts w:ascii="Times New Roman" w:hAnsi="Times New Roman" w:cs="Times New Roman"/>
        </w:rPr>
      </w:pPr>
      <w:r>
        <w:rPr>
          <w:rFonts w:ascii="Times New Roman" w:hAnsi="Times New Roman" w:cs="Times New Roman"/>
        </w:rPr>
        <w:t xml:space="preserve">Lucretius is only credited to </w:t>
      </w:r>
      <w:r w:rsidR="009A47A4">
        <w:rPr>
          <w:rFonts w:ascii="Times New Roman" w:hAnsi="Times New Roman" w:cs="Times New Roman"/>
        </w:rPr>
        <w:t>one work</w:t>
      </w:r>
      <w:r>
        <w:rPr>
          <w:rFonts w:ascii="Times New Roman" w:hAnsi="Times New Roman" w:cs="Times New Roman"/>
        </w:rPr>
        <w:t>: “</w:t>
      </w:r>
      <w:r w:rsidRPr="00187239">
        <w:rPr>
          <w:rFonts w:ascii="Times New Roman" w:hAnsi="Times New Roman" w:cs="Times New Roman"/>
        </w:rPr>
        <w:t xml:space="preserve">De rerum </w:t>
      </w:r>
      <w:proofErr w:type="spellStart"/>
      <w:r w:rsidRPr="00187239">
        <w:rPr>
          <w:rFonts w:ascii="Times New Roman" w:hAnsi="Times New Roman" w:cs="Times New Roman"/>
        </w:rPr>
        <w:t>natura</w:t>
      </w:r>
      <w:proofErr w:type="spellEnd"/>
      <w:r>
        <w:rPr>
          <w:rFonts w:ascii="Times New Roman" w:hAnsi="Times New Roman" w:cs="Times New Roman"/>
        </w:rPr>
        <w:t>”</w:t>
      </w:r>
      <w:r w:rsidR="009F42B1">
        <w:rPr>
          <w:rFonts w:ascii="Times New Roman" w:hAnsi="Times New Roman" w:cs="Times New Roman"/>
        </w:rPr>
        <w:t xml:space="preserve"> (On </w:t>
      </w:r>
      <w:proofErr w:type="gramStart"/>
      <w:r w:rsidR="009F42B1">
        <w:rPr>
          <w:rFonts w:ascii="Times New Roman" w:hAnsi="Times New Roman" w:cs="Times New Roman"/>
        </w:rPr>
        <w:t>The</w:t>
      </w:r>
      <w:proofErr w:type="gramEnd"/>
      <w:r w:rsidR="009F42B1">
        <w:rPr>
          <w:rFonts w:ascii="Times New Roman" w:hAnsi="Times New Roman" w:cs="Times New Roman"/>
        </w:rPr>
        <w:t xml:space="preserve"> Nature of Things)</w:t>
      </w:r>
      <w:r>
        <w:rPr>
          <w:rFonts w:ascii="Times New Roman" w:hAnsi="Times New Roman" w:cs="Times New Roman"/>
        </w:rPr>
        <w:t xml:space="preserve">, which, was </w:t>
      </w:r>
      <w:r w:rsidR="009A47A4">
        <w:rPr>
          <w:rFonts w:ascii="Times New Roman" w:hAnsi="Times New Roman" w:cs="Times New Roman"/>
        </w:rPr>
        <w:t xml:space="preserve">said to be </w:t>
      </w:r>
      <w:r>
        <w:rPr>
          <w:rFonts w:ascii="Times New Roman" w:hAnsi="Times New Roman" w:cs="Times New Roman"/>
        </w:rPr>
        <w:t xml:space="preserve">edited </w:t>
      </w:r>
      <w:r w:rsidR="009A47A4">
        <w:rPr>
          <w:rFonts w:ascii="Times New Roman" w:hAnsi="Times New Roman" w:cs="Times New Roman"/>
        </w:rPr>
        <w:t>la</w:t>
      </w:r>
      <w:r>
        <w:rPr>
          <w:rFonts w:ascii="Times New Roman" w:hAnsi="Times New Roman" w:cs="Times New Roman"/>
        </w:rPr>
        <w:t>ter by Cicero</w:t>
      </w:r>
      <w:r w:rsidR="009A47A4">
        <w:rPr>
          <w:rStyle w:val="FootnoteReference"/>
          <w:rFonts w:ascii="Times New Roman" w:hAnsi="Times New Roman" w:cs="Times New Roman"/>
        </w:rPr>
        <w:footnoteReference w:id="2"/>
      </w:r>
      <w:r w:rsidR="009A47A4">
        <w:rPr>
          <w:rFonts w:ascii="Times New Roman" w:hAnsi="Times New Roman" w:cs="Times New Roman"/>
        </w:rPr>
        <w:t>, however later scholars have argued against this</w:t>
      </w:r>
      <w:r w:rsidR="009A47A4">
        <w:rPr>
          <w:rStyle w:val="FootnoteReference"/>
          <w:rFonts w:ascii="Times New Roman" w:hAnsi="Times New Roman" w:cs="Times New Roman"/>
        </w:rPr>
        <w:footnoteReference w:id="3"/>
      </w:r>
      <w:r w:rsidR="009A47A4">
        <w:rPr>
          <w:rFonts w:ascii="Times New Roman" w:hAnsi="Times New Roman" w:cs="Times New Roman"/>
        </w:rPr>
        <w:t>.</w:t>
      </w:r>
    </w:p>
    <w:p w14:paraId="03EB6AED" w14:textId="5F62F379" w:rsidR="00933EE4" w:rsidRDefault="009A47A4">
      <w:pPr>
        <w:rPr>
          <w:rFonts w:ascii="Times New Roman" w:hAnsi="Times New Roman" w:cs="Times New Roman"/>
        </w:rPr>
      </w:pPr>
      <w:r>
        <w:rPr>
          <w:rFonts w:ascii="Times New Roman" w:hAnsi="Times New Roman" w:cs="Times New Roman"/>
        </w:rPr>
        <w:t xml:space="preserve">De rerum </w:t>
      </w:r>
      <w:proofErr w:type="spellStart"/>
      <w:r>
        <w:rPr>
          <w:rFonts w:ascii="Times New Roman" w:hAnsi="Times New Roman" w:cs="Times New Roman"/>
        </w:rPr>
        <w:t>natur</w:t>
      </w:r>
      <w:r w:rsidR="00933EE4">
        <w:rPr>
          <w:rFonts w:ascii="Times New Roman" w:hAnsi="Times New Roman" w:cs="Times New Roman"/>
        </w:rPr>
        <w:t>a</w:t>
      </w:r>
      <w:proofErr w:type="spellEnd"/>
      <w:r>
        <w:rPr>
          <w:rFonts w:ascii="Times New Roman" w:hAnsi="Times New Roman" w:cs="Times New Roman"/>
        </w:rPr>
        <w:t xml:space="preserve"> is a </w:t>
      </w:r>
      <w:r w:rsidR="009F42B1">
        <w:rPr>
          <w:rFonts w:ascii="Times New Roman" w:hAnsi="Times New Roman" w:cs="Times New Roman"/>
        </w:rPr>
        <w:t xml:space="preserve">didactic </w:t>
      </w:r>
      <w:r>
        <w:rPr>
          <w:rFonts w:ascii="Times New Roman" w:hAnsi="Times New Roman" w:cs="Times New Roman"/>
        </w:rPr>
        <w:t>poem split into six books, written in dactylic hexameter, with 7,</w:t>
      </w:r>
      <w:r w:rsidR="009F42B1">
        <w:rPr>
          <w:rFonts w:ascii="Times New Roman" w:hAnsi="Times New Roman" w:cs="Times New Roman"/>
        </w:rPr>
        <w:t>4</w:t>
      </w:r>
      <w:r>
        <w:rPr>
          <w:rFonts w:ascii="Times New Roman" w:hAnsi="Times New Roman" w:cs="Times New Roman"/>
        </w:rPr>
        <w:t xml:space="preserve">00 lines. </w:t>
      </w:r>
      <w:r w:rsidR="0076128B">
        <w:rPr>
          <w:rFonts w:ascii="Times New Roman" w:hAnsi="Times New Roman" w:cs="Times New Roman"/>
        </w:rPr>
        <w:t xml:space="preserve">The first three books </w:t>
      </w:r>
      <w:r>
        <w:rPr>
          <w:rFonts w:ascii="Times New Roman" w:hAnsi="Times New Roman" w:cs="Times New Roman"/>
        </w:rPr>
        <w:t>focus</w:t>
      </w:r>
      <w:r w:rsidR="0076128B">
        <w:rPr>
          <w:rFonts w:ascii="Times New Roman" w:hAnsi="Times New Roman" w:cs="Times New Roman"/>
        </w:rPr>
        <w:t xml:space="preserve"> </w:t>
      </w:r>
      <w:r>
        <w:rPr>
          <w:rFonts w:ascii="Times New Roman" w:hAnsi="Times New Roman" w:cs="Times New Roman"/>
        </w:rPr>
        <w:t xml:space="preserve">on </w:t>
      </w:r>
      <w:r w:rsidR="0076128B">
        <w:rPr>
          <w:rFonts w:ascii="Times New Roman" w:hAnsi="Times New Roman" w:cs="Times New Roman"/>
        </w:rPr>
        <w:t>themes of the world and the wider universe; time and space; atoms and the material makeup of everything. The last three books then focus on more abstract concepts through materialistic explanation: human sight and reflection; sexual intercourse and reproduction; heaven and hell; nature and agriculture; natural forces and diseases.</w:t>
      </w:r>
    </w:p>
    <w:p w14:paraId="627B2A0B" w14:textId="7DE5053B" w:rsidR="00EC698D" w:rsidRDefault="00933EE4">
      <w:pPr>
        <w:rPr>
          <w:rFonts w:ascii="Times New Roman" w:hAnsi="Times New Roman" w:cs="Times New Roman"/>
        </w:rPr>
      </w:pPr>
      <w:r>
        <w:rPr>
          <w:rFonts w:ascii="Times New Roman" w:hAnsi="Times New Roman" w:cs="Times New Roman"/>
        </w:rPr>
        <w:t xml:space="preserve">Lucretius rejected abstract thoughts as a rule and generally considered the world to be a black and white </w:t>
      </w:r>
      <w:proofErr w:type="spellStart"/>
      <w:r>
        <w:rPr>
          <w:rFonts w:ascii="Times New Roman" w:hAnsi="Times New Roman" w:cs="Times New Roman"/>
        </w:rPr>
        <w:t>esq.</w:t>
      </w:r>
      <w:proofErr w:type="spellEnd"/>
      <w:r>
        <w:rPr>
          <w:rFonts w:ascii="Times New Roman" w:hAnsi="Times New Roman" w:cs="Times New Roman"/>
        </w:rPr>
        <w:t xml:space="preserve"> materialistic concept: “nothing exists except acorns and the void”</w:t>
      </w:r>
      <w:r>
        <w:rPr>
          <w:rStyle w:val="FootnoteReference"/>
          <w:rFonts w:ascii="Times New Roman" w:hAnsi="Times New Roman" w:cs="Times New Roman"/>
        </w:rPr>
        <w:footnoteReference w:id="4"/>
      </w:r>
      <w:r w:rsidR="009F42B1">
        <w:rPr>
          <w:rFonts w:ascii="Times New Roman" w:hAnsi="Times New Roman" w:cs="Times New Roman"/>
        </w:rPr>
        <w:t>. The core meaning of the poem was an explanation of Epicurean philosophy (a challenge to Platonism and later Stoicism), which focussed on material atomism, rejecting ideas of superstition and divine intervention. The poem does embrace many hedonistic traits: it declares material and physical pleasure to be the primary objectives in life – abstaining from spiritual indulgences and living without fear from the wrath of the Gods as many Romans did.</w:t>
      </w:r>
    </w:p>
    <w:p w14:paraId="5606A8A3" w14:textId="77777777" w:rsidR="00EC698D" w:rsidRDefault="00EC698D">
      <w:pPr>
        <w:rPr>
          <w:rFonts w:ascii="Times New Roman" w:hAnsi="Times New Roman" w:cs="Times New Roman"/>
        </w:rPr>
      </w:pPr>
      <w:r>
        <w:rPr>
          <w:rFonts w:ascii="Times New Roman" w:hAnsi="Times New Roman" w:cs="Times New Roman"/>
        </w:rPr>
        <w:br w:type="page"/>
      </w:r>
    </w:p>
    <w:p w14:paraId="11F84E6A" w14:textId="412D4D53" w:rsidR="009A47A4" w:rsidRPr="00382655" w:rsidRDefault="00EC698D">
      <w:pPr>
        <w:rPr>
          <w:rFonts w:ascii="Times New Roman" w:hAnsi="Times New Roman" w:cs="Times New Roman"/>
          <w:u w:val="single"/>
        </w:rPr>
      </w:pPr>
      <w:r w:rsidRPr="00382655">
        <w:rPr>
          <w:rFonts w:ascii="Times New Roman" w:hAnsi="Times New Roman" w:cs="Times New Roman"/>
          <w:u w:val="single"/>
        </w:rPr>
        <w:lastRenderedPageBreak/>
        <w:t>Bibliography</w:t>
      </w:r>
    </w:p>
    <w:p w14:paraId="01FC3E20" w14:textId="205B7D7F" w:rsidR="00EC698D" w:rsidRPr="00382655" w:rsidRDefault="00382655">
      <w:pPr>
        <w:rPr>
          <w:rFonts w:ascii="Times New Roman" w:hAnsi="Times New Roman" w:cs="Times New Roman"/>
        </w:rPr>
      </w:pPr>
      <w:r w:rsidRPr="00382655">
        <w:rPr>
          <w:rFonts w:ascii="Times New Roman" w:hAnsi="Times New Roman" w:cs="Times New Roman"/>
        </w:rPr>
        <w:t>Butterfield, David,</w:t>
      </w:r>
      <w:r w:rsidRPr="00382655">
        <w:rPr>
          <w:rFonts w:ascii="Times New Roman" w:hAnsi="Times New Roman" w:cs="Times New Roman"/>
          <w:i/>
          <w:iCs/>
        </w:rPr>
        <w:t xml:space="preserve"> The Early Textual History of Lucretius' De rerum </w:t>
      </w:r>
      <w:proofErr w:type="spellStart"/>
      <w:r w:rsidRPr="00382655">
        <w:rPr>
          <w:rFonts w:ascii="Times New Roman" w:hAnsi="Times New Roman" w:cs="Times New Roman"/>
          <w:i/>
          <w:iCs/>
        </w:rPr>
        <w:t>natura</w:t>
      </w:r>
      <w:proofErr w:type="spellEnd"/>
      <w:r w:rsidRPr="00382655">
        <w:rPr>
          <w:rFonts w:ascii="Times New Roman" w:hAnsi="Times New Roman" w:cs="Times New Roman"/>
        </w:rPr>
        <w:t>., (Cambridge, UK: Cambridge University Press)</w:t>
      </w:r>
    </w:p>
    <w:p w14:paraId="70EA34CB" w14:textId="1299E95C" w:rsidR="00382655" w:rsidRPr="00382655" w:rsidRDefault="00382655">
      <w:pPr>
        <w:rPr>
          <w:rFonts w:ascii="Times New Roman" w:hAnsi="Times New Roman" w:cs="Times New Roman"/>
          <w:i/>
          <w:iCs/>
        </w:rPr>
      </w:pPr>
      <w:r w:rsidRPr="00382655">
        <w:rPr>
          <w:rFonts w:ascii="Times New Roman" w:hAnsi="Times New Roman" w:cs="Times New Roman"/>
        </w:rPr>
        <w:t xml:space="preserve">Jerome, </w:t>
      </w:r>
      <w:r w:rsidRPr="00382655">
        <w:rPr>
          <w:rFonts w:ascii="Times New Roman" w:hAnsi="Times New Roman" w:cs="Times New Roman"/>
          <w:i/>
          <w:iCs/>
        </w:rPr>
        <w:t>Chronicon</w:t>
      </w:r>
    </w:p>
    <w:p w14:paraId="78C4FBAD" w14:textId="77777777" w:rsidR="00382655" w:rsidRPr="00382655" w:rsidRDefault="00382655" w:rsidP="00382655">
      <w:pPr>
        <w:pStyle w:val="FootnoteText"/>
        <w:rPr>
          <w:rFonts w:ascii="Times New Roman" w:hAnsi="Times New Roman" w:cs="Times New Roman"/>
          <w:sz w:val="22"/>
          <w:szCs w:val="22"/>
        </w:rPr>
      </w:pPr>
      <w:r w:rsidRPr="00382655">
        <w:rPr>
          <w:rFonts w:ascii="Times New Roman" w:hAnsi="Times New Roman" w:cs="Times New Roman"/>
          <w:sz w:val="22"/>
          <w:szCs w:val="22"/>
        </w:rPr>
        <w:t xml:space="preserve">Lucretius, </w:t>
      </w:r>
      <w:r w:rsidRPr="00382655">
        <w:rPr>
          <w:rFonts w:ascii="Times New Roman" w:hAnsi="Times New Roman" w:cs="Times New Roman"/>
          <w:i/>
          <w:iCs/>
          <w:sz w:val="22"/>
          <w:szCs w:val="22"/>
        </w:rPr>
        <w:t xml:space="preserve">De rerum </w:t>
      </w:r>
      <w:proofErr w:type="spellStart"/>
      <w:r w:rsidRPr="00382655">
        <w:rPr>
          <w:rFonts w:ascii="Times New Roman" w:hAnsi="Times New Roman" w:cs="Times New Roman"/>
          <w:i/>
          <w:iCs/>
          <w:sz w:val="22"/>
          <w:szCs w:val="22"/>
        </w:rPr>
        <w:t>natura</w:t>
      </w:r>
      <w:proofErr w:type="spellEnd"/>
    </w:p>
    <w:p w14:paraId="359A3A8D" w14:textId="77777777" w:rsidR="00382655" w:rsidRPr="00EC698D" w:rsidRDefault="00382655">
      <w:pPr>
        <w:rPr>
          <w:rFonts w:ascii="Times New Roman" w:hAnsi="Times New Roman" w:cs="Times New Roman"/>
        </w:rPr>
      </w:pPr>
    </w:p>
    <w:sectPr w:rsidR="00382655" w:rsidRPr="00EC69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C80480" w14:textId="77777777" w:rsidR="00933EE4" w:rsidRDefault="00933EE4" w:rsidP="00187239">
      <w:pPr>
        <w:spacing w:after="0" w:line="240" w:lineRule="auto"/>
      </w:pPr>
      <w:r>
        <w:separator/>
      </w:r>
    </w:p>
  </w:endnote>
  <w:endnote w:type="continuationSeparator" w:id="0">
    <w:p w14:paraId="2C1E4D19" w14:textId="77777777" w:rsidR="00933EE4" w:rsidRDefault="00933EE4" w:rsidP="00187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C4AD5A" w14:textId="77777777" w:rsidR="00933EE4" w:rsidRDefault="00933EE4" w:rsidP="00187239">
      <w:pPr>
        <w:spacing w:after="0" w:line="240" w:lineRule="auto"/>
      </w:pPr>
      <w:r>
        <w:separator/>
      </w:r>
    </w:p>
  </w:footnote>
  <w:footnote w:type="continuationSeparator" w:id="0">
    <w:p w14:paraId="68BDB637" w14:textId="77777777" w:rsidR="00933EE4" w:rsidRDefault="00933EE4" w:rsidP="00187239">
      <w:pPr>
        <w:spacing w:after="0" w:line="240" w:lineRule="auto"/>
      </w:pPr>
      <w:r>
        <w:continuationSeparator/>
      </w:r>
    </w:p>
  </w:footnote>
  <w:footnote w:id="1">
    <w:p w14:paraId="3FC31D80" w14:textId="6F304824" w:rsidR="00933EE4" w:rsidRPr="00187239" w:rsidRDefault="00933EE4">
      <w:pPr>
        <w:pStyle w:val="FootnoteText"/>
      </w:pPr>
      <w:r>
        <w:rPr>
          <w:rStyle w:val="FootnoteReference"/>
        </w:rPr>
        <w:footnoteRef/>
      </w:r>
      <w:r>
        <w:t xml:space="preserve"> Jerome, </w:t>
      </w:r>
      <w:r>
        <w:rPr>
          <w:i/>
          <w:iCs/>
        </w:rPr>
        <w:t>Chronicon</w:t>
      </w:r>
    </w:p>
  </w:footnote>
  <w:footnote w:id="2">
    <w:p w14:paraId="62FFF596" w14:textId="0C76E809" w:rsidR="00933EE4" w:rsidRDefault="00933EE4">
      <w:pPr>
        <w:pStyle w:val="FootnoteText"/>
      </w:pPr>
      <w:r>
        <w:rPr>
          <w:rStyle w:val="FootnoteReference"/>
        </w:rPr>
        <w:footnoteRef/>
      </w:r>
      <w:r>
        <w:t xml:space="preserve"> Jerome, </w:t>
      </w:r>
      <w:r>
        <w:rPr>
          <w:i/>
          <w:iCs/>
        </w:rPr>
        <w:t>Chronicon</w:t>
      </w:r>
    </w:p>
  </w:footnote>
  <w:footnote w:id="3">
    <w:p w14:paraId="3F1F4CE0" w14:textId="4DE2AC06" w:rsidR="00933EE4" w:rsidRDefault="00933EE4">
      <w:pPr>
        <w:pStyle w:val="FootnoteText"/>
      </w:pPr>
      <w:r>
        <w:rPr>
          <w:rStyle w:val="FootnoteReference"/>
        </w:rPr>
        <w:footnoteRef/>
      </w:r>
      <w:r>
        <w:t xml:space="preserve"> </w:t>
      </w:r>
      <w:r w:rsidR="00382655">
        <w:t xml:space="preserve">David </w:t>
      </w:r>
      <w:r w:rsidRPr="009A47A4">
        <w:t>Butterfield</w:t>
      </w:r>
      <w:r w:rsidR="00841F47">
        <w:t xml:space="preserve">, </w:t>
      </w:r>
      <w:r w:rsidRPr="00841F47">
        <w:rPr>
          <w:i/>
          <w:iCs/>
        </w:rPr>
        <w:t xml:space="preserve">The Early Textual History of Lucretius' De rerum </w:t>
      </w:r>
      <w:proofErr w:type="spellStart"/>
      <w:r w:rsidRPr="00841F47">
        <w:rPr>
          <w:i/>
          <w:iCs/>
        </w:rPr>
        <w:t>natura</w:t>
      </w:r>
      <w:proofErr w:type="spellEnd"/>
      <w:r w:rsidRPr="009A47A4">
        <w:t>.</w:t>
      </w:r>
      <w:r w:rsidR="00841F47">
        <w:t>,</w:t>
      </w:r>
      <w:r w:rsidRPr="009A47A4">
        <w:t xml:space="preserve"> </w:t>
      </w:r>
      <w:r w:rsidR="002A3456">
        <w:t>(</w:t>
      </w:r>
      <w:r w:rsidRPr="009A47A4">
        <w:t>Cambridge, UK: Cambridge University Press</w:t>
      </w:r>
      <w:r w:rsidR="002A3456">
        <w:t>)</w:t>
      </w:r>
    </w:p>
  </w:footnote>
  <w:footnote w:id="4">
    <w:p w14:paraId="1C369E0B" w14:textId="7C3C78F8" w:rsidR="00933EE4" w:rsidRDefault="00933EE4">
      <w:pPr>
        <w:pStyle w:val="FootnoteText"/>
      </w:pPr>
      <w:r>
        <w:rPr>
          <w:rStyle w:val="FootnoteReference"/>
        </w:rPr>
        <w:footnoteRef/>
      </w:r>
      <w:r>
        <w:t xml:space="preserve"> Lucretius, </w:t>
      </w:r>
      <w:r w:rsidRPr="00933EE4">
        <w:rPr>
          <w:i/>
          <w:iCs/>
        </w:rPr>
        <w:t xml:space="preserve">De rerum </w:t>
      </w:r>
      <w:proofErr w:type="spellStart"/>
      <w:r w:rsidRPr="00933EE4">
        <w:rPr>
          <w:i/>
          <w:iCs/>
        </w:rPr>
        <w:t>natura</w:t>
      </w:r>
      <w:proofErr w:type="spell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38D"/>
    <w:rsid w:val="000A3780"/>
    <w:rsid w:val="00187239"/>
    <w:rsid w:val="002A3456"/>
    <w:rsid w:val="002A721D"/>
    <w:rsid w:val="00382655"/>
    <w:rsid w:val="0070040F"/>
    <w:rsid w:val="0076128B"/>
    <w:rsid w:val="007F738D"/>
    <w:rsid w:val="00841F47"/>
    <w:rsid w:val="00933EE4"/>
    <w:rsid w:val="00941A57"/>
    <w:rsid w:val="009A47A4"/>
    <w:rsid w:val="009F42B1"/>
    <w:rsid w:val="00B834C6"/>
    <w:rsid w:val="00EC6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198C89"/>
  <w15:chartTrackingRefBased/>
  <w15:docId w15:val="{FE070E35-43CF-4A41-99F6-AEA19E092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872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7239"/>
    <w:rPr>
      <w:sz w:val="20"/>
      <w:szCs w:val="20"/>
    </w:rPr>
  </w:style>
  <w:style w:type="character" w:styleId="FootnoteReference">
    <w:name w:val="footnote reference"/>
    <w:basedOn w:val="DefaultParagraphFont"/>
    <w:uiPriority w:val="99"/>
    <w:semiHidden/>
    <w:unhideWhenUsed/>
    <w:rsid w:val="0018723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007E9-CF14-4A3B-9BD9-F03628A2D145}">
  <ds:schemaRefs>
    <ds:schemaRef ds:uri="http://purl.org/dc/terms/"/>
    <ds:schemaRef ds:uri="http://schemas.microsoft.com/office/2006/metadata/properties"/>
    <ds:schemaRef ds:uri="http://purl.org/dc/elements/1.1/"/>
    <ds:schemaRef ds:uri="http://purl.org/dc/dcmitype/"/>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46b8f10f-f56e-4e87-af4a-2384ac144562"/>
  </ds:schemaRefs>
</ds:datastoreItem>
</file>

<file path=customXml/itemProps2.xml><?xml version="1.0" encoding="utf-8"?>
<ds:datastoreItem xmlns:ds="http://schemas.openxmlformats.org/officeDocument/2006/customXml" ds:itemID="{66ED604E-A4C6-4B10-8367-3A81C4910D43}">
  <ds:schemaRefs>
    <ds:schemaRef ds:uri="http://schemas.microsoft.com/sharepoint/v3/contenttype/forms"/>
  </ds:schemaRefs>
</ds:datastoreItem>
</file>

<file path=customXml/itemProps3.xml><?xml version="1.0" encoding="utf-8"?>
<ds:datastoreItem xmlns:ds="http://schemas.openxmlformats.org/officeDocument/2006/customXml" ds:itemID="{DB5EDD8C-5408-4A7F-8643-B1C6722FAC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C0C2FB-B731-434C-B3D3-6E96E0876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254</Words>
  <Characters>1452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2</cp:revision>
  <dcterms:created xsi:type="dcterms:W3CDTF">2020-03-04T12:19:00Z</dcterms:created>
  <dcterms:modified xsi:type="dcterms:W3CDTF">2020-03-04T12:19:00Z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