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63C82" w14:textId="77777777" w:rsidR="00F41A15" w:rsidRPr="00DD7E94" w:rsidRDefault="00F41A15"/>
    <w:p w14:paraId="6F3311D4" w14:textId="77777777" w:rsidR="00775EEA" w:rsidRPr="00DD7E94" w:rsidRDefault="00775EEA" w:rsidP="00775EEA"/>
    <w:p w14:paraId="4F5EF58F" w14:textId="2AC98A09" w:rsidR="00775EEA" w:rsidRPr="00DD7E94" w:rsidRDefault="00775EEA" w:rsidP="00775EEA">
      <w:pPr>
        <w:jc w:val="center"/>
        <w:rPr>
          <w:sz w:val="48"/>
          <w:szCs w:val="48"/>
        </w:rPr>
      </w:pPr>
      <w:r w:rsidRPr="00DD7E94">
        <w:rPr>
          <w:sz w:val="48"/>
          <w:szCs w:val="48"/>
        </w:rPr>
        <w:t>LCBB5013 Entrepreneurship</w:t>
      </w:r>
    </w:p>
    <w:p w14:paraId="70EB5F60" w14:textId="77777777" w:rsidR="00775EEA" w:rsidRPr="00DD7E94" w:rsidRDefault="00775EEA" w:rsidP="00775EEA">
      <w:pPr>
        <w:rPr>
          <w:sz w:val="48"/>
          <w:szCs w:val="48"/>
        </w:rPr>
      </w:pPr>
    </w:p>
    <w:p w14:paraId="54157A0B" w14:textId="77777777" w:rsidR="00775EEA" w:rsidRPr="00DD7E94" w:rsidRDefault="00775EEA" w:rsidP="00775EEA">
      <w:pPr>
        <w:rPr>
          <w:sz w:val="48"/>
          <w:szCs w:val="48"/>
        </w:rPr>
      </w:pPr>
    </w:p>
    <w:p w14:paraId="7D2865AD" w14:textId="77777777" w:rsidR="00775EEA" w:rsidRPr="00DD7E94" w:rsidRDefault="00775EEA" w:rsidP="00775EEA">
      <w:pPr>
        <w:rPr>
          <w:sz w:val="48"/>
          <w:szCs w:val="48"/>
        </w:rPr>
      </w:pPr>
    </w:p>
    <w:p w14:paraId="3213859C" w14:textId="0018B9B0" w:rsidR="00775EEA" w:rsidRPr="00DD7E94" w:rsidRDefault="00775EEA" w:rsidP="00775EEA">
      <w:pPr>
        <w:jc w:val="center"/>
        <w:rPr>
          <w:sz w:val="48"/>
          <w:szCs w:val="48"/>
        </w:rPr>
      </w:pPr>
      <w:r w:rsidRPr="00DD7E94">
        <w:rPr>
          <w:sz w:val="48"/>
          <w:szCs w:val="48"/>
        </w:rPr>
        <w:t>Portfolio</w:t>
      </w:r>
    </w:p>
    <w:p w14:paraId="5096AD57" w14:textId="77777777" w:rsidR="00775EEA" w:rsidRPr="00DD7E94" w:rsidRDefault="00775EEA" w:rsidP="00775EEA">
      <w:pPr>
        <w:rPr>
          <w:sz w:val="48"/>
          <w:szCs w:val="48"/>
        </w:rPr>
      </w:pPr>
    </w:p>
    <w:p w14:paraId="621BB4A3" w14:textId="100EA702" w:rsidR="00775EEA" w:rsidRPr="00DD7E94" w:rsidRDefault="00775EEA" w:rsidP="00775EEA">
      <w:pPr>
        <w:jc w:val="center"/>
        <w:rPr>
          <w:sz w:val="48"/>
          <w:szCs w:val="48"/>
        </w:rPr>
      </w:pPr>
      <w:r w:rsidRPr="00DD7E94">
        <w:rPr>
          <w:sz w:val="48"/>
          <w:szCs w:val="48"/>
        </w:rPr>
        <w:t>TASK 1</w:t>
      </w:r>
    </w:p>
    <w:p w14:paraId="49603765" w14:textId="77777777" w:rsidR="00775EEA" w:rsidRPr="00DD7E94" w:rsidRDefault="00775EEA" w:rsidP="00775EEA">
      <w:pPr>
        <w:rPr>
          <w:sz w:val="48"/>
          <w:szCs w:val="48"/>
        </w:rPr>
      </w:pPr>
    </w:p>
    <w:p w14:paraId="4852FFAB" w14:textId="77777777" w:rsidR="00775EEA" w:rsidRPr="00DD7E94" w:rsidRDefault="00775EEA" w:rsidP="00775EEA">
      <w:pPr>
        <w:rPr>
          <w:sz w:val="48"/>
          <w:szCs w:val="48"/>
        </w:rPr>
      </w:pPr>
    </w:p>
    <w:p w14:paraId="7C3EB5AD" w14:textId="77777777" w:rsidR="00775EEA" w:rsidRPr="00DD7E94" w:rsidRDefault="00775EEA" w:rsidP="00775EEA">
      <w:pPr>
        <w:rPr>
          <w:sz w:val="48"/>
          <w:szCs w:val="48"/>
        </w:rPr>
      </w:pPr>
    </w:p>
    <w:p w14:paraId="23EA72B6" w14:textId="77777777" w:rsidR="00775EEA" w:rsidRPr="00DD7E94" w:rsidRDefault="00775EEA" w:rsidP="00775EEA">
      <w:pPr>
        <w:rPr>
          <w:sz w:val="48"/>
          <w:szCs w:val="48"/>
        </w:rPr>
      </w:pPr>
    </w:p>
    <w:p w14:paraId="4306FFE9" w14:textId="77777777" w:rsidR="00775EEA" w:rsidRPr="00DD7E94" w:rsidRDefault="00775EEA" w:rsidP="00775EEA">
      <w:pPr>
        <w:rPr>
          <w:sz w:val="48"/>
          <w:szCs w:val="48"/>
        </w:rPr>
      </w:pPr>
    </w:p>
    <w:p w14:paraId="1F1C08AB" w14:textId="77777777" w:rsidR="00775EEA" w:rsidRPr="00DD7E94" w:rsidRDefault="00775EEA" w:rsidP="00775EEA">
      <w:pPr>
        <w:rPr>
          <w:sz w:val="48"/>
          <w:szCs w:val="48"/>
        </w:rPr>
      </w:pPr>
    </w:p>
    <w:p w14:paraId="41FE0F37" w14:textId="77777777" w:rsidR="00775EEA" w:rsidRPr="00DD7E94" w:rsidRDefault="00775EEA" w:rsidP="00775EEA">
      <w:pPr>
        <w:rPr>
          <w:sz w:val="48"/>
          <w:szCs w:val="48"/>
        </w:rPr>
      </w:pPr>
    </w:p>
    <w:p w14:paraId="26FD1E41" w14:textId="77777777" w:rsidR="00775EEA" w:rsidRPr="00DD7E94" w:rsidRDefault="00775EEA" w:rsidP="00775EEA">
      <w:pPr>
        <w:rPr>
          <w:sz w:val="48"/>
          <w:szCs w:val="48"/>
        </w:rPr>
      </w:pPr>
    </w:p>
    <w:p w14:paraId="28553732" w14:textId="73DCF067" w:rsidR="00775EEA" w:rsidRPr="00DD7E94" w:rsidRDefault="00775EEA" w:rsidP="00775EEA">
      <w:pPr>
        <w:jc w:val="center"/>
      </w:pPr>
      <w:r w:rsidRPr="00DD7E94">
        <w:t>Student Name:</w:t>
      </w:r>
      <w:r w:rsidR="00C90A2B">
        <w:t xml:space="preserve"> Alexandru-Eugen Iacob </w:t>
      </w:r>
    </w:p>
    <w:p w14:paraId="403C2E7C" w14:textId="168C3014" w:rsidR="00775EEA" w:rsidRPr="00DD7E94" w:rsidRDefault="00775EEA" w:rsidP="00775EEA">
      <w:pPr>
        <w:jc w:val="center"/>
      </w:pPr>
      <w:r w:rsidRPr="00DD7E94">
        <w:t>Student ID:</w:t>
      </w:r>
      <w:r w:rsidR="00C90A2B">
        <w:t xml:space="preserve"> </w:t>
      </w:r>
      <w:r w:rsidR="003E7B42">
        <w:t>2327519</w:t>
      </w:r>
    </w:p>
    <w:sdt>
      <w:sdtPr>
        <w:rPr>
          <w:rFonts w:ascii="Times New Roman" w:eastAsiaTheme="minorHAnsi" w:hAnsi="Times New Roman" w:cstheme="minorBidi"/>
          <w:color w:val="auto"/>
          <w:kern w:val="2"/>
          <w:sz w:val="24"/>
          <w:szCs w:val="24"/>
          <w:lang w:val="en-GB"/>
          <w14:ligatures w14:val="standardContextual"/>
        </w:rPr>
        <w:id w:val="277152393"/>
        <w:docPartObj>
          <w:docPartGallery w:val="Table of Contents"/>
          <w:docPartUnique/>
        </w:docPartObj>
      </w:sdtPr>
      <w:sdtEndPr>
        <w:rPr>
          <w:b/>
          <w:bCs/>
          <w:noProof/>
        </w:rPr>
      </w:sdtEndPr>
      <w:sdtContent>
        <w:p w14:paraId="4101E7E7" w14:textId="5A79A884" w:rsidR="00DD7E94" w:rsidRPr="00DD7E94" w:rsidRDefault="00DD7E94">
          <w:pPr>
            <w:pStyle w:val="TOCHeading"/>
            <w:rPr>
              <w:color w:val="auto"/>
            </w:rPr>
          </w:pPr>
          <w:r w:rsidRPr="00DD7E94">
            <w:rPr>
              <w:color w:val="auto"/>
            </w:rPr>
            <w:t>Contents</w:t>
          </w:r>
        </w:p>
        <w:p w14:paraId="3317042B" w14:textId="07EF1991" w:rsidR="00DD7E94" w:rsidRDefault="00DD7E94">
          <w:pPr>
            <w:pStyle w:val="TOC1"/>
            <w:tabs>
              <w:tab w:val="right" w:leader="dot" w:pos="9016"/>
            </w:tabs>
            <w:rPr>
              <w:rFonts w:asciiTheme="minorHAnsi" w:eastAsiaTheme="minorEastAsia" w:hAnsiTheme="minorHAnsi"/>
              <w:noProof/>
              <w:lang w:eastAsia="en-GB"/>
            </w:rPr>
          </w:pPr>
          <w:r w:rsidRPr="00DD7E94">
            <w:fldChar w:fldCharType="begin"/>
          </w:r>
          <w:r w:rsidRPr="00DD7E94">
            <w:instrText xml:space="preserve"> TOC \o "1-3" \h \z \u </w:instrText>
          </w:r>
          <w:r w:rsidRPr="00DD7E94">
            <w:fldChar w:fldCharType="separate"/>
          </w:r>
          <w:hyperlink w:anchor="_Toc226669816" w:history="1">
            <w:r w:rsidRPr="008C2553">
              <w:rPr>
                <w:rStyle w:val="Hyperlink"/>
                <w:noProof/>
              </w:rPr>
              <w:t>Introduction</w:t>
            </w:r>
            <w:r>
              <w:rPr>
                <w:noProof/>
                <w:webHidden/>
              </w:rPr>
              <w:tab/>
            </w:r>
            <w:r>
              <w:rPr>
                <w:noProof/>
                <w:webHidden/>
              </w:rPr>
              <w:fldChar w:fldCharType="begin"/>
            </w:r>
            <w:r>
              <w:rPr>
                <w:noProof/>
                <w:webHidden/>
              </w:rPr>
              <w:instrText xml:space="preserve"> PAGEREF _Toc226669816 \h </w:instrText>
            </w:r>
            <w:r>
              <w:rPr>
                <w:noProof/>
                <w:webHidden/>
              </w:rPr>
            </w:r>
            <w:r>
              <w:rPr>
                <w:noProof/>
                <w:webHidden/>
              </w:rPr>
              <w:fldChar w:fldCharType="separate"/>
            </w:r>
            <w:r>
              <w:rPr>
                <w:noProof/>
                <w:webHidden/>
              </w:rPr>
              <w:t>3</w:t>
            </w:r>
            <w:r>
              <w:rPr>
                <w:noProof/>
                <w:webHidden/>
              </w:rPr>
              <w:fldChar w:fldCharType="end"/>
            </w:r>
          </w:hyperlink>
        </w:p>
        <w:p w14:paraId="1507AEC1" w14:textId="7B37B3E7" w:rsidR="00DD7E94" w:rsidRDefault="00DD7E94">
          <w:pPr>
            <w:pStyle w:val="TOC1"/>
            <w:tabs>
              <w:tab w:val="right" w:leader="dot" w:pos="9016"/>
            </w:tabs>
            <w:rPr>
              <w:rFonts w:asciiTheme="minorHAnsi" w:eastAsiaTheme="minorEastAsia" w:hAnsiTheme="minorHAnsi"/>
              <w:noProof/>
              <w:lang w:eastAsia="en-GB"/>
            </w:rPr>
          </w:pPr>
          <w:hyperlink w:anchor="_Toc226669817" w:history="1">
            <w:r w:rsidRPr="008C2553">
              <w:rPr>
                <w:rStyle w:val="Hyperlink"/>
                <w:rFonts w:ascii="Arial" w:eastAsia="Arial" w:hAnsi="Arial" w:cs="Arial"/>
                <w:bCs/>
                <w:noProof/>
              </w:rPr>
              <w:t>Element 1: Business Idea, Products and Services, Objectives and USP</w:t>
            </w:r>
            <w:r>
              <w:rPr>
                <w:noProof/>
                <w:webHidden/>
              </w:rPr>
              <w:tab/>
            </w:r>
            <w:r>
              <w:rPr>
                <w:noProof/>
                <w:webHidden/>
              </w:rPr>
              <w:fldChar w:fldCharType="begin"/>
            </w:r>
            <w:r>
              <w:rPr>
                <w:noProof/>
                <w:webHidden/>
              </w:rPr>
              <w:instrText xml:space="preserve"> PAGEREF _Toc226669817 \h </w:instrText>
            </w:r>
            <w:r>
              <w:rPr>
                <w:noProof/>
                <w:webHidden/>
              </w:rPr>
            </w:r>
            <w:r>
              <w:rPr>
                <w:noProof/>
                <w:webHidden/>
              </w:rPr>
              <w:fldChar w:fldCharType="separate"/>
            </w:r>
            <w:r>
              <w:rPr>
                <w:noProof/>
                <w:webHidden/>
              </w:rPr>
              <w:t>3</w:t>
            </w:r>
            <w:r>
              <w:rPr>
                <w:noProof/>
                <w:webHidden/>
              </w:rPr>
              <w:fldChar w:fldCharType="end"/>
            </w:r>
          </w:hyperlink>
        </w:p>
        <w:p w14:paraId="62C7E060" w14:textId="79245774" w:rsidR="00DD7E94" w:rsidRDefault="00DD7E94">
          <w:pPr>
            <w:pStyle w:val="TOC2"/>
            <w:tabs>
              <w:tab w:val="right" w:leader="dot" w:pos="9016"/>
            </w:tabs>
            <w:rPr>
              <w:rFonts w:asciiTheme="minorHAnsi" w:eastAsiaTheme="minorEastAsia" w:hAnsiTheme="minorHAnsi"/>
              <w:noProof/>
              <w:lang w:eastAsia="en-GB"/>
            </w:rPr>
          </w:pPr>
          <w:hyperlink w:anchor="_Toc226669818" w:history="1">
            <w:r w:rsidRPr="008C2553">
              <w:rPr>
                <w:rStyle w:val="Hyperlink"/>
                <w:rFonts w:ascii="Arial" w:eastAsia="Arial" w:hAnsi="Arial" w:cs="Arial"/>
                <w:bCs/>
                <w:noProof/>
              </w:rPr>
              <w:t>1.1 Business Idea and Products</w:t>
            </w:r>
            <w:r>
              <w:rPr>
                <w:noProof/>
                <w:webHidden/>
              </w:rPr>
              <w:tab/>
            </w:r>
            <w:r>
              <w:rPr>
                <w:noProof/>
                <w:webHidden/>
              </w:rPr>
              <w:fldChar w:fldCharType="begin"/>
            </w:r>
            <w:r>
              <w:rPr>
                <w:noProof/>
                <w:webHidden/>
              </w:rPr>
              <w:instrText xml:space="preserve"> PAGEREF _Toc226669818 \h </w:instrText>
            </w:r>
            <w:r>
              <w:rPr>
                <w:noProof/>
                <w:webHidden/>
              </w:rPr>
            </w:r>
            <w:r>
              <w:rPr>
                <w:noProof/>
                <w:webHidden/>
              </w:rPr>
              <w:fldChar w:fldCharType="separate"/>
            </w:r>
            <w:r>
              <w:rPr>
                <w:noProof/>
                <w:webHidden/>
              </w:rPr>
              <w:t>3</w:t>
            </w:r>
            <w:r>
              <w:rPr>
                <w:noProof/>
                <w:webHidden/>
              </w:rPr>
              <w:fldChar w:fldCharType="end"/>
            </w:r>
          </w:hyperlink>
        </w:p>
        <w:p w14:paraId="28F7C0E8" w14:textId="4F1D3133" w:rsidR="00DD7E94" w:rsidRDefault="00DD7E94">
          <w:pPr>
            <w:pStyle w:val="TOC2"/>
            <w:tabs>
              <w:tab w:val="right" w:leader="dot" w:pos="9016"/>
            </w:tabs>
            <w:rPr>
              <w:rFonts w:asciiTheme="minorHAnsi" w:eastAsiaTheme="minorEastAsia" w:hAnsiTheme="minorHAnsi"/>
              <w:noProof/>
              <w:lang w:eastAsia="en-GB"/>
            </w:rPr>
          </w:pPr>
          <w:hyperlink w:anchor="_Toc226669819" w:history="1">
            <w:r w:rsidRPr="008C2553">
              <w:rPr>
                <w:rStyle w:val="Hyperlink"/>
                <w:rFonts w:ascii="Arial" w:eastAsia="Arial" w:hAnsi="Arial" w:cs="Arial"/>
                <w:bCs/>
                <w:noProof/>
              </w:rPr>
              <w:t>1.2 Objectives</w:t>
            </w:r>
            <w:r>
              <w:rPr>
                <w:noProof/>
                <w:webHidden/>
              </w:rPr>
              <w:tab/>
            </w:r>
            <w:r>
              <w:rPr>
                <w:noProof/>
                <w:webHidden/>
              </w:rPr>
              <w:fldChar w:fldCharType="begin"/>
            </w:r>
            <w:r>
              <w:rPr>
                <w:noProof/>
                <w:webHidden/>
              </w:rPr>
              <w:instrText xml:space="preserve"> PAGEREF _Toc226669819 \h </w:instrText>
            </w:r>
            <w:r>
              <w:rPr>
                <w:noProof/>
                <w:webHidden/>
              </w:rPr>
            </w:r>
            <w:r>
              <w:rPr>
                <w:noProof/>
                <w:webHidden/>
              </w:rPr>
              <w:fldChar w:fldCharType="separate"/>
            </w:r>
            <w:r>
              <w:rPr>
                <w:noProof/>
                <w:webHidden/>
              </w:rPr>
              <w:t>4</w:t>
            </w:r>
            <w:r>
              <w:rPr>
                <w:noProof/>
                <w:webHidden/>
              </w:rPr>
              <w:fldChar w:fldCharType="end"/>
            </w:r>
          </w:hyperlink>
        </w:p>
        <w:p w14:paraId="43B04BB0" w14:textId="37D1CCE2" w:rsidR="00DD7E94" w:rsidRDefault="00DD7E94">
          <w:pPr>
            <w:pStyle w:val="TOC2"/>
            <w:tabs>
              <w:tab w:val="right" w:leader="dot" w:pos="9016"/>
            </w:tabs>
            <w:rPr>
              <w:rFonts w:asciiTheme="minorHAnsi" w:eastAsiaTheme="minorEastAsia" w:hAnsiTheme="minorHAnsi"/>
              <w:noProof/>
              <w:lang w:eastAsia="en-GB"/>
            </w:rPr>
          </w:pPr>
          <w:hyperlink w:anchor="_Toc226669820" w:history="1">
            <w:r w:rsidRPr="008C2553">
              <w:rPr>
                <w:rStyle w:val="Hyperlink"/>
                <w:rFonts w:ascii="Arial" w:eastAsia="Arial" w:hAnsi="Arial" w:cs="Arial"/>
                <w:bCs/>
                <w:noProof/>
              </w:rPr>
              <w:t>1.3 Unique Selling Point</w:t>
            </w:r>
            <w:r>
              <w:rPr>
                <w:noProof/>
                <w:webHidden/>
              </w:rPr>
              <w:tab/>
            </w:r>
            <w:r>
              <w:rPr>
                <w:noProof/>
                <w:webHidden/>
              </w:rPr>
              <w:fldChar w:fldCharType="begin"/>
            </w:r>
            <w:r>
              <w:rPr>
                <w:noProof/>
                <w:webHidden/>
              </w:rPr>
              <w:instrText xml:space="preserve"> PAGEREF _Toc226669820 \h </w:instrText>
            </w:r>
            <w:r>
              <w:rPr>
                <w:noProof/>
                <w:webHidden/>
              </w:rPr>
            </w:r>
            <w:r>
              <w:rPr>
                <w:noProof/>
                <w:webHidden/>
              </w:rPr>
              <w:fldChar w:fldCharType="separate"/>
            </w:r>
            <w:r>
              <w:rPr>
                <w:noProof/>
                <w:webHidden/>
              </w:rPr>
              <w:t>4</w:t>
            </w:r>
            <w:r>
              <w:rPr>
                <w:noProof/>
                <w:webHidden/>
              </w:rPr>
              <w:fldChar w:fldCharType="end"/>
            </w:r>
          </w:hyperlink>
        </w:p>
        <w:p w14:paraId="5D547CBF" w14:textId="53D12B6E" w:rsidR="00DD7E94" w:rsidRDefault="00DD7E94">
          <w:pPr>
            <w:pStyle w:val="TOC1"/>
            <w:tabs>
              <w:tab w:val="right" w:leader="dot" w:pos="9016"/>
            </w:tabs>
            <w:rPr>
              <w:rFonts w:asciiTheme="minorHAnsi" w:eastAsiaTheme="minorEastAsia" w:hAnsiTheme="minorHAnsi"/>
              <w:noProof/>
              <w:lang w:eastAsia="en-GB"/>
            </w:rPr>
          </w:pPr>
          <w:hyperlink w:anchor="_Toc226669821" w:history="1">
            <w:r w:rsidRPr="008C2553">
              <w:rPr>
                <w:rStyle w:val="Hyperlink"/>
                <w:rFonts w:ascii="Arial" w:eastAsia="Arial" w:hAnsi="Arial" w:cs="Arial"/>
                <w:bCs/>
                <w:noProof/>
              </w:rPr>
              <w:t>Element 2: Business Environment and Competitor Analysis</w:t>
            </w:r>
            <w:r>
              <w:rPr>
                <w:noProof/>
                <w:webHidden/>
              </w:rPr>
              <w:tab/>
            </w:r>
            <w:r>
              <w:rPr>
                <w:noProof/>
                <w:webHidden/>
              </w:rPr>
              <w:fldChar w:fldCharType="begin"/>
            </w:r>
            <w:r>
              <w:rPr>
                <w:noProof/>
                <w:webHidden/>
              </w:rPr>
              <w:instrText xml:space="preserve"> PAGEREF _Toc226669821 \h </w:instrText>
            </w:r>
            <w:r>
              <w:rPr>
                <w:noProof/>
                <w:webHidden/>
              </w:rPr>
            </w:r>
            <w:r>
              <w:rPr>
                <w:noProof/>
                <w:webHidden/>
              </w:rPr>
              <w:fldChar w:fldCharType="separate"/>
            </w:r>
            <w:r>
              <w:rPr>
                <w:noProof/>
                <w:webHidden/>
              </w:rPr>
              <w:t>5</w:t>
            </w:r>
            <w:r>
              <w:rPr>
                <w:noProof/>
                <w:webHidden/>
              </w:rPr>
              <w:fldChar w:fldCharType="end"/>
            </w:r>
          </w:hyperlink>
        </w:p>
        <w:p w14:paraId="0D42951D" w14:textId="23E6460E" w:rsidR="00DD7E94" w:rsidRDefault="00DD7E94">
          <w:pPr>
            <w:pStyle w:val="TOC2"/>
            <w:tabs>
              <w:tab w:val="right" w:leader="dot" w:pos="9016"/>
            </w:tabs>
            <w:rPr>
              <w:rFonts w:asciiTheme="minorHAnsi" w:eastAsiaTheme="minorEastAsia" w:hAnsiTheme="minorHAnsi"/>
              <w:noProof/>
              <w:lang w:eastAsia="en-GB"/>
            </w:rPr>
          </w:pPr>
          <w:hyperlink w:anchor="_Toc226669822" w:history="1">
            <w:r w:rsidRPr="008C2553">
              <w:rPr>
                <w:rStyle w:val="Hyperlink"/>
                <w:rFonts w:ascii="Arial" w:eastAsia="Arial" w:hAnsi="Arial" w:cs="Arial"/>
                <w:bCs/>
                <w:noProof/>
              </w:rPr>
              <w:t>2.1 PESTEL Analysis</w:t>
            </w:r>
            <w:r>
              <w:rPr>
                <w:noProof/>
                <w:webHidden/>
              </w:rPr>
              <w:tab/>
            </w:r>
            <w:r>
              <w:rPr>
                <w:noProof/>
                <w:webHidden/>
              </w:rPr>
              <w:fldChar w:fldCharType="begin"/>
            </w:r>
            <w:r>
              <w:rPr>
                <w:noProof/>
                <w:webHidden/>
              </w:rPr>
              <w:instrText xml:space="preserve"> PAGEREF _Toc226669822 \h </w:instrText>
            </w:r>
            <w:r>
              <w:rPr>
                <w:noProof/>
                <w:webHidden/>
              </w:rPr>
            </w:r>
            <w:r>
              <w:rPr>
                <w:noProof/>
                <w:webHidden/>
              </w:rPr>
              <w:fldChar w:fldCharType="separate"/>
            </w:r>
            <w:r>
              <w:rPr>
                <w:noProof/>
                <w:webHidden/>
              </w:rPr>
              <w:t>5</w:t>
            </w:r>
            <w:r>
              <w:rPr>
                <w:noProof/>
                <w:webHidden/>
              </w:rPr>
              <w:fldChar w:fldCharType="end"/>
            </w:r>
          </w:hyperlink>
        </w:p>
        <w:p w14:paraId="4E5F3853" w14:textId="11394A77" w:rsidR="00DD7E94" w:rsidRDefault="00DD7E94">
          <w:pPr>
            <w:pStyle w:val="TOC2"/>
            <w:tabs>
              <w:tab w:val="right" w:leader="dot" w:pos="9016"/>
            </w:tabs>
            <w:rPr>
              <w:rFonts w:asciiTheme="minorHAnsi" w:eastAsiaTheme="minorEastAsia" w:hAnsiTheme="minorHAnsi"/>
              <w:noProof/>
              <w:lang w:eastAsia="en-GB"/>
            </w:rPr>
          </w:pPr>
          <w:hyperlink w:anchor="_Toc226669823" w:history="1">
            <w:r w:rsidRPr="008C2553">
              <w:rPr>
                <w:rStyle w:val="Hyperlink"/>
                <w:rFonts w:ascii="Arial" w:eastAsia="Arial" w:hAnsi="Arial" w:cs="Arial"/>
                <w:bCs/>
                <w:noProof/>
              </w:rPr>
              <w:t>2.2 SWOT Analysis</w:t>
            </w:r>
            <w:r>
              <w:rPr>
                <w:noProof/>
                <w:webHidden/>
              </w:rPr>
              <w:tab/>
            </w:r>
            <w:r>
              <w:rPr>
                <w:noProof/>
                <w:webHidden/>
              </w:rPr>
              <w:fldChar w:fldCharType="begin"/>
            </w:r>
            <w:r>
              <w:rPr>
                <w:noProof/>
                <w:webHidden/>
              </w:rPr>
              <w:instrText xml:space="preserve"> PAGEREF _Toc226669823 \h </w:instrText>
            </w:r>
            <w:r>
              <w:rPr>
                <w:noProof/>
                <w:webHidden/>
              </w:rPr>
            </w:r>
            <w:r>
              <w:rPr>
                <w:noProof/>
                <w:webHidden/>
              </w:rPr>
              <w:fldChar w:fldCharType="separate"/>
            </w:r>
            <w:r>
              <w:rPr>
                <w:noProof/>
                <w:webHidden/>
              </w:rPr>
              <w:t>7</w:t>
            </w:r>
            <w:r>
              <w:rPr>
                <w:noProof/>
                <w:webHidden/>
              </w:rPr>
              <w:fldChar w:fldCharType="end"/>
            </w:r>
          </w:hyperlink>
        </w:p>
        <w:p w14:paraId="3600AA3C" w14:textId="060F27CA" w:rsidR="00DD7E94" w:rsidRDefault="00DD7E94">
          <w:pPr>
            <w:pStyle w:val="TOC1"/>
            <w:tabs>
              <w:tab w:val="right" w:leader="dot" w:pos="9016"/>
            </w:tabs>
            <w:rPr>
              <w:rFonts w:asciiTheme="minorHAnsi" w:eastAsiaTheme="minorEastAsia" w:hAnsiTheme="minorHAnsi"/>
              <w:noProof/>
              <w:lang w:eastAsia="en-GB"/>
            </w:rPr>
          </w:pPr>
          <w:hyperlink w:anchor="_Toc226669824" w:history="1">
            <w:r w:rsidRPr="008C2553">
              <w:rPr>
                <w:rStyle w:val="Hyperlink"/>
                <w:rFonts w:ascii="Arial" w:eastAsia="Arial" w:hAnsi="Arial" w:cs="Arial"/>
                <w:bCs/>
                <w:noProof/>
              </w:rPr>
              <w:t>Element 3: 4Ps, Market Segmentation and Marketing Strategies</w:t>
            </w:r>
            <w:r>
              <w:rPr>
                <w:noProof/>
                <w:webHidden/>
              </w:rPr>
              <w:tab/>
            </w:r>
            <w:r>
              <w:rPr>
                <w:noProof/>
                <w:webHidden/>
              </w:rPr>
              <w:fldChar w:fldCharType="begin"/>
            </w:r>
            <w:r>
              <w:rPr>
                <w:noProof/>
                <w:webHidden/>
              </w:rPr>
              <w:instrText xml:space="preserve"> PAGEREF _Toc226669824 \h </w:instrText>
            </w:r>
            <w:r>
              <w:rPr>
                <w:noProof/>
                <w:webHidden/>
              </w:rPr>
            </w:r>
            <w:r>
              <w:rPr>
                <w:noProof/>
                <w:webHidden/>
              </w:rPr>
              <w:fldChar w:fldCharType="separate"/>
            </w:r>
            <w:r>
              <w:rPr>
                <w:noProof/>
                <w:webHidden/>
              </w:rPr>
              <w:t>8</w:t>
            </w:r>
            <w:r>
              <w:rPr>
                <w:noProof/>
                <w:webHidden/>
              </w:rPr>
              <w:fldChar w:fldCharType="end"/>
            </w:r>
          </w:hyperlink>
        </w:p>
        <w:p w14:paraId="528F90B8" w14:textId="6721EB62" w:rsidR="00DD7E94" w:rsidRDefault="00DD7E94">
          <w:pPr>
            <w:pStyle w:val="TOC2"/>
            <w:tabs>
              <w:tab w:val="right" w:leader="dot" w:pos="9016"/>
            </w:tabs>
            <w:rPr>
              <w:rFonts w:asciiTheme="minorHAnsi" w:eastAsiaTheme="minorEastAsia" w:hAnsiTheme="minorHAnsi"/>
              <w:noProof/>
              <w:lang w:eastAsia="en-GB"/>
            </w:rPr>
          </w:pPr>
          <w:hyperlink w:anchor="_Toc226669825" w:history="1">
            <w:r w:rsidRPr="008C2553">
              <w:rPr>
                <w:rStyle w:val="Hyperlink"/>
                <w:rFonts w:ascii="Arial" w:eastAsia="Arial" w:hAnsi="Arial" w:cs="Arial"/>
                <w:bCs/>
                <w:noProof/>
              </w:rPr>
              <w:t>3.1 Market Segmentation and Target Customers</w:t>
            </w:r>
            <w:r>
              <w:rPr>
                <w:noProof/>
                <w:webHidden/>
              </w:rPr>
              <w:tab/>
            </w:r>
            <w:r>
              <w:rPr>
                <w:noProof/>
                <w:webHidden/>
              </w:rPr>
              <w:fldChar w:fldCharType="begin"/>
            </w:r>
            <w:r>
              <w:rPr>
                <w:noProof/>
                <w:webHidden/>
              </w:rPr>
              <w:instrText xml:space="preserve"> PAGEREF _Toc226669825 \h </w:instrText>
            </w:r>
            <w:r>
              <w:rPr>
                <w:noProof/>
                <w:webHidden/>
              </w:rPr>
            </w:r>
            <w:r>
              <w:rPr>
                <w:noProof/>
                <w:webHidden/>
              </w:rPr>
              <w:fldChar w:fldCharType="separate"/>
            </w:r>
            <w:r>
              <w:rPr>
                <w:noProof/>
                <w:webHidden/>
              </w:rPr>
              <w:t>8</w:t>
            </w:r>
            <w:r>
              <w:rPr>
                <w:noProof/>
                <w:webHidden/>
              </w:rPr>
              <w:fldChar w:fldCharType="end"/>
            </w:r>
          </w:hyperlink>
        </w:p>
        <w:p w14:paraId="68AFC346" w14:textId="65B73026" w:rsidR="00DD7E94" w:rsidRDefault="00DD7E94">
          <w:pPr>
            <w:pStyle w:val="TOC2"/>
            <w:tabs>
              <w:tab w:val="right" w:leader="dot" w:pos="9016"/>
            </w:tabs>
            <w:rPr>
              <w:rFonts w:asciiTheme="minorHAnsi" w:eastAsiaTheme="minorEastAsia" w:hAnsiTheme="minorHAnsi"/>
              <w:noProof/>
              <w:lang w:eastAsia="en-GB"/>
            </w:rPr>
          </w:pPr>
          <w:hyperlink w:anchor="_Toc226669826" w:history="1">
            <w:r w:rsidRPr="008C2553">
              <w:rPr>
                <w:rStyle w:val="Hyperlink"/>
                <w:rFonts w:ascii="Arial" w:eastAsia="Arial" w:hAnsi="Arial" w:cs="Arial"/>
                <w:bCs/>
                <w:noProof/>
              </w:rPr>
              <w:t>3.2 The 4Ps of Marketing</w:t>
            </w:r>
            <w:r>
              <w:rPr>
                <w:noProof/>
                <w:webHidden/>
              </w:rPr>
              <w:tab/>
            </w:r>
            <w:r>
              <w:rPr>
                <w:noProof/>
                <w:webHidden/>
              </w:rPr>
              <w:fldChar w:fldCharType="begin"/>
            </w:r>
            <w:r>
              <w:rPr>
                <w:noProof/>
                <w:webHidden/>
              </w:rPr>
              <w:instrText xml:space="preserve"> PAGEREF _Toc226669826 \h </w:instrText>
            </w:r>
            <w:r>
              <w:rPr>
                <w:noProof/>
                <w:webHidden/>
              </w:rPr>
            </w:r>
            <w:r>
              <w:rPr>
                <w:noProof/>
                <w:webHidden/>
              </w:rPr>
              <w:fldChar w:fldCharType="separate"/>
            </w:r>
            <w:r>
              <w:rPr>
                <w:noProof/>
                <w:webHidden/>
              </w:rPr>
              <w:t>9</w:t>
            </w:r>
            <w:r>
              <w:rPr>
                <w:noProof/>
                <w:webHidden/>
              </w:rPr>
              <w:fldChar w:fldCharType="end"/>
            </w:r>
          </w:hyperlink>
        </w:p>
        <w:p w14:paraId="39E34BDE" w14:textId="201B9456" w:rsidR="00DD7E94" w:rsidRDefault="00DD7E94">
          <w:pPr>
            <w:pStyle w:val="TOC2"/>
            <w:tabs>
              <w:tab w:val="right" w:leader="dot" w:pos="9016"/>
            </w:tabs>
            <w:rPr>
              <w:rFonts w:asciiTheme="minorHAnsi" w:eastAsiaTheme="minorEastAsia" w:hAnsiTheme="minorHAnsi"/>
              <w:noProof/>
              <w:lang w:eastAsia="en-GB"/>
            </w:rPr>
          </w:pPr>
          <w:hyperlink w:anchor="_Toc226669827" w:history="1">
            <w:r w:rsidRPr="008C2553">
              <w:rPr>
                <w:rStyle w:val="Hyperlink"/>
                <w:rFonts w:ascii="Arial" w:eastAsia="Arial" w:hAnsi="Arial" w:cs="Arial"/>
                <w:bCs/>
                <w:noProof/>
              </w:rPr>
              <w:t>3.3 Online Marketing Strategies</w:t>
            </w:r>
            <w:r>
              <w:rPr>
                <w:noProof/>
                <w:webHidden/>
              </w:rPr>
              <w:tab/>
            </w:r>
            <w:r>
              <w:rPr>
                <w:noProof/>
                <w:webHidden/>
              </w:rPr>
              <w:fldChar w:fldCharType="begin"/>
            </w:r>
            <w:r>
              <w:rPr>
                <w:noProof/>
                <w:webHidden/>
              </w:rPr>
              <w:instrText xml:space="preserve"> PAGEREF _Toc226669827 \h </w:instrText>
            </w:r>
            <w:r>
              <w:rPr>
                <w:noProof/>
                <w:webHidden/>
              </w:rPr>
            </w:r>
            <w:r>
              <w:rPr>
                <w:noProof/>
                <w:webHidden/>
              </w:rPr>
              <w:fldChar w:fldCharType="separate"/>
            </w:r>
            <w:r>
              <w:rPr>
                <w:noProof/>
                <w:webHidden/>
              </w:rPr>
              <w:t>9</w:t>
            </w:r>
            <w:r>
              <w:rPr>
                <w:noProof/>
                <w:webHidden/>
              </w:rPr>
              <w:fldChar w:fldCharType="end"/>
            </w:r>
          </w:hyperlink>
        </w:p>
        <w:p w14:paraId="5FE24BA7" w14:textId="3EBCC9D8" w:rsidR="00DD7E94" w:rsidRDefault="00DD7E94">
          <w:pPr>
            <w:pStyle w:val="TOC1"/>
            <w:tabs>
              <w:tab w:val="right" w:leader="dot" w:pos="9016"/>
            </w:tabs>
            <w:rPr>
              <w:rFonts w:asciiTheme="minorHAnsi" w:eastAsiaTheme="minorEastAsia" w:hAnsiTheme="minorHAnsi"/>
              <w:noProof/>
              <w:lang w:eastAsia="en-GB"/>
            </w:rPr>
          </w:pPr>
          <w:hyperlink w:anchor="_Toc226669828" w:history="1">
            <w:r w:rsidRPr="008C2553">
              <w:rPr>
                <w:rStyle w:val="Hyperlink"/>
                <w:rFonts w:ascii="Arial" w:eastAsia="Arial" w:hAnsi="Arial" w:cs="Arial"/>
                <w:bCs/>
                <w:noProof/>
              </w:rPr>
              <w:t>Element 4: Legal, Management, and Financial Planning</w:t>
            </w:r>
            <w:r>
              <w:rPr>
                <w:noProof/>
                <w:webHidden/>
              </w:rPr>
              <w:tab/>
            </w:r>
            <w:r>
              <w:rPr>
                <w:noProof/>
                <w:webHidden/>
              </w:rPr>
              <w:fldChar w:fldCharType="begin"/>
            </w:r>
            <w:r>
              <w:rPr>
                <w:noProof/>
                <w:webHidden/>
              </w:rPr>
              <w:instrText xml:space="preserve"> PAGEREF _Toc226669828 \h </w:instrText>
            </w:r>
            <w:r>
              <w:rPr>
                <w:noProof/>
                <w:webHidden/>
              </w:rPr>
            </w:r>
            <w:r>
              <w:rPr>
                <w:noProof/>
                <w:webHidden/>
              </w:rPr>
              <w:fldChar w:fldCharType="separate"/>
            </w:r>
            <w:r>
              <w:rPr>
                <w:noProof/>
                <w:webHidden/>
              </w:rPr>
              <w:t>10</w:t>
            </w:r>
            <w:r>
              <w:rPr>
                <w:noProof/>
                <w:webHidden/>
              </w:rPr>
              <w:fldChar w:fldCharType="end"/>
            </w:r>
          </w:hyperlink>
        </w:p>
        <w:p w14:paraId="077D34DE" w14:textId="475B7511" w:rsidR="00DD7E94" w:rsidRDefault="00DD7E94">
          <w:pPr>
            <w:pStyle w:val="TOC2"/>
            <w:tabs>
              <w:tab w:val="right" w:leader="dot" w:pos="9016"/>
            </w:tabs>
            <w:rPr>
              <w:rFonts w:asciiTheme="minorHAnsi" w:eastAsiaTheme="minorEastAsia" w:hAnsiTheme="minorHAnsi"/>
              <w:noProof/>
              <w:lang w:eastAsia="en-GB"/>
            </w:rPr>
          </w:pPr>
          <w:hyperlink w:anchor="_Toc226669829" w:history="1">
            <w:r w:rsidRPr="008C2553">
              <w:rPr>
                <w:rStyle w:val="Hyperlink"/>
                <w:rFonts w:ascii="Arial" w:eastAsia="Arial" w:hAnsi="Arial" w:cs="Arial"/>
                <w:bCs/>
                <w:noProof/>
              </w:rPr>
              <w:t>4.1 UK Legal Business Structure Definitions</w:t>
            </w:r>
            <w:r>
              <w:rPr>
                <w:noProof/>
                <w:webHidden/>
              </w:rPr>
              <w:tab/>
            </w:r>
            <w:r>
              <w:rPr>
                <w:noProof/>
                <w:webHidden/>
              </w:rPr>
              <w:fldChar w:fldCharType="begin"/>
            </w:r>
            <w:r>
              <w:rPr>
                <w:noProof/>
                <w:webHidden/>
              </w:rPr>
              <w:instrText xml:space="preserve"> PAGEREF _Toc226669829 \h </w:instrText>
            </w:r>
            <w:r>
              <w:rPr>
                <w:noProof/>
                <w:webHidden/>
              </w:rPr>
            </w:r>
            <w:r>
              <w:rPr>
                <w:noProof/>
                <w:webHidden/>
              </w:rPr>
              <w:fldChar w:fldCharType="separate"/>
            </w:r>
            <w:r>
              <w:rPr>
                <w:noProof/>
                <w:webHidden/>
              </w:rPr>
              <w:t>10</w:t>
            </w:r>
            <w:r>
              <w:rPr>
                <w:noProof/>
                <w:webHidden/>
              </w:rPr>
              <w:fldChar w:fldCharType="end"/>
            </w:r>
          </w:hyperlink>
        </w:p>
        <w:p w14:paraId="6961CB0A" w14:textId="0DE86DED" w:rsidR="00DD7E94" w:rsidRDefault="00DD7E94">
          <w:pPr>
            <w:pStyle w:val="TOC2"/>
            <w:tabs>
              <w:tab w:val="right" w:leader="dot" w:pos="9016"/>
            </w:tabs>
            <w:rPr>
              <w:rFonts w:asciiTheme="minorHAnsi" w:eastAsiaTheme="minorEastAsia" w:hAnsiTheme="minorHAnsi"/>
              <w:noProof/>
              <w:lang w:eastAsia="en-GB"/>
            </w:rPr>
          </w:pPr>
          <w:hyperlink w:anchor="_Toc226669830" w:history="1">
            <w:r w:rsidRPr="008C2553">
              <w:rPr>
                <w:rStyle w:val="Hyperlink"/>
                <w:rFonts w:ascii="Arial" w:eastAsia="Arial" w:hAnsi="Arial" w:cs="Arial"/>
                <w:bCs/>
                <w:noProof/>
              </w:rPr>
              <w:t>4.2 Chosen Structure and Justification</w:t>
            </w:r>
            <w:r>
              <w:rPr>
                <w:noProof/>
                <w:webHidden/>
              </w:rPr>
              <w:tab/>
            </w:r>
            <w:r>
              <w:rPr>
                <w:noProof/>
                <w:webHidden/>
              </w:rPr>
              <w:fldChar w:fldCharType="begin"/>
            </w:r>
            <w:r>
              <w:rPr>
                <w:noProof/>
                <w:webHidden/>
              </w:rPr>
              <w:instrText xml:space="preserve"> PAGEREF _Toc226669830 \h </w:instrText>
            </w:r>
            <w:r>
              <w:rPr>
                <w:noProof/>
                <w:webHidden/>
              </w:rPr>
            </w:r>
            <w:r>
              <w:rPr>
                <w:noProof/>
                <w:webHidden/>
              </w:rPr>
              <w:fldChar w:fldCharType="separate"/>
            </w:r>
            <w:r>
              <w:rPr>
                <w:noProof/>
                <w:webHidden/>
              </w:rPr>
              <w:t>11</w:t>
            </w:r>
            <w:r>
              <w:rPr>
                <w:noProof/>
                <w:webHidden/>
              </w:rPr>
              <w:fldChar w:fldCharType="end"/>
            </w:r>
          </w:hyperlink>
        </w:p>
        <w:p w14:paraId="67B726C8" w14:textId="795D395E" w:rsidR="00DD7E94" w:rsidRDefault="00DD7E94">
          <w:pPr>
            <w:pStyle w:val="TOC2"/>
            <w:tabs>
              <w:tab w:val="right" w:leader="dot" w:pos="9016"/>
            </w:tabs>
            <w:rPr>
              <w:rFonts w:asciiTheme="minorHAnsi" w:eastAsiaTheme="minorEastAsia" w:hAnsiTheme="minorHAnsi"/>
              <w:noProof/>
              <w:lang w:eastAsia="en-GB"/>
            </w:rPr>
          </w:pPr>
          <w:hyperlink w:anchor="_Toc226669831" w:history="1">
            <w:r w:rsidRPr="008C2553">
              <w:rPr>
                <w:rStyle w:val="Hyperlink"/>
                <w:rFonts w:ascii="Arial" w:eastAsia="Arial" w:hAnsi="Arial" w:cs="Arial"/>
                <w:bCs/>
                <w:noProof/>
              </w:rPr>
              <w:t>4.3 Organisational Structure</w:t>
            </w:r>
            <w:r>
              <w:rPr>
                <w:noProof/>
                <w:webHidden/>
              </w:rPr>
              <w:tab/>
            </w:r>
            <w:r>
              <w:rPr>
                <w:noProof/>
                <w:webHidden/>
              </w:rPr>
              <w:fldChar w:fldCharType="begin"/>
            </w:r>
            <w:r>
              <w:rPr>
                <w:noProof/>
                <w:webHidden/>
              </w:rPr>
              <w:instrText xml:space="preserve"> PAGEREF _Toc226669831 \h </w:instrText>
            </w:r>
            <w:r>
              <w:rPr>
                <w:noProof/>
                <w:webHidden/>
              </w:rPr>
            </w:r>
            <w:r>
              <w:rPr>
                <w:noProof/>
                <w:webHidden/>
              </w:rPr>
              <w:fldChar w:fldCharType="separate"/>
            </w:r>
            <w:r>
              <w:rPr>
                <w:noProof/>
                <w:webHidden/>
              </w:rPr>
              <w:t>11</w:t>
            </w:r>
            <w:r>
              <w:rPr>
                <w:noProof/>
                <w:webHidden/>
              </w:rPr>
              <w:fldChar w:fldCharType="end"/>
            </w:r>
          </w:hyperlink>
        </w:p>
        <w:p w14:paraId="7857B2ED" w14:textId="1ABEAD00" w:rsidR="00DD7E94" w:rsidRDefault="00DD7E94">
          <w:pPr>
            <w:pStyle w:val="TOC2"/>
            <w:tabs>
              <w:tab w:val="right" w:leader="dot" w:pos="9016"/>
            </w:tabs>
            <w:rPr>
              <w:rFonts w:asciiTheme="minorHAnsi" w:eastAsiaTheme="minorEastAsia" w:hAnsiTheme="minorHAnsi"/>
              <w:noProof/>
              <w:lang w:eastAsia="en-GB"/>
            </w:rPr>
          </w:pPr>
          <w:hyperlink w:anchor="_Toc226669832" w:history="1">
            <w:r w:rsidRPr="008C2553">
              <w:rPr>
                <w:rStyle w:val="Hyperlink"/>
                <w:rFonts w:ascii="Arial" w:eastAsia="Arial" w:hAnsi="Arial" w:cs="Arial"/>
                <w:bCs/>
                <w:noProof/>
              </w:rPr>
              <w:t>4.4 Start-Up Funding</w:t>
            </w:r>
            <w:r>
              <w:rPr>
                <w:noProof/>
                <w:webHidden/>
              </w:rPr>
              <w:tab/>
            </w:r>
            <w:r>
              <w:rPr>
                <w:noProof/>
                <w:webHidden/>
              </w:rPr>
              <w:fldChar w:fldCharType="begin"/>
            </w:r>
            <w:r>
              <w:rPr>
                <w:noProof/>
                <w:webHidden/>
              </w:rPr>
              <w:instrText xml:space="preserve"> PAGEREF _Toc226669832 \h </w:instrText>
            </w:r>
            <w:r>
              <w:rPr>
                <w:noProof/>
                <w:webHidden/>
              </w:rPr>
            </w:r>
            <w:r>
              <w:rPr>
                <w:noProof/>
                <w:webHidden/>
              </w:rPr>
              <w:fldChar w:fldCharType="separate"/>
            </w:r>
            <w:r>
              <w:rPr>
                <w:noProof/>
                <w:webHidden/>
              </w:rPr>
              <w:t>11</w:t>
            </w:r>
            <w:r>
              <w:rPr>
                <w:noProof/>
                <w:webHidden/>
              </w:rPr>
              <w:fldChar w:fldCharType="end"/>
            </w:r>
          </w:hyperlink>
        </w:p>
        <w:p w14:paraId="577819FE" w14:textId="2BED7CC6" w:rsidR="00DD7E94" w:rsidRDefault="00DD7E94">
          <w:pPr>
            <w:pStyle w:val="TOC1"/>
            <w:tabs>
              <w:tab w:val="right" w:leader="dot" w:pos="9016"/>
            </w:tabs>
            <w:rPr>
              <w:rFonts w:asciiTheme="minorHAnsi" w:eastAsiaTheme="minorEastAsia" w:hAnsiTheme="minorHAnsi"/>
              <w:noProof/>
              <w:lang w:eastAsia="en-GB"/>
            </w:rPr>
          </w:pPr>
          <w:hyperlink w:anchor="_Toc226669833" w:history="1">
            <w:r w:rsidRPr="008C2553">
              <w:rPr>
                <w:rStyle w:val="Hyperlink"/>
                <w:noProof/>
              </w:rPr>
              <w:t>Conclusion</w:t>
            </w:r>
            <w:r>
              <w:rPr>
                <w:noProof/>
                <w:webHidden/>
              </w:rPr>
              <w:tab/>
            </w:r>
            <w:r>
              <w:rPr>
                <w:noProof/>
                <w:webHidden/>
              </w:rPr>
              <w:fldChar w:fldCharType="begin"/>
            </w:r>
            <w:r>
              <w:rPr>
                <w:noProof/>
                <w:webHidden/>
              </w:rPr>
              <w:instrText xml:space="preserve"> PAGEREF _Toc226669833 \h </w:instrText>
            </w:r>
            <w:r>
              <w:rPr>
                <w:noProof/>
                <w:webHidden/>
              </w:rPr>
            </w:r>
            <w:r>
              <w:rPr>
                <w:noProof/>
                <w:webHidden/>
              </w:rPr>
              <w:fldChar w:fldCharType="separate"/>
            </w:r>
            <w:r>
              <w:rPr>
                <w:noProof/>
                <w:webHidden/>
              </w:rPr>
              <w:t>12</w:t>
            </w:r>
            <w:r>
              <w:rPr>
                <w:noProof/>
                <w:webHidden/>
              </w:rPr>
              <w:fldChar w:fldCharType="end"/>
            </w:r>
          </w:hyperlink>
        </w:p>
        <w:p w14:paraId="358A14B1" w14:textId="1F996186" w:rsidR="00DD7E94" w:rsidRDefault="00DD7E94">
          <w:pPr>
            <w:pStyle w:val="TOC1"/>
            <w:tabs>
              <w:tab w:val="right" w:leader="dot" w:pos="9016"/>
            </w:tabs>
            <w:rPr>
              <w:rFonts w:asciiTheme="minorHAnsi" w:eastAsiaTheme="minorEastAsia" w:hAnsiTheme="minorHAnsi"/>
              <w:noProof/>
              <w:lang w:eastAsia="en-GB"/>
            </w:rPr>
          </w:pPr>
          <w:hyperlink w:anchor="_Toc226669834" w:history="1">
            <w:r w:rsidRPr="008C2553">
              <w:rPr>
                <w:rStyle w:val="Hyperlink"/>
                <w:rFonts w:ascii="Arial" w:eastAsia="Arial" w:hAnsi="Arial" w:cs="Arial"/>
                <w:bCs/>
                <w:noProof/>
              </w:rPr>
              <w:t>References</w:t>
            </w:r>
            <w:r>
              <w:rPr>
                <w:noProof/>
                <w:webHidden/>
              </w:rPr>
              <w:tab/>
            </w:r>
            <w:r>
              <w:rPr>
                <w:noProof/>
                <w:webHidden/>
              </w:rPr>
              <w:fldChar w:fldCharType="begin"/>
            </w:r>
            <w:r>
              <w:rPr>
                <w:noProof/>
                <w:webHidden/>
              </w:rPr>
              <w:instrText xml:space="preserve"> PAGEREF _Toc226669834 \h </w:instrText>
            </w:r>
            <w:r>
              <w:rPr>
                <w:noProof/>
                <w:webHidden/>
              </w:rPr>
            </w:r>
            <w:r>
              <w:rPr>
                <w:noProof/>
                <w:webHidden/>
              </w:rPr>
              <w:fldChar w:fldCharType="separate"/>
            </w:r>
            <w:r>
              <w:rPr>
                <w:noProof/>
                <w:webHidden/>
              </w:rPr>
              <w:t>13</w:t>
            </w:r>
            <w:r>
              <w:rPr>
                <w:noProof/>
                <w:webHidden/>
              </w:rPr>
              <w:fldChar w:fldCharType="end"/>
            </w:r>
          </w:hyperlink>
        </w:p>
        <w:p w14:paraId="012A51D4" w14:textId="0D48A7F7" w:rsidR="00DD7E94" w:rsidRPr="00DD7E94" w:rsidRDefault="00DD7E94">
          <w:r w:rsidRPr="00DD7E94">
            <w:rPr>
              <w:b/>
              <w:bCs/>
              <w:noProof/>
            </w:rPr>
            <w:fldChar w:fldCharType="end"/>
          </w:r>
        </w:p>
      </w:sdtContent>
    </w:sdt>
    <w:p w14:paraId="7A68AC9A" w14:textId="77777777" w:rsidR="00DD7E94" w:rsidRPr="00DD7E94" w:rsidRDefault="00DD7E94" w:rsidP="00775EEA">
      <w:pPr>
        <w:jc w:val="center"/>
      </w:pPr>
    </w:p>
    <w:p w14:paraId="749C62F6" w14:textId="77777777" w:rsidR="00DD7E94" w:rsidRPr="00DD7E94" w:rsidRDefault="00DD7E94" w:rsidP="00775EEA">
      <w:pPr>
        <w:jc w:val="center"/>
      </w:pPr>
    </w:p>
    <w:p w14:paraId="00D29496" w14:textId="77777777" w:rsidR="00DD7E94" w:rsidRPr="00DD7E94" w:rsidRDefault="00DD7E94" w:rsidP="00775EEA">
      <w:pPr>
        <w:jc w:val="center"/>
      </w:pPr>
    </w:p>
    <w:p w14:paraId="3A890E84" w14:textId="77777777" w:rsidR="00DD7E94" w:rsidRPr="00DD7E94" w:rsidRDefault="00DD7E94" w:rsidP="00775EEA">
      <w:pPr>
        <w:jc w:val="center"/>
      </w:pPr>
    </w:p>
    <w:p w14:paraId="61E28AB7" w14:textId="77777777" w:rsidR="00DD7E94" w:rsidRPr="00DD7E94" w:rsidRDefault="00DD7E94" w:rsidP="00775EEA">
      <w:pPr>
        <w:jc w:val="center"/>
      </w:pPr>
    </w:p>
    <w:p w14:paraId="064607CA" w14:textId="77777777" w:rsidR="00DD7E94" w:rsidRPr="00DD7E94" w:rsidRDefault="00DD7E94" w:rsidP="00775EEA">
      <w:pPr>
        <w:jc w:val="center"/>
      </w:pPr>
    </w:p>
    <w:p w14:paraId="33C06098" w14:textId="77777777" w:rsidR="00DD7E94" w:rsidRPr="00DD7E94" w:rsidRDefault="00DD7E94" w:rsidP="00775EEA">
      <w:pPr>
        <w:jc w:val="center"/>
      </w:pPr>
    </w:p>
    <w:p w14:paraId="09C0AEE7" w14:textId="77777777" w:rsidR="00DD7E94" w:rsidRPr="00DD7E94" w:rsidRDefault="00DD7E94" w:rsidP="00775EEA">
      <w:pPr>
        <w:jc w:val="center"/>
      </w:pPr>
    </w:p>
    <w:p w14:paraId="39F497AD" w14:textId="77777777" w:rsidR="00DD7E94" w:rsidRPr="00DD7E94" w:rsidRDefault="00DD7E94" w:rsidP="00775EEA">
      <w:pPr>
        <w:jc w:val="center"/>
      </w:pPr>
    </w:p>
    <w:p w14:paraId="05D5BBA5" w14:textId="77777777" w:rsidR="00DD7E94" w:rsidRPr="00DD7E94" w:rsidRDefault="00DD7E94" w:rsidP="00775EEA">
      <w:pPr>
        <w:jc w:val="center"/>
      </w:pPr>
    </w:p>
    <w:p w14:paraId="2E7DC90D" w14:textId="77777777" w:rsidR="00DD7E94" w:rsidRPr="00DD7E94" w:rsidRDefault="00DD7E94" w:rsidP="00DD7E94">
      <w:pPr>
        <w:pStyle w:val="Heading1"/>
        <w:rPr>
          <w:color w:val="auto"/>
        </w:rPr>
      </w:pPr>
      <w:bookmarkStart w:id="0" w:name="_Toc226669816"/>
      <w:r w:rsidRPr="00DD7E94">
        <w:rPr>
          <w:color w:val="auto"/>
        </w:rPr>
        <w:t>Introduction</w:t>
      </w:r>
      <w:bookmarkEnd w:id="0"/>
    </w:p>
    <w:p w14:paraId="2A96BE62" w14:textId="77777777" w:rsidR="00DD7E94" w:rsidRPr="00DD7E94" w:rsidRDefault="00DD7E94" w:rsidP="00DD7E94">
      <w:pPr>
        <w:tabs>
          <w:tab w:val="left" w:pos="839"/>
        </w:tabs>
        <w:spacing w:line="360" w:lineRule="auto"/>
      </w:pPr>
      <w:r w:rsidRPr="00DD7E94">
        <w:t>The household cleaning market of the UK is considered environmentally friendly and estimated to be USD 678.72 million in 2024 and USD 1.88 billion in 2033 with twelve per cent compound annual growth rate (Straits Research, 2024). The popularity of sustainable cleaning products has soared rapidly, with searches of eco-friendly cleaning products up by 810 per cent in 2014-2024, and searches of sustainable brands up by 1,469 per cent in the same period (Banc Media, 2024). This is a business plan of a private limited business of EcoNest UK Ltd, a business that provides UK households with a subscription based service of environmentally friendly cleaning products. The plan uses PESTEL and SWOT analyses to analyse the external business environment, internal business environment, uses the 4Ps of marketing to formulate the commercial strategy, identifies the target market segments, and determines the legal, organisational and financial basis to support a credible and viable market entry (Zion Market Research, 2024; Future Data Stats, 2024).</w:t>
      </w:r>
    </w:p>
    <w:p w14:paraId="1AB1B0BA" w14:textId="77777777" w:rsidR="00DD7E94" w:rsidRPr="00DD7E94" w:rsidRDefault="00DD7E94" w:rsidP="00DD7E94">
      <w:pPr>
        <w:pStyle w:val="Heading1"/>
        <w:rPr>
          <w:color w:val="auto"/>
        </w:rPr>
      </w:pPr>
      <w:bookmarkStart w:id="1" w:name="_Toc226669817"/>
      <w:r w:rsidRPr="00DD7E94">
        <w:rPr>
          <w:rFonts w:ascii="Arial" w:eastAsia="Arial" w:hAnsi="Arial" w:cs="Arial"/>
          <w:bCs/>
          <w:color w:val="auto"/>
          <w:sz w:val="30"/>
          <w:szCs w:val="30"/>
        </w:rPr>
        <w:t>Element 1: Business Idea, Products and Services, Objectives and USP</w:t>
      </w:r>
      <w:bookmarkEnd w:id="1"/>
    </w:p>
    <w:p w14:paraId="2DD590FC" w14:textId="77777777" w:rsidR="00DD7E94" w:rsidRPr="00DD7E94" w:rsidRDefault="00DD7E94" w:rsidP="00DD7E94">
      <w:pPr>
        <w:pStyle w:val="Heading2"/>
        <w:rPr>
          <w:color w:val="auto"/>
        </w:rPr>
      </w:pPr>
      <w:bookmarkStart w:id="2" w:name="_Toc226669818"/>
      <w:r w:rsidRPr="00DD7E94">
        <w:rPr>
          <w:rFonts w:ascii="Arial" w:eastAsia="Arial" w:hAnsi="Arial" w:cs="Arial"/>
          <w:bCs/>
          <w:color w:val="auto"/>
          <w:szCs w:val="24"/>
        </w:rPr>
        <w:t>1.1 Business Idea and Products</w:t>
      </w:r>
      <w:bookmarkEnd w:id="2"/>
    </w:p>
    <w:p w14:paraId="6CF1D6AB" w14:textId="77777777" w:rsidR="00DD7E94" w:rsidRPr="00DD7E94" w:rsidRDefault="00DD7E94" w:rsidP="00DD7E94">
      <w:pPr>
        <w:tabs>
          <w:tab w:val="left" w:pos="839"/>
        </w:tabs>
        <w:spacing w:line="360" w:lineRule="auto"/>
      </w:pPr>
      <w:r w:rsidRPr="00DD7E94">
        <w:t>EcoNest UK Ltd is a direct to consumer (D2C) subscription company, which provides household cleaning products made of plant-based and concentrated household cleaning products to households in the UK on a monthly basis. The company has an online shop and delivers products using a third-party logistics company that is sustainable. There are three subscription levels available to customers: Starter Box (two core concentrates, GBP 12.99 per month), Family Box (five products that are oriented to families with children, GBP 22.99 per month) and Premium Box (eight products with probiotic surface spray and bamboo cleaning cloths, GBP 34.99 per month). All the products are vegan and biodegradable in 28 days. Glass bottles are sent during sign-up and after that, each delivery includes only the dissolvable refill tablet which gets rid of all single-use plastic in the customer lifecycle. The market in eco-friendly cleaning products is expected to rise to USD 71 billion in 2032 with a CAGR of eleven per cent (Zion Market Research, 2024) out of USD 31 billion in 2023, which proves the presence of solid and sustainable structural demand of the EcoNest UK Ltd product category. Cleaning products are naturally well-complemented by subscription e-commerce since replenishment of houses is a non-discretionary recurring need, and a D2C fulfilment model eliminates reliance on retail mark-ups that would otherwise render sustainable product pricing incompetitive (DataIntelo, 2025). The cost-per-use of the concentrate form is also lower than the conventional packaged eco-cleaning options sold in retail by a significant margin, which is essential considering that 68 per cent of the UK population includes high prices on the list of deterrents to adopting eco-products (Mintel, 2025).</w:t>
      </w:r>
    </w:p>
    <w:p w14:paraId="2C7DEF69" w14:textId="77777777" w:rsidR="00DD7E94" w:rsidRPr="00DD7E94" w:rsidRDefault="00DD7E94" w:rsidP="00DD7E94">
      <w:pPr>
        <w:pStyle w:val="Heading2"/>
        <w:rPr>
          <w:color w:val="auto"/>
        </w:rPr>
      </w:pPr>
      <w:bookmarkStart w:id="3" w:name="_Toc226669819"/>
      <w:r w:rsidRPr="00DD7E94">
        <w:rPr>
          <w:rFonts w:ascii="Arial" w:eastAsia="Arial" w:hAnsi="Arial" w:cs="Arial"/>
          <w:bCs/>
          <w:color w:val="auto"/>
          <w:szCs w:val="24"/>
        </w:rPr>
        <w:t>1.2 Objectives</w:t>
      </w:r>
      <w:bookmarkEnd w:id="3"/>
    </w:p>
    <w:p w14:paraId="765646F7" w14:textId="77777777" w:rsidR="00DD7E94" w:rsidRPr="00DD7E94" w:rsidRDefault="00DD7E94" w:rsidP="00DD7E94">
      <w:pPr>
        <w:spacing w:before="60" w:after="60"/>
        <w:jc w:val="center"/>
      </w:pPr>
      <w:r w:rsidRPr="00DD7E94">
        <w:rPr>
          <w:rFonts w:ascii="Arial" w:eastAsia="Arial" w:hAnsi="Arial" w:cs="Arial"/>
          <w:b/>
          <w:bCs/>
          <w:i/>
          <w:iCs/>
          <w:sz w:val="20"/>
          <w:szCs w:val="20"/>
        </w:rPr>
        <w:t>Table 1: Short-Term and Long-Term Business Objectives</w:t>
      </w:r>
    </w:p>
    <w:tbl>
      <w:tblPr>
        <w:tblStyle w:val="TableGrid"/>
        <w:tblW w:w="9360" w:type="dxa"/>
        <w:tblLook w:val="04A0" w:firstRow="1" w:lastRow="0" w:firstColumn="1" w:lastColumn="0" w:noHBand="0" w:noVBand="1"/>
      </w:tblPr>
      <w:tblGrid>
        <w:gridCol w:w="1400"/>
        <w:gridCol w:w="4000"/>
        <w:gridCol w:w="3960"/>
      </w:tblGrid>
      <w:tr w:rsidR="00DD7E94" w:rsidRPr="00DD7E94" w14:paraId="7D5F76E8" w14:textId="77777777" w:rsidTr="00DD7E94">
        <w:tc>
          <w:tcPr>
            <w:tcW w:w="1400" w:type="dxa"/>
          </w:tcPr>
          <w:p w14:paraId="66ED57EE" w14:textId="77777777" w:rsidR="00DD7E94" w:rsidRPr="00DD7E94" w:rsidRDefault="00DD7E94" w:rsidP="00DD7E94">
            <w:pPr>
              <w:spacing w:line="360" w:lineRule="auto"/>
              <w:rPr>
                <w:rFonts w:cs="Times New Roman"/>
              </w:rPr>
            </w:pPr>
            <w:r w:rsidRPr="00DD7E94">
              <w:rPr>
                <w:rFonts w:eastAsia="Arial" w:cs="Times New Roman"/>
                <w:b/>
                <w:bCs/>
              </w:rPr>
              <w:t>Period</w:t>
            </w:r>
          </w:p>
        </w:tc>
        <w:tc>
          <w:tcPr>
            <w:tcW w:w="4000" w:type="dxa"/>
          </w:tcPr>
          <w:p w14:paraId="3A533C5F" w14:textId="77777777" w:rsidR="00DD7E94" w:rsidRPr="00DD7E94" w:rsidRDefault="00DD7E94" w:rsidP="00DD7E94">
            <w:pPr>
              <w:spacing w:line="360" w:lineRule="auto"/>
              <w:rPr>
                <w:rFonts w:cs="Times New Roman"/>
              </w:rPr>
            </w:pPr>
            <w:r w:rsidRPr="00DD7E94">
              <w:rPr>
                <w:rFonts w:eastAsia="Arial" w:cs="Times New Roman"/>
                <w:b/>
                <w:bCs/>
              </w:rPr>
              <w:t>Objective</w:t>
            </w:r>
          </w:p>
        </w:tc>
        <w:tc>
          <w:tcPr>
            <w:tcW w:w="3960" w:type="dxa"/>
          </w:tcPr>
          <w:p w14:paraId="263FEC78" w14:textId="77777777" w:rsidR="00DD7E94" w:rsidRPr="00DD7E94" w:rsidRDefault="00DD7E94" w:rsidP="00DD7E94">
            <w:pPr>
              <w:spacing w:line="360" w:lineRule="auto"/>
              <w:rPr>
                <w:rFonts w:cs="Times New Roman"/>
              </w:rPr>
            </w:pPr>
            <w:r w:rsidRPr="00DD7E94">
              <w:rPr>
                <w:rFonts w:eastAsia="Arial" w:cs="Times New Roman"/>
                <w:b/>
                <w:bCs/>
              </w:rPr>
              <w:t>Key Indicator</w:t>
            </w:r>
          </w:p>
        </w:tc>
      </w:tr>
      <w:tr w:rsidR="00DD7E94" w:rsidRPr="00DD7E94" w14:paraId="11D3E2B3" w14:textId="77777777" w:rsidTr="00DD7E94">
        <w:tc>
          <w:tcPr>
            <w:tcW w:w="1400" w:type="dxa"/>
          </w:tcPr>
          <w:p w14:paraId="52618EC7" w14:textId="77777777" w:rsidR="00DD7E94" w:rsidRPr="00DD7E94" w:rsidRDefault="00DD7E94" w:rsidP="00DD7E94">
            <w:pPr>
              <w:spacing w:line="360" w:lineRule="auto"/>
              <w:rPr>
                <w:rFonts w:cs="Times New Roman"/>
              </w:rPr>
            </w:pPr>
            <w:r w:rsidRPr="00DD7E94">
              <w:rPr>
                <w:rFonts w:eastAsia="Arial" w:cs="Times New Roman"/>
              </w:rPr>
              <w:t>Year 1</w:t>
            </w:r>
          </w:p>
        </w:tc>
        <w:tc>
          <w:tcPr>
            <w:tcW w:w="4000" w:type="dxa"/>
          </w:tcPr>
          <w:p w14:paraId="03AF42BC" w14:textId="77777777" w:rsidR="00DD7E94" w:rsidRPr="00DD7E94" w:rsidRDefault="00DD7E94" w:rsidP="00DD7E94">
            <w:pPr>
              <w:spacing w:line="360" w:lineRule="auto"/>
              <w:rPr>
                <w:rFonts w:cs="Times New Roman"/>
              </w:rPr>
            </w:pPr>
            <w:r w:rsidRPr="00DD7E94">
              <w:rPr>
                <w:rFonts w:eastAsia="Arial" w:cs="Times New Roman"/>
              </w:rPr>
              <w:t>Acquire 500 active subscribers</w:t>
            </w:r>
          </w:p>
        </w:tc>
        <w:tc>
          <w:tcPr>
            <w:tcW w:w="3960" w:type="dxa"/>
          </w:tcPr>
          <w:p w14:paraId="759FE2FC" w14:textId="77777777" w:rsidR="00DD7E94" w:rsidRPr="00DD7E94" w:rsidRDefault="00DD7E94" w:rsidP="00DD7E94">
            <w:pPr>
              <w:spacing w:line="360" w:lineRule="auto"/>
              <w:rPr>
                <w:rFonts w:cs="Times New Roman"/>
              </w:rPr>
            </w:pPr>
            <w:r w:rsidRPr="00DD7E94">
              <w:rPr>
                <w:rFonts w:eastAsia="Arial" w:cs="Times New Roman"/>
              </w:rPr>
              <w:t>Monthly subscriber count; churn rate below 8%</w:t>
            </w:r>
          </w:p>
        </w:tc>
      </w:tr>
      <w:tr w:rsidR="00DD7E94" w:rsidRPr="00DD7E94" w14:paraId="3D486F01" w14:textId="77777777" w:rsidTr="00DD7E94">
        <w:tc>
          <w:tcPr>
            <w:tcW w:w="1400" w:type="dxa"/>
          </w:tcPr>
          <w:p w14:paraId="08AC97F7" w14:textId="77777777" w:rsidR="00DD7E94" w:rsidRPr="00DD7E94" w:rsidRDefault="00DD7E94" w:rsidP="00DD7E94">
            <w:pPr>
              <w:spacing w:line="360" w:lineRule="auto"/>
              <w:rPr>
                <w:rFonts w:cs="Times New Roman"/>
              </w:rPr>
            </w:pPr>
            <w:r w:rsidRPr="00DD7E94">
              <w:rPr>
                <w:rFonts w:eastAsia="Arial" w:cs="Times New Roman"/>
              </w:rPr>
              <w:t>Year 1</w:t>
            </w:r>
          </w:p>
        </w:tc>
        <w:tc>
          <w:tcPr>
            <w:tcW w:w="4000" w:type="dxa"/>
          </w:tcPr>
          <w:p w14:paraId="604E9547" w14:textId="77777777" w:rsidR="00DD7E94" w:rsidRPr="00DD7E94" w:rsidRDefault="00DD7E94" w:rsidP="00DD7E94">
            <w:pPr>
              <w:spacing w:line="360" w:lineRule="auto"/>
              <w:rPr>
                <w:rFonts w:cs="Times New Roman"/>
              </w:rPr>
            </w:pPr>
            <w:r w:rsidRPr="00DD7E94">
              <w:rPr>
                <w:rFonts w:eastAsia="Arial" w:cs="Times New Roman"/>
              </w:rPr>
              <w:t>Reach GBP 180,000 revenue</w:t>
            </w:r>
          </w:p>
        </w:tc>
        <w:tc>
          <w:tcPr>
            <w:tcW w:w="3960" w:type="dxa"/>
          </w:tcPr>
          <w:p w14:paraId="41C1A7A0" w14:textId="77777777" w:rsidR="00DD7E94" w:rsidRPr="00DD7E94" w:rsidRDefault="00DD7E94" w:rsidP="00DD7E94">
            <w:pPr>
              <w:spacing w:line="360" w:lineRule="auto"/>
              <w:rPr>
                <w:rFonts w:cs="Times New Roman"/>
              </w:rPr>
            </w:pPr>
            <w:r w:rsidRPr="00DD7E94">
              <w:rPr>
                <w:rFonts w:eastAsia="Arial" w:cs="Times New Roman"/>
              </w:rPr>
              <w:t>Monthly recurring revenue vs. forecast</w:t>
            </w:r>
          </w:p>
        </w:tc>
      </w:tr>
      <w:tr w:rsidR="00DD7E94" w:rsidRPr="00DD7E94" w14:paraId="522625C1" w14:textId="77777777" w:rsidTr="00DD7E94">
        <w:tc>
          <w:tcPr>
            <w:tcW w:w="1400" w:type="dxa"/>
          </w:tcPr>
          <w:p w14:paraId="1ED756F3" w14:textId="77777777" w:rsidR="00DD7E94" w:rsidRPr="00DD7E94" w:rsidRDefault="00DD7E94" w:rsidP="00DD7E94">
            <w:pPr>
              <w:spacing w:line="360" w:lineRule="auto"/>
              <w:rPr>
                <w:rFonts w:cs="Times New Roman"/>
              </w:rPr>
            </w:pPr>
            <w:r w:rsidRPr="00DD7E94">
              <w:rPr>
                <w:rFonts w:eastAsia="Arial" w:cs="Times New Roman"/>
              </w:rPr>
              <w:t>Years 2-3</w:t>
            </w:r>
          </w:p>
        </w:tc>
        <w:tc>
          <w:tcPr>
            <w:tcW w:w="4000" w:type="dxa"/>
          </w:tcPr>
          <w:p w14:paraId="462F7D19" w14:textId="77777777" w:rsidR="00DD7E94" w:rsidRPr="00DD7E94" w:rsidRDefault="00DD7E94" w:rsidP="00DD7E94">
            <w:pPr>
              <w:spacing w:line="360" w:lineRule="auto"/>
              <w:rPr>
                <w:rFonts w:cs="Times New Roman"/>
              </w:rPr>
            </w:pPr>
            <w:r w:rsidRPr="00DD7E94">
              <w:rPr>
                <w:rFonts w:eastAsia="Arial" w:cs="Times New Roman"/>
              </w:rPr>
              <w:t>Grow to 3,000 active subscribers</w:t>
            </w:r>
          </w:p>
        </w:tc>
        <w:tc>
          <w:tcPr>
            <w:tcW w:w="3960" w:type="dxa"/>
          </w:tcPr>
          <w:p w14:paraId="26DEF33D" w14:textId="77777777" w:rsidR="00DD7E94" w:rsidRPr="00DD7E94" w:rsidRDefault="00DD7E94" w:rsidP="00DD7E94">
            <w:pPr>
              <w:spacing w:line="360" w:lineRule="auto"/>
              <w:rPr>
                <w:rFonts w:cs="Times New Roman"/>
              </w:rPr>
            </w:pPr>
            <w:r w:rsidRPr="00DD7E94">
              <w:rPr>
                <w:rFonts w:eastAsia="Arial" w:cs="Times New Roman"/>
              </w:rPr>
              <w:t>Customer acquisition cost vs. lifetime value</w:t>
            </w:r>
          </w:p>
        </w:tc>
      </w:tr>
      <w:tr w:rsidR="00DD7E94" w:rsidRPr="00DD7E94" w14:paraId="6B56D2E6" w14:textId="77777777" w:rsidTr="00DD7E94">
        <w:tc>
          <w:tcPr>
            <w:tcW w:w="1400" w:type="dxa"/>
          </w:tcPr>
          <w:p w14:paraId="1C83389A" w14:textId="77777777" w:rsidR="00DD7E94" w:rsidRPr="00DD7E94" w:rsidRDefault="00DD7E94" w:rsidP="00DD7E94">
            <w:pPr>
              <w:spacing w:line="360" w:lineRule="auto"/>
              <w:rPr>
                <w:rFonts w:cs="Times New Roman"/>
              </w:rPr>
            </w:pPr>
            <w:r w:rsidRPr="00DD7E94">
              <w:rPr>
                <w:rFonts w:eastAsia="Arial" w:cs="Times New Roman"/>
              </w:rPr>
              <w:t>Years 2-3</w:t>
            </w:r>
          </w:p>
        </w:tc>
        <w:tc>
          <w:tcPr>
            <w:tcW w:w="4000" w:type="dxa"/>
          </w:tcPr>
          <w:p w14:paraId="711F3D77" w14:textId="77777777" w:rsidR="00DD7E94" w:rsidRPr="00DD7E94" w:rsidRDefault="00DD7E94" w:rsidP="00DD7E94">
            <w:pPr>
              <w:spacing w:line="360" w:lineRule="auto"/>
              <w:rPr>
                <w:rFonts w:cs="Times New Roman"/>
              </w:rPr>
            </w:pPr>
            <w:r w:rsidRPr="00DD7E94">
              <w:rPr>
                <w:rFonts w:eastAsia="Arial" w:cs="Times New Roman"/>
              </w:rPr>
              <w:t>Launch B2B channel for cafes and offices</w:t>
            </w:r>
          </w:p>
        </w:tc>
        <w:tc>
          <w:tcPr>
            <w:tcW w:w="3960" w:type="dxa"/>
          </w:tcPr>
          <w:p w14:paraId="5685F00C" w14:textId="77777777" w:rsidR="00DD7E94" w:rsidRPr="00DD7E94" w:rsidRDefault="00DD7E94" w:rsidP="00DD7E94">
            <w:pPr>
              <w:spacing w:line="360" w:lineRule="auto"/>
              <w:rPr>
                <w:rFonts w:cs="Times New Roman"/>
              </w:rPr>
            </w:pPr>
            <w:r w:rsidRPr="00DD7E94">
              <w:rPr>
                <w:rFonts w:eastAsia="Arial" w:cs="Times New Roman"/>
              </w:rPr>
              <w:t>Number of B2B accounts; B2B revenue share</w:t>
            </w:r>
          </w:p>
        </w:tc>
      </w:tr>
      <w:tr w:rsidR="00DD7E94" w:rsidRPr="00DD7E94" w14:paraId="133262C1" w14:textId="77777777" w:rsidTr="00DD7E94">
        <w:tc>
          <w:tcPr>
            <w:tcW w:w="1400" w:type="dxa"/>
          </w:tcPr>
          <w:p w14:paraId="7CE5B9E3" w14:textId="77777777" w:rsidR="00DD7E94" w:rsidRPr="00DD7E94" w:rsidRDefault="00DD7E94" w:rsidP="00DD7E94">
            <w:pPr>
              <w:spacing w:line="360" w:lineRule="auto"/>
              <w:rPr>
                <w:rFonts w:cs="Times New Roman"/>
              </w:rPr>
            </w:pPr>
            <w:r w:rsidRPr="00DD7E94">
              <w:rPr>
                <w:rFonts w:eastAsia="Arial" w:cs="Times New Roman"/>
              </w:rPr>
              <w:t>Years 3-5</w:t>
            </w:r>
          </w:p>
        </w:tc>
        <w:tc>
          <w:tcPr>
            <w:tcW w:w="4000" w:type="dxa"/>
          </w:tcPr>
          <w:p w14:paraId="14192EE1" w14:textId="77777777" w:rsidR="00DD7E94" w:rsidRPr="00DD7E94" w:rsidRDefault="00DD7E94" w:rsidP="00DD7E94">
            <w:pPr>
              <w:spacing w:line="360" w:lineRule="auto"/>
              <w:rPr>
                <w:rFonts w:cs="Times New Roman"/>
              </w:rPr>
            </w:pPr>
            <w:r w:rsidRPr="00DD7E94">
              <w:rPr>
                <w:rFonts w:eastAsia="Arial" w:cs="Times New Roman"/>
              </w:rPr>
              <w:t>Achieve B Corporation certification</w:t>
            </w:r>
          </w:p>
        </w:tc>
        <w:tc>
          <w:tcPr>
            <w:tcW w:w="3960" w:type="dxa"/>
          </w:tcPr>
          <w:p w14:paraId="2528397E" w14:textId="77777777" w:rsidR="00DD7E94" w:rsidRPr="00DD7E94" w:rsidRDefault="00DD7E94" w:rsidP="00DD7E94">
            <w:pPr>
              <w:spacing w:line="360" w:lineRule="auto"/>
              <w:rPr>
                <w:rFonts w:cs="Times New Roman"/>
              </w:rPr>
            </w:pPr>
            <w:r w:rsidRPr="00DD7E94">
              <w:rPr>
                <w:rFonts w:eastAsia="Arial" w:cs="Times New Roman"/>
              </w:rPr>
              <w:t>BCorp application status; carbon audit results</w:t>
            </w:r>
          </w:p>
        </w:tc>
      </w:tr>
    </w:tbl>
    <w:p w14:paraId="0F0340A3" w14:textId="77777777" w:rsidR="00DD7E94" w:rsidRPr="00DD7E94" w:rsidRDefault="00DD7E94" w:rsidP="00DD7E94">
      <w:pPr>
        <w:spacing w:before="100" w:after="60"/>
      </w:pPr>
    </w:p>
    <w:p w14:paraId="0AD35B60" w14:textId="77777777" w:rsidR="00DD7E94" w:rsidRPr="00DD7E94" w:rsidRDefault="00DD7E94" w:rsidP="00DD7E94">
      <w:pPr>
        <w:pStyle w:val="Heading2"/>
        <w:rPr>
          <w:color w:val="auto"/>
        </w:rPr>
      </w:pPr>
      <w:bookmarkStart w:id="4" w:name="_Toc226669820"/>
      <w:r w:rsidRPr="00DD7E94">
        <w:rPr>
          <w:rFonts w:ascii="Arial" w:eastAsia="Arial" w:hAnsi="Arial" w:cs="Arial"/>
          <w:bCs/>
          <w:color w:val="auto"/>
          <w:szCs w:val="24"/>
        </w:rPr>
        <w:t>1.3 Unique Selling Point</w:t>
      </w:r>
      <w:bookmarkEnd w:id="4"/>
    </w:p>
    <w:p w14:paraId="40D10394" w14:textId="77777777" w:rsidR="00DD7E94" w:rsidRPr="00DD7E94" w:rsidRDefault="00DD7E94" w:rsidP="00DD7E94">
      <w:pPr>
        <w:tabs>
          <w:tab w:val="left" w:pos="839"/>
        </w:tabs>
        <w:spacing w:line="360" w:lineRule="auto"/>
      </w:pPr>
      <w:r w:rsidRPr="00DD7E94">
        <w:t>The USP of the EcoNest UK Ltd is based on three pillars by which it is differentiated to its competitors like Smol, Ecover, and Method who are already established. To begin with, the single-use plastic will be removed at every stage of the customer lifecycle in the model of zero-waste refill. Upon registration, customers are provided with reusable glass spray bottles and on all following orders, dissolvable concentrate tablets are included, implying that no plastic packaging gets into the supply chain after the first order. It is a structural point of departure in a segment where the majority of the eco-brands, including the market leaders, continue to deliver liquids in single-use or recyclable-non-recycled plastic bottles. Second, at sign-up, each box is personalised based on the household size, frequency of cleaning, allergy profile, and preferred fragrance of the customer to create individual relevance in a scalable fulfilment model. According to Global Market Insights (2025), AI-based personalisation is one of the primary retention tactics of subscription box market, where personalised offerings are experiencing a better churn and lifetime value when compared to traditional box formats. Third, complete ingredient disclosure binds EcoNest UK Ltd to post the full composition of each product, along with information on where the supplier is located, on the company web site. This goes to the root of greenwashing scepticism that Bhardwaj et al. (2024) claim to be a recorded and influential obstacle to a protracted buy in the UK eco-cleaning sector. The untrustful consumers of environmental claims move to the traditional products; ingredient transparency turns the scepticism into confirmed confidence and brand loyalty.</w:t>
      </w:r>
    </w:p>
    <w:p w14:paraId="32FFE683" w14:textId="77777777" w:rsidR="00DD7E94" w:rsidRPr="00DD7E94" w:rsidRDefault="00DD7E94" w:rsidP="00DD7E94">
      <w:pPr>
        <w:pStyle w:val="Heading1"/>
        <w:rPr>
          <w:color w:val="auto"/>
        </w:rPr>
      </w:pPr>
      <w:bookmarkStart w:id="5" w:name="_Toc226669821"/>
      <w:r w:rsidRPr="00DD7E94">
        <w:rPr>
          <w:rFonts w:ascii="Arial" w:eastAsia="Arial" w:hAnsi="Arial" w:cs="Arial"/>
          <w:bCs/>
          <w:color w:val="auto"/>
          <w:sz w:val="30"/>
          <w:szCs w:val="30"/>
        </w:rPr>
        <w:t>Element 2: Business Environment and Competitor Analysis</w:t>
      </w:r>
      <w:bookmarkEnd w:id="5"/>
    </w:p>
    <w:p w14:paraId="1E3AFE91" w14:textId="77777777" w:rsidR="00DD7E94" w:rsidRPr="00DD7E94" w:rsidRDefault="00DD7E94" w:rsidP="00DD7E94">
      <w:pPr>
        <w:pStyle w:val="Heading2"/>
        <w:rPr>
          <w:color w:val="auto"/>
        </w:rPr>
      </w:pPr>
      <w:bookmarkStart w:id="6" w:name="_Toc226669822"/>
      <w:r w:rsidRPr="00DD7E94">
        <w:rPr>
          <w:rFonts w:ascii="Arial" w:eastAsia="Arial" w:hAnsi="Arial" w:cs="Arial"/>
          <w:bCs/>
          <w:color w:val="auto"/>
          <w:szCs w:val="24"/>
        </w:rPr>
        <w:t>2.1 PESTEL Analysis</w:t>
      </w:r>
      <w:bookmarkEnd w:id="6"/>
    </w:p>
    <w:p w14:paraId="2792254B" w14:textId="77777777" w:rsidR="00DD7E94" w:rsidRPr="00DD7E94" w:rsidRDefault="00DD7E94" w:rsidP="00DD7E94">
      <w:pPr>
        <w:tabs>
          <w:tab w:val="left" w:pos="839"/>
        </w:tabs>
        <w:spacing w:line="360" w:lineRule="auto"/>
      </w:pPr>
      <w:r w:rsidRPr="00DD7E94">
        <w:t>Political. The Environmental Improvement Plan 2023 of the UK Government is determined to decrease plastic waste and encourage the development of sustainable products. The science and/or problem of Post-Brexit regulatory divergence with EU chemical standards (REACH): the UK business has a risky and an opportunity since it will not have to go through as many route-to-market hurdles when introducing a novel bio-based formulation to the UK market, but there will be a potential issue with trade complications when the EU markets are targeted at a later stage of growth. Innovate UK funding sources that specifically focus on sustainability-based SMEs are a viable and non-dilutive source of early-stage capital to EcoNest UK Ltd. The proposed tax on Plastics Packaging tax, which comes into force April 2022, levies a tax of GBP 217.85 per tonne on packaging with less than 30 per cent of recycled content, which is an ongoing structural cost burden to incumbent brands that rely on plastics, which the refill model by EcoNest UK Ltd does not introduce at all. The political environment that the government policy offers is thus generally accommodative of an eco-cleaning start-up in accordance with the national-level environmental pledging (IJAR, 2025).</w:t>
      </w:r>
    </w:p>
    <w:p w14:paraId="2CAD72A8" w14:textId="77777777" w:rsidR="00DD7E94" w:rsidRPr="00DD7E94" w:rsidRDefault="00DD7E94" w:rsidP="00DD7E94">
      <w:pPr>
        <w:tabs>
          <w:tab w:val="left" w:pos="839"/>
        </w:tabs>
        <w:spacing w:line="360" w:lineRule="auto"/>
      </w:pPr>
      <w:r w:rsidRPr="00DD7E94">
        <w:t>Economic. The cost-of-living crisis in the UK remains in the process of transforming the household buying priorities in all the FMCG categories. Mintel (2025) reaffirms that the majority of consumers in the UK, 68 per cent, pointed to high prices as the main deterrent to adoption of eco-products, so there is no option as to whether communication on affordability is necessary or not. This is partially met in the EcoNest concentrate model, which proves to be significantly cheaper to use than eco-cleaning competitors in the retail format, and the sustainability premium becomes easier to afford when sold to a financially constrained customer. Increasing raw material and freights demand strict contract management of suppliers to safeguard margins. The 2026 interest rates decrease consumer disposable income and raise the cost of external borrowing to finance working capital, and a lean start-up structure and early cash-flow positivity are important operational priorities (Future Data Stats, 2024).</w:t>
      </w:r>
    </w:p>
    <w:p w14:paraId="15146AA7" w14:textId="77777777" w:rsidR="00DD7E94" w:rsidRPr="00DD7E94" w:rsidRDefault="00DD7E94" w:rsidP="00DD7E94">
      <w:pPr>
        <w:tabs>
          <w:tab w:val="left" w:pos="839"/>
        </w:tabs>
        <w:spacing w:line="360" w:lineRule="auto"/>
      </w:pPr>
      <w:r w:rsidRPr="00DD7E94">
        <w:t>Social. The consumer attitude towards sustainability has changed both in the short and long term in the last decade. The eco-friendly cleaning product search increased by 810 per cent in 2014-2024 and sustainable brand search increased 1,469 per cent in 2014-2024 (Banc Media, 2024). This is a testament to a change in behaviour that is based on a values change, and not a one-off fashion. According to research by Bhardwaj et al. (2024), three main factors influencing green purchase behavior are peer influence, family values and product ingredient transparency, and that women aged 25 to 44 are far more engaged in purchasing eco-products as compared to any other demographic. The subscription convenience offer fits squarely in this time-crunched urban household market segment, which appreciates automatic replenishment and online control of household buying relative to a visit to the shopping mall.</w:t>
      </w:r>
    </w:p>
    <w:p w14:paraId="4B4C576B" w14:textId="77777777" w:rsidR="00DD7E94" w:rsidRPr="00DD7E94" w:rsidRDefault="00DD7E94" w:rsidP="00DD7E94">
      <w:pPr>
        <w:tabs>
          <w:tab w:val="left" w:pos="839"/>
        </w:tabs>
        <w:spacing w:line="360" w:lineRule="auto"/>
      </w:pPr>
      <w:r w:rsidRPr="00DD7E94">
        <w:t>Technological. The UK online retail is expected to grow to GBP 141 billion in 2024, and D2C models will have access to low-cost, mature platforms, including Shopify and Recharge to manage subscriptions (Straits Research, 2024). Global Market Insights (2025) recognises AI-based personalisation as one of the key factors in retaining subscribers to subscription boxes, with data-driven box construction generating significantly reduced churn rates compared to traditional, non-personalised boxes. The Instagram and Tik Tok algorithms offer a cost-effective organic and paid acquisition strategies of sustainability-branded visual content. EcoNest sign-up questionnaire will create customer first-party data on the first day, which allows continuous personalisation enhancement without having to rely on third-party cookies, which is becoming more and more important in the context of tightening digital privacy regulations (Expert Market Research, 2024).</w:t>
      </w:r>
    </w:p>
    <w:p w14:paraId="4AC27A0A" w14:textId="77777777" w:rsidR="00DD7E94" w:rsidRPr="00DD7E94" w:rsidRDefault="00DD7E94" w:rsidP="00DD7E94">
      <w:pPr>
        <w:tabs>
          <w:tab w:val="left" w:pos="839"/>
        </w:tabs>
        <w:spacing w:line="360" w:lineRule="auto"/>
      </w:pPr>
      <w:r w:rsidRPr="00DD7E94">
        <w:t>Environmental. The UK Plastics Packaging Tax and the Extended Producer Responsibility (EPR) regime keep adding to the compliance costs and burden to cleaning brands that use single-use plastic, which provides a structural regulatory competence of the EcoNest UK Ltd packaging-free refill model. The cleaning formulations based on probiotics and enzymes result in less aquatic toxicity as compared to the conventional surfactant chemistry, which aligns with the UK biodiversity and offers a plausible environmental argument that can withstand a regulatory examination. According to Mintel (2025), the UK consumers are increasingly interested in the eco-friendly format, including tablets and sheets, thus validating the fact that the refill format is no longer a niche but is placed in the mainstream in the household care category (UniVdatos, 2025).</w:t>
      </w:r>
    </w:p>
    <w:p w14:paraId="21D0A721" w14:textId="77777777" w:rsidR="00DD7E94" w:rsidRPr="00DD7E94" w:rsidRDefault="00DD7E94" w:rsidP="00DD7E94">
      <w:pPr>
        <w:tabs>
          <w:tab w:val="left" w:pos="839"/>
        </w:tabs>
        <w:spacing w:line="360" w:lineRule="auto"/>
      </w:pPr>
      <w:r w:rsidRPr="00DD7E94">
        <w:t>Legal. The UK has Household cleaning products, which are required to satisfy the UK Detergents Regulation (assimilated EU Regulation 648/2004) and the Classification, Labelling and Packaging Regulation (CLP) and the products should be labeled with compliant ingredient lists and safety data sheets to all formulations. The UK GDPR under the Data Protection Act 2018 treats data gathered during subscription sign-up, such as household profiling data and payment information, as personal data, necessitating documented consent frameworks, a published privacy policy and a named data controller since the time of initially collecting the data. The Consumer Contracts Regulations 2013 provide for conspicuous and easy access to all subscription purchasers to cancelling their rights, and a cooling-off period of 14 days on the first purchase. The employment law requirements are applicable since the initial employment of the staff such as written contracts, payment of the minimum wage, and auto-enrolment pensions obligations (IJAR, 2025).</w:t>
      </w:r>
    </w:p>
    <w:p w14:paraId="4A4C297B" w14:textId="77777777" w:rsidR="00DD7E94" w:rsidRPr="00DD7E94" w:rsidRDefault="00DD7E94" w:rsidP="00DD7E94">
      <w:pPr>
        <w:pStyle w:val="Heading2"/>
        <w:rPr>
          <w:color w:val="auto"/>
        </w:rPr>
      </w:pPr>
      <w:bookmarkStart w:id="7" w:name="_Toc226669823"/>
      <w:r w:rsidRPr="00DD7E94">
        <w:rPr>
          <w:rFonts w:ascii="Arial" w:eastAsia="Arial" w:hAnsi="Arial" w:cs="Arial"/>
          <w:bCs/>
          <w:color w:val="auto"/>
          <w:szCs w:val="24"/>
        </w:rPr>
        <w:t>2.2 SWOT Analysis</w:t>
      </w:r>
      <w:bookmarkEnd w:id="7"/>
    </w:p>
    <w:p w14:paraId="66E022BB" w14:textId="77777777" w:rsidR="00DD7E94" w:rsidRPr="00DD7E94" w:rsidRDefault="00DD7E94" w:rsidP="00DD7E94">
      <w:pPr>
        <w:spacing w:before="60" w:after="60"/>
        <w:jc w:val="center"/>
      </w:pPr>
      <w:r w:rsidRPr="00DD7E94">
        <w:rPr>
          <w:rFonts w:ascii="Arial" w:eastAsia="Arial" w:hAnsi="Arial" w:cs="Arial"/>
          <w:b/>
          <w:bCs/>
          <w:i/>
          <w:iCs/>
          <w:sz w:val="20"/>
          <w:szCs w:val="20"/>
        </w:rPr>
        <w:t>Table 2: SWOT Analysis for EcoNest UK Ltd</w:t>
      </w:r>
    </w:p>
    <w:tbl>
      <w:tblPr>
        <w:tblStyle w:val="TableGrid"/>
        <w:tblW w:w="9360" w:type="dxa"/>
        <w:tblLook w:val="04A0" w:firstRow="1" w:lastRow="0" w:firstColumn="1" w:lastColumn="0" w:noHBand="0" w:noVBand="1"/>
      </w:tblPr>
      <w:tblGrid>
        <w:gridCol w:w="4680"/>
        <w:gridCol w:w="4680"/>
      </w:tblGrid>
      <w:tr w:rsidR="00DD7E94" w:rsidRPr="00DD7E94" w14:paraId="6EA3B204" w14:textId="77777777" w:rsidTr="00DD7E94">
        <w:tc>
          <w:tcPr>
            <w:tcW w:w="4680" w:type="dxa"/>
          </w:tcPr>
          <w:p w14:paraId="3FA151FA" w14:textId="77777777" w:rsidR="00DD7E94" w:rsidRPr="00DD7E94" w:rsidRDefault="00DD7E94" w:rsidP="00637891">
            <w:pPr>
              <w:rPr>
                <w:rFonts w:cs="Times New Roman"/>
              </w:rPr>
            </w:pPr>
            <w:r w:rsidRPr="00DD7E94">
              <w:rPr>
                <w:rFonts w:eastAsia="Arial" w:cs="Times New Roman"/>
                <w:b/>
                <w:bCs/>
              </w:rPr>
              <w:t>Strengths</w:t>
            </w:r>
          </w:p>
        </w:tc>
        <w:tc>
          <w:tcPr>
            <w:tcW w:w="4680" w:type="dxa"/>
          </w:tcPr>
          <w:p w14:paraId="2AD2A8D5" w14:textId="77777777" w:rsidR="00DD7E94" w:rsidRPr="00DD7E94" w:rsidRDefault="00DD7E94" w:rsidP="00637891">
            <w:pPr>
              <w:rPr>
                <w:rFonts w:cs="Times New Roman"/>
              </w:rPr>
            </w:pPr>
            <w:r w:rsidRPr="00DD7E94">
              <w:rPr>
                <w:rFonts w:eastAsia="Arial" w:cs="Times New Roman"/>
                <w:b/>
                <w:bCs/>
              </w:rPr>
              <w:t>Weaknesses</w:t>
            </w:r>
          </w:p>
        </w:tc>
      </w:tr>
      <w:tr w:rsidR="00DD7E94" w:rsidRPr="00DD7E94" w14:paraId="2C8C0B42" w14:textId="77777777" w:rsidTr="00DD7E94">
        <w:tc>
          <w:tcPr>
            <w:tcW w:w="4680" w:type="dxa"/>
          </w:tcPr>
          <w:p w14:paraId="18F13DF7" w14:textId="77777777" w:rsidR="00DD7E94" w:rsidRPr="00DD7E94" w:rsidRDefault="00DD7E94" w:rsidP="00637891">
            <w:pPr>
              <w:spacing w:before="40" w:after="40"/>
              <w:rPr>
                <w:rFonts w:cs="Times New Roman"/>
              </w:rPr>
            </w:pPr>
            <w:r w:rsidRPr="00DD7E94">
              <w:rPr>
                <w:rFonts w:eastAsia="Arial" w:cs="Times New Roman"/>
              </w:rPr>
              <w:t>•  Zero-waste refill model cuts single-use plastic entirely</w:t>
            </w:r>
          </w:p>
          <w:p w14:paraId="79E2DF9B" w14:textId="77777777" w:rsidR="00DD7E94" w:rsidRPr="00DD7E94" w:rsidRDefault="00DD7E94" w:rsidP="00637891">
            <w:pPr>
              <w:spacing w:before="40" w:after="40"/>
              <w:rPr>
                <w:rFonts w:cs="Times New Roman"/>
              </w:rPr>
            </w:pPr>
            <w:r w:rsidRPr="00DD7E94">
              <w:rPr>
                <w:rFonts w:eastAsia="Arial" w:cs="Times New Roman"/>
              </w:rPr>
              <w:t>•  Personalisation algorithm improves retention and reduces churn</w:t>
            </w:r>
          </w:p>
          <w:p w14:paraId="0FA923F7" w14:textId="77777777" w:rsidR="00DD7E94" w:rsidRPr="00DD7E94" w:rsidRDefault="00DD7E94" w:rsidP="00637891">
            <w:pPr>
              <w:spacing w:before="40" w:after="40"/>
              <w:rPr>
                <w:rFonts w:cs="Times New Roman"/>
              </w:rPr>
            </w:pPr>
            <w:r w:rsidRPr="00DD7E94">
              <w:rPr>
                <w:rFonts w:eastAsia="Arial" w:cs="Times New Roman"/>
              </w:rPr>
              <w:t>•  Full ingredient transparency builds trust</w:t>
            </w:r>
          </w:p>
          <w:p w14:paraId="66D56882" w14:textId="77777777" w:rsidR="00DD7E94" w:rsidRPr="00DD7E94" w:rsidRDefault="00DD7E94" w:rsidP="00637891">
            <w:pPr>
              <w:spacing w:before="40" w:after="40"/>
              <w:rPr>
                <w:rFonts w:cs="Times New Roman"/>
              </w:rPr>
            </w:pPr>
            <w:r w:rsidRPr="00DD7E94">
              <w:rPr>
                <w:rFonts w:eastAsia="Arial" w:cs="Times New Roman"/>
              </w:rPr>
              <w:t>•  D2C model protects margin and enables pricing flexibility</w:t>
            </w:r>
          </w:p>
        </w:tc>
        <w:tc>
          <w:tcPr>
            <w:tcW w:w="4680" w:type="dxa"/>
          </w:tcPr>
          <w:p w14:paraId="241742C2" w14:textId="77777777" w:rsidR="00DD7E94" w:rsidRPr="00DD7E94" w:rsidRDefault="00DD7E94" w:rsidP="00637891">
            <w:pPr>
              <w:spacing w:before="40" w:after="40"/>
              <w:rPr>
                <w:rFonts w:cs="Times New Roman"/>
              </w:rPr>
            </w:pPr>
            <w:r w:rsidRPr="00DD7E94">
              <w:rPr>
                <w:rFonts w:eastAsia="Arial" w:cs="Times New Roman"/>
              </w:rPr>
              <w:t>•  No brand recognition at launch</w:t>
            </w:r>
          </w:p>
          <w:p w14:paraId="2B68C5CC" w14:textId="77777777" w:rsidR="00DD7E94" w:rsidRPr="00DD7E94" w:rsidRDefault="00DD7E94" w:rsidP="00637891">
            <w:pPr>
              <w:spacing w:before="40" w:after="40"/>
              <w:rPr>
                <w:rFonts w:cs="Times New Roman"/>
              </w:rPr>
            </w:pPr>
            <w:r w:rsidRPr="00DD7E94">
              <w:rPr>
                <w:rFonts w:eastAsia="Arial" w:cs="Times New Roman"/>
              </w:rPr>
              <w:t>•  High initial customer acquisition cost for subscription</w:t>
            </w:r>
          </w:p>
          <w:p w14:paraId="6D78FB39" w14:textId="77777777" w:rsidR="00DD7E94" w:rsidRPr="00DD7E94" w:rsidRDefault="00DD7E94" w:rsidP="00637891">
            <w:pPr>
              <w:spacing w:before="40" w:after="40"/>
              <w:rPr>
                <w:rFonts w:cs="Times New Roman"/>
              </w:rPr>
            </w:pPr>
            <w:r w:rsidRPr="00DD7E94">
              <w:rPr>
                <w:rFonts w:eastAsia="Arial" w:cs="Times New Roman"/>
              </w:rPr>
              <w:t>•  Glass bottle logistics add complexity and breakage risk</w:t>
            </w:r>
          </w:p>
          <w:p w14:paraId="554AAAEC" w14:textId="77777777" w:rsidR="00DD7E94" w:rsidRPr="00DD7E94" w:rsidRDefault="00DD7E94" w:rsidP="00637891">
            <w:pPr>
              <w:spacing w:before="40" w:after="40"/>
              <w:rPr>
                <w:rFonts w:cs="Times New Roman"/>
              </w:rPr>
            </w:pPr>
            <w:r w:rsidRPr="00DD7E94">
              <w:rPr>
                <w:rFonts w:eastAsia="Arial" w:cs="Times New Roman"/>
              </w:rPr>
              <w:t>•  Narrow product range in Year 1</w:t>
            </w:r>
          </w:p>
        </w:tc>
      </w:tr>
      <w:tr w:rsidR="00DD7E94" w:rsidRPr="00DD7E94" w14:paraId="3266E353" w14:textId="77777777" w:rsidTr="00DD7E94">
        <w:tc>
          <w:tcPr>
            <w:tcW w:w="4680" w:type="dxa"/>
          </w:tcPr>
          <w:p w14:paraId="1398AF8E" w14:textId="77777777" w:rsidR="00DD7E94" w:rsidRPr="00DD7E94" w:rsidRDefault="00DD7E94" w:rsidP="00637891">
            <w:pPr>
              <w:rPr>
                <w:rFonts w:cs="Times New Roman"/>
              </w:rPr>
            </w:pPr>
            <w:r w:rsidRPr="00DD7E94">
              <w:rPr>
                <w:rFonts w:eastAsia="Arial" w:cs="Times New Roman"/>
                <w:b/>
                <w:bCs/>
              </w:rPr>
              <w:t>Opportunities</w:t>
            </w:r>
          </w:p>
        </w:tc>
        <w:tc>
          <w:tcPr>
            <w:tcW w:w="4680" w:type="dxa"/>
          </w:tcPr>
          <w:p w14:paraId="6393A67D" w14:textId="77777777" w:rsidR="00DD7E94" w:rsidRPr="00DD7E94" w:rsidRDefault="00DD7E94" w:rsidP="00637891">
            <w:pPr>
              <w:rPr>
                <w:rFonts w:cs="Times New Roman"/>
              </w:rPr>
            </w:pPr>
            <w:r w:rsidRPr="00DD7E94">
              <w:rPr>
                <w:rFonts w:eastAsia="Arial" w:cs="Times New Roman"/>
                <w:b/>
                <w:bCs/>
              </w:rPr>
              <w:t>Threats</w:t>
            </w:r>
          </w:p>
        </w:tc>
      </w:tr>
      <w:tr w:rsidR="00DD7E94" w:rsidRPr="00DD7E94" w14:paraId="78E51766" w14:textId="77777777" w:rsidTr="00DD7E94">
        <w:tc>
          <w:tcPr>
            <w:tcW w:w="4680" w:type="dxa"/>
          </w:tcPr>
          <w:p w14:paraId="302BBFCB" w14:textId="77777777" w:rsidR="00DD7E94" w:rsidRPr="00DD7E94" w:rsidRDefault="00DD7E94" w:rsidP="00637891">
            <w:pPr>
              <w:spacing w:before="40" w:after="40"/>
              <w:rPr>
                <w:rFonts w:cs="Times New Roman"/>
              </w:rPr>
            </w:pPr>
            <w:r w:rsidRPr="00DD7E94">
              <w:rPr>
                <w:rFonts w:eastAsia="Arial" w:cs="Times New Roman"/>
              </w:rPr>
              <w:t>•  UK eco-cleaning market growing at 12% CAGR through 2033</w:t>
            </w:r>
          </w:p>
          <w:p w14:paraId="1969A404" w14:textId="77777777" w:rsidR="00DD7E94" w:rsidRPr="00DD7E94" w:rsidRDefault="00DD7E94" w:rsidP="00637891">
            <w:pPr>
              <w:spacing w:before="40" w:after="40"/>
              <w:rPr>
                <w:rFonts w:cs="Times New Roman"/>
              </w:rPr>
            </w:pPr>
            <w:r w:rsidRPr="00DD7E94">
              <w:rPr>
                <w:rFonts w:eastAsia="Arial" w:cs="Times New Roman"/>
              </w:rPr>
              <w:t>•  Plastics Packaging Tax disadvantages plastic-reliant rivals</w:t>
            </w:r>
          </w:p>
          <w:p w14:paraId="04C5FC0F" w14:textId="77777777" w:rsidR="00DD7E94" w:rsidRPr="00DD7E94" w:rsidRDefault="00DD7E94" w:rsidP="00637891">
            <w:pPr>
              <w:spacing w:before="40" w:after="40"/>
              <w:rPr>
                <w:rFonts w:cs="Times New Roman"/>
              </w:rPr>
            </w:pPr>
            <w:r w:rsidRPr="00DD7E94">
              <w:rPr>
                <w:rFonts w:eastAsia="Arial" w:cs="Times New Roman"/>
              </w:rPr>
              <w:t>•  B2B expansion into offices, cafes, and hospitality</w:t>
            </w:r>
          </w:p>
          <w:p w14:paraId="3A636D51" w14:textId="77777777" w:rsidR="00DD7E94" w:rsidRPr="00DD7E94" w:rsidRDefault="00DD7E94" w:rsidP="00637891">
            <w:pPr>
              <w:spacing w:before="40" w:after="40"/>
              <w:rPr>
                <w:rFonts w:cs="Times New Roman"/>
              </w:rPr>
            </w:pPr>
            <w:r w:rsidRPr="00DD7E94">
              <w:rPr>
                <w:rFonts w:eastAsia="Arial" w:cs="Times New Roman"/>
              </w:rPr>
              <w:t>•  Micro-influencer social media offers cost-efficient reach</w:t>
            </w:r>
          </w:p>
        </w:tc>
        <w:tc>
          <w:tcPr>
            <w:tcW w:w="4680" w:type="dxa"/>
          </w:tcPr>
          <w:p w14:paraId="13659A2A" w14:textId="77777777" w:rsidR="00DD7E94" w:rsidRPr="00DD7E94" w:rsidRDefault="00DD7E94" w:rsidP="00637891">
            <w:pPr>
              <w:spacing w:before="40" w:after="40"/>
              <w:rPr>
                <w:rFonts w:cs="Times New Roman"/>
              </w:rPr>
            </w:pPr>
            <w:r w:rsidRPr="00DD7E94">
              <w:rPr>
                <w:rFonts w:eastAsia="Arial" w:cs="Times New Roman"/>
              </w:rPr>
              <w:t>•  Smol, Ecover, Method have established audiences</w:t>
            </w:r>
          </w:p>
          <w:p w14:paraId="3BD7F9A7" w14:textId="77777777" w:rsidR="00DD7E94" w:rsidRPr="00DD7E94" w:rsidRDefault="00DD7E94" w:rsidP="00637891">
            <w:pPr>
              <w:spacing w:before="40" w:after="40"/>
              <w:rPr>
                <w:rFonts w:cs="Times New Roman"/>
              </w:rPr>
            </w:pPr>
            <w:r w:rsidRPr="00DD7E94">
              <w:rPr>
                <w:rFonts w:eastAsia="Arial" w:cs="Times New Roman"/>
              </w:rPr>
              <w:t>•  Consumer price sensitivity during cost-of-living squeeze</w:t>
            </w:r>
          </w:p>
          <w:p w14:paraId="67913E94" w14:textId="77777777" w:rsidR="00DD7E94" w:rsidRPr="00DD7E94" w:rsidRDefault="00DD7E94" w:rsidP="00637891">
            <w:pPr>
              <w:spacing w:before="40" w:after="40"/>
              <w:rPr>
                <w:rFonts w:cs="Times New Roman"/>
              </w:rPr>
            </w:pPr>
            <w:r w:rsidRPr="00DD7E94">
              <w:rPr>
                <w:rFonts w:eastAsia="Arial" w:cs="Times New Roman"/>
              </w:rPr>
              <w:t>•  Subscription fatigue and high churn in crowded market</w:t>
            </w:r>
          </w:p>
          <w:p w14:paraId="4A1A9579" w14:textId="77777777" w:rsidR="00DD7E94" w:rsidRPr="00DD7E94" w:rsidRDefault="00DD7E94" w:rsidP="00637891">
            <w:pPr>
              <w:spacing w:before="40" w:after="40"/>
              <w:rPr>
                <w:rFonts w:cs="Times New Roman"/>
              </w:rPr>
            </w:pPr>
            <w:r w:rsidRPr="00DD7E94">
              <w:rPr>
                <w:rFonts w:eastAsia="Arial" w:cs="Times New Roman"/>
              </w:rPr>
              <w:t>•  Greenwashing scepticism without third-party product verification</w:t>
            </w:r>
          </w:p>
        </w:tc>
      </w:tr>
    </w:tbl>
    <w:p w14:paraId="6747A4A3" w14:textId="77777777" w:rsidR="00DD7E94" w:rsidRPr="00DD7E94" w:rsidRDefault="00DD7E94" w:rsidP="00DD7E94">
      <w:pPr>
        <w:tabs>
          <w:tab w:val="left" w:pos="839"/>
        </w:tabs>
        <w:spacing w:line="360" w:lineRule="auto"/>
      </w:pPr>
    </w:p>
    <w:p w14:paraId="4283F9D9" w14:textId="77777777" w:rsidR="00DD7E94" w:rsidRPr="00DD7E94" w:rsidRDefault="00DD7E94" w:rsidP="00DD7E94">
      <w:pPr>
        <w:tabs>
          <w:tab w:val="left" w:pos="839"/>
        </w:tabs>
        <w:spacing w:line="360" w:lineRule="auto"/>
      </w:pPr>
      <w:r w:rsidRPr="00DD7E94">
        <w:t>Established in 2018, key competitor Smol has proven the UK subscription cleaning to be viable, as it has acquired more than 500,000 subscribers by 2023, which validates the model and confirms an addressable market. Competitors Method and Ecover are mainly competing at the retail shelf space as opposed to the D2C subscription, which implies that in the initial year of trading, EcoNest UK Ltd does not have to compete at the channel level with them. According to the ACR Journal (2025), the most prevalent forms of trust inhibitors in the industry are subscription fatigue and complicated pricing models and consumers would be more willing to discontinue subscriptions in which the perceived value is no longer evidently worth the recurring price. EcoNest UK Ltd will then be required to express the prices clearly, provide true flexibility in the options of pause and cancellation and always demonstrate the effectiveness of the products to create long-lasting relationships with the subscribers beyond the first three months of the promotional period. Technavio (2024) verifies that sustainable cleaning products occupy more than 15 per cent of the total household cleaning market in the UK and that this figure is increasing year by year due to the increased regulation of conventional products.</w:t>
      </w:r>
    </w:p>
    <w:p w14:paraId="17003BCA" w14:textId="77777777" w:rsidR="00DD7E94" w:rsidRPr="00DD7E94" w:rsidRDefault="00DD7E94" w:rsidP="00DD7E94">
      <w:pPr>
        <w:pStyle w:val="Heading1"/>
        <w:rPr>
          <w:color w:val="auto"/>
        </w:rPr>
      </w:pPr>
      <w:bookmarkStart w:id="8" w:name="_Toc226669824"/>
      <w:r w:rsidRPr="00DD7E94">
        <w:rPr>
          <w:rFonts w:ascii="Arial" w:eastAsia="Arial" w:hAnsi="Arial" w:cs="Arial"/>
          <w:bCs/>
          <w:color w:val="auto"/>
          <w:sz w:val="30"/>
          <w:szCs w:val="30"/>
        </w:rPr>
        <w:t>Element 3: 4Ps, Market Segmentation and Marketing Strategies</w:t>
      </w:r>
      <w:bookmarkEnd w:id="8"/>
    </w:p>
    <w:p w14:paraId="7F02617C" w14:textId="77777777" w:rsidR="00DD7E94" w:rsidRPr="00DD7E94" w:rsidRDefault="00DD7E94" w:rsidP="00DD7E94">
      <w:pPr>
        <w:pStyle w:val="Heading2"/>
        <w:rPr>
          <w:color w:val="auto"/>
        </w:rPr>
      </w:pPr>
      <w:bookmarkStart w:id="9" w:name="_Toc226669825"/>
      <w:r w:rsidRPr="00DD7E94">
        <w:rPr>
          <w:rFonts w:ascii="Arial" w:eastAsia="Arial" w:hAnsi="Arial" w:cs="Arial"/>
          <w:bCs/>
          <w:color w:val="auto"/>
          <w:szCs w:val="24"/>
        </w:rPr>
        <w:t>3.1 Market Segmentation and Target Customers</w:t>
      </w:r>
      <w:bookmarkEnd w:id="9"/>
    </w:p>
    <w:p w14:paraId="58168BC9" w14:textId="77777777" w:rsidR="00DD7E94" w:rsidRDefault="00DD7E94" w:rsidP="00DD7E94">
      <w:pPr>
        <w:tabs>
          <w:tab w:val="left" w:pos="839"/>
        </w:tabs>
        <w:spacing w:line="360" w:lineRule="auto"/>
      </w:pPr>
      <w:r w:rsidRPr="00DD7E94">
        <w:t>Market segmentation will enable EcoNest UK Ltd to focus limited resources on the launch to the groups that have the highest chances of converting and retaining at a sustainable acquisition cost. The first segment is the environmentally conscious urban families with the annual income over than GBP 35,000, aged between 28 and 50, who live in the UK cities and commuter towns. These customers shop mostly online, investigate the ingredient qualifications prior to devoting any household item, and pursue brands whose ideals are similar to their own ecological self-identification (Bhardwaj et al., 2024). Women between 25 and 44 years are overrepresented as a household purchasing decision-maker of the eco-cleaning products, and 19 out of 29 scholarly articles that reviewed the topic found women as the primary purchasers in this group (Bhardwaj et al., 2024). This population segmentation will enable EcoNest UK Ltd to prioritize creative and media budgets to areas and content types where this group is most active, which are mostly Instagram, Pinterest, and Tik Tok. The small and independent business segment includes cafes, coworking spaces, and offices with a desire to align the procurement with the publicly declared environmental commitments. B2B segment also has higher average order values, more predictable demand, and structurally lower churn than individual consumers, as cleaning supply is an operational need and not a discretionary household spend that is subject to budget scrutiny (Finice Cleaning, 2025). Fulfyld (2024) confirms that new entrants to subscription boxes primarily have competitive advantages of niche targeting and personalisation, which support the choice to deliver a well-articulated values-led buyer profile instead of trying to compete on mass-market volumes with well-established subscription box brands that have existing distribution and brand equity.</w:t>
      </w:r>
    </w:p>
    <w:p w14:paraId="17F396BC" w14:textId="77777777" w:rsidR="00DD7E94" w:rsidRDefault="00DD7E94" w:rsidP="00DD7E94">
      <w:pPr>
        <w:tabs>
          <w:tab w:val="left" w:pos="839"/>
        </w:tabs>
        <w:spacing w:line="360" w:lineRule="auto"/>
      </w:pPr>
    </w:p>
    <w:p w14:paraId="1897E10B" w14:textId="77777777" w:rsidR="00DD7E94" w:rsidRPr="00DD7E94" w:rsidRDefault="00DD7E94" w:rsidP="00DD7E94">
      <w:pPr>
        <w:tabs>
          <w:tab w:val="left" w:pos="839"/>
        </w:tabs>
        <w:spacing w:line="360" w:lineRule="auto"/>
      </w:pPr>
    </w:p>
    <w:p w14:paraId="618F66E3" w14:textId="77777777" w:rsidR="00DD7E94" w:rsidRPr="00DD7E94" w:rsidRDefault="00DD7E94" w:rsidP="00DD7E94">
      <w:pPr>
        <w:pStyle w:val="Heading2"/>
        <w:rPr>
          <w:color w:val="auto"/>
        </w:rPr>
      </w:pPr>
      <w:bookmarkStart w:id="10" w:name="_Toc226669826"/>
      <w:r w:rsidRPr="00DD7E94">
        <w:rPr>
          <w:rFonts w:ascii="Arial" w:eastAsia="Arial" w:hAnsi="Arial" w:cs="Arial"/>
          <w:bCs/>
          <w:color w:val="auto"/>
          <w:szCs w:val="24"/>
        </w:rPr>
        <w:t>3.2 The 4Ps of Marketing</w:t>
      </w:r>
      <w:bookmarkEnd w:id="10"/>
    </w:p>
    <w:p w14:paraId="556B0F7B" w14:textId="77777777" w:rsidR="00DD7E94" w:rsidRPr="00DD7E94" w:rsidRDefault="00DD7E94" w:rsidP="00DD7E94">
      <w:pPr>
        <w:spacing w:before="60" w:after="60"/>
        <w:jc w:val="center"/>
      </w:pPr>
      <w:r w:rsidRPr="00DD7E94">
        <w:rPr>
          <w:rFonts w:ascii="Arial" w:eastAsia="Arial" w:hAnsi="Arial" w:cs="Arial"/>
          <w:b/>
          <w:bCs/>
          <w:i/>
          <w:iCs/>
          <w:sz w:val="20"/>
          <w:szCs w:val="20"/>
        </w:rPr>
        <w:t>Table 3: EcoNest UK Ltd Marketing Mix</w:t>
      </w:r>
    </w:p>
    <w:tbl>
      <w:tblPr>
        <w:tblStyle w:val="TableGrid"/>
        <w:tblW w:w="9360" w:type="dxa"/>
        <w:tblLook w:val="04A0" w:firstRow="1" w:lastRow="0" w:firstColumn="1" w:lastColumn="0" w:noHBand="0" w:noVBand="1"/>
      </w:tblPr>
      <w:tblGrid>
        <w:gridCol w:w="1230"/>
        <w:gridCol w:w="8130"/>
      </w:tblGrid>
      <w:tr w:rsidR="00DD7E94" w:rsidRPr="00DD7E94" w14:paraId="79C31544" w14:textId="77777777" w:rsidTr="00DD7E94">
        <w:tc>
          <w:tcPr>
            <w:tcW w:w="1200" w:type="dxa"/>
          </w:tcPr>
          <w:p w14:paraId="073DD155" w14:textId="77777777" w:rsidR="00DD7E94" w:rsidRPr="00DD7E94" w:rsidRDefault="00DD7E94" w:rsidP="00DD7E94">
            <w:pPr>
              <w:spacing w:line="360" w:lineRule="auto"/>
              <w:rPr>
                <w:rFonts w:cs="Times New Roman"/>
              </w:rPr>
            </w:pPr>
            <w:r w:rsidRPr="00DD7E94">
              <w:rPr>
                <w:rFonts w:eastAsia="Arial" w:cs="Times New Roman"/>
                <w:b/>
                <w:bCs/>
              </w:rPr>
              <w:t>P</w:t>
            </w:r>
          </w:p>
        </w:tc>
        <w:tc>
          <w:tcPr>
            <w:tcW w:w="8160" w:type="dxa"/>
          </w:tcPr>
          <w:p w14:paraId="69944FB7" w14:textId="77777777" w:rsidR="00DD7E94" w:rsidRPr="00DD7E94" w:rsidRDefault="00DD7E94" w:rsidP="00DD7E94">
            <w:pPr>
              <w:spacing w:line="360" w:lineRule="auto"/>
              <w:rPr>
                <w:rFonts w:cs="Times New Roman"/>
              </w:rPr>
            </w:pPr>
            <w:r w:rsidRPr="00DD7E94">
              <w:rPr>
                <w:rFonts w:eastAsia="Arial" w:cs="Times New Roman"/>
                <w:b/>
                <w:bCs/>
              </w:rPr>
              <w:t>Application</w:t>
            </w:r>
          </w:p>
        </w:tc>
      </w:tr>
      <w:tr w:rsidR="00DD7E94" w:rsidRPr="00DD7E94" w14:paraId="2E8DE5B5" w14:textId="77777777" w:rsidTr="00DD7E94">
        <w:tc>
          <w:tcPr>
            <w:tcW w:w="1200" w:type="dxa"/>
          </w:tcPr>
          <w:p w14:paraId="4C13C039" w14:textId="77777777" w:rsidR="00DD7E94" w:rsidRPr="00DD7E94" w:rsidRDefault="00DD7E94" w:rsidP="00DD7E94">
            <w:pPr>
              <w:spacing w:line="360" w:lineRule="auto"/>
              <w:rPr>
                <w:rFonts w:cs="Times New Roman"/>
              </w:rPr>
            </w:pPr>
            <w:r w:rsidRPr="00DD7E94">
              <w:rPr>
                <w:rFonts w:eastAsia="Arial" w:cs="Times New Roman"/>
              </w:rPr>
              <w:t>Product</w:t>
            </w:r>
          </w:p>
        </w:tc>
        <w:tc>
          <w:tcPr>
            <w:tcW w:w="8160" w:type="dxa"/>
          </w:tcPr>
          <w:p w14:paraId="2CC2218D" w14:textId="77777777" w:rsidR="00DD7E94" w:rsidRPr="00DD7E94" w:rsidRDefault="00DD7E94" w:rsidP="00DD7E94">
            <w:pPr>
              <w:spacing w:line="360" w:lineRule="auto"/>
              <w:rPr>
                <w:rFonts w:cs="Times New Roman"/>
              </w:rPr>
            </w:pPr>
            <w:r w:rsidRPr="00DD7E94">
              <w:rPr>
                <w:rFonts w:eastAsia="Arial" w:cs="Times New Roman"/>
              </w:rPr>
              <w:t>Three subscription tiers with plant-based, vegan, biodegradable concentrates in reusable glass bottles. Refills are dissolvable tablets. All formulations published in full online. Packaging is 100% recycled cardboard with compostable inner lining.</w:t>
            </w:r>
          </w:p>
        </w:tc>
      </w:tr>
      <w:tr w:rsidR="00DD7E94" w:rsidRPr="00DD7E94" w14:paraId="35E6D23C" w14:textId="77777777" w:rsidTr="00DD7E94">
        <w:tc>
          <w:tcPr>
            <w:tcW w:w="1200" w:type="dxa"/>
          </w:tcPr>
          <w:p w14:paraId="14B20F2C" w14:textId="77777777" w:rsidR="00DD7E94" w:rsidRPr="00DD7E94" w:rsidRDefault="00DD7E94" w:rsidP="00DD7E94">
            <w:pPr>
              <w:spacing w:line="360" w:lineRule="auto"/>
              <w:rPr>
                <w:rFonts w:cs="Times New Roman"/>
              </w:rPr>
            </w:pPr>
            <w:r w:rsidRPr="00DD7E94">
              <w:rPr>
                <w:rFonts w:eastAsia="Arial" w:cs="Times New Roman"/>
              </w:rPr>
              <w:t>Price</w:t>
            </w:r>
          </w:p>
        </w:tc>
        <w:tc>
          <w:tcPr>
            <w:tcW w:w="8160" w:type="dxa"/>
          </w:tcPr>
          <w:p w14:paraId="0DFCCA3A" w14:textId="77777777" w:rsidR="00DD7E94" w:rsidRPr="00DD7E94" w:rsidRDefault="00DD7E94" w:rsidP="00DD7E94">
            <w:pPr>
              <w:spacing w:line="360" w:lineRule="auto"/>
              <w:rPr>
                <w:rFonts w:cs="Times New Roman"/>
              </w:rPr>
            </w:pPr>
            <w:r w:rsidRPr="00DD7E94">
              <w:rPr>
                <w:rFonts w:eastAsia="Arial" w:cs="Times New Roman"/>
              </w:rPr>
              <w:t>Starter GBP 12.99/month; Family GBP 22.99/month; Premium GBP 34.99/month. Annual prepay offers 15% discount. First box at 50% off reduces adoption barrier. Value-based pricing communicates lower cost-per-use than retail eco alternatives to address cost-of-living sensitivity (Mintel, 2025).</w:t>
            </w:r>
          </w:p>
        </w:tc>
      </w:tr>
      <w:tr w:rsidR="00DD7E94" w:rsidRPr="00DD7E94" w14:paraId="66B15C0A" w14:textId="77777777" w:rsidTr="00DD7E94">
        <w:tc>
          <w:tcPr>
            <w:tcW w:w="1200" w:type="dxa"/>
          </w:tcPr>
          <w:p w14:paraId="731C265B" w14:textId="77777777" w:rsidR="00DD7E94" w:rsidRPr="00DD7E94" w:rsidRDefault="00DD7E94" w:rsidP="00DD7E94">
            <w:pPr>
              <w:spacing w:line="360" w:lineRule="auto"/>
              <w:rPr>
                <w:rFonts w:cs="Times New Roman"/>
              </w:rPr>
            </w:pPr>
            <w:r w:rsidRPr="00DD7E94">
              <w:rPr>
                <w:rFonts w:eastAsia="Arial" w:cs="Times New Roman"/>
              </w:rPr>
              <w:t>Place</w:t>
            </w:r>
          </w:p>
        </w:tc>
        <w:tc>
          <w:tcPr>
            <w:tcW w:w="8160" w:type="dxa"/>
          </w:tcPr>
          <w:p w14:paraId="19F853BE" w14:textId="77777777" w:rsidR="00DD7E94" w:rsidRPr="00DD7E94" w:rsidRDefault="00DD7E94" w:rsidP="00DD7E94">
            <w:pPr>
              <w:spacing w:line="360" w:lineRule="auto"/>
              <w:rPr>
                <w:rFonts w:cs="Times New Roman"/>
              </w:rPr>
            </w:pPr>
            <w:r w:rsidRPr="00DD7E94">
              <w:rPr>
                <w:rFonts w:eastAsia="Arial" w:cs="Times New Roman"/>
              </w:rPr>
              <w:t>Exclusively D2C through a Shopify website with Recharge subscription management. Third-party logistics partner in the East Midlands handles fulfilment. No retail distribution in Year 1. Digital-only presence reduces overhead and maintains brand control (Straits Research, 2024).</w:t>
            </w:r>
          </w:p>
        </w:tc>
      </w:tr>
      <w:tr w:rsidR="00DD7E94" w:rsidRPr="00DD7E94" w14:paraId="2B5B9438" w14:textId="77777777" w:rsidTr="00DD7E94">
        <w:tc>
          <w:tcPr>
            <w:tcW w:w="1200" w:type="dxa"/>
          </w:tcPr>
          <w:p w14:paraId="3D24D86E" w14:textId="77777777" w:rsidR="00DD7E94" w:rsidRPr="00DD7E94" w:rsidRDefault="00DD7E94" w:rsidP="00DD7E94">
            <w:pPr>
              <w:spacing w:line="360" w:lineRule="auto"/>
              <w:rPr>
                <w:rFonts w:cs="Times New Roman"/>
              </w:rPr>
            </w:pPr>
            <w:r w:rsidRPr="00DD7E94">
              <w:rPr>
                <w:rFonts w:eastAsia="Arial" w:cs="Times New Roman"/>
              </w:rPr>
              <w:t>Promotion</w:t>
            </w:r>
          </w:p>
        </w:tc>
        <w:tc>
          <w:tcPr>
            <w:tcW w:w="8160" w:type="dxa"/>
          </w:tcPr>
          <w:p w14:paraId="498FC3E9" w14:textId="77777777" w:rsidR="00DD7E94" w:rsidRPr="00DD7E94" w:rsidRDefault="00DD7E94" w:rsidP="00DD7E94">
            <w:pPr>
              <w:spacing w:line="360" w:lineRule="auto"/>
              <w:rPr>
                <w:rFonts w:cs="Times New Roman"/>
              </w:rPr>
            </w:pPr>
            <w:r w:rsidRPr="00DD7E94">
              <w:rPr>
                <w:rFonts w:eastAsia="Arial" w:cs="Times New Roman"/>
              </w:rPr>
              <w:t>Digital-first strategy across Instagram, TikTok, and Pinterest targeting female millennials and Gen X. Micro-influencer partnerships in the sustainability niche. Referral scheme awards one free month per successful referral. Email automation manages onboarding, retention, and win-back sequences. PR targets UK sustainability press.</w:t>
            </w:r>
          </w:p>
        </w:tc>
      </w:tr>
    </w:tbl>
    <w:p w14:paraId="7351E243" w14:textId="77777777" w:rsidR="00DD7E94" w:rsidRPr="00DD7E94" w:rsidRDefault="00DD7E94" w:rsidP="00DD7E94">
      <w:pPr>
        <w:spacing w:before="100" w:after="80"/>
      </w:pPr>
    </w:p>
    <w:p w14:paraId="27620DD7" w14:textId="77777777" w:rsidR="00DD7E94" w:rsidRPr="00DD7E94" w:rsidRDefault="00DD7E94" w:rsidP="00DD7E94">
      <w:pPr>
        <w:pStyle w:val="Heading2"/>
        <w:rPr>
          <w:color w:val="auto"/>
        </w:rPr>
      </w:pPr>
      <w:bookmarkStart w:id="11" w:name="_Toc226669827"/>
      <w:r w:rsidRPr="00DD7E94">
        <w:rPr>
          <w:rFonts w:ascii="Arial" w:eastAsia="Arial" w:hAnsi="Arial" w:cs="Arial"/>
          <w:bCs/>
          <w:color w:val="auto"/>
          <w:szCs w:val="24"/>
        </w:rPr>
        <w:t>3.3 Online Marketing Strategies</w:t>
      </w:r>
      <w:bookmarkEnd w:id="11"/>
    </w:p>
    <w:p w14:paraId="3E54FEE5" w14:textId="77777777" w:rsidR="00DD7E94" w:rsidRPr="00DD7E94" w:rsidRDefault="00DD7E94" w:rsidP="00DD7E94">
      <w:pPr>
        <w:tabs>
          <w:tab w:val="left" w:pos="839"/>
        </w:tabs>
        <w:spacing w:line="360" w:lineRule="auto"/>
      </w:pPr>
      <w:r w:rsidRPr="00DD7E94">
        <w:t>EcoNest UK Ltd will use four digital marketing strategies during the launch. The former is SEO and content marketing: an eco-cleaning blog about ingredient safety, plastic-free lifestyle, and guides on how to have a sustainable home will create organic search power within the eco-cleaning market. Since searches of eco-friendly cleaning products have increased by 810 per cent in 2014-2024 (Banc Media, 2024), there is long-term organic demand which can be captured at the lowest marginal cost. The second is micro-influencer social commerce: the collaboration with 10,000-100,000 follower creators in the UK in the area of sustainability in Instagram and Tik Tok will generate an original unboxing and demonstration material. The rate of engagement with micro-influencers is higher when compared with macro-influencers at a fraction of the cost, which is appropriate considering the limited budget in the marketing of the launch (Expert Market Research, 2024). The third is email lifecycle automation: Automated steps lead the subscribers through a series of welcome, usage instructions, and win-back messages to churned customers. IJNRD (2023) verifies that retention is statistically higher in subscription businesses that have good post-purchase communication. The fourth is a referral programme: active subscribers will receive a month free on every successful referral, turning satisfied customers into a free acquisition channel and decreasing the customer acquisition cost in the long run. International Journal of Multidisciplinary Research (2025) asserts that the most vital factors to maintain subscription loyalty beyond the first offer period are community-building and values alignment. The review of performance by all four strategies is monthly based on KPIs that measure the performance in terms of conversion rate, cost per acquisition, subscriber lifetime value, and net promoter score (Business Wire, 2025).</w:t>
      </w:r>
    </w:p>
    <w:p w14:paraId="33608FD7" w14:textId="77777777" w:rsidR="00DD7E94" w:rsidRPr="00DD7E94" w:rsidRDefault="00DD7E94" w:rsidP="00DD7E94">
      <w:pPr>
        <w:pStyle w:val="Heading1"/>
        <w:rPr>
          <w:color w:val="auto"/>
        </w:rPr>
      </w:pPr>
      <w:bookmarkStart w:id="12" w:name="_Toc226669828"/>
      <w:r w:rsidRPr="00DD7E94">
        <w:rPr>
          <w:rFonts w:ascii="Arial" w:eastAsia="Arial" w:hAnsi="Arial" w:cs="Arial"/>
          <w:bCs/>
          <w:color w:val="auto"/>
          <w:sz w:val="30"/>
          <w:szCs w:val="30"/>
        </w:rPr>
        <w:t>Element 4: Legal, Management, and Financial Planning</w:t>
      </w:r>
      <w:bookmarkEnd w:id="12"/>
    </w:p>
    <w:p w14:paraId="1A7B0433" w14:textId="77777777" w:rsidR="00DD7E94" w:rsidRPr="00DD7E94" w:rsidRDefault="00DD7E94" w:rsidP="00DD7E94">
      <w:pPr>
        <w:pStyle w:val="Heading2"/>
        <w:rPr>
          <w:color w:val="auto"/>
        </w:rPr>
      </w:pPr>
      <w:bookmarkStart w:id="13" w:name="_Toc226669829"/>
      <w:r w:rsidRPr="00DD7E94">
        <w:rPr>
          <w:rFonts w:ascii="Arial" w:eastAsia="Arial" w:hAnsi="Arial" w:cs="Arial"/>
          <w:bCs/>
          <w:color w:val="auto"/>
          <w:szCs w:val="24"/>
        </w:rPr>
        <w:t>4.1 UK Legal Business Structure Definitions</w:t>
      </w:r>
      <w:bookmarkEnd w:id="13"/>
    </w:p>
    <w:p w14:paraId="7C5CCAE0" w14:textId="77777777" w:rsidR="00DD7E94" w:rsidRPr="00DD7E94" w:rsidRDefault="00DD7E94" w:rsidP="00DD7E94">
      <w:pPr>
        <w:spacing w:before="60" w:after="60"/>
        <w:jc w:val="center"/>
      </w:pPr>
      <w:r w:rsidRPr="00DD7E94">
        <w:rPr>
          <w:rFonts w:ascii="Arial" w:eastAsia="Arial" w:hAnsi="Arial" w:cs="Arial"/>
          <w:b/>
          <w:bCs/>
          <w:i/>
          <w:iCs/>
          <w:sz w:val="20"/>
          <w:szCs w:val="20"/>
        </w:rPr>
        <w:t>Table 4: Key UK Business Structures</w:t>
      </w:r>
    </w:p>
    <w:tbl>
      <w:tblPr>
        <w:tblStyle w:val="TableGrid"/>
        <w:tblW w:w="9360" w:type="dxa"/>
        <w:tblLook w:val="04A0" w:firstRow="1" w:lastRow="0" w:firstColumn="1" w:lastColumn="0" w:noHBand="0" w:noVBand="1"/>
      </w:tblPr>
      <w:tblGrid>
        <w:gridCol w:w="1800"/>
        <w:gridCol w:w="7560"/>
      </w:tblGrid>
      <w:tr w:rsidR="00DD7E94" w:rsidRPr="00DD7E94" w14:paraId="42BB2C73" w14:textId="77777777" w:rsidTr="00DD7E94">
        <w:tc>
          <w:tcPr>
            <w:tcW w:w="1800" w:type="dxa"/>
          </w:tcPr>
          <w:p w14:paraId="0EDFF5FA" w14:textId="77777777" w:rsidR="00DD7E94" w:rsidRPr="00DD7E94" w:rsidRDefault="00DD7E94" w:rsidP="00DD7E94">
            <w:pPr>
              <w:spacing w:line="360" w:lineRule="auto"/>
              <w:rPr>
                <w:rFonts w:cs="Times New Roman"/>
              </w:rPr>
            </w:pPr>
            <w:r w:rsidRPr="00DD7E94">
              <w:rPr>
                <w:rFonts w:eastAsia="Arial" w:cs="Times New Roman"/>
                <w:b/>
                <w:bCs/>
              </w:rPr>
              <w:t>Structure</w:t>
            </w:r>
          </w:p>
        </w:tc>
        <w:tc>
          <w:tcPr>
            <w:tcW w:w="7560" w:type="dxa"/>
          </w:tcPr>
          <w:p w14:paraId="40EC4260" w14:textId="77777777" w:rsidR="00DD7E94" w:rsidRPr="00DD7E94" w:rsidRDefault="00DD7E94" w:rsidP="00DD7E94">
            <w:pPr>
              <w:spacing w:line="360" w:lineRule="auto"/>
              <w:rPr>
                <w:rFonts w:cs="Times New Roman"/>
              </w:rPr>
            </w:pPr>
            <w:r w:rsidRPr="00DD7E94">
              <w:rPr>
                <w:rFonts w:eastAsia="Arial" w:cs="Times New Roman"/>
                <w:b/>
                <w:bCs/>
              </w:rPr>
              <w:t>Definition</w:t>
            </w:r>
          </w:p>
        </w:tc>
      </w:tr>
      <w:tr w:rsidR="00DD7E94" w:rsidRPr="00DD7E94" w14:paraId="4F925965" w14:textId="77777777" w:rsidTr="00DD7E94">
        <w:tc>
          <w:tcPr>
            <w:tcW w:w="1800" w:type="dxa"/>
          </w:tcPr>
          <w:p w14:paraId="21A50DDF" w14:textId="77777777" w:rsidR="00DD7E94" w:rsidRPr="00DD7E94" w:rsidRDefault="00DD7E94" w:rsidP="00DD7E94">
            <w:pPr>
              <w:spacing w:line="360" w:lineRule="auto"/>
              <w:rPr>
                <w:rFonts w:cs="Times New Roman"/>
              </w:rPr>
            </w:pPr>
            <w:r w:rsidRPr="00DD7E94">
              <w:rPr>
                <w:rFonts w:eastAsia="Arial" w:cs="Times New Roman"/>
              </w:rPr>
              <w:t>Limited Company</w:t>
            </w:r>
          </w:p>
        </w:tc>
        <w:tc>
          <w:tcPr>
            <w:tcW w:w="7560" w:type="dxa"/>
          </w:tcPr>
          <w:p w14:paraId="5411F289" w14:textId="77777777" w:rsidR="00DD7E94" w:rsidRPr="00DD7E94" w:rsidRDefault="00DD7E94" w:rsidP="00DD7E94">
            <w:pPr>
              <w:spacing w:line="360" w:lineRule="auto"/>
              <w:rPr>
                <w:rFonts w:cs="Times New Roman"/>
              </w:rPr>
            </w:pPr>
            <w:r w:rsidRPr="00DD7E94">
              <w:rPr>
                <w:rFonts w:eastAsia="Arial" w:cs="Times New Roman"/>
              </w:rPr>
              <w:t>A separate legal entity from its owners, incorporated at Companies House. Liability is limited to share value. Files annual accounts publicly and pays corporation tax on profits.</w:t>
            </w:r>
          </w:p>
        </w:tc>
      </w:tr>
      <w:tr w:rsidR="00DD7E94" w:rsidRPr="00DD7E94" w14:paraId="2F883AF5" w14:textId="77777777" w:rsidTr="00DD7E94">
        <w:tc>
          <w:tcPr>
            <w:tcW w:w="1800" w:type="dxa"/>
          </w:tcPr>
          <w:p w14:paraId="3C7C598C" w14:textId="77777777" w:rsidR="00DD7E94" w:rsidRPr="00DD7E94" w:rsidRDefault="00DD7E94" w:rsidP="00DD7E94">
            <w:pPr>
              <w:spacing w:line="360" w:lineRule="auto"/>
              <w:rPr>
                <w:rFonts w:cs="Times New Roman"/>
              </w:rPr>
            </w:pPr>
            <w:r w:rsidRPr="00DD7E94">
              <w:rPr>
                <w:rFonts w:eastAsia="Arial" w:cs="Times New Roman"/>
              </w:rPr>
              <w:t>Sole Trader</w:t>
            </w:r>
          </w:p>
        </w:tc>
        <w:tc>
          <w:tcPr>
            <w:tcW w:w="7560" w:type="dxa"/>
          </w:tcPr>
          <w:p w14:paraId="0984323E" w14:textId="77777777" w:rsidR="00DD7E94" w:rsidRPr="00DD7E94" w:rsidRDefault="00DD7E94" w:rsidP="00DD7E94">
            <w:pPr>
              <w:spacing w:line="360" w:lineRule="auto"/>
              <w:rPr>
                <w:rFonts w:cs="Times New Roman"/>
              </w:rPr>
            </w:pPr>
            <w:r w:rsidRPr="00DD7E94">
              <w:rPr>
                <w:rFonts w:eastAsia="Arial" w:cs="Times New Roman"/>
              </w:rPr>
              <w:t>Single individual owns and runs the business with unlimited personal liability for all debts. Income tax paid through Self Assessment. No Companies House registration required.</w:t>
            </w:r>
          </w:p>
        </w:tc>
      </w:tr>
      <w:tr w:rsidR="00DD7E94" w:rsidRPr="00DD7E94" w14:paraId="5D8146E6" w14:textId="77777777" w:rsidTr="00DD7E94">
        <w:tc>
          <w:tcPr>
            <w:tcW w:w="1800" w:type="dxa"/>
          </w:tcPr>
          <w:p w14:paraId="184A98F5" w14:textId="77777777" w:rsidR="00DD7E94" w:rsidRPr="00DD7E94" w:rsidRDefault="00DD7E94" w:rsidP="00DD7E94">
            <w:pPr>
              <w:spacing w:line="360" w:lineRule="auto"/>
              <w:rPr>
                <w:rFonts w:cs="Times New Roman"/>
              </w:rPr>
            </w:pPr>
            <w:r w:rsidRPr="00DD7E94">
              <w:rPr>
                <w:rFonts w:eastAsia="Arial" w:cs="Times New Roman"/>
              </w:rPr>
              <w:t>Partnership</w:t>
            </w:r>
          </w:p>
        </w:tc>
        <w:tc>
          <w:tcPr>
            <w:tcW w:w="7560" w:type="dxa"/>
          </w:tcPr>
          <w:p w14:paraId="00DA9B37" w14:textId="77777777" w:rsidR="00DD7E94" w:rsidRPr="00DD7E94" w:rsidRDefault="00DD7E94" w:rsidP="00DD7E94">
            <w:pPr>
              <w:spacing w:line="360" w:lineRule="auto"/>
              <w:rPr>
                <w:rFonts w:cs="Times New Roman"/>
              </w:rPr>
            </w:pPr>
            <w:r w:rsidRPr="00DD7E94">
              <w:rPr>
                <w:rFonts w:eastAsia="Arial" w:cs="Times New Roman"/>
              </w:rPr>
              <w:t>Two or more individuals share ownership. Partners are jointly and severally liable unless structured as a Limited Liability Partnership (LLP), which requires Companies House registration.</w:t>
            </w:r>
          </w:p>
        </w:tc>
      </w:tr>
      <w:tr w:rsidR="00DD7E94" w:rsidRPr="00DD7E94" w14:paraId="5DD8A389" w14:textId="77777777" w:rsidTr="00DD7E94">
        <w:tc>
          <w:tcPr>
            <w:tcW w:w="1800" w:type="dxa"/>
          </w:tcPr>
          <w:p w14:paraId="4389CF0E" w14:textId="77777777" w:rsidR="00DD7E94" w:rsidRPr="00DD7E94" w:rsidRDefault="00DD7E94" w:rsidP="00DD7E94">
            <w:pPr>
              <w:spacing w:line="360" w:lineRule="auto"/>
              <w:rPr>
                <w:rFonts w:cs="Times New Roman"/>
              </w:rPr>
            </w:pPr>
            <w:r w:rsidRPr="00DD7E94">
              <w:rPr>
                <w:rFonts w:eastAsia="Arial" w:cs="Times New Roman"/>
              </w:rPr>
              <w:t>Franchise</w:t>
            </w:r>
          </w:p>
        </w:tc>
        <w:tc>
          <w:tcPr>
            <w:tcW w:w="7560" w:type="dxa"/>
          </w:tcPr>
          <w:p w14:paraId="18D927CD" w14:textId="77777777" w:rsidR="00DD7E94" w:rsidRPr="00DD7E94" w:rsidRDefault="00DD7E94" w:rsidP="00DD7E94">
            <w:pPr>
              <w:spacing w:line="360" w:lineRule="auto"/>
              <w:rPr>
                <w:rFonts w:cs="Times New Roman"/>
              </w:rPr>
            </w:pPr>
            <w:r w:rsidRPr="00DD7E94">
              <w:rPr>
                <w:rFonts w:eastAsia="Arial" w:cs="Times New Roman"/>
              </w:rPr>
              <w:t>A franchisor grants a franchisee the right to operate under an established brand and system in exchange for fees or royalties. The franchisee operates independently within the franchisor's framework.</w:t>
            </w:r>
          </w:p>
        </w:tc>
      </w:tr>
      <w:tr w:rsidR="00DD7E94" w:rsidRPr="00DD7E94" w14:paraId="59B3A869" w14:textId="77777777" w:rsidTr="00DD7E94">
        <w:tc>
          <w:tcPr>
            <w:tcW w:w="1800" w:type="dxa"/>
          </w:tcPr>
          <w:p w14:paraId="5B06A439" w14:textId="77777777" w:rsidR="00DD7E94" w:rsidRPr="00DD7E94" w:rsidRDefault="00DD7E94" w:rsidP="00DD7E94">
            <w:pPr>
              <w:spacing w:line="360" w:lineRule="auto"/>
              <w:rPr>
                <w:rFonts w:cs="Times New Roman"/>
              </w:rPr>
            </w:pPr>
            <w:r w:rsidRPr="00DD7E94">
              <w:rPr>
                <w:rFonts w:eastAsia="Arial" w:cs="Times New Roman"/>
              </w:rPr>
              <w:t>Online Enterprise</w:t>
            </w:r>
          </w:p>
        </w:tc>
        <w:tc>
          <w:tcPr>
            <w:tcW w:w="7560" w:type="dxa"/>
          </w:tcPr>
          <w:p w14:paraId="28D6F64D" w14:textId="77777777" w:rsidR="00DD7E94" w:rsidRPr="00DD7E94" w:rsidRDefault="00DD7E94" w:rsidP="00DD7E94">
            <w:pPr>
              <w:spacing w:line="360" w:lineRule="auto"/>
              <w:rPr>
                <w:rFonts w:cs="Times New Roman"/>
              </w:rPr>
            </w:pPr>
            <w:r w:rsidRPr="00DD7E94">
              <w:rPr>
                <w:rFonts w:eastAsia="Arial" w:cs="Times New Roman"/>
              </w:rPr>
              <w:t>A business operating primarily through digital channels, including e-commerce and subscription platforms. The legal structure is separate; it may be any of the forms listed above.</w:t>
            </w:r>
          </w:p>
        </w:tc>
      </w:tr>
      <w:tr w:rsidR="00DD7E94" w:rsidRPr="00DD7E94" w14:paraId="267C4FED" w14:textId="77777777" w:rsidTr="00DD7E94">
        <w:tc>
          <w:tcPr>
            <w:tcW w:w="1800" w:type="dxa"/>
          </w:tcPr>
          <w:p w14:paraId="5C50A613" w14:textId="77777777" w:rsidR="00DD7E94" w:rsidRPr="00DD7E94" w:rsidRDefault="00DD7E94" w:rsidP="00DD7E94">
            <w:pPr>
              <w:spacing w:line="360" w:lineRule="auto"/>
              <w:rPr>
                <w:rFonts w:cs="Times New Roman"/>
              </w:rPr>
            </w:pPr>
            <w:r w:rsidRPr="00DD7E94">
              <w:rPr>
                <w:rFonts w:eastAsia="Arial" w:cs="Times New Roman"/>
              </w:rPr>
              <w:t>Social Enterprise</w:t>
            </w:r>
          </w:p>
        </w:tc>
        <w:tc>
          <w:tcPr>
            <w:tcW w:w="7560" w:type="dxa"/>
          </w:tcPr>
          <w:p w14:paraId="1D001041" w14:textId="77777777" w:rsidR="00DD7E94" w:rsidRPr="00DD7E94" w:rsidRDefault="00DD7E94" w:rsidP="00DD7E94">
            <w:pPr>
              <w:spacing w:line="360" w:lineRule="auto"/>
              <w:rPr>
                <w:rFonts w:cs="Times New Roman"/>
              </w:rPr>
            </w:pPr>
            <w:r w:rsidRPr="00DD7E94">
              <w:rPr>
                <w:rFonts w:eastAsia="Arial" w:cs="Times New Roman"/>
              </w:rPr>
              <w:t>An organisation trading commercially but prioritising a social or environmental mission over profit distribution. Common structures include Community Interest Companies (CICs) and co-operatives.</w:t>
            </w:r>
          </w:p>
        </w:tc>
      </w:tr>
    </w:tbl>
    <w:p w14:paraId="0A13076D" w14:textId="77777777" w:rsidR="00DD7E94" w:rsidRPr="00DD7E94" w:rsidRDefault="00DD7E94" w:rsidP="00DD7E94">
      <w:pPr>
        <w:spacing w:before="100" w:after="60"/>
      </w:pPr>
    </w:p>
    <w:p w14:paraId="17108949" w14:textId="77777777" w:rsidR="00DD7E94" w:rsidRPr="00DD7E94" w:rsidRDefault="00DD7E94" w:rsidP="00DD7E94">
      <w:pPr>
        <w:pStyle w:val="Heading2"/>
        <w:rPr>
          <w:color w:val="auto"/>
        </w:rPr>
      </w:pPr>
      <w:bookmarkStart w:id="14" w:name="_Toc226669830"/>
      <w:r w:rsidRPr="00DD7E94">
        <w:rPr>
          <w:rFonts w:ascii="Arial" w:eastAsia="Arial" w:hAnsi="Arial" w:cs="Arial"/>
          <w:bCs/>
          <w:color w:val="auto"/>
          <w:szCs w:val="24"/>
        </w:rPr>
        <w:t>4.2 Chosen Structure and Justification</w:t>
      </w:r>
      <w:bookmarkEnd w:id="14"/>
    </w:p>
    <w:p w14:paraId="3C1D67AA" w14:textId="77777777" w:rsidR="00DD7E94" w:rsidRPr="00DD7E94" w:rsidRDefault="00DD7E94" w:rsidP="00DD7E94">
      <w:pPr>
        <w:tabs>
          <w:tab w:val="left" w:pos="839"/>
        </w:tabs>
        <w:spacing w:line="360" w:lineRule="auto"/>
      </w:pPr>
      <w:r w:rsidRPr="00DD7E94">
        <w:t>EcoNest UK Ltd is a private limited company at the time of inception registered at the Companies House. It offers limited liability to all founders, which is important when a subscription business has accrued ongoing contractual liabilities to hundreds of customers and supplier credit facilities at the same time, and could face a lawsuit. The Ltd form also exhibits an enormous credibility to wholesale ingredient suppliers, third party logistics providers, and would be much better placed in the eyes of prospective angel investors, than a sole trader who operates with no registered business. This trust justifies the proposed expansion of the business to business channel within the second to third years whereby the corporate consumers will want to deal with a registered limited company. The efficiency of corporation tax on profits, which is typically more effective than income tax via Self Assessment, is more effective on a growth stage business that does not pay out profit as personal income and instead retains the earnings to reinvest in the business (UniVdatos, 2025). A sole trader form was specifically ruled out since having unlimited personal liability would be inappropriate in the context of the amount of contract and financial liabilities that a subscription business will accrue over time. Partnership was not considered as it would create the problem of shared liability and complexity in governance which was not needed at the initial stage of its inception.</w:t>
      </w:r>
    </w:p>
    <w:p w14:paraId="157FB5E2" w14:textId="77777777" w:rsidR="00DD7E94" w:rsidRPr="00DD7E94" w:rsidRDefault="00DD7E94" w:rsidP="00DD7E94">
      <w:pPr>
        <w:pStyle w:val="Heading2"/>
        <w:rPr>
          <w:color w:val="auto"/>
        </w:rPr>
      </w:pPr>
      <w:bookmarkStart w:id="15" w:name="_Toc226669831"/>
      <w:r w:rsidRPr="00DD7E94">
        <w:rPr>
          <w:rFonts w:ascii="Arial" w:eastAsia="Arial" w:hAnsi="Arial" w:cs="Arial"/>
          <w:bCs/>
          <w:color w:val="auto"/>
          <w:szCs w:val="24"/>
        </w:rPr>
        <w:t>4.3 Organisational Structure</w:t>
      </w:r>
      <w:bookmarkEnd w:id="15"/>
    </w:p>
    <w:p w14:paraId="5F715533" w14:textId="77777777" w:rsidR="00DD7E94" w:rsidRPr="00DD7E94" w:rsidRDefault="00DD7E94" w:rsidP="00DD7E94">
      <w:pPr>
        <w:spacing w:before="60" w:after="60"/>
        <w:jc w:val="center"/>
      </w:pPr>
      <w:r w:rsidRPr="00DD7E94">
        <w:rPr>
          <w:rFonts w:ascii="Arial" w:eastAsia="Arial" w:hAnsi="Arial" w:cs="Arial"/>
          <w:b/>
          <w:bCs/>
          <w:i/>
          <w:iCs/>
          <w:sz w:val="20"/>
          <w:szCs w:val="20"/>
        </w:rPr>
        <w:t>Table 5: EcoNest UK Ltd Year 1 Organisational Chart</w:t>
      </w:r>
    </w:p>
    <w:tbl>
      <w:tblPr>
        <w:tblStyle w:val="TableGrid"/>
        <w:tblW w:w="9360" w:type="dxa"/>
        <w:tblLook w:val="04A0" w:firstRow="1" w:lastRow="0" w:firstColumn="1" w:lastColumn="0" w:noHBand="0" w:noVBand="1"/>
      </w:tblPr>
      <w:tblGrid>
        <w:gridCol w:w="3120"/>
        <w:gridCol w:w="3120"/>
        <w:gridCol w:w="3120"/>
      </w:tblGrid>
      <w:tr w:rsidR="00DD7E94" w:rsidRPr="00DD7E94" w14:paraId="088FB772" w14:textId="77777777" w:rsidTr="00DD7E94">
        <w:tc>
          <w:tcPr>
            <w:tcW w:w="3120" w:type="dxa"/>
          </w:tcPr>
          <w:p w14:paraId="19DE64EA" w14:textId="77777777" w:rsidR="00DD7E94" w:rsidRPr="00DD7E94" w:rsidRDefault="00DD7E94" w:rsidP="00DD7E94">
            <w:pPr>
              <w:spacing w:line="360" w:lineRule="auto"/>
              <w:rPr>
                <w:rFonts w:cs="Times New Roman"/>
              </w:rPr>
            </w:pPr>
          </w:p>
        </w:tc>
        <w:tc>
          <w:tcPr>
            <w:tcW w:w="3120" w:type="dxa"/>
          </w:tcPr>
          <w:p w14:paraId="03D22141" w14:textId="77777777" w:rsidR="00DD7E94" w:rsidRPr="00DD7E94" w:rsidRDefault="00DD7E94" w:rsidP="00DD7E94">
            <w:pPr>
              <w:spacing w:line="360" w:lineRule="auto"/>
              <w:rPr>
                <w:rFonts w:cs="Times New Roman"/>
              </w:rPr>
            </w:pPr>
            <w:r w:rsidRPr="00DD7E94">
              <w:rPr>
                <w:rFonts w:eastAsia="Arial" w:cs="Times New Roman"/>
                <w:b/>
                <w:bCs/>
              </w:rPr>
              <w:t>Managing Director</w:t>
            </w:r>
          </w:p>
        </w:tc>
        <w:tc>
          <w:tcPr>
            <w:tcW w:w="3120" w:type="dxa"/>
          </w:tcPr>
          <w:p w14:paraId="2F526F97" w14:textId="77777777" w:rsidR="00DD7E94" w:rsidRPr="00DD7E94" w:rsidRDefault="00DD7E94" w:rsidP="00DD7E94">
            <w:pPr>
              <w:spacing w:line="360" w:lineRule="auto"/>
              <w:rPr>
                <w:rFonts w:cs="Times New Roman"/>
              </w:rPr>
            </w:pPr>
          </w:p>
        </w:tc>
      </w:tr>
      <w:tr w:rsidR="00DD7E94" w:rsidRPr="00DD7E94" w14:paraId="0823FE6E" w14:textId="77777777" w:rsidTr="00DD7E94">
        <w:tc>
          <w:tcPr>
            <w:tcW w:w="3120" w:type="dxa"/>
          </w:tcPr>
          <w:p w14:paraId="0C7D3DC0" w14:textId="77777777" w:rsidR="00DD7E94" w:rsidRPr="00DD7E94" w:rsidRDefault="00DD7E94" w:rsidP="00DD7E94">
            <w:pPr>
              <w:spacing w:line="360" w:lineRule="auto"/>
              <w:rPr>
                <w:rFonts w:cs="Times New Roman"/>
              </w:rPr>
            </w:pPr>
            <w:r w:rsidRPr="00DD7E94">
              <w:rPr>
                <w:rFonts w:eastAsia="Arial" w:cs="Times New Roman"/>
              </w:rPr>
              <w:t>Operations Manager Fulfilment, Suppliers, Logistics</w:t>
            </w:r>
          </w:p>
        </w:tc>
        <w:tc>
          <w:tcPr>
            <w:tcW w:w="3120" w:type="dxa"/>
          </w:tcPr>
          <w:p w14:paraId="3BB69E1B" w14:textId="77777777" w:rsidR="00DD7E94" w:rsidRPr="00DD7E94" w:rsidRDefault="00DD7E94" w:rsidP="00DD7E94">
            <w:pPr>
              <w:spacing w:line="360" w:lineRule="auto"/>
              <w:rPr>
                <w:rFonts w:cs="Times New Roman"/>
              </w:rPr>
            </w:pPr>
            <w:r w:rsidRPr="00DD7E94">
              <w:rPr>
                <w:rFonts w:eastAsia="Arial" w:cs="Times New Roman"/>
              </w:rPr>
              <w:t>Marketing Manager Digital, Content, Social</w:t>
            </w:r>
          </w:p>
        </w:tc>
        <w:tc>
          <w:tcPr>
            <w:tcW w:w="3120" w:type="dxa"/>
          </w:tcPr>
          <w:p w14:paraId="67DC43DA" w14:textId="77777777" w:rsidR="00DD7E94" w:rsidRPr="00DD7E94" w:rsidRDefault="00DD7E94" w:rsidP="00DD7E94">
            <w:pPr>
              <w:spacing w:line="360" w:lineRule="auto"/>
              <w:rPr>
                <w:rFonts w:cs="Times New Roman"/>
              </w:rPr>
            </w:pPr>
            <w:r w:rsidRPr="00DD7E94">
              <w:rPr>
                <w:rFonts w:eastAsia="Arial" w:cs="Times New Roman"/>
              </w:rPr>
              <w:t>Customer Experience Lead Subscriber Support, Retention</w:t>
            </w:r>
          </w:p>
        </w:tc>
      </w:tr>
      <w:tr w:rsidR="00DD7E94" w:rsidRPr="00DD7E94" w14:paraId="7324B769" w14:textId="77777777" w:rsidTr="00DD7E94">
        <w:tc>
          <w:tcPr>
            <w:tcW w:w="3120" w:type="dxa"/>
          </w:tcPr>
          <w:p w14:paraId="67E47B94" w14:textId="77777777" w:rsidR="00DD7E94" w:rsidRPr="00DD7E94" w:rsidRDefault="00DD7E94" w:rsidP="00DD7E94">
            <w:pPr>
              <w:spacing w:line="360" w:lineRule="auto"/>
              <w:rPr>
                <w:rFonts w:cs="Times New Roman"/>
              </w:rPr>
            </w:pPr>
            <w:r w:rsidRPr="00DD7E94">
              <w:rPr>
                <w:rFonts w:eastAsia="Arial" w:cs="Times New Roman"/>
              </w:rPr>
              <w:t>3PL Logistics Partner (outsourced)</w:t>
            </w:r>
          </w:p>
        </w:tc>
        <w:tc>
          <w:tcPr>
            <w:tcW w:w="3120" w:type="dxa"/>
          </w:tcPr>
          <w:p w14:paraId="4365D0C1" w14:textId="77777777" w:rsidR="00DD7E94" w:rsidRPr="00DD7E94" w:rsidRDefault="00DD7E94" w:rsidP="00DD7E94">
            <w:pPr>
              <w:spacing w:line="360" w:lineRule="auto"/>
              <w:rPr>
                <w:rFonts w:cs="Times New Roman"/>
              </w:rPr>
            </w:pPr>
            <w:r w:rsidRPr="00DD7E94">
              <w:rPr>
                <w:rFonts w:eastAsia="Arial" w:cs="Times New Roman"/>
              </w:rPr>
              <w:t>Freelance Creators (contracted)</w:t>
            </w:r>
          </w:p>
        </w:tc>
        <w:tc>
          <w:tcPr>
            <w:tcW w:w="3120" w:type="dxa"/>
          </w:tcPr>
          <w:p w14:paraId="34065CD9" w14:textId="77777777" w:rsidR="00DD7E94" w:rsidRPr="00DD7E94" w:rsidRDefault="00DD7E94" w:rsidP="00DD7E94">
            <w:pPr>
              <w:spacing w:line="360" w:lineRule="auto"/>
              <w:rPr>
                <w:rFonts w:cs="Times New Roman"/>
              </w:rPr>
            </w:pPr>
            <w:r w:rsidRPr="00DD7E94">
              <w:rPr>
                <w:rFonts w:eastAsia="Arial" w:cs="Times New Roman"/>
              </w:rPr>
              <w:t>CRM Automation (tech-enabled)</w:t>
            </w:r>
          </w:p>
        </w:tc>
      </w:tr>
    </w:tbl>
    <w:p w14:paraId="629D3B64" w14:textId="77777777" w:rsidR="00DD7E94" w:rsidRPr="00DD7E94" w:rsidRDefault="00DD7E94" w:rsidP="00DD7E94">
      <w:pPr>
        <w:spacing w:before="100" w:after="60"/>
      </w:pPr>
    </w:p>
    <w:p w14:paraId="44FC5C18" w14:textId="77777777" w:rsidR="00DD7E94" w:rsidRPr="00DD7E94" w:rsidRDefault="00DD7E94" w:rsidP="00DD7E94">
      <w:pPr>
        <w:pStyle w:val="Heading2"/>
        <w:rPr>
          <w:color w:val="auto"/>
        </w:rPr>
      </w:pPr>
      <w:bookmarkStart w:id="16" w:name="_Toc226669832"/>
      <w:r w:rsidRPr="00DD7E94">
        <w:rPr>
          <w:rFonts w:ascii="Arial" w:eastAsia="Arial" w:hAnsi="Arial" w:cs="Arial"/>
          <w:bCs/>
          <w:color w:val="auto"/>
          <w:szCs w:val="24"/>
        </w:rPr>
        <w:t>4.4 Start-Up Funding</w:t>
      </w:r>
      <w:bookmarkEnd w:id="16"/>
    </w:p>
    <w:p w14:paraId="2065ECB9" w14:textId="77777777" w:rsidR="00DD7E94" w:rsidRPr="00DD7E94" w:rsidRDefault="00DD7E94" w:rsidP="00DD7E94">
      <w:pPr>
        <w:spacing w:before="60" w:after="60"/>
        <w:jc w:val="center"/>
      </w:pPr>
      <w:r w:rsidRPr="00DD7E94">
        <w:rPr>
          <w:rFonts w:ascii="Arial" w:eastAsia="Arial" w:hAnsi="Arial" w:cs="Arial"/>
          <w:b/>
          <w:bCs/>
          <w:i/>
          <w:iCs/>
          <w:sz w:val="20"/>
          <w:szCs w:val="20"/>
        </w:rPr>
        <w:t>Table 6: Estimated Start-Up Costs and Funding Sources</w:t>
      </w:r>
    </w:p>
    <w:tbl>
      <w:tblPr>
        <w:tblStyle w:val="TableGrid"/>
        <w:tblW w:w="9360" w:type="dxa"/>
        <w:tblLook w:val="04A0" w:firstRow="1" w:lastRow="0" w:firstColumn="1" w:lastColumn="0" w:noHBand="0" w:noVBand="1"/>
      </w:tblPr>
      <w:tblGrid>
        <w:gridCol w:w="4320"/>
        <w:gridCol w:w="2520"/>
        <w:gridCol w:w="2520"/>
      </w:tblGrid>
      <w:tr w:rsidR="00DD7E94" w:rsidRPr="00DD7E94" w14:paraId="762996A5" w14:textId="77777777" w:rsidTr="00DD7E94">
        <w:tc>
          <w:tcPr>
            <w:tcW w:w="4320" w:type="dxa"/>
          </w:tcPr>
          <w:p w14:paraId="01372D2F" w14:textId="77777777" w:rsidR="00DD7E94" w:rsidRPr="00DD7E94" w:rsidRDefault="00DD7E94" w:rsidP="00DD7E94">
            <w:pPr>
              <w:spacing w:line="360" w:lineRule="auto"/>
              <w:rPr>
                <w:rFonts w:cs="Times New Roman"/>
              </w:rPr>
            </w:pPr>
            <w:r w:rsidRPr="00DD7E94">
              <w:rPr>
                <w:rFonts w:eastAsia="Arial" w:cs="Times New Roman"/>
                <w:b/>
                <w:bCs/>
              </w:rPr>
              <w:t>Cost Category</w:t>
            </w:r>
          </w:p>
        </w:tc>
        <w:tc>
          <w:tcPr>
            <w:tcW w:w="2520" w:type="dxa"/>
          </w:tcPr>
          <w:p w14:paraId="3CCD0B7D" w14:textId="77777777" w:rsidR="00DD7E94" w:rsidRPr="00DD7E94" w:rsidRDefault="00DD7E94" w:rsidP="00DD7E94">
            <w:pPr>
              <w:spacing w:line="360" w:lineRule="auto"/>
              <w:rPr>
                <w:rFonts w:cs="Times New Roman"/>
              </w:rPr>
            </w:pPr>
            <w:r w:rsidRPr="00DD7E94">
              <w:rPr>
                <w:rFonts w:eastAsia="Arial" w:cs="Times New Roman"/>
                <w:b/>
                <w:bCs/>
              </w:rPr>
              <w:t>GBP Estimate</w:t>
            </w:r>
          </w:p>
        </w:tc>
        <w:tc>
          <w:tcPr>
            <w:tcW w:w="2520" w:type="dxa"/>
          </w:tcPr>
          <w:p w14:paraId="213E82B8" w14:textId="77777777" w:rsidR="00DD7E94" w:rsidRPr="00DD7E94" w:rsidRDefault="00DD7E94" w:rsidP="00DD7E94">
            <w:pPr>
              <w:spacing w:line="360" w:lineRule="auto"/>
              <w:rPr>
                <w:rFonts w:cs="Times New Roman"/>
              </w:rPr>
            </w:pPr>
            <w:r w:rsidRPr="00DD7E94">
              <w:rPr>
                <w:rFonts w:eastAsia="Arial" w:cs="Times New Roman"/>
                <w:b/>
                <w:bCs/>
              </w:rPr>
              <w:t>Funding Source</w:t>
            </w:r>
          </w:p>
        </w:tc>
      </w:tr>
      <w:tr w:rsidR="00DD7E94" w:rsidRPr="00DD7E94" w14:paraId="6551C3C0" w14:textId="77777777" w:rsidTr="00DD7E94">
        <w:tc>
          <w:tcPr>
            <w:tcW w:w="4320" w:type="dxa"/>
          </w:tcPr>
          <w:p w14:paraId="348534EC" w14:textId="77777777" w:rsidR="00DD7E94" w:rsidRPr="00DD7E94" w:rsidRDefault="00DD7E94" w:rsidP="00DD7E94">
            <w:pPr>
              <w:spacing w:line="360" w:lineRule="auto"/>
              <w:rPr>
                <w:rFonts w:cs="Times New Roman"/>
              </w:rPr>
            </w:pPr>
            <w:r w:rsidRPr="00DD7E94">
              <w:rPr>
                <w:rFonts w:eastAsia="Arial" w:cs="Times New Roman"/>
              </w:rPr>
              <w:t>Website and Recharge subscription integration</w:t>
            </w:r>
          </w:p>
        </w:tc>
        <w:tc>
          <w:tcPr>
            <w:tcW w:w="2520" w:type="dxa"/>
          </w:tcPr>
          <w:p w14:paraId="754C1AAC" w14:textId="77777777" w:rsidR="00DD7E94" w:rsidRPr="00DD7E94" w:rsidRDefault="00DD7E94" w:rsidP="00DD7E94">
            <w:pPr>
              <w:spacing w:line="360" w:lineRule="auto"/>
              <w:rPr>
                <w:rFonts w:cs="Times New Roman"/>
              </w:rPr>
            </w:pPr>
            <w:r w:rsidRPr="00DD7E94">
              <w:rPr>
                <w:rFonts w:eastAsia="Arial" w:cs="Times New Roman"/>
              </w:rPr>
              <w:t>3,500</w:t>
            </w:r>
          </w:p>
        </w:tc>
        <w:tc>
          <w:tcPr>
            <w:tcW w:w="2520" w:type="dxa"/>
          </w:tcPr>
          <w:p w14:paraId="03A829A1" w14:textId="77777777" w:rsidR="00DD7E94" w:rsidRPr="00DD7E94" w:rsidRDefault="00DD7E94" w:rsidP="00DD7E94">
            <w:pPr>
              <w:spacing w:line="360" w:lineRule="auto"/>
              <w:rPr>
                <w:rFonts w:cs="Times New Roman"/>
              </w:rPr>
            </w:pPr>
            <w:r w:rsidRPr="00DD7E94">
              <w:rPr>
                <w:rFonts w:eastAsia="Arial" w:cs="Times New Roman"/>
              </w:rPr>
              <w:t>Founder equity</w:t>
            </w:r>
          </w:p>
        </w:tc>
      </w:tr>
      <w:tr w:rsidR="00DD7E94" w:rsidRPr="00DD7E94" w14:paraId="3650D67D" w14:textId="77777777" w:rsidTr="00DD7E94">
        <w:tc>
          <w:tcPr>
            <w:tcW w:w="4320" w:type="dxa"/>
          </w:tcPr>
          <w:p w14:paraId="0CCF9AC8" w14:textId="77777777" w:rsidR="00DD7E94" w:rsidRPr="00DD7E94" w:rsidRDefault="00DD7E94" w:rsidP="00DD7E94">
            <w:pPr>
              <w:spacing w:line="360" w:lineRule="auto"/>
              <w:rPr>
                <w:rFonts w:cs="Times New Roman"/>
              </w:rPr>
            </w:pPr>
            <w:r w:rsidRPr="00DD7E94">
              <w:rPr>
                <w:rFonts w:eastAsia="Arial" w:cs="Times New Roman"/>
              </w:rPr>
              <w:t>Initial inventory (3-month stock)</w:t>
            </w:r>
          </w:p>
        </w:tc>
        <w:tc>
          <w:tcPr>
            <w:tcW w:w="2520" w:type="dxa"/>
          </w:tcPr>
          <w:p w14:paraId="1371B211" w14:textId="77777777" w:rsidR="00DD7E94" w:rsidRPr="00DD7E94" w:rsidRDefault="00DD7E94" w:rsidP="00DD7E94">
            <w:pPr>
              <w:spacing w:line="360" w:lineRule="auto"/>
              <w:rPr>
                <w:rFonts w:cs="Times New Roman"/>
              </w:rPr>
            </w:pPr>
            <w:r w:rsidRPr="00DD7E94">
              <w:rPr>
                <w:rFonts w:eastAsia="Arial" w:cs="Times New Roman"/>
              </w:rPr>
              <w:t>8,000</w:t>
            </w:r>
          </w:p>
        </w:tc>
        <w:tc>
          <w:tcPr>
            <w:tcW w:w="2520" w:type="dxa"/>
          </w:tcPr>
          <w:p w14:paraId="0BC8EDA0" w14:textId="77777777" w:rsidR="00DD7E94" w:rsidRPr="00DD7E94" w:rsidRDefault="00DD7E94" w:rsidP="00DD7E94">
            <w:pPr>
              <w:spacing w:line="360" w:lineRule="auto"/>
              <w:rPr>
                <w:rFonts w:cs="Times New Roman"/>
              </w:rPr>
            </w:pPr>
            <w:r w:rsidRPr="00DD7E94">
              <w:rPr>
                <w:rFonts w:eastAsia="Arial" w:cs="Times New Roman"/>
              </w:rPr>
              <w:t>Start Up Loan</w:t>
            </w:r>
          </w:p>
        </w:tc>
      </w:tr>
      <w:tr w:rsidR="00DD7E94" w:rsidRPr="00DD7E94" w14:paraId="05A0C2A8" w14:textId="77777777" w:rsidTr="00DD7E94">
        <w:tc>
          <w:tcPr>
            <w:tcW w:w="4320" w:type="dxa"/>
          </w:tcPr>
          <w:p w14:paraId="56413833" w14:textId="77777777" w:rsidR="00DD7E94" w:rsidRPr="00DD7E94" w:rsidRDefault="00DD7E94" w:rsidP="00DD7E94">
            <w:pPr>
              <w:spacing w:line="360" w:lineRule="auto"/>
              <w:rPr>
                <w:rFonts w:cs="Times New Roman"/>
              </w:rPr>
            </w:pPr>
            <w:r w:rsidRPr="00DD7E94">
              <w:rPr>
                <w:rFonts w:eastAsia="Arial" w:cs="Times New Roman"/>
              </w:rPr>
              <w:t>Reusable glass bottles (1,000 units)</w:t>
            </w:r>
          </w:p>
        </w:tc>
        <w:tc>
          <w:tcPr>
            <w:tcW w:w="2520" w:type="dxa"/>
          </w:tcPr>
          <w:p w14:paraId="1F15DE9C" w14:textId="77777777" w:rsidR="00DD7E94" w:rsidRPr="00DD7E94" w:rsidRDefault="00DD7E94" w:rsidP="00DD7E94">
            <w:pPr>
              <w:spacing w:line="360" w:lineRule="auto"/>
              <w:rPr>
                <w:rFonts w:cs="Times New Roman"/>
              </w:rPr>
            </w:pPr>
            <w:r w:rsidRPr="00DD7E94">
              <w:rPr>
                <w:rFonts w:eastAsia="Arial" w:cs="Times New Roman"/>
              </w:rPr>
              <w:t>4,500</w:t>
            </w:r>
          </w:p>
        </w:tc>
        <w:tc>
          <w:tcPr>
            <w:tcW w:w="2520" w:type="dxa"/>
          </w:tcPr>
          <w:p w14:paraId="2509D799" w14:textId="77777777" w:rsidR="00DD7E94" w:rsidRPr="00DD7E94" w:rsidRDefault="00DD7E94" w:rsidP="00DD7E94">
            <w:pPr>
              <w:spacing w:line="360" w:lineRule="auto"/>
              <w:rPr>
                <w:rFonts w:cs="Times New Roman"/>
              </w:rPr>
            </w:pPr>
            <w:r w:rsidRPr="00DD7E94">
              <w:rPr>
                <w:rFonts w:eastAsia="Arial" w:cs="Times New Roman"/>
              </w:rPr>
              <w:t>Start Up Loan</w:t>
            </w:r>
          </w:p>
        </w:tc>
      </w:tr>
      <w:tr w:rsidR="00DD7E94" w:rsidRPr="00DD7E94" w14:paraId="1CE1E86B" w14:textId="77777777" w:rsidTr="00DD7E94">
        <w:tc>
          <w:tcPr>
            <w:tcW w:w="4320" w:type="dxa"/>
          </w:tcPr>
          <w:p w14:paraId="035851BF" w14:textId="77777777" w:rsidR="00DD7E94" w:rsidRPr="00DD7E94" w:rsidRDefault="00DD7E94" w:rsidP="00DD7E94">
            <w:pPr>
              <w:spacing w:line="360" w:lineRule="auto"/>
              <w:rPr>
                <w:rFonts w:cs="Times New Roman"/>
              </w:rPr>
            </w:pPr>
            <w:r w:rsidRPr="00DD7E94">
              <w:rPr>
                <w:rFonts w:eastAsia="Arial" w:cs="Times New Roman"/>
              </w:rPr>
              <w:t>Digital marketing and influencer fees (6 months)</w:t>
            </w:r>
          </w:p>
        </w:tc>
        <w:tc>
          <w:tcPr>
            <w:tcW w:w="2520" w:type="dxa"/>
          </w:tcPr>
          <w:p w14:paraId="6E44AE07" w14:textId="77777777" w:rsidR="00DD7E94" w:rsidRPr="00DD7E94" w:rsidRDefault="00DD7E94" w:rsidP="00DD7E94">
            <w:pPr>
              <w:spacing w:line="360" w:lineRule="auto"/>
              <w:rPr>
                <w:rFonts w:cs="Times New Roman"/>
              </w:rPr>
            </w:pPr>
            <w:r w:rsidRPr="00DD7E94">
              <w:rPr>
                <w:rFonts w:eastAsia="Arial" w:cs="Times New Roman"/>
              </w:rPr>
              <w:t>6,000</w:t>
            </w:r>
          </w:p>
        </w:tc>
        <w:tc>
          <w:tcPr>
            <w:tcW w:w="2520" w:type="dxa"/>
          </w:tcPr>
          <w:p w14:paraId="5BD531BC" w14:textId="77777777" w:rsidR="00DD7E94" w:rsidRPr="00DD7E94" w:rsidRDefault="00DD7E94" w:rsidP="00DD7E94">
            <w:pPr>
              <w:spacing w:line="360" w:lineRule="auto"/>
              <w:rPr>
                <w:rFonts w:cs="Times New Roman"/>
              </w:rPr>
            </w:pPr>
            <w:r w:rsidRPr="00DD7E94">
              <w:rPr>
                <w:rFonts w:eastAsia="Arial" w:cs="Times New Roman"/>
              </w:rPr>
              <w:t>Innovate UK grant</w:t>
            </w:r>
          </w:p>
        </w:tc>
      </w:tr>
      <w:tr w:rsidR="00DD7E94" w:rsidRPr="00DD7E94" w14:paraId="28F3B012" w14:textId="77777777" w:rsidTr="00DD7E94">
        <w:tc>
          <w:tcPr>
            <w:tcW w:w="4320" w:type="dxa"/>
          </w:tcPr>
          <w:p w14:paraId="219E12A9" w14:textId="77777777" w:rsidR="00DD7E94" w:rsidRPr="00DD7E94" w:rsidRDefault="00DD7E94" w:rsidP="00DD7E94">
            <w:pPr>
              <w:spacing w:line="360" w:lineRule="auto"/>
              <w:rPr>
                <w:rFonts w:cs="Times New Roman"/>
              </w:rPr>
            </w:pPr>
            <w:r w:rsidRPr="00DD7E94">
              <w:rPr>
                <w:rFonts w:eastAsia="Arial" w:cs="Times New Roman"/>
              </w:rPr>
              <w:t>Legal fees: incorporation, T&amp;Cs, GDPR compliance</w:t>
            </w:r>
          </w:p>
        </w:tc>
        <w:tc>
          <w:tcPr>
            <w:tcW w:w="2520" w:type="dxa"/>
          </w:tcPr>
          <w:p w14:paraId="483EA34D" w14:textId="77777777" w:rsidR="00DD7E94" w:rsidRPr="00DD7E94" w:rsidRDefault="00DD7E94" w:rsidP="00DD7E94">
            <w:pPr>
              <w:spacing w:line="360" w:lineRule="auto"/>
              <w:rPr>
                <w:rFonts w:cs="Times New Roman"/>
              </w:rPr>
            </w:pPr>
            <w:r w:rsidRPr="00DD7E94">
              <w:rPr>
                <w:rFonts w:eastAsia="Arial" w:cs="Times New Roman"/>
              </w:rPr>
              <w:t>2,000</w:t>
            </w:r>
          </w:p>
        </w:tc>
        <w:tc>
          <w:tcPr>
            <w:tcW w:w="2520" w:type="dxa"/>
          </w:tcPr>
          <w:p w14:paraId="260BACDF" w14:textId="77777777" w:rsidR="00DD7E94" w:rsidRPr="00DD7E94" w:rsidRDefault="00DD7E94" w:rsidP="00DD7E94">
            <w:pPr>
              <w:spacing w:line="360" w:lineRule="auto"/>
              <w:rPr>
                <w:rFonts w:cs="Times New Roman"/>
              </w:rPr>
            </w:pPr>
            <w:r w:rsidRPr="00DD7E94">
              <w:rPr>
                <w:rFonts w:eastAsia="Arial" w:cs="Times New Roman"/>
              </w:rPr>
              <w:t>Founder equity</w:t>
            </w:r>
          </w:p>
        </w:tc>
      </w:tr>
      <w:tr w:rsidR="00DD7E94" w:rsidRPr="00DD7E94" w14:paraId="4D700405" w14:textId="77777777" w:rsidTr="00DD7E94">
        <w:tc>
          <w:tcPr>
            <w:tcW w:w="4320" w:type="dxa"/>
          </w:tcPr>
          <w:p w14:paraId="27B659D7" w14:textId="77777777" w:rsidR="00DD7E94" w:rsidRPr="00DD7E94" w:rsidRDefault="00DD7E94" w:rsidP="00DD7E94">
            <w:pPr>
              <w:spacing w:line="360" w:lineRule="auto"/>
              <w:rPr>
                <w:rFonts w:cs="Times New Roman"/>
              </w:rPr>
            </w:pPr>
            <w:r w:rsidRPr="00DD7E94">
              <w:rPr>
                <w:rFonts w:eastAsia="Arial" w:cs="Times New Roman"/>
              </w:rPr>
              <w:t>Packaging design and initial print run</w:t>
            </w:r>
          </w:p>
        </w:tc>
        <w:tc>
          <w:tcPr>
            <w:tcW w:w="2520" w:type="dxa"/>
          </w:tcPr>
          <w:p w14:paraId="19A14288" w14:textId="77777777" w:rsidR="00DD7E94" w:rsidRPr="00DD7E94" w:rsidRDefault="00DD7E94" w:rsidP="00DD7E94">
            <w:pPr>
              <w:spacing w:line="360" w:lineRule="auto"/>
              <w:rPr>
                <w:rFonts w:cs="Times New Roman"/>
              </w:rPr>
            </w:pPr>
            <w:r w:rsidRPr="00DD7E94">
              <w:rPr>
                <w:rFonts w:eastAsia="Arial" w:cs="Times New Roman"/>
              </w:rPr>
              <w:t>3,000</w:t>
            </w:r>
          </w:p>
        </w:tc>
        <w:tc>
          <w:tcPr>
            <w:tcW w:w="2520" w:type="dxa"/>
          </w:tcPr>
          <w:p w14:paraId="5A822270" w14:textId="77777777" w:rsidR="00DD7E94" w:rsidRPr="00DD7E94" w:rsidRDefault="00DD7E94" w:rsidP="00DD7E94">
            <w:pPr>
              <w:spacing w:line="360" w:lineRule="auto"/>
              <w:rPr>
                <w:rFonts w:cs="Times New Roman"/>
              </w:rPr>
            </w:pPr>
            <w:r w:rsidRPr="00DD7E94">
              <w:rPr>
                <w:rFonts w:eastAsia="Arial" w:cs="Times New Roman"/>
              </w:rPr>
              <w:t>Founder equity</w:t>
            </w:r>
          </w:p>
        </w:tc>
      </w:tr>
      <w:tr w:rsidR="00DD7E94" w:rsidRPr="00DD7E94" w14:paraId="7A8FEACF" w14:textId="77777777" w:rsidTr="00DD7E94">
        <w:tc>
          <w:tcPr>
            <w:tcW w:w="4320" w:type="dxa"/>
          </w:tcPr>
          <w:p w14:paraId="5D570BC8" w14:textId="77777777" w:rsidR="00DD7E94" w:rsidRPr="00DD7E94" w:rsidRDefault="00DD7E94" w:rsidP="00DD7E94">
            <w:pPr>
              <w:spacing w:line="360" w:lineRule="auto"/>
              <w:rPr>
                <w:rFonts w:cs="Times New Roman"/>
              </w:rPr>
            </w:pPr>
            <w:r w:rsidRPr="00DD7E94">
              <w:rPr>
                <w:rFonts w:eastAsia="Arial" w:cs="Times New Roman"/>
              </w:rPr>
              <w:t>Contingency (10%)</w:t>
            </w:r>
          </w:p>
        </w:tc>
        <w:tc>
          <w:tcPr>
            <w:tcW w:w="2520" w:type="dxa"/>
          </w:tcPr>
          <w:p w14:paraId="6F6BDAEF" w14:textId="77777777" w:rsidR="00DD7E94" w:rsidRPr="00DD7E94" w:rsidRDefault="00DD7E94" w:rsidP="00DD7E94">
            <w:pPr>
              <w:spacing w:line="360" w:lineRule="auto"/>
              <w:rPr>
                <w:rFonts w:cs="Times New Roman"/>
              </w:rPr>
            </w:pPr>
            <w:r w:rsidRPr="00DD7E94">
              <w:rPr>
                <w:rFonts w:eastAsia="Arial" w:cs="Times New Roman"/>
              </w:rPr>
              <w:t>2,700</w:t>
            </w:r>
          </w:p>
        </w:tc>
        <w:tc>
          <w:tcPr>
            <w:tcW w:w="2520" w:type="dxa"/>
          </w:tcPr>
          <w:p w14:paraId="17BAF684" w14:textId="77777777" w:rsidR="00DD7E94" w:rsidRPr="00DD7E94" w:rsidRDefault="00DD7E94" w:rsidP="00DD7E94">
            <w:pPr>
              <w:spacing w:line="360" w:lineRule="auto"/>
              <w:rPr>
                <w:rFonts w:cs="Times New Roman"/>
              </w:rPr>
            </w:pPr>
            <w:r w:rsidRPr="00DD7E94">
              <w:rPr>
                <w:rFonts w:eastAsia="Arial" w:cs="Times New Roman"/>
              </w:rPr>
              <w:t>Combined</w:t>
            </w:r>
          </w:p>
        </w:tc>
      </w:tr>
      <w:tr w:rsidR="00DD7E94" w:rsidRPr="00DD7E94" w14:paraId="2352F4C3" w14:textId="77777777" w:rsidTr="00DD7E94">
        <w:tc>
          <w:tcPr>
            <w:tcW w:w="4320" w:type="dxa"/>
          </w:tcPr>
          <w:p w14:paraId="7E3004A0" w14:textId="77777777" w:rsidR="00DD7E94" w:rsidRPr="00DD7E94" w:rsidRDefault="00DD7E94" w:rsidP="00DD7E94">
            <w:pPr>
              <w:spacing w:line="360" w:lineRule="auto"/>
              <w:rPr>
                <w:rFonts w:cs="Times New Roman"/>
              </w:rPr>
            </w:pPr>
            <w:r w:rsidRPr="00DD7E94">
              <w:rPr>
                <w:rFonts w:eastAsia="Arial" w:cs="Times New Roman"/>
                <w:b/>
                <w:bCs/>
              </w:rPr>
              <w:t>Total</w:t>
            </w:r>
          </w:p>
        </w:tc>
        <w:tc>
          <w:tcPr>
            <w:tcW w:w="2520" w:type="dxa"/>
          </w:tcPr>
          <w:p w14:paraId="132E7107" w14:textId="77777777" w:rsidR="00DD7E94" w:rsidRPr="00DD7E94" w:rsidRDefault="00DD7E94" w:rsidP="00DD7E94">
            <w:pPr>
              <w:spacing w:line="360" w:lineRule="auto"/>
              <w:rPr>
                <w:rFonts w:cs="Times New Roman"/>
              </w:rPr>
            </w:pPr>
            <w:r w:rsidRPr="00DD7E94">
              <w:rPr>
                <w:rFonts w:eastAsia="Arial" w:cs="Times New Roman"/>
                <w:b/>
                <w:bCs/>
              </w:rPr>
              <w:t>GBP 29,700</w:t>
            </w:r>
          </w:p>
        </w:tc>
        <w:tc>
          <w:tcPr>
            <w:tcW w:w="2520" w:type="dxa"/>
          </w:tcPr>
          <w:p w14:paraId="77B2D99B" w14:textId="77777777" w:rsidR="00DD7E94" w:rsidRPr="00DD7E94" w:rsidRDefault="00DD7E94" w:rsidP="00DD7E94">
            <w:pPr>
              <w:spacing w:line="360" w:lineRule="auto"/>
              <w:rPr>
                <w:rFonts w:cs="Times New Roman"/>
              </w:rPr>
            </w:pPr>
          </w:p>
        </w:tc>
      </w:tr>
    </w:tbl>
    <w:p w14:paraId="5F22F747" w14:textId="77777777" w:rsidR="00DD7E94" w:rsidRPr="00DD7E94" w:rsidRDefault="00DD7E94" w:rsidP="00DD7E94">
      <w:pPr>
        <w:tabs>
          <w:tab w:val="left" w:pos="839"/>
        </w:tabs>
        <w:spacing w:line="360" w:lineRule="auto"/>
      </w:pPr>
    </w:p>
    <w:p w14:paraId="5B754B10" w14:textId="77777777" w:rsidR="00DD7E94" w:rsidRPr="00DD7E94" w:rsidRDefault="00DD7E94" w:rsidP="00DD7E94">
      <w:pPr>
        <w:tabs>
          <w:tab w:val="left" w:pos="839"/>
        </w:tabs>
        <w:spacing w:line="360" w:lineRule="auto"/>
      </w:pPr>
      <w:r w:rsidRPr="00DD7E94">
        <w:t>The major source of funds is a UK Government Start Up Loan of up to GBP 25,000 at a set six per cent interest payable over five years with an addition of about GBP 10,000 of founder equity. Another possible source is angel investment by sustainability-oriented consumer goods networks, which entails capital and industry-specific mentorship (Finice Cleaning, 2025). Crowdfunding on Kickstarter is also a tertiary path that also serves as a pre-launch marketing campaign in the form of a pre-first delivery committed group of early subscribers.</w:t>
      </w:r>
    </w:p>
    <w:p w14:paraId="3DCD90B6" w14:textId="77777777" w:rsidR="00DD7E94" w:rsidRPr="00DD7E94" w:rsidRDefault="00DD7E94" w:rsidP="00DD7E94">
      <w:pPr>
        <w:tabs>
          <w:tab w:val="left" w:pos="839"/>
        </w:tabs>
        <w:spacing w:line="360" w:lineRule="auto"/>
      </w:pPr>
    </w:p>
    <w:p w14:paraId="12355F2D" w14:textId="77777777" w:rsidR="00DD7E94" w:rsidRPr="00DD7E94" w:rsidRDefault="00DD7E94" w:rsidP="00DD7E94">
      <w:pPr>
        <w:pStyle w:val="Heading1"/>
        <w:rPr>
          <w:color w:val="auto"/>
        </w:rPr>
      </w:pPr>
      <w:bookmarkStart w:id="17" w:name="_Toc226669833"/>
      <w:r w:rsidRPr="00DD7E94">
        <w:rPr>
          <w:color w:val="auto"/>
        </w:rPr>
        <w:t>Conclusion</w:t>
      </w:r>
      <w:bookmarkEnd w:id="17"/>
    </w:p>
    <w:p w14:paraId="3456FD67" w14:textId="2490F8A6" w:rsidR="00DD7E94" w:rsidRPr="00DD7E94" w:rsidRDefault="00DD7E94" w:rsidP="00DD7E94">
      <w:pPr>
        <w:tabs>
          <w:tab w:val="left" w:pos="839"/>
        </w:tabs>
        <w:spacing w:line="360" w:lineRule="auto"/>
      </w:pPr>
      <w:r w:rsidRPr="00DD7E94">
        <w:t>The UK market EcoNest UK Ltd is joining is a market where social trends, regulatory direction, and technological infrastructure are converging to enable an eco-cleaning model which is subscription based. PESTEL analysis establishes macro-environmental factors of a broadly favourable nature and the SWOT establishes the primary risks to be addressed in Year 1 as brand recognition and customer acquisition cost. The 4Ps model shows a consistent marketing mix that is anchored on value-based pricing and D2C digital delivery, and the segmentation analysis gives an actionable and clear target customer profile. The private limited company form is protective of its founders and helps in maintaining professional credibility among its suppliers and investors. The business has an initial start-up of GBP 29,700 (combination of founder equity and UK Start Up Loan) and a clear and data-driven road between starting and scaling (Straits Research, 2024; Global Market Insights, 2025).</w:t>
      </w:r>
    </w:p>
    <w:p w14:paraId="39F88EC8" w14:textId="77777777" w:rsidR="00DD7E94" w:rsidRPr="00DD7E94" w:rsidRDefault="00DD7E94" w:rsidP="00775EEA">
      <w:pPr>
        <w:jc w:val="center"/>
      </w:pPr>
    </w:p>
    <w:p w14:paraId="6B677E8F" w14:textId="77777777" w:rsidR="00DD7E94" w:rsidRPr="00DD7E94" w:rsidRDefault="00DD7E94" w:rsidP="00DD7E94"/>
    <w:p w14:paraId="4C28C7DA" w14:textId="77777777" w:rsidR="00DD7E94" w:rsidRPr="00DD7E94" w:rsidRDefault="00DD7E94" w:rsidP="00DD7E94"/>
    <w:p w14:paraId="643997B4" w14:textId="77777777" w:rsidR="00DD7E94" w:rsidRPr="00DD7E94" w:rsidRDefault="00DD7E94" w:rsidP="00DD7E94"/>
    <w:p w14:paraId="505EF175" w14:textId="77777777" w:rsidR="00DD7E94" w:rsidRPr="00DD7E94" w:rsidRDefault="00DD7E94" w:rsidP="00DD7E94">
      <w:pPr>
        <w:pStyle w:val="Heading1"/>
        <w:rPr>
          <w:color w:val="auto"/>
        </w:rPr>
      </w:pPr>
      <w:bookmarkStart w:id="18" w:name="_Toc226669834"/>
      <w:r w:rsidRPr="00DD7E94">
        <w:rPr>
          <w:rFonts w:ascii="Arial" w:eastAsia="Arial" w:hAnsi="Arial" w:cs="Arial"/>
          <w:bCs/>
          <w:color w:val="auto"/>
          <w:sz w:val="30"/>
          <w:szCs w:val="30"/>
        </w:rPr>
        <w:t>References</w:t>
      </w:r>
      <w:bookmarkEnd w:id="18"/>
    </w:p>
    <w:p w14:paraId="6561E4ED" w14:textId="77777777" w:rsidR="00DD7E94" w:rsidRPr="00DD7E94" w:rsidRDefault="00DD7E94" w:rsidP="00DD7E94">
      <w:pPr>
        <w:spacing w:before="80" w:after="140" w:line="360" w:lineRule="auto"/>
        <w:rPr>
          <w:rFonts w:cs="Times New Roman"/>
        </w:rPr>
      </w:pPr>
      <w:r w:rsidRPr="00DD7E94">
        <w:rPr>
          <w:rFonts w:eastAsia="Arial" w:cs="Times New Roman"/>
        </w:rPr>
        <w:t>ACR Journal (2025) 'Subscription Economy and the Transformation of Ownership: A Review of Value Perceptions and Retention Strategies', Advances in Consumer Research. Available at: https://acr-journal.com/article/subscription-economy-and-the-transformation-of-ownership-a-review-of-value-perceptions-and-retention-strategies-1772/ [Accessed 5 April 2026].</w:t>
      </w:r>
    </w:p>
    <w:p w14:paraId="7798469D" w14:textId="77777777" w:rsidR="00DD7E94" w:rsidRPr="00DD7E94" w:rsidRDefault="00DD7E94" w:rsidP="00DD7E94">
      <w:pPr>
        <w:spacing w:before="80" w:after="140" w:line="360" w:lineRule="auto"/>
        <w:rPr>
          <w:rFonts w:cs="Times New Roman"/>
        </w:rPr>
      </w:pPr>
      <w:r w:rsidRPr="00DD7E94">
        <w:rPr>
          <w:rFonts w:eastAsia="Arial" w:cs="Times New Roman"/>
        </w:rPr>
        <w:t>Banc Media (2024) Eco-Friendly Products and Services: Rising Demand. Available at: https://banc.digital/blog/search-data-the-rise-in-interest-for-eco-friendly-products-and-services/ [Accessed 2 April 2026].</w:t>
      </w:r>
    </w:p>
    <w:p w14:paraId="27D9F22B" w14:textId="77777777" w:rsidR="00DD7E94" w:rsidRPr="00DD7E94" w:rsidRDefault="00DD7E94" w:rsidP="00DD7E94">
      <w:pPr>
        <w:spacing w:before="80" w:after="140" w:line="360" w:lineRule="auto"/>
        <w:rPr>
          <w:rFonts w:cs="Times New Roman"/>
        </w:rPr>
      </w:pPr>
      <w:r w:rsidRPr="00DD7E94">
        <w:rPr>
          <w:rFonts w:eastAsia="Arial" w:cs="Times New Roman"/>
        </w:rPr>
        <w:t>Bhardwaj, S., Mishra, P. and Srivastava, M. (2024) 'Determinants of green consumption: a systematic literature review using the TCCM approach', Frontiers in Sustainability, 5, article 1428764. Available at: https://www.frontiersin.org/journals/sustainability/articles/10.3389/frsus.2024.1428764/full [Accessed 2 April 2026].</w:t>
      </w:r>
    </w:p>
    <w:p w14:paraId="6F2C1C48" w14:textId="77777777" w:rsidR="00DD7E94" w:rsidRPr="00DD7E94" w:rsidRDefault="00DD7E94" w:rsidP="00DD7E94">
      <w:pPr>
        <w:spacing w:before="80" w:after="140" w:line="360" w:lineRule="auto"/>
        <w:rPr>
          <w:rFonts w:cs="Times New Roman"/>
        </w:rPr>
      </w:pPr>
      <w:r w:rsidRPr="00DD7E94">
        <w:rPr>
          <w:rFonts w:eastAsia="Arial" w:cs="Times New Roman"/>
        </w:rPr>
        <w:t>Business Wire (2025) Subscription Box Market Report 2025: Consumer Trends and Forecast 2024-2033. Available at: https://www.businesswire.com/news/home/20250912803109/en/Subscription-Box-Market-Report-2025 [Accessed 4 April 2026].</w:t>
      </w:r>
    </w:p>
    <w:p w14:paraId="0A45ECFF" w14:textId="77777777" w:rsidR="00DD7E94" w:rsidRPr="00DD7E94" w:rsidRDefault="00DD7E94" w:rsidP="00DD7E94">
      <w:pPr>
        <w:spacing w:before="80" w:after="140" w:line="360" w:lineRule="auto"/>
        <w:rPr>
          <w:rFonts w:cs="Times New Roman"/>
        </w:rPr>
      </w:pPr>
      <w:r w:rsidRPr="00DD7E94">
        <w:rPr>
          <w:rFonts w:eastAsia="Arial" w:cs="Times New Roman"/>
        </w:rPr>
        <w:t>DataIntelo (2025) Eco Friendly Cleaning Product Market Report. Available at: https://dataintelo.com/report/eco-friendly-cleaning-product-market [Accessed 1 April 2026].</w:t>
      </w:r>
    </w:p>
    <w:p w14:paraId="37A1A969" w14:textId="77777777" w:rsidR="00DD7E94" w:rsidRPr="00DD7E94" w:rsidRDefault="00DD7E94" w:rsidP="00DD7E94">
      <w:pPr>
        <w:spacing w:before="80" w:after="140" w:line="360" w:lineRule="auto"/>
        <w:rPr>
          <w:rFonts w:cs="Times New Roman"/>
        </w:rPr>
      </w:pPr>
      <w:r w:rsidRPr="00DD7E94">
        <w:rPr>
          <w:rFonts w:eastAsia="Arial" w:cs="Times New Roman"/>
        </w:rPr>
        <w:t>Expert Market Research (2024) Subscription Box Market Size and Share. Available at: https://www.expertmarketresearch.com/reports/subscription-box-market [Accessed 3 April 2026].</w:t>
      </w:r>
    </w:p>
    <w:p w14:paraId="4FECF284" w14:textId="77777777" w:rsidR="00DD7E94" w:rsidRPr="00DD7E94" w:rsidRDefault="00DD7E94" w:rsidP="00DD7E94">
      <w:pPr>
        <w:spacing w:before="80" w:after="140" w:line="360" w:lineRule="auto"/>
        <w:rPr>
          <w:rFonts w:cs="Times New Roman"/>
        </w:rPr>
      </w:pPr>
      <w:r w:rsidRPr="00DD7E94">
        <w:rPr>
          <w:rFonts w:eastAsia="Arial" w:cs="Times New Roman"/>
        </w:rPr>
        <w:t>Finice Cleaning (2025) Key Drivers Behind the Growth of the Household Cleaning Products Market. Available at: https://finicecleaning.com/key-drivers-behind-the-growth-of-the-household-cleaning-products-market/ [Accessed 5 April 2026].</w:t>
      </w:r>
    </w:p>
    <w:p w14:paraId="502095D5" w14:textId="77777777" w:rsidR="00DD7E94" w:rsidRPr="00DD7E94" w:rsidRDefault="00DD7E94" w:rsidP="00DD7E94">
      <w:pPr>
        <w:spacing w:before="80" w:after="140" w:line="360" w:lineRule="auto"/>
        <w:rPr>
          <w:rFonts w:cs="Times New Roman"/>
        </w:rPr>
      </w:pPr>
      <w:r w:rsidRPr="00DD7E94">
        <w:rPr>
          <w:rFonts w:eastAsia="Arial" w:cs="Times New Roman"/>
        </w:rPr>
        <w:t>Fulfyld (2024) Subscription Box Industry Trends. Available at: https://www.fulfyld.com/blog/subscription-box-industry-trends/ [Accessed 2 April 2026].</w:t>
      </w:r>
    </w:p>
    <w:p w14:paraId="0D20EB17" w14:textId="77777777" w:rsidR="00DD7E94" w:rsidRPr="00DD7E94" w:rsidRDefault="00DD7E94" w:rsidP="00DD7E94">
      <w:pPr>
        <w:spacing w:before="80" w:after="140" w:line="360" w:lineRule="auto"/>
        <w:rPr>
          <w:rFonts w:cs="Times New Roman"/>
        </w:rPr>
      </w:pPr>
      <w:r w:rsidRPr="00DD7E94">
        <w:rPr>
          <w:rFonts w:eastAsia="Arial" w:cs="Times New Roman"/>
        </w:rPr>
        <w:t>Future Data Stats (2024) Eco-Friendly Cleaning Products Market. Available at: https://www.futuredatastats.com/eco-friendly-cleaning-products-market [Accessed 1 April 2026].</w:t>
      </w:r>
    </w:p>
    <w:p w14:paraId="42E79B9C" w14:textId="77777777" w:rsidR="00DD7E94" w:rsidRPr="00DD7E94" w:rsidRDefault="00DD7E94" w:rsidP="00DD7E94">
      <w:pPr>
        <w:spacing w:before="80" w:after="140" w:line="360" w:lineRule="auto"/>
        <w:rPr>
          <w:rFonts w:cs="Times New Roman"/>
        </w:rPr>
      </w:pPr>
      <w:r w:rsidRPr="00DD7E94">
        <w:rPr>
          <w:rFonts w:eastAsia="Arial" w:cs="Times New Roman"/>
        </w:rPr>
        <w:t>Global Market Insights (2025) Subscription Box Market Analysis and Forecast. Available at: https://www.gminsights.com/industry-analysis/subscription-box-market [Accessed 3 April 2026].</w:t>
      </w:r>
    </w:p>
    <w:p w14:paraId="4A4989BC" w14:textId="77777777" w:rsidR="00DD7E94" w:rsidRPr="00DD7E94" w:rsidRDefault="00DD7E94" w:rsidP="00DD7E94">
      <w:pPr>
        <w:spacing w:before="80" w:after="140" w:line="360" w:lineRule="auto"/>
        <w:rPr>
          <w:rFonts w:cs="Times New Roman"/>
        </w:rPr>
      </w:pPr>
      <w:r w:rsidRPr="00DD7E94">
        <w:rPr>
          <w:rFonts w:eastAsia="Arial" w:cs="Times New Roman"/>
        </w:rPr>
        <w:t>IJAR (2025) PESTLE Analysis as a Strategic Management Tool, International Journal of Advanced Research, 13(2). Available at: https://www.journalijar.com/article/52427/pestle-analysis/ [Accessed 5 April 2026].</w:t>
      </w:r>
    </w:p>
    <w:p w14:paraId="0235D7E1" w14:textId="77777777" w:rsidR="00DD7E94" w:rsidRPr="00DD7E94" w:rsidRDefault="00DD7E94" w:rsidP="00DD7E94">
      <w:pPr>
        <w:spacing w:before="80" w:after="140" w:line="360" w:lineRule="auto"/>
        <w:rPr>
          <w:rFonts w:cs="Times New Roman"/>
        </w:rPr>
      </w:pPr>
      <w:r w:rsidRPr="00DD7E94">
        <w:rPr>
          <w:rFonts w:eastAsia="Arial" w:cs="Times New Roman"/>
        </w:rPr>
        <w:t>International Journal of Multidisciplinary Research (2025) Evaluating the Success of Subscription-Based Business Models. Available at: https://www.ijfmr.com/papers/2025/3/49188.pdf [Accessed 4 April 2026].</w:t>
      </w:r>
    </w:p>
    <w:p w14:paraId="66A77966" w14:textId="77777777" w:rsidR="00DD7E94" w:rsidRPr="00DD7E94" w:rsidRDefault="00DD7E94" w:rsidP="00DD7E94">
      <w:pPr>
        <w:spacing w:before="80" w:after="140" w:line="360" w:lineRule="auto"/>
        <w:rPr>
          <w:rFonts w:cs="Times New Roman"/>
        </w:rPr>
      </w:pPr>
      <w:r w:rsidRPr="00DD7E94">
        <w:rPr>
          <w:rFonts w:eastAsia="Arial" w:cs="Times New Roman"/>
        </w:rPr>
        <w:t>IJNRD (Nair, R. and Gandhi, N.) (2023) 'Growth of Subscription-Based Services', International Journal of Novel Research and Development, 8(8). Available at: https://ijnrd.org/papers/IJNRD2308434.pdf [Accessed 3 April 2026].</w:t>
      </w:r>
    </w:p>
    <w:p w14:paraId="41E933C5" w14:textId="77777777" w:rsidR="00DD7E94" w:rsidRPr="00DD7E94" w:rsidRDefault="00DD7E94" w:rsidP="00DD7E94">
      <w:pPr>
        <w:spacing w:before="80" w:after="140" w:line="360" w:lineRule="auto"/>
        <w:rPr>
          <w:rFonts w:cs="Times New Roman"/>
        </w:rPr>
      </w:pPr>
      <w:r w:rsidRPr="00DD7E94">
        <w:rPr>
          <w:rFonts w:eastAsia="Arial" w:cs="Times New Roman"/>
        </w:rPr>
        <w:t>Mintel (2025) UK Sustainability in Household Care Report 2025. Available at: https://store.mintel.com/report/uk-sustainability-in-household-care-market-report [Accessed 3 April 2026].</w:t>
      </w:r>
    </w:p>
    <w:p w14:paraId="2A73E4C2" w14:textId="77777777" w:rsidR="00DD7E94" w:rsidRPr="00DD7E94" w:rsidRDefault="00DD7E94" w:rsidP="00DD7E94">
      <w:pPr>
        <w:spacing w:before="80" w:after="140" w:line="360" w:lineRule="auto"/>
        <w:rPr>
          <w:rFonts w:cs="Times New Roman"/>
        </w:rPr>
      </w:pPr>
      <w:r w:rsidRPr="00DD7E94">
        <w:rPr>
          <w:rFonts w:eastAsia="Arial" w:cs="Times New Roman"/>
        </w:rPr>
        <w:t>Straits Research (2024) United Kingdom Natural Household Cleaners Market Size and Forecast to 2033. Available at: https://straitsresearch.com/report/natural-household-cleaners-market/united-kingdom [Accessed 1 April 2026].</w:t>
      </w:r>
    </w:p>
    <w:p w14:paraId="3B1BB84D" w14:textId="77777777" w:rsidR="00DD7E94" w:rsidRPr="00DD7E94" w:rsidRDefault="00DD7E94" w:rsidP="00DD7E94">
      <w:pPr>
        <w:spacing w:before="80" w:after="140" w:line="360" w:lineRule="auto"/>
        <w:rPr>
          <w:rFonts w:cs="Times New Roman"/>
        </w:rPr>
      </w:pPr>
      <w:r w:rsidRPr="00DD7E94">
        <w:rPr>
          <w:rFonts w:eastAsia="Arial" w:cs="Times New Roman"/>
        </w:rPr>
        <w:t>Technavio (2024) Household Cleaning Products Market Size and Growth 2024-2029. Available at: https://www.technavio.com/report/household-cleaning-products-market-industry-analysis [Accessed 4 April 2026].</w:t>
      </w:r>
    </w:p>
    <w:p w14:paraId="317A22F0" w14:textId="77777777" w:rsidR="00DD7E94" w:rsidRPr="00DD7E94" w:rsidRDefault="00DD7E94" w:rsidP="00DD7E94">
      <w:pPr>
        <w:spacing w:before="80" w:after="140" w:line="360" w:lineRule="auto"/>
        <w:rPr>
          <w:rFonts w:cs="Times New Roman"/>
        </w:rPr>
      </w:pPr>
      <w:r w:rsidRPr="00DD7E94">
        <w:rPr>
          <w:rFonts w:eastAsia="Arial" w:cs="Times New Roman"/>
        </w:rPr>
        <w:t>UniVdatos (2025) Eco-Friendly Cleaning Products Market Size and Forecast. Available at: https://univdatos.com/reports/eco-friendly-cleaning-products-market [Accessed 2 April 2026].</w:t>
      </w:r>
    </w:p>
    <w:p w14:paraId="359B172C" w14:textId="77777777" w:rsidR="00DD7E94" w:rsidRPr="00DD7E94" w:rsidRDefault="00DD7E94" w:rsidP="00DD7E94">
      <w:pPr>
        <w:spacing w:before="80" w:after="140" w:line="360" w:lineRule="auto"/>
        <w:rPr>
          <w:rFonts w:cs="Times New Roman"/>
        </w:rPr>
      </w:pPr>
      <w:r w:rsidRPr="00DD7E94">
        <w:rPr>
          <w:rFonts w:eastAsia="Arial" w:cs="Times New Roman"/>
        </w:rPr>
        <w:t>Web of Journals (2024) 'The Subscription Economy', Web of Journals, 1(1). Available at: https://webofjournals.com/index.php/3/article/download/999/968/1940 [Accessed 4 April 2026].</w:t>
      </w:r>
    </w:p>
    <w:p w14:paraId="19D4BF7D" w14:textId="77777777" w:rsidR="00DD7E94" w:rsidRPr="00DD7E94" w:rsidRDefault="00DD7E94" w:rsidP="00DD7E94">
      <w:pPr>
        <w:spacing w:before="80" w:after="140" w:line="360" w:lineRule="auto"/>
        <w:rPr>
          <w:rFonts w:cs="Times New Roman"/>
        </w:rPr>
      </w:pPr>
      <w:r w:rsidRPr="00DD7E94">
        <w:rPr>
          <w:rFonts w:eastAsia="Arial" w:cs="Times New Roman"/>
        </w:rPr>
        <w:t>Zion Market Research (2024) Eco-Friendly Cleaning Products Market Size, Share and Growth to 2032. Available at: https://www.zionmarketresearch.com/report/eco-friendly-cleaning-products-market [Accessed 1 April 2026].</w:t>
      </w:r>
    </w:p>
    <w:p w14:paraId="42E7C435" w14:textId="77777777" w:rsidR="00DD7E94" w:rsidRPr="00DD7E94" w:rsidRDefault="00DD7E94" w:rsidP="00DD7E94"/>
    <w:sectPr w:rsidR="00DD7E94" w:rsidRPr="00DD7E9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7FEF5" w14:textId="77777777" w:rsidR="00053BA5" w:rsidRDefault="00053BA5" w:rsidP="00DD7E94">
      <w:pPr>
        <w:spacing w:after="0" w:line="240" w:lineRule="auto"/>
      </w:pPr>
      <w:r>
        <w:separator/>
      </w:r>
    </w:p>
  </w:endnote>
  <w:endnote w:type="continuationSeparator" w:id="0">
    <w:p w14:paraId="117EE7E1" w14:textId="77777777" w:rsidR="00053BA5" w:rsidRDefault="00053BA5" w:rsidP="00DD7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9452350"/>
      <w:docPartObj>
        <w:docPartGallery w:val="Page Numbers (Bottom of Page)"/>
        <w:docPartUnique/>
      </w:docPartObj>
    </w:sdtPr>
    <w:sdtEndPr>
      <w:rPr>
        <w:noProof/>
      </w:rPr>
    </w:sdtEndPr>
    <w:sdtContent>
      <w:p w14:paraId="346DAA93" w14:textId="177FD8D5" w:rsidR="00DD7E94" w:rsidRDefault="00DD7E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B31CE6" w14:textId="77777777" w:rsidR="00DD7E94" w:rsidRDefault="00DD7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88769" w14:textId="77777777" w:rsidR="00053BA5" w:rsidRDefault="00053BA5" w:rsidP="00DD7E94">
      <w:pPr>
        <w:spacing w:after="0" w:line="240" w:lineRule="auto"/>
      </w:pPr>
      <w:r>
        <w:separator/>
      </w:r>
    </w:p>
  </w:footnote>
  <w:footnote w:type="continuationSeparator" w:id="0">
    <w:p w14:paraId="46E1F79A" w14:textId="77777777" w:rsidR="00053BA5" w:rsidRDefault="00053BA5" w:rsidP="00DD7E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2"/>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EEA"/>
    <w:rsid w:val="00053BA5"/>
    <w:rsid w:val="002159AE"/>
    <w:rsid w:val="003124E2"/>
    <w:rsid w:val="003243C1"/>
    <w:rsid w:val="003E7B42"/>
    <w:rsid w:val="00527FEF"/>
    <w:rsid w:val="00535E72"/>
    <w:rsid w:val="00673CA9"/>
    <w:rsid w:val="00775EEA"/>
    <w:rsid w:val="00787AF7"/>
    <w:rsid w:val="008142FF"/>
    <w:rsid w:val="008D214B"/>
    <w:rsid w:val="0092607E"/>
    <w:rsid w:val="009C4F37"/>
    <w:rsid w:val="00AD0A99"/>
    <w:rsid w:val="00B42C8A"/>
    <w:rsid w:val="00B9094F"/>
    <w:rsid w:val="00C90A2B"/>
    <w:rsid w:val="00DD7E94"/>
    <w:rsid w:val="00E1696F"/>
    <w:rsid w:val="00F41A15"/>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5BA19"/>
  <w15:chartTrackingRefBased/>
  <w15:docId w15:val="{84E30DBD-E1C0-4DF9-AEA9-22DE65A63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4E2"/>
    <w:pPr>
      <w:jc w:val="both"/>
    </w:pPr>
    <w:rPr>
      <w:rFonts w:ascii="Times New Roman" w:hAnsi="Times New Roman"/>
    </w:rPr>
  </w:style>
  <w:style w:type="paragraph" w:styleId="Heading1">
    <w:name w:val="heading 1"/>
    <w:basedOn w:val="Normal"/>
    <w:next w:val="Normal"/>
    <w:link w:val="Heading1Char"/>
    <w:autoRedefine/>
    <w:uiPriority w:val="9"/>
    <w:qFormat/>
    <w:rsid w:val="00B42C8A"/>
    <w:pPr>
      <w:keepNext/>
      <w:keepLines/>
      <w:widowControl w:val="0"/>
      <w:autoSpaceDE w:val="0"/>
      <w:autoSpaceDN w:val="0"/>
      <w:spacing w:before="360" w:after="80" w:line="240" w:lineRule="auto"/>
      <w:jc w:val="left"/>
      <w:outlineLvl w:val="0"/>
    </w:pPr>
    <w:rPr>
      <w:rFonts w:eastAsiaTheme="majorEastAsia" w:cstheme="majorBidi"/>
      <w:b/>
      <w:color w:val="000000" w:themeColor="text1"/>
      <w:kern w:val="0"/>
      <w:sz w:val="28"/>
      <w:szCs w:val="40"/>
      <w:lang w:val="en-US" w:eastAsia="zh-CN"/>
      <w14:ligatures w14:val="none"/>
    </w:rPr>
  </w:style>
  <w:style w:type="paragraph" w:styleId="Heading2">
    <w:name w:val="heading 2"/>
    <w:basedOn w:val="Normal"/>
    <w:next w:val="Normal"/>
    <w:link w:val="Heading2Char"/>
    <w:autoRedefine/>
    <w:uiPriority w:val="9"/>
    <w:unhideWhenUsed/>
    <w:qFormat/>
    <w:rsid w:val="00B42C8A"/>
    <w:pPr>
      <w:keepNext/>
      <w:keepLines/>
      <w:spacing w:before="40" w:after="0" w:line="276"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E1696F"/>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775EE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75EE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75EE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75EE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75EE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75EE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C8A"/>
    <w:rPr>
      <w:rFonts w:ascii="Times New Roman" w:eastAsiaTheme="majorEastAsia" w:hAnsi="Times New Roman" w:cstheme="majorBidi"/>
      <w:b/>
      <w:color w:val="000000" w:themeColor="text1"/>
      <w:kern w:val="0"/>
      <w:sz w:val="28"/>
      <w:szCs w:val="40"/>
      <w:lang w:val="en-US" w:eastAsia="zh-CN"/>
      <w14:ligatures w14:val="none"/>
    </w:rPr>
  </w:style>
  <w:style w:type="character" w:customStyle="1" w:styleId="Heading2Char">
    <w:name w:val="Heading 2 Char"/>
    <w:basedOn w:val="DefaultParagraphFont"/>
    <w:link w:val="Heading2"/>
    <w:uiPriority w:val="9"/>
    <w:rsid w:val="00B42C8A"/>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775E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5E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5E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E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E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EEA"/>
    <w:rPr>
      <w:rFonts w:eastAsiaTheme="majorEastAsia" w:cstheme="majorBidi"/>
      <w:color w:val="272727" w:themeColor="text1" w:themeTint="D8"/>
    </w:rPr>
  </w:style>
  <w:style w:type="paragraph" w:styleId="Title">
    <w:name w:val="Title"/>
    <w:basedOn w:val="Normal"/>
    <w:next w:val="Normal"/>
    <w:link w:val="TitleChar"/>
    <w:uiPriority w:val="10"/>
    <w:qFormat/>
    <w:rsid w:val="00775E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E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EE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E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EEA"/>
    <w:pPr>
      <w:spacing w:before="160"/>
      <w:jc w:val="center"/>
    </w:pPr>
    <w:rPr>
      <w:i/>
      <w:iCs/>
      <w:color w:val="404040" w:themeColor="text1" w:themeTint="BF"/>
    </w:rPr>
  </w:style>
  <w:style w:type="character" w:customStyle="1" w:styleId="QuoteChar">
    <w:name w:val="Quote Char"/>
    <w:basedOn w:val="DefaultParagraphFont"/>
    <w:link w:val="Quote"/>
    <w:uiPriority w:val="29"/>
    <w:rsid w:val="00775EEA"/>
    <w:rPr>
      <w:rFonts w:ascii="Times New Roman" w:hAnsi="Times New Roman"/>
      <w:i/>
      <w:iCs/>
      <w:color w:val="404040" w:themeColor="text1" w:themeTint="BF"/>
    </w:rPr>
  </w:style>
  <w:style w:type="paragraph" w:styleId="ListParagraph">
    <w:name w:val="List Paragraph"/>
    <w:basedOn w:val="Normal"/>
    <w:uiPriority w:val="34"/>
    <w:qFormat/>
    <w:rsid w:val="00775EEA"/>
    <w:pPr>
      <w:ind w:left="720"/>
      <w:contextualSpacing/>
    </w:pPr>
  </w:style>
  <w:style w:type="character" w:styleId="IntenseEmphasis">
    <w:name w:val="Intense Emphasis"/>
    <w:basedOn w:val="DefaultParagraphFont"/>
    <w:uiPriority w:val="21"/>
    <w:qFormat/>
    <w:rsid w:val="00775EEA"/>
    <w:rPr>
      <w:i/>
      <w:iCs/>
      <w:color w:val="0F4761" w:themeColor="accent1" w:themeShade="BF"/>
    </w:rPr>
  </w:style>
  <w:style w:type="paragraph" w:styleId="IntenseQuote">
    <w:name w:val="Intense Quote"/>
    <w:basedOn w:val="Normal"/>
    <w:next w:val="Normal"/>
    <w:link w:val="IntenseQuoteChar"/>
    <w:uiPriority w:val="30"/>
    <w:qFormat/>
    <w:rsid w:val="00775E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EEA"/>
    <w:rPr>
      <w:rFonts w:ascii="Times New Roman" w:hAnsi="Times New Roman"/>
      <w:i/>
      <w:iCs/>
      <w:color w:val="0F4761" w:themeColor="accent1" w:themeShade="BF"/>
    </w:rPr>
  </w:style>
  <w:style w:type="character" w:styleId="IntenseReference">
    <w:name w:val="Intense Reference"/>
    <w:basedOn w:val="DefaultParagraphFont"/>
    <w:uiPriority w:val="32"/>
    <w:qFormat/>
    <w:rsid w:val="00775EEA"/>
    <w:rPr>
      <w:b/>
      <w:bCs/>
      <w:smallCaps/>
      <w:color w:val="0F4761" w:themeColor="accent1" w:themeShade="BF"/>
      <w:spacing w:val="5"/>
    </w:rPr>
  </w:style>
  <w:style w:type="paragraph" w:styleId="Header">
    <w:name w:val="header"/>
    <w:basedOn w:val="Normal"/>
    <w:link w:val="HeaderChar"/>
    <w:uiPriority w:val="99"/>
    <w:unhideWhenUsed/>
    <w:rsid w:val="00DD7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E94"/>
    <w:rPr>
      <w:rFonts w:ascii="Times New Roman" w:hAnsi="Times New Roman"/>
    </w:rPr>
  </w:style>
  <w:style w:type="paragraph" w:styleId="Footer">
    <w:name w:val="footer"/>
    <w:basedOn w:val="Normal"/>
    <w:link w:val="FooterChar"/>
    <w:uiPriority w:val="99"/>
    <w:unhideWhenUsed/>
    <w:rsid w:val="00DD7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E94"/>
    <w:rPr>
      <w:rFonts w:ascii="Times New Roman" w:hAnsi="Times New Roman"/>
    </w:rPr>
  </w:style>
  <w:style w:type="paragraph" w:styleId="TOCHeading">
    <w:name w:val="TOC Heading"/>
    <w:basedOn w:val="Heading1"/>
    <w:next w:val="Normal"/>
    <w:uiPriority w:val="39"/>
    <w:unhideWhenUsed/>
    <w:qFormat/>
    <w:rsid w:val="00DD7E94"/>
    <w:pPr>
      <w:widowControl/>
      <w:autoSpaceDE/>
      <w:autoSpaceDN/>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DD7E94"/>
    <w:pPr>
      <w:spacing w:after="100"/>
    </w:pPr>
  </w:style>
  <w:style w:type="paragraph" w:styleId="TOC2">
    <w:name w:val="toc 2"/>
    <w:basedOn w:val="Normal"/>
    <w:next w:val="Normal"/>
    <w:autoRedefine/>
    <w:uiPriority w:val="39"/>
    <w:unhideWhenUsed/>
    <w:rsid w:val="00DD7E94"/>
    <w:pPr>
      <w:spacing w:after="100"/>
      <w:ind w:left="240"/>
    </w:pPr>
  </w:style>
  <w:style w:type="character" w:styleId="Hyperlink">
    <w:name w:val="Hyperlink"/>
    <w:basedOn w:val="DefaultParagraphFont"/>
    <w:uiPriority w:val="99"/>
    <w:unhideWhenUsed/>
    <w:rsid w:val="00DD7E94"/>
    <w:rPr>
      <w:color w:val="467886" w:themeColor="hyperlink"/>
      <w:u w:val="single"/>
    </w:rPr>
  </w:style>
  <w:style w:type="table" w:styleId="TableGrid">
    <w:name w:val="Table Grid"/>
    <w:basedOn w:val="TableNormal"/>
    <w:uiPriority w:val="39"/>
    <w:rsid w:val="00DD7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C7989-8983-4312-9AD7-CDB8D856CB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4517</Words>
  <Characters>25747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student</dc:creator>
  <cp:keywords/>
  <dc:description/>
  <cp:lastModifiedBy>Alexandru-Eugen Iacob</cp:lastModifiedBy>
  <cp:revision>2</cp:revision>
  <dcterms:created xsi:type="dcterms:W3CDTF">2026-04-10T11:26:00Z</dcterms:created>
  <dcterms:modified xsi:type="dcterms:W3CDTF">2026-04-10T11:26:00Z</dcterms:modified>
</cp:coreProperties>
</file>