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80940A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53E41">
              <w:rPr>
                <w:rFonts w:ascii="Times New Roman" w:hAnsi="Times New Roman" w:cs="Times New Roman"/>
                <w:b/>
                <w:color w:val="auto"/>
                <w:sz w:val="48"/>
              </w:rPr>
              <w:t>Millie Coldrick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F90428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53E41">
              <w:rPr>
                <w:rFonts w:ascii="Times New Roman" w:hAnsi="Times New Roman" w:cs="Times New Roman"/>
                <w:b/>
                <w:color w:val="auto"/>
                <w:sz w:val="48"/>
              </w:rPr>
              <w:t>m.coldrick@npt.gov.uk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E888CD1"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53E41">
              <w:rPr>
                <w:rFonts w:ascii="Times New Roman" w:hAnsi="Times New Roman" w:cs="Times New Roman"/>
                <w:b/>
                <w:color w:val="auto"/>
                <w:sz w:val="48"/>
              </w:rPr>
              <w:t xml:space="preserve"> </w:t>
            </w:r>
          </w:p>
          <w:p w14:paraId="778EE42C" w14:textId="4DDE09DB" w:rsidR="00F53E41" w:rsidRPr="005D3F07" w:rsidRDefault="00F53E41" w:rsidP="005D3F07">
            <w:pPr>
              <w:overflowPunct/>
              <w:autoSpaceDE/>
              <w:autoSpaceDN/>
              <w:adjustRightInd/>
              <w:ind w:right="-957"/>
              <w:textAlignment w:val="auto"/>
              <w:rPr>
                <w:rFonts w:ascii="Times New Roman" w:hAnsi="Times New Roman" w:cs="Times New Roman"/>
                <w:b/>
                <w:color w:val="auto"/>
                <w:sz w:val="48"/>
              </w:rPr>
            </w:pPr>
            <w:r w:rsidRPr="00F53E41">
              <w:rPr>
                <w:rFonts w:ascii="Times New Roman" w:hAnsi="Times New Roman" w:cs="Times New Roman"/>
                <w:b/>
                <w:color w:val="auto"/>
                <w:sz w:val="48"/>
              </w:rPr>
              <w:t>2420737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7FA55128" w14:textId="77777777" w:rsidR="002C3A97" w:rsidRDefault="002C3A97" w:rsidP="002C3A97">
      <w:pPr>
        <w:rPr>
          <w:color w:val="auto"/>
          <w:sz w:val="22"/>
          <w:szCs w:val="22"/>
          <w:shd w:val="clear" w:color="auto" w:fill="FFFFFF"/>
        </w:rPr>
      </w:pPr>
      <w:r w:rsidRPr="00D10982">
        <w:rPr>
          <w:color w:val="auto"/>
          <w:sz w:val="22"/>
          <w:szCs w:val="22"/>
          <w:shd w:val="clear" w:color="auto" w:fill="FFFFFF"/>
        </w:rPr>
        <w:t>Baldwin, C., 2013. </w:t>
      </w:r>
      <w:r w:rsidRPr="00D10982">
        <w:rPr>
          <w:i/>
          <w:iCs/>
          <w:color w:val="auto"/>
          <w:sz w:val="22"/>
          <w:szCs w:val="22"/>
          <w:shd w:val="clear" w:color="auto" w:fill="FFFFFF"/>
        </w:rPr>
        <w:t>Narrative social work: Theory and application</w:t>
      </w:r>
      <w:r w:rsidRPr="00D10982">
        <w:rPr>
          <w:color w:val="auto"/>
          <w:sz w:val="22"/>
          <w:szCs w:val="22"/>
          <w:shd w:val="clear" w:color="auto" w:fill="FFFFFF"/>
        </w:rPr>
        <w:t>. Policy Press.</w:t>
      </w:r>
    </w:p>
    <w:p w14:paraId="042772B5" w14:textId="77777777" w:rsidR="002C3A97" w:rsidRPr="00D10982" w:rsidRDefault="002C3A97" w:rsidP="002C3A97">
      <w:pPr>
        <w:rPr>
          <w:b/>
          <w:color w:val="auto"/>
          <w:sz w:val="22"/>
          <w:szCs w:val="22"/>
        </w:rPr>
      </w:pPr>
    </w:p>
    <w:p w14:paraId="786830F0" w14:textId="77777777" w:rsidR="002C3A97" w:rsidRDefault="002C3A97" w:rsidP="002C3A97">
      <w:pPr>
        <w:rPr>
          <w:color w:val="auto"/>
          <w:sz w:val="22"/>
          <w:szCs w:val="22"/>
          <w:shd w:val="clear" w:color="auto" w:fill="FFFFFF"/>
        </w:rPr>
      </w:pPr>
      <w:r w:rsidRPr="00D10982">
        <w:rPr>
          <w:color w:val="auto"/>
          <w:sz w:val="22"/>
          <w:szCs w:val="22"/>
          <w:shd w:val="clear" w:color="auto" w:fill="FFFFFF"/>
        </w:rPr>
        <w:t>Bassot, B., 2015. </w:t>
      </w:r>
      <w:r w:rsidRPr="00D10982">
        <w:rPr>
          <w:i/>
          <w:iCs/>
          <w:color w:val="auto"/>
          <w:sz w:val="22"/>
          <w:szCs w:val="22"/>
          <w:shd w:val="clear" w:color="auto" w:fill="FFFFFF"/>
        </w:rPr>
        <w:t>The reflective practice guide: An interdisciplinary approach to critical reflection</w:t>
      </w:r>
      <w:r w:rsidRPr="00D10982">
        <w:rPr>
          <w:color w:val="auto"/>
          <w:sz w:val="22"/>
          <w:szCs w:val="22"/>
          <w:shd w:val="clear" w:color="auto" w:fill="FFFFFF"/>
        </w:rPr>
        <w:t>. Routledge.</w:t>
      </w:r>
    </w:p>
    <w:p w14:paraId="502A6750" w14:textId="77777777" w:rsidR="002C3A97" w:rsidRPr="00D10982" w:rsidRDefault="002C3A97" w:rsidP="002C3A97">
      <w:pPr>
        <w:rPr>
          <w:color w:val="auto"/>
          <w:sz w:val="22"/>
          <w:szCs w:val="22"/>
          <w:shd w:val="clear" w:color="auto" w:fill="FFFFFF"/>
        </w:rPr>
      </w:pPr>
    </w:p>
    <w:p w14:paraId="05CA5948" w14:textId="77777777" w:rsidR="002C3A97" w:rsidRDefault="002C3A97" w:rsidP="002C3A97">
      <w:pPr>
        <w:rPr>
          <w:color w:val="auto"/>
          <w:sz w:val="22"/>
          <w:szCs w:val="22"/>
          <w:shd w:val="clear" w:color="auto" w:fill="FFFFFF"/>
        </w:rPr>
      </w:pPr>
      <w:r w:rsidRPr="00D10982">
        <w:rPr>
          <w:color w:val="auto"/>
          <w:sz w:val="22"/>
          <w:szCs w:val="22"/>
          <w:shd w:val="clear" w:color="auto" w:fill="FFFFFF"/>
        </w:rPr>
        <w:t>Blau, P.M., 1964. Justice in social exchange. </w:t>
      </w:r>
      <w:r w:rsidRPr="00D10982">
        <w:rPr>
          <w:i/>
          <w:iCs/>
          <w:color w:val="auto"/>
          <w:sz w:val="22"/>
          <w:szCs w:val="22"/>
          <w:shd w:val="clear" w:color="auto" w:fill="FFFFFF"/>
        </w:rPr>
        <w:t>Sociological inquiry</w:t>
      </w:r>
      <w:r w:rsidRPr="00D10982">
        <w:rPr>
          <w:color w:val="auto"/>
          <w:sz w:val="22"/>
          <w:szCs w:val="22"/>
          <w:shd w:val="clear" w:color="auto" w:fill="FFFFFF"/>
        </w:rPr>
        <w:t>, </w:t>
      </w:r>
      <w:r w:rsidRPr="00D10982">
        <w:rPr>
          <w:i/>
          <w:iCs/>
          <w:color w:val="auto"/>
          <w:sz w:val="22"/>
          <w:szCs w:val="22"/>
          <w:shd w:val="clear" w:color="auto" w:fill="FFFFFF"/>
        </w:rPr>
        <w:t>34</w:t>
      </w:r>
      <w:r w:rsidRPr="00D10982">
        <w:rPr>
          <w:color w:val="auto"/>
          <w:sz w:val="22"/>
          <w:szCs w:val="22"/>
          <w:shd w:val="clear" w:color="auto" w:fill="FFFFFF"/>
        </w:rPr>
        <w:t>(2).</w:t>
      </w:r>
    </w:p>
    <w:p w14:paraId="3ECFE43E" w14:textId="77777777" w:rsidR="002C3A97" w:rsidRPr="00D10982" w:rsidRDefault="002C3A97" w:rsidP="002C3A97">
      <w:pPr>
        <w:rPr>
          <w:color w:val="auto"/>
          <w:sz w:val="22"/>
          <w:szCs w:val="22"/>
          <w:shd w:val="clear" w:color="auto" w:fill="FFFFFF"/>
        </w:rPr>
      </w:pPr>
    </w:p>
    <w:p w14:paraId="4873E422" w14:textId="77777777" w:rsidR="002C3A97" w:rsidRDefault="002C3A97" w:rsidP="002C3A97">
      <w:pPr>
        <w:rPr>
          <w:color w:val="auto"/>
          <w:sz w:val="22"/>
          <w:szCs w:val="22"/>
          <w:shd w:val="clear" w:color="auto" w:fill="FFFFFF"/>
        </w:rPr>
      </w:pPr>
      <w:r w:rsidRPr="00D10982">
        <w:rPr>
          <w:color w:val="auto"/>
          <w:sz w:val="22"/>
          <w:szCs w:val="22"/>
          <w:shd w:val="clear" w:color="auto" w:fill="FFFFFF"/>
        </w:rPr>
        <w:t>Blom, B., Carpholt, C. and Krull, I., 2025. Outline of a theory of stigmatization in the personal social services. </w:t>
      </w:r>
      <w:r w:rsidRPr="00D10982">
        <w:rPr>
          <w:i/>
          <w:iCs/>
          <w:color w:val="auto"/>
          <w:sz w:val="22"/>
          <w:szCs w:val="22"/>
          <w:shd w:val="clear" w:color="auto" w:fill="FFFFFF"/>
        </w:rPr>
        <w:t>Nordic Social Work Research</w:t>
      </w:r>
      <w:r w:rsidRPr="00D10982">
        <w:rPr>
          <w:color w:val="auto"/>
          <w:sz w:val="22"/>
          <w:szCs w:val="22"/>
          <w:shd w:val="clear" w:color="auto" w:fill="FFFFFF"/>
        </w:rPr>
        <w:t>, </w:t>
      </w:r>
      <w:r w:rsidRPr="00D10982">
        <w:rPr>
          <w:i/>
          <w:iCs/>
          <w:color w:val="auto"/>
          <w:sz w:val="22"/>
          <w:szCs w:val="22"/>
          <w:shd w:val="clear" w:color="auto" w:fill="FFFFFF"/>
        </w:rPr>
        <w:t>15</w:t>
      </w:r>
      <w:r w:rsidRPr="00D10982">
        <w:rPr>
          <w:color w:val="auto"/>
          <w:sz w:val="22"/>
          <w:szCs w:val="22"/>
          <w:shd w:val="clear" w:color="auto" w:fill="FFFFFF"/>
        </w:rPr>
        <w:t>(3), pp.394-408.</w:t>
      </w:r>
    </w:p>
    <w:p w14:paraId="2103BC61" w14:textId="77777777" w:rsidR="002C3A97" w:rsidRPr="00D10982" w:rsidRDefault="002C3A97" w:rsidP="002C3A97">
      <w:pPr>
        <w:rPr>
          <w:b/>
          <w:color w:val="auto"/>
          <w:sz w:val="22"/>
          <w:szCs w:val="22"/>
        </w:rPr>
      </w:pPr>
    </w:p>
    <w:p w14:paraId="275E886B" w14:textId="77777777" w:rsidR="002C3A97" w:rsidRPr="00D10982" w:rsidRDefault="002C3A97" w:rsidP="002C3A97">
      <w:pPr>
        <w:rPr>
          <w:color w:val="auto"/>
          <w:sz w:val="22"/>
          <w:szCs w:val="22"/>
        </w:rPr>
      </w:pPr>
      <w:r w:rsidRPr="00D10982">
        <w:rPr>
          <w:color w:val="auto"/>
          <w:sz w:val="22"/>
          <w:szCs w:val="22"/>
          <w:shd w:val="clear" w:color="auto" w:fill="FFFFFF"/>
        </w:rPr>
        <w:t>Bronfenbrenner, U., 2000. </w:t>
      </w:r>
      <w:r w:rsidRPr="00D10982">
        <w:rPr>
          <w:i/>
          <w:iCs/>
          <w:color w:val="auto"/>
          <w:sz w:val="22"/>
          <w:szCs w:val="22"/>
          <w:shd w:val="clear" w:color="auto" w:fill="FFFFFF"/>
        </w:rPr>
        <w:t>Ecological systems theory</w:t>
      </w:r>
      <w:r w:rsidRPr="00D10982">
        <w:rPr>
          <w:color w:val="auto"/>
          <w:sz w:val="22"/>
          <w:szCs w:val="22"/>
          <w:shd w:val="clear" w:color="auto" w:fill="FFFFFF"/>
        </w:rPr>
        <w:t>. American Psychological Association.</w:t>
      </w:r>
    </w:p>
    <w:p w14:paraId="70A426AB" w14:textId="77777777" w:rsidR="002C3A97" w:rsidRDefault="002C3A97" w:rsidP="002C3A97">
      <w:pPr>
        <w:rPr>
          <w:color w:val="auto"/>
          <w:sz w:val="22"/>
          <w:szCs w:val="22"/>
          <w:shd w:val="clear" w:color="auto" w:fill="FFFFFF"/>
        </w:rPr>
      </w:pPr>
      <w:r w:rsidRPr="00D10982">
        <w:rPr>
          <w:color w:val="auto"/>
          <w:sz w:val="22"/>
          <w:szCs w:val="22"/>
          <w:shd w:val="clear" w:color="auto" w:fill="FFFFFF"/>
        </w:rPr>
        <w:t>Caras, A. and Sandu, A., 2014. The role of supervision in professional development of social work specialists. </w:t>
      </w:r>
      <w:r w:rsidRPr="00D10982">
        <w:rPr>
          <w:i/>
          <w:iCs/>
          <w:color w:val="auto"/>
          <w:sz w:val="22"/>
          <w:szCs w:val="22"/>
          <w:shd w:val="clear" w:color="auto" w:fill="FFFFFF"/>
        </w:rPr>
        <w:t>Journal of Social Work Practice</w:t>
      </w:r>
      <w:r w:rsidRPr="00D10982">
        <w:rPr>
          <w:color w:val="auto"/>
          <w:sz w:val="22"/>
          <w:szCs w:val="22"/>
          <w:shd w:val="clear" w:color="auto" w:fill="FFFFFF"/>
        </w:rPr>
        <w:t>, </w:t>
      </w:r>
      <w:r w:rsidRPr="00D10982">
        <w:rPr>
          <w:i/>
          <w:iCs/>
          <w:color w:val="auto"/>
          <w:sz w:val="22"/>
          <w:szCs w:val="22"/>
          <w:shd w:val="clear" w:color="auto" w:fill="FFFFFF"/>
        </w:rPr>
        <w:t>28</w:t>
      </w:r>
      <w:r w:rsidRPr="00D10982">
        <w:rPr>
          <w:color w:val="auto"/>
          <w:sz w:val="22"/>
          <w:szCs w:val="22"/>
          <w:shd w:val="clear" w:color="auto" w:fill="FFFFFF"/>
        </w:rPr>
        <w:t>(1), pp.75-94.</w:t>
      </w:r>
    </w:p>
    <w:p w14:paraId="646C57FE" w14:textId="77777777" w:rsidR="002C3A97" w:rsidRPr="00D10982" w:rsidRDefault="002C3A97" w:rsidP="002C3A97">
      <w:pPr>
        <w:rPr>
          <w:color w:val="auto"/>
          <w:sz w:val="22"/>
          <w:szCs w:val="22"/>
          <w:shd w:val="clear" w:color="auto" w:fill="FFFFFF"/>
        </w:rPr>
      </w:pPr>
    </w:p>
    <w:p w14:paraId="2B789E71" w14:textId="77777777" w:rsidR="002C3A97" w:rsidRPr="00D10982" w:rsidRDefault="002C3A97" w:rsidP="002C3A97">
      <w:pPr>
        <w:rPr>
          <w:color w:val="auto"/>
          <w:sz w:val="22"/>
          <w:szCs w:val="22"/>
        </w:rPr>
      </w:pPr>
      <w:r w:rsidRPr="00D10982">
        <w:rPr>
          <w:color w:val="auto"/>
          <w:sz w:val="22"/>
          <w:szCs w:val="22"/>
        </w:rPr>
        <w:t>Care Inspectorate Wales (2023) </w:t>
      </w:r>
      <w:r w:rsidRPr="00D10982">
        <w:rPr>
          <w:rStyle w:val="Emphasis"/>
          <w:color w:val="auto"/>
          <w:sz w:val="22"/>
          <w:szCs w:val="22"/>
        </w:rPr>
        <w:t>Annual Report 2022–2023.</w:t>
      </w:r>
      <w:r w:rsidRPr="00D10982">
        <w:rPr>
          <w:color w:val="auto"/>
          <w:sz w:val="22"/>
          <w:szCs w:val="22"/>
        </w:rPr>
        <w:t> Cardiff: Welsh Government.</w:t>
      </w:r>
    </w:p>
    <w:p w14:paraId="4D630F7F" w14:textId="77777777" w:rsidR="002C3A97" w:rsidRDefault="002C3A97" w:rsidP="002C3A97">
      <w:pPr>
        <w:rPr>
          <w:color w:val="auto"/>
          <w:sz w:val="22"/>
          <w:szCs w:val="22"/>
          <w:shd w:val="clear" w:color="auto" w:fill="FFFFFF"/>
        </w:rPr>
      </w:pPr>
      <w:r w:rsidRPr="00D10982">
        <w:rPr>
          <w:color w:val="auto"/>
          <w:sz w:val="22"/>
          <w:szCs w:val="22"/>
          <w:shd w:val="clear" w:color="auto" w:fill="FFFFFF"/>
        </w:rPr>
        <w:t>Children and Families Act 2014</w:t>
      </w:r>
    </w:p>
    <w:p w14:paraId="6C5648AF" w14:textId="77777777" w:rsidR="002C3A97" w:rsidRPr="00D10982" w:rsidRDefault="002C3A97" w:rsidP="002C3A97">
      <w:pPr>
        <w:rPr>
          <w:color w:val="auto"/>
          <w:sz w:val="22"/>
          <w:szCs w:val="22"/>
          <w:shd w:val="clear" w:color="auto" w:fill="FFFFFF"/>
        </w:rPr>
      </w:pPr>
    </w:p>
    <w:p w14:paraId="452F61B4" w14:textId="77777777" w:rsidR="002C3A97" w:rsidRDefault="002C3A97" w:rsidP="002C3A97">
      <w:pPr>
        <w:rPr>
          <w:color w:val="auto"/>
          <w:sz w:val="22"/>
          <w:szCs w:val="22"/>
          <w:shd w:val="clear" w:color="auto" w:fill="FFFFFF"/>
        </w:rPr>
      </w:pPr>
      <w:r w:rsidRPr="00D10982">
        <w:rPr>
          <w:color w:val="auto"/>
          <w:sz w:val="22"/>
          <w:szCs w:val="22"/>
          <w:shd w:val="clear" w:color="auto" w:fill="FFFFFF"/>
        </w:rPr>
        <w:t>Chisnell, C. and Kelly, C., 2019. Safeguarding in social work practice: a lifespan approach.</w:t>
      </w:r>
    </w:p>
    <w:p w14:paraId="45C4013E" w14:textId="77777777" w:rsidR="002C3A97" w:rsidRPr="00D10982" w:rsidRDefault="002C3A97" w:rsidP="002C3A97">
      <w:pPr>
        <w:rPr>
          <w:color w:val="auto"/>
          <w:sz w:val="22"/>
          <w:szCs w:val="22"/>
          <w:shd w:val="clear" w:color="auto" w:fill="FFFFFF"/>
        </w:rPr>
      </w:pPr>
    </w:p>
    <w:p w14:paraId="0B7092F9" w14:textId="77777777" w:rsidR="002C3A97" w:rsidRDefault="002C3A97" w:rsidP="002C3A97">
      <w:pPr>
        <w:rPr>
          <w:color w:val="auto"/>
          <w:sz w:val="22"/>
          <w:szCs w:val="22"/>
          <w:shd w:val="clear" w:color="auto" w:fill="FFFFFF"/>
        </w:rPr>
      </w:pPr>
      <w:r w:rsidRPr="00D10982">
        <w:rPr>
          <w:color w:val="auto"/>
          <w:sz w:val="22"/>
          <w:szCs w:val="22"/>
          <w:shd w:val="clear" w:color="auto" w:fill="FFFFFF"/>
        </w:rPr>
        <w:t>Cohen, N., Benish, A. and Shamriz-Ilouz, A., 2016. When the clients can choose: Dilemmas of street-level workers in choice-based social services. </w:t>
      </w:r>
      <w:r w:rsidRPr="00D10982">
        <w:rPr>
          <w:i/>
          <w:iCs/>
          <w:color w:val="auto"/>
          <w:sz w:val="22"/>
          <w:szCs w:val="22"/>
          <w:shd w:val="clear" w:color="auto" w:fill="FFFFFF"/>
        </w:rPr>
        <w:t>Social Service Review</w:t>
      </w:r>
      <w:r w:rsidRPr="00D10982">
        <w:rPr>
          <w:color w:val="auto"/>
          <w:sz w:val="22"/>
          <w:szCs w:val="22"/>
          <w:shd w:val="clear" w:color="auto" w:fill="FFFFFF"/>
        </w:rPr>
        <w:t>, </w:t>
      </w:r>
      <w:r w:rsidRPr="00D10982">
        <w:rPr>
          <w:i/>
          <w:iCs/>
          <w:color w:val="auto"/>
          <w:sz w:val="22"/>
          <w:szCs w:val="22"/>
          <w:shd w:val="clear" w:color="auto" w:fill="FFFFFF"/>
        </w:rPr>
        <w:t>90</w:t>
      </w:r>
      <w:r w:rsidRPr="00D10982">
        <w:rPr>
          <w:color w:val="auto"/>
          <w:sz w:val="22"/>
          <w:szCs w:val="22"/>
          <w:shd w:val="clear" w:color="auto" w:fill="FFFFFF"/>
        </w:rPr>
        <w:t>(4), pp.620-646.</w:t>
      </w:r>
    </w:p>
    <w:p w14:paraId="78C32010" w14:textId="77777777" w:rsidR="002C3A97" w:rsidRPr="00D10982" w:rsidRDefault="002C3A97" w:rsidP="002C3A97">
      <w:pPr>
        <w:rPr>
          <w:color w:val="auto"/>
          <w:sz w:val="22"/>
          <w:szCs w:val="22"/>
          <w:shd w:val="clear" w:color="auto" w:fill="FFFFFF"/>
        </w:rPr>
      </w:pPr>
    </w:p>
    <w:p w14:paraId="70B1FC32"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Department of Health (1985) </w:t>
      </w:r>
      <w:r w:rsidRPr="00D10982">
        <w:rPr>
          <w:rStyle w:val="Emphasis"/>
          <w:rFonts w:ascii="Arial" w:hAnsi="Arial" w:cs="Arial"/>
          <w:sz w:val="22"/>
          <w:szCs w:val="22"/>
        </w:rPr>
        <w:t>Gillick v West Norfolk and Wisbech Area Health Authority [1985] 3 All ER 402.</w:t>
      </w:r>
      <w:r w:rsidRPr="00D10982">
        <w:rPr>
          <w:rFonts w:ascii="Arial" w:hAnsi="Arial" w:cs="Arial"/>
          <w:sz w:val="22"/>
          <w:szCs w:val="22"/>
        </w:rPr>
        <w:t> London: HMSO.</w:t>
      </w:r>
    </w:p>
    <w:p w14:paraId="77250A10"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Dickens, S., Taylor, S. and Herring, J. (2019) ‘Transparency and Trust: Social Work Ethics in Practice’, </w:t>
      </w:r>
      <w:r w:rsidRPr="00D10982">
        <w:rPr>
          <w:rStyle w:val="Emphasis"/>
          <w:rFonts w:ascii="Arial" w:hAnsi="Arial" w:cs="Arial"/>
          <w:sz w:val="22"/>
          <w:szCs w:val="22"/>
        </w:rPr>
        <w:t>Journal of Social Welfare and Ethics</w:t>
      </w:r>
      <w:r w:rsidRPr="00D10982">
        <w:rPr>
          <w:rFonts w:ascii="Arial" w:hAnsi="Arial" w:cs="Arial"/>
          <w:sz w:val="22"/>
          <w:szCs w:val="22"/>
        </w:rPr>
        <w:t>, 14(2), pp. 115–130.</w:t>
      </w:r>
    </w:p>
    <w:p w14:paraId="63000A69" w14:textId="77777777" w:rsidR="002C3A97" w:rsidRPr="00D10982" w:rsidRDefault="002C3A97" w:rsidP="002C3A97">
      <w:pPr>
        <w:pStyle w:val="NormalWeb"/>
        <w:rPr>
          <w:rFonts w:ascii="Arial" w:hAnsi="Arial" w:cs="Arial"/>
          <w:sz w:val="22"/>
          <w:szCs w:val="22"/>
          <w:shd w:val="clear" w:color="auto" w:fill="FFFFFF"/>
        </w:rPr>
      </w:pPr>
      <w:r w:rsidRPr="00D10982">
        <w:rPr>
          <w:rFonts w:ascii="Arial" w:hAnsi="Arial" w:cs="Arial"/>
          <w:sz w:val="22"/>
          <w:szCs w:val="22"/>
          <w:shd w:val="clear" w:color="auto" w:fill="FFFFFF"/>
        </w:rPr>
        <w:t>Dodaj, A., 2020. Children witnessing domestic violence. </w:t>
      </w:r>
      <w:r w:rsidRPr="00D10982">
        <w:rPr>
          <w:rFonts w:ascii="Arial" w:hAnsi="Arial" w:cs="Arial"/>
          <w:i/>
          <w:iCs/>
          <w:sz w:val="22"/>
          <w:szCs w:val="22"/>
          <w:shd w:val="clear" w:color="auto" w:fill="FFFFFF"/>
        </w:rPr>
        <w:t>Journal of Children's Services</w:t>
      </w:r>
      <w:r w:rsidRPr="00D10982">
        <w:rPr>
          <w:rFonts w:ascii="Arial" w:hAnsi="Arial" w:cs="Arial"/>
          <w:sz w:val="22"/>
          <w:szCs w:val="22"/>
          <w:shd w:val="clear" w:color="auto" w:fill="FFFFFF"/>
        </w:rPr>
        <w:t>, </w:t>
      </w:r>
      <w:r w:rsidRPr="00D10982">
        <w:rPr>
          <w:rFonts w:ascii="Arial" w:hAnsi="Arial" w:cs="Arial"/>
          <w:i/>
          <w:iCs/>
          <w:sz w:val="22"/>
          <w:szCs w:val="22"/>
          <w:shd w:val="clear" w:color="auto" w:fill="FFFFFF"/>
        </w:rPr>
        <w:t>15</w:t>
      </w:r>
      <w:r w:rsidRPr="00D10982">
        <w:rPr>
          <w:rFonts w:ascii="Arial" w:hAnsi="Arial" w:cs="Arial"/>
          <w:sz w:val="22"/>
          <w:szCs w:val="22"/>
          <w:shd w:val="clear" w:color="auto" w:fill="FFFFFF"/>
        </w:rPr>
        <w:t>(3), pp.161-174.</w:t>
      </w:r>
    </w:p>
    <w:p w14:paraId="139C4F11" w14:textId="77777777" w:rsidR="002C3A97" w:rsidRDefault="002C3A97" w:rsidP="002C3A97">
      <w:pPr>
        <w:pStyle w:val="NormalWeb"/>
        <w:rPr>
          <w:rFonts w:ascii="Arial" w:hAnsi="Arial" w:cs="Arial"/>
          <w:sz w:val="22"/>
          <w:szCs w:val="22"/>
          <w:shd w:val="clear" w:color="auto" w:fill="FFFFFF"/>
        </w:rPr>
      </w:pPr>
      <w:r w:rsidRPr="00D10982">
        <w:rPr>
          <w:rFonts w:ascii="Arial" w:hAnsi="Arial" w:cs="Arial"/>
          <w:sz w:val="22"/>
          <w:szCs w:val="22"/>
          <w:shd w:val="clear" w:color="auto" w:fill="FFFFFF"/>
        </w:rPr>
        <w:t>Dyke, C., 2025. </w:t>
      </w:r>
      <w:r w:rsidRPr="00D10982">
        <w:rPr>
          <w:rFonts w:ascii="Arial" w:hAnsi="Arial" w:cs="Arial"/>
          <w:i/>
          <w:iCs/>
          <w:sz w:val="22"/>
          <w:szCs w:val="22"/>
          <w:shd w:val="clear" w:color="auto" w:fill="FFFFFF"/>
        </w:rPr>
        <w:t>Writing analytical assessments in social work</w:t>
      </w:r>
      <w:r w:rsidRPr="00D10982">
        <w:rPr>
          <w:rFonts w:ascii="Arial" w:hAnsi="Arial" w:cs="Arial"/>
          <w:sz w:val="22"/>
          <w:szCs w:val="22"/>
          <w:shd w:val="clear" w:color="auto" w:fill="FFFFFF"/>
        </w:rPr>
        <w:t>. Routledge.</w:t>
      </w:r>
    </w:p>
    <w:p w14:paraId="6E91E862" w14:textId="77777777" w:rsidR="002C3A97" w:rsidRPr="00D10982" w:rsidRDefault="002C3A97" w:rsidP="002C3A97">
      <w:pPr>
        <w:pStyle w:val="NormalWeb"/>
        <w:rPr>
          <w:rFonts w:ascii="Arial" w:hAnsi="Arial" w:cs="Arial"/>
          <w:sz w:val="22"/>
          <w:szCs w:val="22"/>
          <w:shd w:val="clear" w:color="auto" w:fill="FFFFFF"/>
        </w:rPr>
      </w:pPr>
    </w:p>
    <w:p w14:paraId="6E8CF40E" w14:textId="77777777" w:rsidR="002C3A97" w:rsidRDefault="002C3A97" w:rsidP="002C3A97">
      <w:pPr>
        <w:rPr>
          <w:color w:val="auto"/>
          <w:sz w:val="22"/>
          <w:szCs w:val="22"/>
          <w:shd w:val="clear" w:color="auto" w:fill="FFFFFF"/>
        </w:rPr>
      </w:pPr>
      <w:r w:rsidRPr="00D10982">
        <w:rPr>
          <w:color w:val="auto"/>
          <w:sz w:val="22"/>
          <w:szCs w:val="22"/>
          <w:shd w:val="clear" w:color="auto" w:fill="FFFFFF"/>
        </w:rPr>
        <w:t>Farr, M., 2018. Power dynamics and collaborative mechanisms in co-production and co-design processes. </w:t>
      </w:r>
      <w:r w:rsidRPr="00D10982">
        <w:rPr>
          <w:i/>
          <w:iCs/>
          <w:color w:val="auto"/>
          <w:sz w:val="22"/>
          <w:szCs w:val="22"/>
          <w:shd w:val="clear" w:color="auto" w:fill="FFFFFF"/>
        </w:rPr>
        <w:t>Critical social policy</w:t>
      </w:r>
      <w:r w:rsidRPr="00D10982">
        <w:rPr>
          <w:color w:val="auto"/>
          <w:sz w:val="22"/>
          <w:szCs w:val="22"/>
          <w:shd w:val="clear" w:color="auto" w:fill="FFFFFF"/>
        </w:rPr>
        <w:t>, </w:t>
      </w:r>
      <w:r w:rsidRPr="00D10982">
        <w:rPr>
          <w:i/>
          <w:iCs/>
          <w:color w:val="auto"/>
          <w:sz w:val="22"/>
          <w:szCs w:val="22"/>
          <w:shd w:val="clear" w:color="auto" w:fill="FFFFFF"/>
        </w:rPr>
        <w:t>38</w:t>
      </w:r>
      <w:r w:rsidRPr="00D10982">
        <w:rPr>
          <w:color w:val="auto"/>
          <w:sz w:val="22"/>
          <w:szCs w:val="22"/>
          <w:shd w:val="clear" w:color="auto" w:fill="FFFFFF"/>
        </w:rPr>
        <w:t>(4), pp.623-644.</w:t>
      </w:r>
    </w:p>
    <w:p w14:paraId="307BB20D" w14:textId="77777777" w:rsidR="002C3A97" w:rsidRPr="00D10982" w:rsidRDefault="002C3A97" w:rsidP="002C3A97">
      <w:pPr>
        <w:rPr>
          <w:color w:val="auto"/>
          <w:sz w:val="22"/>
          <w:szCs w:val="22"/>
          <w:shd w:val="clear" w:color="auto" w:fill="FFFFFF"/>
        </w:rPr>
      </w:pPr>
    </w:p>
    <w:p w14:paraId="146A6508" w14:textId="77777777" w:rsidR="002C3A97" w:rsidRDefault="002C3A97" w:rsidP="002C3A97">
      <w:pPr>
        <w:pStyle w:val="NormalWeb"/>
        <w:rPr>
          <w:rFonts w:ascii="Arial" w:hAnsi="Arial" w:cs="Arial"/>
          <w:sz w:val="22"/>
          <w:szCs w:val="22"/>
        </w:rPr>
      </w:pPr>
      <w:r w:rsidRPr="00D10982">
        <w:rPr>
          <w:rFonts w:ascii="Arial" w:hAnsi="Arial" w:cs="Arial"/>
          <w:sz w:val="22"/>
          <w:szCs w:val="22"/>
        </w:rPr>
        <w:t>Ferguson, H. (2018) </w:t>
      </w:r>
      <w:r w:rsidRPr="00D10982">
        <w:rPr>
          <w:rStyle w:val="Emphasis"/>
          <w:rFonts w:ascii="Arial" w:hAnsi="Arial" w:cs="Arial"/>
          <w:sz w:val="22"/>
          <w:szCs w:val="22"/>
        </w:rPr>
        <w:t>How Social Workers Reflect in Action and Why It Matters</w:t>
      </w:r>
      <w:r w:rsidRPr="00D10982">
        <w:rPr>
          <w:rFonts w:ascii="Arial" w:hAnsi="Arial" w:cs="Arial"/>
          <w:sz w:val="22"/>
          <w:szCs w:val="22"/>
        </w:rPr>
        <w:t>. London: Routledge.</w:t>
      </w:r>
    </w:p>
    <w:p w14:paraId="50B2A23F" w14:textId="77777777" w:rsidR="002C3A97" w:rsidRPr="00D10982" w:rsidRDefault="002C3A97" w:rsidP="002C3A97">
      <w:pPr>
        <w:pStyle w:val="NormalWeb"/>
        <w:rPr>
          <w:rFonts w:ascii="Arial" w:hAnsi="Arial" w:cs="Arial"/>
          <w:sz w:val="22"/>
          <w:szCs w:val="22"/>
        </w:rPr>
      </w:pPr>
    </w:p>
    <w:p w14:paraId="70072985" w14:textId="77777777" w:rsidR="002C3A97" w:rsidRPr="00D10982" w:rsidRDefault="002C3A97" w:rsidP="002C3A97">
      <w:pPr>
        <w:rPr>
          <w:color w:val="auto"/>
          <w:sz w:val="22"/>
          <w:szCs w:val="22"/>
          <w:shd w:val="clear" w:color="auto" w:fill="FFFFFF"/>
        </w:rPr>
      </w:pPr>
      <w:r w:rsidRPr="00D10982">
        <w:rPr>
          <w:color w:val="auto"/>
          <w:sz w:val="22"/>
          <w:szCs w:val="22"/>
          <w:shd w:val="clear" w:color="auto" w:fill="FFFFFF"/>
        </w:rPr>
        <w:t>Gibbs, G., 1988. Learning by doing: A guide to teaching and learning methods. </w:t>
      </w:r>
      <w:r w:rsidRPr="00D10982">
        <w:rPr>
          <w:i/>
          <w:iCs/>
          <w:color w:val="auto"/>
          <w:sz w:val="22"/>
          <w:szCs w:val="22"/>
          <w:shd w:val="clear" w:color="auto" w:fill="FFFFFF"/>
        </w:rPr>
        <w:t>Further Education Unit</w:t>
      </w:r>
      <w:r w:rsidRPr="00D10982">
        <w:rPr>
          <w:color w:val="auto"/>
          <w:sz w:val="22"/>
          <w:szCs w:val="22"/>
          <w:shd w:val="clear" w:color="auto" w:fill="FFFFFF"/>
        </w:rPr>
        <w:t>.</w:t>
      </w:r>
    </w:p>
    <w:p w14:paraId="5DD0BCF7" w14:textId="77777777" w:rsidR="002C3A97" w:rsidRPr="00D10982" w:rsidRDefault="002C3A97" w:rsidP="002C3A97">
      <w:pPr>
        <w:rPr>
          <w:color w:val="auto"/>
          <w:sz w:val="22"/>
          <w:szCs w:val="22"/>
          <w:shd w:val="clear" w:color="auto" w:fill="FFFFFF"/>
        </w:rPr>
      </w:pPr>
      <w:r w:rsidRPr="00D10982">
        <w:rPr>
          <w:color w:val="auto"/>
          <w:sz w:val="22"/>
          <w:szCs w:val="22"/>
          <w:shd w:val="clear" w:color="auto" w:fill="FFFFFF"/>
        </w:rPr>
        <w:t>Gunaretnam, V., 2021. A Study on Increasing Positive Behaviors Using Positive Reinforcement Techniques. </w:t>
      </w:r>
      <w:r w:rsidRPr="00D10982">
        <w:rPr>
          <w:i/>
          <w:iCs/>
          <w:color w:val="auto"/>
          <w:sz w:val="22"/>
          <w:szCs w:val="22"/>
          <w:shd w:val="clear" w:color="auto" w:fill="FFFFFF"/>
        </w:rPr>
        <w:t>International Journal of Research and Innovation in Social Science</w:t>
      </w:r>
      <w:r w:rsidRPr="00D10982">
        <w:rPr>
          <w:color w:val="auto"/>
          <w:sz w:val="22"/>
          <w:szCs w:val="22"/>
          <w:shd w:val="clear" w:color="auto" w:fill="FFFFFF"/>
        </w:rPr>
        <w:t>, </w:t>
      </w:r>
      <w:r w:rsidRPr="00D10982">
        <w:rPr>
          <w:i/>
          <w:iCs/>
          <w:color w:val="auto"/>
          <w:sz w:val="22"/>
          <w:szCs w:val="22"/>
          <w:shd w:val="clear" w:color="auto" w:fill="FFFFFF"/>
        </w:rPr>
        <w:t>5</w:t>
      </w:r>
      <w:r w:rsidRPr="00D10982">
        <w:rPr>
          <w:color w:val="auto"/>
          <w:sz w:val="22"/>
          <w:szCs w:val="22"/>
          <w:shd w:val="clear" w:color="auto" w:fill="FFFFFF"/>
        </w:rPr>
        <w:t>(7), p.22.</w:t>
      </w:r>
    </w:p>
    <w:p w14:paraId="2BEE2E11" w14:textId="77777777" w:rsidR="002C3A97" w:rsidRDefault="002C3A97" w:rsidP="002C3A97">
      <w:pPr>
        <w:rPr>
          <w:color w:val="auto"/>
          <w:sz w:val="22"/>
          <w:szCs w:val="22"/>
          <w:shd w:val="clear" w:color="auto" w:fill="FFFFFF"/>
        </w:rPr>
      </w:pPr>
      <w:r w:rsidRPr="00D10982">
        <w:rPr>
          <w:color w:val="auto"/>
          <w:sz w:val="22"/>
          <w:szCs w:val="22"/>
          <w:shd w:val="clear" w:color="auto" w:fill="FFFFFF"/>
        </w:rPr>
        <w:lastRenderedPageBreak/>
        <w:t xml:space="preserve">Human Rights Act, 1998. </w:t>
      </w:r>
    </w:p>
    <w:p w14:paraId="6B6A0FF3" w14:textId="77777777" w:rsidR="002C3A97" w:rsidRPr="00D10982" w:rsidRDefault="002C3A97" w:rsidP="002C3A97">
      <w:pPr>
        <w:rPr>
          <w:color w:val="auto"/>
          <w:sz w:val="22"/>
          <w:szCs w:val="22"/>
          <w:shd w:val="clear" w:color="auto" w:fill="FFFFFF"/>
        </w:rPr>
      </w:pPr>
    </w:p>
    <w:p w14:paraId="5EF2CBF2" w14:textId="77777777" w:rsidR="002C3A97" w:rsidRDefault="002C3A97" w:rsidP="002C3A97">
      <w:pPr>
        <w:rPr>
          <w:color w:val="auto"/>
          <w:sz w:val="22"/>
          <w:szCs w:val="22"/>
          <w:shd w:val="clear" w:color="auto" w:fill="FFFFFF"/>
        </w:rPr>
      </w:pPr>
      <w:r w:rsidRPr="00D10982">
        <w:rPr>
          <w:color w:val="auto"/>
          <w:sz w:val="22"/>
          <w:szCs w:val="22"/>
          <w:shd w:val="clear" w:color="auto" w:fill="FFFFFF"/>
        </w:rPr>
        <w:t>Jasper, M., 2003. </w:t>
      </w:r>
      <w:r w:rsidRPr="00D10982">
        <w:rPr>
          <w:i/>
          <w:iCs/>
          <w:color w:val="auto"/>
          <w:sz w:val="22"/>
          <w:szCs w:val="22"/>
          <w:shd w:val="clear" w:color="auto" w:fill="FFFFFF"/>
        </w:rPr>
        <w:t>Beginning reflective practice</w:t>
      </w:r>
      <w:r w:rsidRPr="00D10982">
        <w:rPr>
          <w:color w:val="auto"/>
          <w:sz w:val="22"/>
          <w:szCs w:val="22"/>
          <w:shd w:val="clear" w:color="auto" w:fill="FFFFFF"/>
        </w:rPr>
        <w:t>. Nelson Thornes.</w:t>
      </w:r>
    </w:p>
    <w:p w14:paraId="2386E7B2" w14:textId="77777777" w:rsidR="002C3A97" w:rsidRPr="00D10982" w:rsidRDefault="002C3A97" w:rsidP="002C3A97">
      <w:pPr>
        <w:rPr>
          <w:color w:val="auto"/>
          <w:sz w:val="22"/>
          <w:szCs w:val="22"/>
          <w:shd w:val="clear" w:color="auto" w:fill="FFFFFF"/>
        </w:rPr>
      </w:pPr>
    </w:p>
    <w:p w14:paraId="097356E8" w14:textId="77777777" w:rsidR="002C3A97" w:rsidRDefault="002C3A97" w:rsidP="002C3A97">
      <w:pPr>
        <w:rPr>
          <w:color w:val="auto"/>
          <w:sz w:val="22"/>
          <w:szCs w:val="22"/>
          <w:shd w:val="clear" w:color="auto" w:fill="FFFFFF"/>
        </w:rPr>
      </w:pPr>
      <w:r w:rsidRPr="00D10982">
        <w:rPr>
          <w:color w:val="auto"/>
          <w:sz w:val="22"/>
          <w:szCs w:val="22"/>
          <w:shd w:val="clear" w:color="auto" w:fill="FFFFFF"/>
        </w:rPr>
        <w:t>Jenney, A., Mishna, F., Alaggia, R. and Scott, K., 2014. Doing the right thing?(Re) Considering risk assessment and safety planning in child protection work with domestic violence cases. </w:t>
      </w:r>
      <w:r w:rsidRPr="00D10982">
        <w:rPr>
          <w:i/>
          <w:iCs/>
          <w:color w:val="auto"/>
          <w:sz w:val="22"/>
          <w:szCs w:val="22"/>
          <w:shd w:val="clear" w:color="auto" w:fill="FFFFFF"/>
        </w:rPr>
        <w:t>Children and youth services review</w:t>
      </w:r>
      <w:r w:rsidRPr="00D10982">
        <w:rPr>
          <w:color w:val="auto"/>
          <w:sz w:val="22"/>
          <w:szCs w:val="22"/>
          <w:shd w:val="clear" w:color="auto" w:fill="FFFFFF"/>
        </w:rPr>
        <w:t>, </w:t>
      </w:r>
      <w:r w:rsidRPr="00D10982">
        <w:rPr>
          <w:i/>
          <w:iCs/>
          <w:color w:val="auto"/>
          <w:sz w:val="22"/>
          <w:szCs w:val="22"/>
          <w:shd w:val="clear" w:color="auto" w:fill="FFFFFF"/>
        </w:rPr>
        <w:t>47</w:t>
      </w:r>
      <w:r w:rsidRPr="00D10982">
        <w:rPr>
          <w:color w:val="auto"/>
          <w:sz w:val="22"/>
          <w:szCs w:val="22"/>
          <w:shd w:val="clear" w:color="auto" w:fill="FFFFFF"/>
        </w:rPr>
        <w:t>, pp.92-101.</w:t>
      </w:r>
    </w:p>
    <w:p w14:paraId="28D9C173" w14:textId="77777777" w:rsidR="002C3A97" w:rsidRPr="00D10982" w:rsidRDefault="002C3A97" w:rsidP="002C3A97">
      <w:pPr>
        <w:rPr>
          <w:color w:val="auto"/>
          <w:sz w:val="22"/>
          <w:szCs w:val="22"/>
          <w:shd w:val="clear" w:color="auto" w:fill="FFFFFF"/>
        </w:rPr>
      </w:pPr>
    </w:p>
    <w:p w14:paraId="44DF10F9" w14:textId="77777777" w:rsidR="002C3A97" w:rsidRDefault="002C3A97" w:rsidP="002C3A97">
      <w:pPr>
        <w:rPr>
          <w:color w:val="auto"/>
          <w:sz w:val="22"/>
          <w:szCs w:val="22"/>
          <w:shd w:val="clear" w:color="auto" w:fill="FFFFFF"/>
        </w:rPr>
      </w:pPr>
      <w:r w:rsidRPr="00D10982">
        <w:rPr>
          <w:color w:val="auto"/>
          <w:sz w:val="22"/>
          <w:szCs w:val="22"/>
          <w:shd w:val="clear" w:color="auto" w:fill="FFFFFF"/>
        </w:rPr>
        <w:t>Kaplan, L.E. and Bryan, V., 2009. A conceptual framework for considering informed consent. </w:t>
      </w:r>
      <w:r w:rsidRPr="00D10982">
        <w:rPr>
          <w:i/>
          <w:iCs/>
          <w:color w:val="auto"/>
          <w:sz w:val="22"/>
          <w:szCs w:val="22"/>
          <w:shd w:val="clear" w:color="auto" w:fill="FFFFFF"/>
        </w:rPr>
        <w:t>Journal of Social Work Values &amp; Ethics</w:t>
      </w:r>
      <w:r w:rsidRPr="00D10982">
        <w:rPr>
          <w:color w:val="auto"/>
          <w:sz w:val="22"/>
          <w:szCs w:val="22"/>
          <w:shd w:val="clear" w:color="auto" w:fill="FFFFFF"/>
        </w:rPr>
        <w:t>, </w:t>
      </w:r>
      <w:r w:rsidRPr="00D10982">
        <w:rPr>
          <w:i/>
          <w:iCs/>
          <w:color w:val="auto"/>
          <w:sz w:val="22"/>
          <w:szCs w:val="22"/>
          <w:shd w:val="clear" w:color="auto" w:fill="FFFFFF"/>
        </w:rPr>
        <w:t>6</w:t>
      </w:r>
      <w:r w:rsidRPr="00D10982">
        <w:rPr>
          <w:color w:val="auto"/>
          <w:sz w:val="22"/>
          <w:szCs w:val="22"/>
          <w:shd w:val="clear" w:color="auto" w:fill="FFFFFF"/>
        </w:rPr>
        <w:t>(3), p.5.</w:t>
      </w:r>
    </w:p>
    <w:p w14:paraId="3C9B0323" w14:textId="77777777" w:rsidR="002C3A97" w:rsidRPr="00D10982" w:rsidRDefault="002C3A97" w:rsidP="002C3A97">
      <w:pPr>
        <w:rPr>
          <w:color w:val="auto"/>
          <w:sz w:val="22"/>
          <w:szCs w:val="22"/>
          <w:shd w:val="clear" w:color="auto" w:fill="FFFFFF"/>
        </w:rPr>
      </w:pPr>
    </w:p>
    <w:p w14:paraId="21D43806"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Lishman, J. (2009) </w:t>
      </w:r>
      <w:r w:rsidRPr="00D10982">
        <w:rPr>
          <w:rStyle w:val="Emphasis"/>
          <w:rFonts w:ascii="Arial" w:hAnsi="Arial" w:cs="Arial"/>
          <w:sz w:val="22"/>
          <w:szCs w:val="22"/>
        </w:rPr>
        <w:t>Communication in Social Work</w:t>
      </w:r>
      <w:r w:rsidRPr="00D10982">
        <w:rPr>
          <w:rFonts w:ascii="Arial" w:hAnsi="Arial" w:cs="Arial"/>
          <w:sz w:val="22"/>
          <w:szCs w:val="22"/>
        </w:rPr>
        <w:t>. 2nd edn. Basingstoke: Palgrave Macmillan.</w:t>
      </w:r>
    </w:p>
    <w:p w14:paraId="6575FDA4" w14:textId="77777777" w:rsidR="002C3A97" w:rsidRDefault="002C3A97" w:rsidP="002C3A97">
      <w:pPr>
        <w:pStyle w:val="NormalWeb"/>
        <w:rPr>
          <w:rFonts w:ascii="Arial" w:hAnsi="Arial" w:cs="Arial"/>
          <w:sz w:val="22"/>
          <w:szCs w:val="22"/>
        </w:rPr>
      </w:pPr>
      <w:r w:rsidRPr="00D10982">
        <w:rPr>
          <w:rFonts w:ascii="Arial" w:hAnsi="Arial" w:cs="Arial"/>
          <w:sz w:val="22"/>
          <w:szCs w:val="22"/>
        </w:rPr>
        <w:t>Morrison, T. (2010) </w:t>
      </w:r>
      <w:r w:rsidRPr="00D10982">
        <w:rPr>
          <w:rStyle w:val="Emphasis"/>
          <w:rFonts w:ascii="Arial" w:hAnsi="Arial" w:cs="Arial"/>
          <w:sz w:val="22"/>
          <w:szCs w:val="22"/>
        </w:rPr>
        <w:t>Staff Supervision in Social Care: Making a Real Difference for Staff and Service Users</w:t>
      </w:r>
      <w:r w:rsidRPr="00D10982">
        <w:rPr>
          <w:rFonts w:ascii="Arial" w:hAnsi="Arial" w:cs="Arial"/>
          <w:sz w:val="22"/>
          <w:szCs w:val="22"/>
        </w:rPr>
        <w:t>. 3rd edn. Brighton: Pavilion Publishing.</w:t>
      </w:r>
    </w:p>
    <w:p w14:paraId="7A907702" w14:textId="77777777" w:rsidR="002C3A97" w:rsidRPr="00D10982" w:rsidRDefault="002C3A97" w:rsidP="002C3A97">
      <w:pPr>
        <w:pStyle w:val="NormalWeb"/>
        <w:rPr>
          <w:rFonts w:ascii="Arial" w:hAnsi="Arial" w:cs="Arial"/>
          <w:sz w:val="22"/>
          <w:szCs w:val="22"/>
        </w:rPr>
      </w:pPr>
    </w:p>
    <w:p w14:paraId="1332804A" w14:textId="77777777" w:rsidR="002C3A97" w:rsidRDefault="002C3A97" w:rsidP="002C3A97">
      <w:pPr>
        <w:rPr>
          <w:color w:val="auto"/>
          <w:sz w:val="22"/>
          <w:szCs w:val="22"/>
          <w:shd w:val="clear" w:color="auto" w:fill="FFFFFF"/>
        </w:rPr>
      </w:pPr>
      <w:r w:rsidRPr="00D10982">
        <w:rPr>
          <w:color w:val="auto"/>
          <w:sz w:val="22"/>
          <w:szCs w:val="22"/>
          <w:shd w:val="clear" w:color="auto" w:fill="FFFFFF"/>
        </w:rPr>
        <w:t>Moss, H.B., 2013. The impact of alcohol on society: a brief overview. </w:t>
      </w:r>
      <w:r w:rsidRPr="00D10982">
        <w:rPr>
          <w:i/>
          <w:iCs/>
          <w:color w:val="auto"/>
          <w:sz w:val="22"/>
          <w:szCs w:val="22"/>
          <w:shd w:val="clear" w:color="auto" w:fill="FFFFFF"/>
        </w:rPr>
        <w:t>Social work in public health</w:t>
      </w:r>
      <w:r w:rsidRPr="00D10982">
        <w:rPr>
          <w:color w:val="auto"/>
          <w:sz w:val="22"/>
          <w:szCs w:val="22"/>
          <w:shd w:val="clear" w:color="auto" w:fill="FFFFFF"/>
        </w:rPr>
        <w:t>, </w:t>
      </w:r>
      <w:r w:rsidRPr="00D10982">
        <w:rPr>
          <w:i/>
          <w:iCs/>
          <w:color w:val="auto"/>
          <w:sz w:val="22"/>
          <w:szCs w:val="22"/>
          <w:shd w:val="clear" w:color="auto" w:fill="FFFFFF"/>
        </w:rPr>
        <w:t>28</w:t>
      </w:r>
      <w:r w:rsidRPr="00D10982">
        <w:rPr>
          <w:color w:val="auto"/>
          <w:sz w:val="22"/>
          <w:szCs w:val="22"/>
          <w:shd w:val="clear" w:color="auto" w:fill="FFFFFF"/>
        </w:rPr>
        <w:t>(3-4), pp.175-177.</w:t>
      </w:r>
    </w:p>
    <w:p w14:paraId="13705467" w14:textId="77777777" w:rsidR="002C3A97" w:rsidRPr="00D10982" w:rsidRDefault="002C3A97" w:rsidP="002C3A97">
      <w:pPr>
        <w:rPr>
          <w:color w:val="auto"/>
          <w:sz w:val="22"/>
          <w:szCs w:val="22"/>
          <w:shd w:val="clear" w:color="auto" w:fill="FFFFFF"/>
        </w:rPr>
      </w:pPr>
    </w:p>
    <w:p w14:paraId="5762ABC3" w14:textId="77777777" w:rsidR="002C3A97" w:rsidRDefault="002C3A97" w:rsidP="002C3A97">
      <w:pPr>
        <w:rPr>
          <w:color w:val="auto"/>
          <w:sz w:val="22"/>
          <w:szCs w:val="22"/>
          <w:shd w:val="clear" w:color="auto" w:fill="FFFFFF"/>
        </w:rPr>
      </w:pPr>
      <w:r w:rsidRPr="00D10982">
        <w:rPr>
          <w:color w:val="auto"/>
          <w:sz w:val="22"/>
          <w:szCs w:val="22"/>
          <w:shd w:val="clear" w:color="auto" w:fill="FFFFFF"/>
        </w:rPr>
        <w:t>Priftanji, D., Hill, J.D. and Ashby, D.M., 2020. Managing difficult conversations. </w:t>
      </w:r>
      <w:r w:rsidRPr="00D10982">
        <w:rPr>
          <w:i/>
          <w:iCs/>
          <w:color w:val="auto"/>
          <w:sz w:val="22"/>
          <w:szCs w:val="22"/>
          <w:shd w:val="clear" w:color="auto" w:fill="FFFFFF"/>
        </w:rPr>
        <w:t>American Journal of Health-System Pharmacy</w:t>
      </w:r>
      <w:r w:rsidRPr="00D10982">
        <w:rPr>
          <w:color w:val="auto"/>
          <w:sz w:val="22"/>
          <w:szCs w:val="22"/>
          <w:shd w:val="clear" w:color="auto" w:fill="FFFFFF"/>
        </w:rPr>
        <w:t>, </w:t>
      </w:r>
      <w:r w:rsidRPr="00D10982">
        <w:rPr>
          <w:i/>
          <w:iCs/>
          <w:color w:val="auto"/>
          <w:sz w:val="22"/>
          <w:szCs w:val="22"/>
          <w:shd w:val="clear" w:color="auto" w:fill="FFFFFF"/>
        </w:rPr>
        <w:t>77</w:t>
      </w:r>
      <w:r w:rsidRPr="00D10982">
        <w:rPr>
          <w:color w:val="auto"/>
          <w:sz w:val="22"/>
          <w:szCs w:val="22"/>
          <w:shd w:val="clear" w:color="auto" w:fill="FFFFFF"/>
        </w:rPr>
        <w:t>(21), pp.1723-1726.</w:t>
      </w:r>
    </w:p>
    <w:p w14:paraId="7F644874" w14:textId="77777777" w:rsidR="002C3A97" w:rsidRPr="00D10982" w:rsidRDefault="002C3A97" w:rsidP="002C3A97">
      <w:pPr>
        <w:rPr>
          <w:color w:val="auto"/>
          <w:sz w:val="22"/>
          <w:szCs w:val="22"/>
          <w:shd w:val="clear" w:color="auto" w:fill="FFFFFF"/>
        </w:rPr>
      </w:pPr>
    </w:p>
    <w:p w14:paraId="453C8A91" w14:textId="77777777" w:rsidR="002C3A97" w:rsidRDefault="002C3A97" w:rsidP="002C3A97">
      <w:pPr>
        <w:rPr>
          <w:color w:val="auto"/>
          <w:sz w:val="22"/>
          <w:szCs w:val="22"/>
          <w:shd w:val="clear" w:color="auto" w:fill="FFFFFF"/>
        </w:rPr>
      </w:pPr>
      <w:r w:rsidRPr="00D10982">
        <w:rPr>
          <w:color w:val="auto"/>
          <w:sz w:val="22"/>
          <w:szCs w:val="22"/>
          <w:shd w:val="clear" w:color="auto" w:fill="FFFFFF"/>
        </w:rPr>
        <w:t>Prys, C. and Matthews, D., 2023. Well-being and language: language as a well-being objective in Wales. </w:t>
      </w:r>
      <w:r w:rsidRPr="00D10982">
        <w:rPr>
          <w:i/>
          <w:iCs/>
          <w:color w:val="auto"/>
          <w:sz w:val="22"/>
          <w:szCs w:val="22"/>
          <w:shd w:val="clear" w:color="auto" w:fill="FFFFFF"/>
        </w:rPr>
        <w:t>Current issues in language planning</w:t>
      </w:r>
      <w:r w:rsidRPr="00D10982">
        <w:rPr>
          <w:color w:val="auto"/>
          <w:sz w:val="22"/>
          <w:szCs w:val="22"/>
          <w:shd w:val="clear" w:color="auto" w:fill="FFFFFF"/>
        </w:rPr>
        <w:t>, </w:t>
      </w:r>
      <w:r w:rsidRPr="00D10982">
        <w:rPr>
          <w:i/>
          <w:iCs/>
          <w:color w:val="auto"/>
          <w:sz w:val="22"/>
          <w:szCs w:val="22"/>
          <w:shd w:val="clear" w:color="auto" w:fill="FFFFFF"/>
        </w:rPr>
        <w:t>24</w:t>
      </w:r>
      <w:r w:rsidRPr="00D10982">
        <w:rPr>
          <w:color w:val="auto"/>
          <w:sz w:val="22"/>
          <w:szCs w:val="22"/>
          <w:shd w:val="clear" w:color="auto" w:fill="FFFFFF"/>
        </w:rPr>
        <w:t>(4), pp.400-417.</w:t>
      </w:r>
    </w:p>
    <w:p w14:paraId="3E9CC367" w14:textId="77777777" w:rsidR="002C3A97" w:rsidRPr="00D10982" w:rsidRDefault="002C3A97" w:rsidP="002C3A97">
      <w:pPr>
        <w:rPr>
          <w:color w:val="auto"/>
          <w:sz w:val="22"/>
          <w:szCs w:val="22"/>
          <w:shd w:val="clear" w:color="auto" w:fill="FFFFFF"/>
        </w:rPr>
      </w:pPr>
    </w:p>
    <w:p w14:paraId="1F012162" w14:textId="77777777" w:rsidR="002C3A97" w:rsidRDefault="002C3A97" w:rsidP="002C3A97">
      <w:pPr>
        <w:rPr>
          <w:color w:val="auto"/>
          <w:sz w:val="22"/>
          <w:szCs w:val="22"/>
          <w:shd w:val="clear" w:color="auto" w:fill="FFFFFF"/>
        </w:rPr>
      </w:pPr>
      <w:r w:rsidRPr="00D10982">
        <w:rPr>
          <w:color w:val="auto"/>
          <w:sz w:val="22"/>
          <w:szCs w:val="22"/>
          <w:shd w:val="clear" w:color="auto" w:fill="FFFFFF"/>
        </w:rPr>
        <w:t>Seden, J., Matthews, S., McCormick, M. and Morgan, A., 2010. </w:t>
      </w:r>
      <w:r w:rsidRPr="00D10982">
        <w:rPr>
          <w:i/>
          <w:iCs/>
          <w:color w:val="auto"/>
          <w:sz w:val="22"/>
          <w:szCs w:val="22"/>
          <w:shd w:val="clear" w:color="auto" w:fill="FFFFFF"/>
        </w:rPr>
        <w:t>Professional development in social work</w:t>
      </w:r>
      <w:r w:rsidRPr="00D10982">
        <w:rPr>
          <w:color w:val="auto"/>
          <w:sz w:val="22"/>
          <w:szCs w:val="22"/>
          <w:shd w:val="clear" w:color="auto" w:fill="FFFFFF"/>
        </w:rPr>
        <w:t>. Taylor &amp; Francis. https://doi. org/10.4324/9780203842980.</w:t>
      </w:r>
    </w:p>
    <w:p w14:paraId="096A73B6" w14:textId="77777777" w:rsidR="002C3A97" w:rsidRPr="00D10982" w:rsidRDefault="002C3A97" w:rsidP="002C3A97">
      <w:pPr>
        <w:rPr>
          <w:color w:val="auto"/>
          <w:sz w:val="22"/>
          <w:szCs w:val="22"/>
          <w:shd w:val="clear" w:color="auto" w:fill="FFFFFF"/>
        </w:rPr>
      </w:pPr>
    </w:p>
    <w:p w14:paraId="53E5CF0E"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Welsh Government (2014) </w:t>
      </w:r>
      <w:r w:rsidRPr="00D10982">
        <w:rPr>
          <w:rStyle w:val="Emphasis"/>
          <w:rFonts w:ascii="Arial" w:hAnsi="Arial" w:cs="Arial"/>
          <w:sz w:val="22"/>
          <w:szCs w:val="22"/>
        </w:rPr>
        <w:t>Social Services and Well-being (Wales) Act 2014.</w:t>
      </w:r>
      <w:r w:rsidRPr="00D10982">
        <w:rPr>
          <w:rFonts w:ascii="Arial" w:hAnsi="Arial" w:cs="Arial"/>
          <w:sz w:val="22"/>
          <w:szCs w:val="22"/>
        </w:rPr>
        <w:t> Cardiff: Welsh Government.</w:t>
      </w:r>
    </w:p>
    <w:p w14:paraId="32451FEF" w14:textId="77777777" w:rsidR="002C3A97" w:rsidRDefault="002C3A97" w:rsidP="002C3A97">
      <w:pPr>
        <w:rPr>
          <w:color w:val="auto"/>
          <w:sz w:val="22"/>
          <w:szCs w:val="22"/>
          <w:shd w:val="clear" w:color="auto" w:fill="FFFFFF"/>
        </w:rPr>
      </w:pPr>
      <w:r w:rsidRPr="00D10982">
        <w:rPr>
          <w:rStyle w:val="Strong"/>
          <w:color w:val="auto"/>
          <w:sz w:val="22"/>
          <w:szCs w:val="22"/>
          <w:shd w:val="clear" w:color="auto" w:fill="FFFFFF"/>
        </w:rPr>
        <w:t>Social Care Wales</w:t>
      </w:r>
      <w:r w:rsidRPr="00D10982">
        <w:rPr>
          <w:color w:val="auto"/>
          <w:sz w:val="22"/>
          <w:szCs w:val="22"/>
          <w:shd w:val="clear" w:color="auto" w:fill="FFFFFF"/>
        </w:rPr>
        <w:t>: (2019). Wales Safeguarding Procedures. Available at: </w:t>
      </w:r>
      <w:hyperlink r:id="rId11" w:history="1">
        <w:r w:rsidRPr="00D10982">
          <w:rPr>
            <w:rStyle w:val="Hyperlink"/>
            <w:color w:val="auto"/>
            <w:sz w:val="22"/>
            <w:szCs w:val="22"/>
            <w:u w:val="none"/>
            <w:shd w:val="clear" w:color="auto" w:fill="FFFFFF"/>
          </w:rPr>
          <w:t>https://www.safeguarding.wales/en/</w:t>
        </w:r>
      </w:hyperlink>
    </w:p>
    <w:p w14:paraId="20E6D11E" w14:textId="77777777" w:rsidR="002C3A97" w:rsidRPr="00D10982" w:rsidRDefault="002C3A97" w:rsidP="002C3A97">
      <w:pPr>
        <w:rPr>
          <w:color w:val="auto"/>
          <w:sz w:val="22"/>
          <w:szCs w:val="22"/>
          <w:shd w:val="clear" w:color="auto" w:fill="FFFFFF"/>
        </w:rPr>
      </w:pPr>
    </w:p>
    <w:p w14:paraId="51F135B4" w14:textId="77777777" w:rsidR="002C3A97" w:rsidRDefault="002C3A97" w:rsidP="002C3A97">
      <w:pPr>
        <w:pStyle w:val="NormalWeb"/>
        <w:rPr>
          <w:rFonts w:ascii="Arial" w:hAnsi="Arial" w:cs="Arial"/>
          <w:sz w:val="22"/>
          <w:szCs w:val="22"/>
        </w:rPr>
      </w:pPr>
      <w:r w:rsidRPr="00D10982">
        <w:rPr>
          <w:rFonts w:ascii="Arial" w:hAnsi="Arial" w:cs="Arial"/>
          <w:sz w:val="22"/>
          <w:szCs w:val="22"/>
        </w:rPr>
        <w:t>Social Care Wales (2020) </w:t>
      </w:r>
      <w:r w:rsidRPr="00D10982">
        <w:rPr>
          <w:rStyle w:val="Emphasis"/>
          <w:rFonts w:ascii="Arial" w:hAnsi="Arial" w:cs="Arial"/>
          <w:sz w:val="22"/>
          <w:szCs w:val="22"/>
        </w:rPr>
        <w:t>Code of Professional Practice for Social Care.</w:t>
      </w:r>
      <w:r w:rsidRPr="00D10982">
        <w:rPr>
          <w:rFonts w:ascii="Arial" w:hAnsi="Arial" w:cs="Arial"/>
          <w:sz w:val="22"/>
          <w:szCs w:val="22"/>
        </w:rPr>
        <w:t> Cardiff: Social Care Wales.</w:t>
      </w:r>
    </w:p>
    <w:p w14:paraId="2DA61102" w14:textId="77777777" w:rsidR="002C3A97" w:rsidRPr="00D10982" w:rsidRDefault="002C3A97" w:rsidP="002C3A97">
      <w:pPr>
        <w:pStyle w:val="NormalWeb"/>
        <w:rPr>
          <w:rFonts w:ascii="Arial" w:hAnsi="Arial" w:cs="Arial"/>
          <w:sz w:val="22"/>
          <w:szCs w:val="22"/>
        </w:rPr>
      </w:pPr>
    </w:p>
    <w:p w14:paraId="56E752AA" w14:textId="77777777" w:rsidR="002C3A97" w:rsidRDefault="002C3A97" w:rsidP="002C3A97">
      <w:pPr>
        <w:rPr>
          <w:color w:val="auto"/>
          <w:sz w:val="22"/>
          <w:szCs w:val="22"/>
          <w:shd w:val="clear" w:color="auto" w:fill="FFFFFF"/>
        </w:rPr>
      </w:pPr>
      <w:r w:rsidRPr="00D10982">
        <w:rPr>
          <w:color w:val="auto"/>
          <w:sz w:val="22"/>
          <w:szCs w:val="22"/>
          <w:shd w:val="clear" w:color="auto" w:fill="FFFFFF"/>
        </w:rPr>
        <w:t>Symonds, J., Miles, C., Steel, M., Porter, S. and Williams, V., 2020. Making person-centred assessments. </w:t>
      </w:r>
      <w:r w:rsidRPr="00D10982">
        <w:rPr>
          <w:i/>
          <w:iCs/>
          <w:color w:val="auto"/>
          <w:sz w:val="22"/>
          <w:szCs w:val="22"/>
          <w:shd w:val="clear" w:color="auto" w:fill="FFFFFF"/>
        </w:rPr>
        <w:t>Journal of Social Work</w:t>
      </w:r>
      <w:r w:rsidRPr="00D10982">
        <w:rPr>
          <w:color w:val="auto"/>
          <w:sz w:val="22"/>
          <w:szCs w:val="22"/>
          <w:shd w:val="clear" w:color="auto" w:fill="FFFFFF"/>
        </w:rPr>
        <w:t>, </w:t>
      </w:r>
      <w:r w:rsidRPr="00D10982">
        <w:rPr>
          <w:i/>
          <w:iCs/>
          <w:color w:val="auto"/>
          <w:sz w:val="22"/>
          <w:szCs w:val="22"/>
          <w:shd w:val="clear" w:color="auto" w:fill="FFFFFF"/>
        </w:rPr>
        <w:t>20</w:t>
      </w:r>
      <w:r w:rsidRPr="00D10982">
        <w:rPr>
          <w:color w:val="auto"/>
          <w:sz w:val="22"/>
          <w:szCs w:val="22"/>
          <w:shd w:val="clear" w:color="auto" w:fill="FFFFFF"/>
        </w:rPr>
        <w:t>(4), pp.431-447.</w:t>
      </w:r>
    </w:p>
    <w:p w14:paraId="035B34E7" w14:textId="77777777" w:rsidR="002C3A97" w:rsidRPr="00D10982" w:rsidRDefault="002C3A97" w:rsidP="002C3A97">
      <w:pPr>
        <w:rPr>
          <w:color w:val="auto"/>
          <w:sz w:val="22"/>
          <w:szCs w:val="22"/>
          <w:shd w:val="clear" w:color="auto" w:fill="FFFFFF"/>
        </w:rPr>
      </w:pPr>
    </w:p>
    <w:p w14:paraId="5D094008" w14:textId="77777777" w:rsidR="002C3A97" w:rsidRDefault="002C3A97" w:rsidP="002C3A97">
      <w:pPr>
        <w:rPr>
          <w:color w:val="auto"/>
          <w:sz w:val="22"/>
          <w:szCs w:val="22"/>
          <w:shd w:val="clear" w:color="auto" w:fill="FFFFFF"/>
        </w:rPr>
      </w:pPr>
      <w:r w:rsidRPr="00D10982">
        <w:rPr>
          <w:color w:val="auto"/>
          <w:sz w:val="22"/>
          <w:szCs w:val="22"/>
          <w:shd w:val="clear" w:color="auto" w:fill="FFFFFF"/>
        </w:rPr>
        <w:t>The Children Act 198</w:t>
      </w:r>
      <w:r>
        <w:rPr>
          <w:color w:val="auto"/>
          <w:sz w:val="22"/>
          <w:szCs w:val="22"/>
          <w:shd w:val="clear" w:color="auto" w:fill="FFFFFF"/>
        </w:rPr>
        <w:t>9</w:t>
      </w:r>
    </w:p>
    <w:p w14:paraId="46EA6300" w14:textId="77777777" w:rsidR="002C3A97" w:rsidRPr="00D10982" w:rsidRDefault="002C3A97" w:rsidP="002C3A97">
      <w:pPr>
        <w:rPr>
          <w:color w:val="auto"/>
          <w:sz w:val="22"/>
          <w:szCs w:val="22"/>
          <w:shd w:val="clear" w:color="auto" w:fill="FFFFFF"/>
        </w:rPr>
      </w:pPr>
    </w:p>
    <w:p w14:paraId="28E4C6A7"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Thompson, N. (2016) </w:t>
      </w:r>
      <w:r w:rsidRPr="00D10982">
        <w:rPr>
          <w:rStyle w:val="Emphasis"/>
          <w:rFonts w:ascii="Arial" w:hAnsi="Arial" w:cs="Arial"/>
          <w:sz w:val="22"/>
          <w:szCs w:val="22"/>
        </w:rPr>
        <w:t>Effective Communication: A Guide for the People Professions</w:t>
      </w:r>
      <w:r w:rsidRPr="00D10982">
        <w:rPr>
          <w:rFonts w:ascii="Arial" w:hAnsi="Arial" w:cs="Arial"/>
          <w:sz w:val="22"/>
          <w:szCs w:val="22"/>
        </w:rPr>
        <w:t>. 3rd edn. Basingstoke: Palgrave Macmillan.</w:t>
      </w:r>
    </w:p>
    <w:p w14:paraId="6BA5AB5D"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UK Government (2023) </w:t>
      </w:r>
      <w:r w:rsidRPr="00D10982">
        <w:rPr>
          <w:rStyle w:val="Emphasis"/>
          <w:rFonts w:ascii="Arial" w:hAnsi="Arial" w:cs="Arial"/>
          <w:sz w:val="22"/>
          <w:szCs w:val="22"/>
        </w:rPr>
        <w:t>Update on Liberty Protection Safeguards Implementation.</w:t>
      </w:r>
      <w:r w:rsidRPr="00D10982">
        <w:rPr>
          <w:rFonts w:ascii="Arial" w:hAnsi="Arial" w:cs="Arial"/>
          <w:sz w:val="22"/>
          <w:szCs w:val="22"/>
        </w:rPr>
        <w:t> London: Department of Health and Social Care.</w:t>
      </w:r>
    </w:p>
    <w:p w14:paraId="4DABFF8D" w14:textId="77777777" w:rsidR="002C3A97" w:rsidRDefault="002C3A97" w:rsidP="002C3A97">
      <w:pPr>
        <w:pStyle w:val="NormalWeb"/>
        <w:rPr>
          <w:rFonts w:ascii="Arial" w:hAnsi="Arial" w:cs="Arial"/>
          <w:sz w:val="22"/>
          <w:szCs w:val="22"/>
        </w:rPr>
      </w:pPr>
      <w:r w:rsidRPr="00D10982">
        <w:rPr>
          <w:rFonts w:ascii="Arial" w:hAnsi="Arial" w:cs="Arial"/>
          <w:sz w:val="22"/>
          <w:szCs w:val="22"/>
        </w:rPr>
        <w:t>UK Government (2005) </w:t>
      </w:r>
      <w:r w:rsidRPr="00D10982">
        <w:rPr>
          <w:rStyle w:val="Emphasis"/>
          <w:rFonts w:ascii="Arial" w:hAnsi="Arial" w:cs="Arial"/>
          <w:sz w:val="22"/>
          <w:szCs w:val="22"/>
        </w:rPr>
        <w:t>Mental Capacity Act 2005.</w:t>
      </w:r>
      <w:r w:rsidRPr="00D10982">
        <w:rPr>
          <w:rFonts w:ascii="Arial" w:hAnsi="Arial" w:cs="Arial"/>
          <w:sz w:val="22"/>
          <w:szCs w:val="22"/>
        </w:rPr>
        <w:t> London: The Stationery Office.</w:t>
      </w:r>
    </w:p>
    <w:p w14:paraId="5A77AC4C" w14:textId="77777777" w:rsidR="002C3A97" w:rsidRPr="00D10982" w:rsidRDefault="002C3A97" w:rsidP="002C3A97">
      <w:pPr>
        <w:pStyle w:val="NormalWeb"/>
        <w:rPr>
          <w:rFonts w:ascii="Arial" w:hAnsi="Arial" w:cs="Arial"/>
          <w:sz w:val="22"/>
          <w:szCs w:val="22"/>
        </w:rPr>
      </w:pPr>
    </w:p>
    <w:p w14:paraId="3C19C4EA" w14:textId="77777777" w:rsidR="002C3A97" w:rsidRDefault="002C3A97" w:rsidP="002C3A97">
      <w:pPr>
        <w:rPr>
          <w:i/>
          <w:color w:val="auto"/>
          <w:sz w:val="22"/>
          <w:szCs w:val="22"/>
          <w:shd w:val="clear" w:color="auto" w:fill="FFFFFF"/>
        </w:rPr>
      </w:pPr>
      <w:r w:rsidRPr="00D10982">
        <w:rPr>
          <w:color w:val="auto"/>
          <w:sz w:val="22"/>
          <w:szCs w:val="22"/>
          <w:shd w:val="clear" w:color="auto" w:fill="FFFFFF"/>
        </w:rPr>
        <w:t xml:space="preserve">United Nations, 1989. </w:t>
      </w:r>
      <w:r w:rsidRPr="00D10982">
        <w:rPr>
          <w:i/>
          <w:color w:val="auto"/>
          <w:sz w:val="22"/>
          <w:szCs w:val="22"/>
          <w:shd w:val="clear" w:color="auto" w:fill="FFFFFF"/>
        </w:rPr>
        <w:t xml:space="preserve">Conventions on the Rights of the Child. </w:t>
      </w:r>
    </w:p>
    <w:p w14:paraId="43A40EAA" w14:textId="77777777" w:rsidR="002C3A97" w:rsidRPr="00D10982" w:rsidRDefault="002C3A97" w:rsidP="002C3A97">
      <w:pPr>
        <w:rPr>
          <w:i/>
          <w:color w:val="auto"/>
          <w:sz w:val="22"/>
          <w:szCs w:val="22"/>
          <w:shd w:val="clear" w:color="auto" w:fill="FFFFFF"/>
        </w:rPr>
      </w:pPr>
    </w:p>
    <w:p w14:paraId="07D35871" w14:textId="77777777" w:rsidR="002C3A97" w:rsidRDefault="002C3A97" w:rsidP="002C3A97">
      <w:pPr>
        <w:rPr>
          <w:color w:val="auto"/>
          <w:sz w:val="22"/>
          <w:szCs w:val="22"/>
          <w:shd w:val="clear" w:color="auto" w:fill="FFFFFF"/>
        </w:rPr>
      </w:pPr>
      <w:r w:rsidRPr="00D10982">
        <w:rPr>
          <w:color w:val="auto"/>
          <w:sz w:val="22"/>
          <w:szCs w:val="22"/>
          <w:shd w:val="clear" w:color="auto" w:fill="FFFFFF"/>
        </w:rPr>
        <w:t xml:space="preserve">Wales Safeguarding Procedures Project Board, 2019. Wales Safeguarding Procedures (Cardiff): Wales. </w:t>
      </w:r>
    </w:p>
    <w:p w14:paraId="51F4A1DE" w14:textId="77777777" w:rsidR="002C3A97" w:rsidRPr="00D10982" w:rsidRDefault="002C3A97" w:rsidP="002C3A97">
      <w:pPr>
        <w:rPr>
          <w:color w:val="auto"/>
          <w:sz w:val="22"/>
          <w:szCs w:val="22"/>
          <w:shd w:val="clear" w:color="auto" w:fill="FFFFFF"/>
        </w:rPr>
      </w:pPr>
    </w:p>
    <w:p w14:paraId="30F2B20B"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Welsh Government (2010) </w:t>
      </w:r>
      <w:r w:rsidRPr="00D10982">
        <w:rPr>
          <w:rStyle w:val="Emphasis"/>
          <w:rFonts w:ascii="Arial" w:hAnsi="Arial" w:cs="Arial"/>
          <w:sz w:val="22"/>
          <w:szCs w:val="22"/>
        </w:rPr>
        <w:t>Children and Families (Wales) Measure 2010.</w:t>
      </w:r>
      <w:r w:rsidRPr="00D10982">
        <w:rPr>
          <w:rFonts w:ascii="Arial" w:hAnsi="Arial" w:cs="Arial"/>
          <w:sz w:val="22"/>
          <w:szCs w:val="22"/>
        </w:rPr>
        <w:t> Cardiff: Welsh Government.</w:t>
      </w:r>
    </w:p>
    <w:p w14:paraId="69A51527"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Welsh Government (2019) </w:t>
      </w:r>
      <w:r w:rsidRPr="00D10982">
        <w:rPr>
          <w:rStyle w:val="Emphasis"/>
          <w:rFonts w:ascii="Arial" w:hAnsi="Arial" w:cs="Arial"/>
          <w:sz w:val="22"/>
          <w:szCs w:val="22"/>
        </w:rPr>
        <w:t>National Outcomes Framework for People Who Need Care and Support and Carers Who Need Support.</w:t>
      </w:r>
      <w:r w:rsidRPr="00D10982">
        <w:rPr>
          <w:rFonts w:ascii="Arial" w:hAnsi="Arial" w:cs="Arial"/>
          <w:sz w:val="22"/>
          <w:szCs w:val="22"/>
        </w:rPr>
        <w:t> Cardiff: Welsh Government.</w:t>
      </w:r>
    </w:p>
    <w:p w14:paraId="7D296C1B"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shd w:val="clear" w:color="auto" w:fill="FFFFFF"/>
        </w:rPr>
        <w:t xml:space="preserve">Welsh Government (2012) More than just words: </w:t>
      </w:r>
      <w:r w:rsidRPr="00D10982">
        <w:rPr>
          <w:rFonts w:ascii="Arial" w:hAnsi="Arial" w:cs="Arial"/>
          <w:i/>
          <w:sz w:val="22"/>
          <w:szCs w:val="22"/>
          <w:shd w:val="clear" w:color="auto" w:fill="FFFFFF"/>
        </w:rPr>
        <w:t>Strategic Framework for Welsh language services in Health, Social Services and Social Care</w:t>
      </w:r>
      <w:r w:rsidRPr="00D10982">
        <w:rPr>
          <w:rFonts w:ascii="Arial" w:hAnsi="Arial" w:cs="Arial"/>
          <w:sz w:val="22"/>
          <w:szCs w:val="22"/>
          <w:shd w:val="clear" w:color="auto" w:fill="FFFFFF"/>
        </w:rPr>
        <w:t xml:space="preserve"> [online]. Available at: </w:t>
      </w:r>
      <w:hyperlink r:id="rId12" w:history="1">
        <w:r w:rsidRPr="00D10982">
          <w:rPr>
            <w:rStyle w:val="Hyperlink"/>
            <w:rFonts w:ascii="Arial" w:hAnsi="Arial" w:cs="Arial"/>
            <w:color w:val="auto"/>
            <w:sz w:val="22"/>
            <w:szCs w:val="22"/>
            <w:u w:val="none"/>
            <w:shd w:val="clear" w:color="auto" w:fill="FFFFFF"/>
          </w:rPr>
          <w:t>gov.wales</w:t>
        </w:r>
      </w:hyperlink>
      <w:r w:rsidRPr="00D10982">
        <w:rPr>
          <w:rFonts w:ascii="Arial" w:hAnsi="Arial" w:cs="Arial"/>
          <w:sz w:val="22"/>
          <w:szCs w:val="22"/>
          <w:shd w:val="clear" w:color="auto" w:fill="FFFFFF"/>
        </w:rPr>
        <w:t> (Accessed: October 2025).</w:t>
      </w:r>
      <w:r w:rsidRPr="00D10982">
        <w:rPr>
          <w:rStyle w:val="uv3um"/>
          <w:rFonts w:ascii="Arial" w:hAnsi="Arial" w:cs="Arial"/>
          <w:sz w:val="22"/>
          <w:szCs w:val="22"/>
          <w:shd w:val="clear" w:color="auto" w:fill="FFFFFF"/>
        </w:rPr>
        <w:t> </w:t>
      </w:r>
    </w:p>
    <w:p w14:paraId="39253A13" w14:textId="77777777" w:rsidR="002C3A97" w:rsidRPr="00D10982" w:rsidRDefault="002C3A97" w:rsidP="002C3A97">
      <w:pPr>
        <w:pStyle w:val="NormalWeb"/>
        <w:rPr>
          <w:rFonts w:ascii="Arial" w:hAnsi="Arial" w:cs="Arial"/>
          <w:sz w:val="22"/>
          <w:szCs w:val="22"/>
        </w:rPr>
      </w:pPr>
      <w:r w:rsidRPr="00D10982">
        <w:rPr>
          <w:rFonts w:ascii="Arial" w:hAnsi="Arial" w:cs="Arial"/>
          <w:sz w:val="22"/>
          <w:szCs w:val="22"/>
        </w:rPr>
        <w:t>Welsh Government (2016) </w:t>
      </w:r>
      <w:r w:rsidRPr="00D10982">
        <w:rPr>
          <w:rStyle w:val="Emphasis"/>
          <w:rFonts w:ascii="Arial" w:hAnsi="Arial" w:cs="Arial"/>
          <w:sz w:val="22"/>
          <w:szCs w:val="22"/>
        </w:rPr>
        <w:t>Regulation and Inspection of Social Care (Wales) Act 2016.</w:t>
      </w:r>
      <w:r w:rsidRPr="00D10982">
        <w:rPr>
          <w:rFonts w:ascii="Arial" w:hAnsi="Arial" w:cs="Arial"/>
          <w:sz w:val="22"/>
          <w:szCs w:val="22"/>
        </w:rPr>
        <w:t> Cardiff: Welsh Government.</w:t>
      </w:r>
    </w:p>
    <w:p w14:paraId="6431C4E4" w14:textId="77777777" w:rsidR="002C3A97" w:rsidRDefault="002C3A97" w:rsidP="002C3A97">
      <w:pPr>
        <w:rPr>
          <w:color w:val="auto"/>
          <w:sz w:val="22"/>
          <w:szCs w:val="22"/>
          <w:shd w:val="clear" w:color="auto" w:fill="FFFFFF"/>
        </w:rPr>
      </w:pPr>
      <w:r w:rsidRPr="00D10982">
        <w:rPr>
          <w:color w:val="auto"/>
          <w:sz w:val="22"/>
          <w:szCs w:val="22"/>
          <w:shd w:val="clear" w:color="auto" w:fill="FFFFFF"/>
        </w:rPr>
        <w:t>Winter, K., Cree, V., Hallett, S., Hadfield, M., Ruch, G., Morrison, F. and Holland, S., 2017. Exploring communication between social workers, children and young people. </w:t>
      </w:r>
      <w:r w:rsidRPr="00D10982">
        <w:rPr>
          <w:i/>
          <w:iCs/>
          <w:color w:val="auto"/>
          <w:sz w:val="22"/>
          <w:szCs w:val="22"/>
          <w:shd w:val="clear" w:color="auto" w:fill="FFFFFF"/>
        </w:rPr>
        <w:t>British Journal of Social Work</w:t>
      </w:r>
      <w:r w:rsidRPr="00D10982">
        <w:rPr>
          <w:color w:val="auto"/>
          <w:sz w:val="22"/>
          <w:szCs w:val="22"/>
          <w:shd w:val="clear" w:color="auto" w:fill="FFFFFF"/>
        </w:rPr>
        <w:t>, </w:t>
      </w:r>
      <w:r w:rsidRPr="00D10982">
        <w:rPr>
          <w:i/>
          <w:iCs/>
          <w:color w:val="auto"/>
          <w:sz w:val="22"/>
          <w:szCs w:val="22"/>
          <w:shd w:val="clear" w:color="auto" w:fill="FFFFFF"/>
        </w:rPr>
        <w:t>47</w:t>
      </w:r>
      <w:r w:rsidRPr="00D10982">
        <w:rPr>
          <w:color w:val="auto"/>
          <w:sz w:val="22"/>
          <w:szCs w:val="22"/>
          <w:shd w:val="clear" w:color="auto" w:fill="FFFFFF"/>
        </w:rPr>
        <w:t>(5), pp.1427-1444.</w:t>
      </w:r>
    </w:p>
    <w:p w14:paraId="645B3E6F" w14:textId="77777777" w:rsidR="002C3A97" w:rsidRPr="00D10982" w:rsidRDefault="002C3A97" w:rsidP="002C3A97">
      <w:pPr>
        <w:rPr>
          <w:color w:val="auto"/>
          <w:sz w:val="22"/>
          <w:szCs w:val="22"/>
          <w:shd w:val="clear" w:color="auto" w:fill="FFFFFF"/>
        </w:rPr>
      </w:pPr>
    </w:p>
    <w:p w14:paraId="1B771FD6" w14:textId="77777777" w:rsidR="002C3A97" w:rsidRDefault="002C3A97" w:rsidP="002C3A97">
      <w:pPr>
        <w:rPr>
          <w:color w:val="auto"/>
          <w:sz w:val="22"/>
          <w:szCs w:val="22"/>
          <w:shd w:val="clear" w:color="auto" w:fill="FFFFFF"/>
        </w:rPr>
      </w:pPr>
      <w:r w:rsidRPr="00D10982">
        <w:rPr>
          <w:color w:val="auto"/>
          <w:sz w:val="22"/>
          <w:szCs w:val="22"/>
          <w:shd w:val="clear" w:color="auto" w:fill="FFFFFF"/>
        </w:rPr>
        <w:t>Zimmerman, M.A., 2000. Empowerment theory: Psychological, organizational and community levels of analysis. In </w:t>
      </w:r>
      <w:r w:rsidRPr="00D10982">
        <w:rPr>
          <w:i/>
          <w:iCs/>
          <w:color w:val="auto"/>
          <w:sz w:val="22"/>
          <w:szCs w:val="22"/>
          <w:shd w:val="clear" w:color="auto" w:fill="FFFFFF"/>
        </w:rPr>
        <w:t>Handbook of community psychology</w:t>
      </w:r>
      <w:r w:rsidRPr="00D10982">
        <w:rPr>
          <w:color w:val="auto"/>
          <w:sz w:val="22"/>
          <w:szCs w:val="22"/>
          <w:shd w:val="clear" w:color="auto" w:fill="FFFFFF"/>
        </w:rPr>
        <w:t> (pp. 43-63). Boston, MA: Springer US.</w:t>
      </w:r>
    </w:p>
    <w:p w14:paraId="440D23B7" w14:textId="77777777" w:rsidR="002C3A97" w:rsidRPr="00D10982" w:rsidRDefault="002C3A97" w:rsidP="002C3A97">
      <w:pPr>
        <w:rPr>
          <w:color w:val="auto"/>
          <w:sz w:val="22"/>
          <w:szCs w:val="22"/>
          <w:shd w:val="clear" w:color="auto" w:fill="FFFFFF"/>
        </w:rPr>
      </w:pPr>
    </w:p>
    <w:p w14:paraId="47200E8E" w14:textId="77777777" w:rsidR="002C3A97" w:rsidRDefault="002C3A97" w:rsidP="002C3A97">
      <w:pPr>
        <w:rPr>
          <w:rStyle w:val="Hyperlink"/>
          <w:color w:val="auto"/>
          <w:sz w:val="22"/>
          <w:szCs w:val="22"/>
          <w:u w:val="none"/>
        </w:rPr>
      </w:pPr>
      <w:hyperlink r:id="rId13" w:history="1">
        <w:r w:rsidRPr="00D10982">
          <w:rPr>
            <w:rStyle w:val="Hyperlink"/>
            <w:color w:val="auto"/>
            <w:sz w:val="22"/>
            <w:szCs w:val="22"/>
            <w:u w:val="none"/>
          </w:rPr>
          <w:t>https://www.ons.gov.uk/visualisations/censuspopulationchange/W06000012/</w:t>
        </w:r>
      </w:hyperlink>
    </w:p>
    <w:p w14:paraId="33DB26B8" w14:textId="77777777" w:rsidR="002C3A97" w:rsidRPr="00D10982" w:rsidRDefault="002C3A97" w:rsidP="002C3A97">
      <w:pPr>
        <w:rPr>
          <w:color w:val="auto"/>
          <w:sz w:val="22"/>
          <w:szCs w:val="22"/>
        </w:rPr>
      </w:pPr>
    </w:p>
    <w:p w14:paraId="79691F1B" w14:textId="77777777" w:rsidR="002C3A97" w:rsidRDefault="002C3A97" w:rsidP="002C3A97">
      <w:pPr>
        <w:rPr>
          <w:rStyle w:val="Hyperlink"/>
          <w:color w:val="auto"/>
          <w:sz w:val="22"/>
          <w:szCs w:val="22"/>
          <w:u w:val="none"/>
        </w:rPr>
      </w:pPr>
      <w:hyperlink r:id="rId14" w:history="1">
        <w:r w:rsidRPr="00D10982">
          <w:rPr>
            <w:rStyle w:val="Hyperlink"/>
            <w:color w:val="auto"/>
            <w:sz w:val="22"/>
            <w:szCs w:val="22"/>
            <w:u w:val="none"/>
          </w:rPr>
          <w:t>https://www.ons.gov.uk/visualisations/censusareachanges/W06000012/</w:t>
        </w:r>
      </w:hyperlink>
    </w:p>
    <w:p w14:paraId="50DB4CD6" w14:textId="77777777" w:rsidR="002C3A97" w:rsidRPr="00D10982" w:rsidRDefault="002C3A97" w:rsidP="002C3A97">
      <w:pPr>
        <w:rPr>
          <w:color w:val="auto"/>
          <w:sz w:val="22"/>
          <w:szCs w:val="22"/>
        </w:rPr>
      </w:pPr>
    </w:p>
    <w:p w14:paraId="081F9BAA" w14:textId="77777777" w:rsidR="002C3A97" w:rsidRPr="00D10982" w:rsidRDefault="002C3A97" w:rsidP="002C3A97">
      <w:pPr>
        <w:rPr>
          <w:color w:val="auto"/>
          <w:sz w:val="22"/>
          <w:szCs w:val="22"/>
        </w:rPr>
      </w:pPr>
      <w:hyperlink r:id="rId15" w:history="1">
        <w:r w:rsidRPr="00D10982">
          <w:rPr>
            <w:rStyle w:val="Hyperlink"/>
            <w:color w:val="auto"/>
            <w:sz w:val="22"/>
            <w:szCs w:val="22"/>
            <w:u w:val="none"/>
          </w:rPr>
          <w:t>https://socialcare.wales/resources-guidance/early-years-and-childcare/national-occupational-standards-nos</w:t>
        </w:r>
      </w:hyperlink>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2BF0DEEE" w14:textId="77777777" w:rsidR="002C3A97" w:rsidRDefault="002C3A97" w:rsidP="002C3A97">
      <w:pPr>
        <w:rPr>
          <w:sz w:val="24"/>
          <w:szCs w:val="24"/>
        </w:rPr>
      </w:pPr>
    </w:p>
    <w:p w14:paraId="7047BA81" w14:textId="03173249" w:rsidR="002A1A44" w:rsidRPr="00EE5BC3" w:rsidRDefault="002A1A44" w:rsidP="002C3A97">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3C050ED" w:rsidR="00E559CE" w:rsidRPr="00B17FA0" w:rsidRDefault="00F53E41" w:rsidP="00B94443">
            <w:pPr>
              <w:jc w:val="both"/>
              <w:rPr>
                <w:sz w:val="24"/>
                <w:szCs w:val="24"/>
              </w:rPr>
            </w:pPr>
            <w:r>
              <w:rPr>
                <w:sz w:val="24"/>
                <w:szCs w:val="24"/>
              </w:rPr>
              <w:t>22/</w:t>
            </w:r>
            <w:r w:rsidR="00FB7D8A">
              <w:rPr>
                <w:sz w:val="24"/>
                <w:szCs w:val="24"/>
              </w:rPr>
              <w:t>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1EF5DDF" w:rsidR="00E559CE" w:rsidRPr="00B17FA0" w:rsidRDefault="00FB7D8A" w:rsidP="00B94443">
            <w:pPr>
              <w:jc w:val="both"/>
              <w:rPr>
                <w:sz w:val="24"/>
                <w:szCs w:val="24"/>
              </w:rPr>
            </w:pPr>
            <w:r>
              <w:rPr>
                <w:sz w:val="24"/>
                <w:szCs w:val="24"/>
              </w:rPr>
              <w:t>23/01/2025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8E65997" w:rsidR="00E559CE" w:rsidRPr="00B17FA0" w:rsidRDefault="00FB7D8A" w:rsidP="00B94443">
            <w:pPr>
              <w:jc w:val="both"/>
              <w:rPr>
                <w:sz w:val="24"/>
                <w:szCs w:val="24"/>
              </w:rPr>
            </w:pPr>
            <w:r>
              <w:rPr>
                <w:sz w:val="24"/>
                <w:szCs w:val="24"/>
              </w:rPr>
              <w:t xml:space="preserve">09/05/2025 </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61A82F2" w:rsidR="00E559CE" w:rsidRPr="00B17FA0" w:rsidRDefault="00FB7D8A" w:rsidP="00B94443">
            <w:pPr>
              <w:jc w:val="both"/>
              <w:rPr>
                <w:sz w:val="24"/>
                <w:szCs w:val="24"/>
              </w:rPr>
            </w:pPr>
            <w:r>
              <w:rPr>
                <w:sz w:val="24"/>
                <w:szCs w:val="24"/>
              </w:rPr>
              <w:t>25/06/2025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3332628B" w:rsidR="00FC0334" w:rsidRDefault="00AD607B" w:rsidP="005D4F72">
            <w:pPr>
              <w:jc w:val="both"/>
              <w:rPr>
                <w:color w:val="auto"/>
                <w:sz w:val="24"/>
                <w:szCs w:val="24"/>
              </w:rPr>
            </w:pPr>
            <w:r>
              <w:rPr>
                <w:color w:val="auto"/>
                <w:sz w:val="24"/>
                <w:szCs w:val="24"/>
              </w:rPr>
              <w:t xml:space="preserve">Over the last year, it has been a pleasure to see Millie grow in confidence in her abilities when working with families and in her </w:t>
            </w:r>
            <w:r w:rsidR="00174397">
              <w:rPr>
                <w:color w:val="auto"/>
                <w:sz w:val="24"/>
                <w:szCs w:val="24"/>
              </w:rPr>
              <w:t>role as a child / young person’s social worker</w:t>
            </w:r>
            <w:r>
              <w:rPr>
                <w:color w:val="auto"/>
                <w:sz w:val="24"/>
                <w:szCs w:val="24"/>
              </w:rPr>
              <w:t>. As set out within Tasks 1a and 1b, there has been an overarching theme of Millie initially lacking in confidence at the start of the year, and how this impacted on her ability to write concise assessments</w:t>
            </w:r>
            <w:r w:rsidR="00E558BD">
              <w:rPr>
                <w:color w:val="auto"/>
                <w:sz w:val="24"/>
                <w:szCs w:val="24"/>
              </w:rPr>
              <w:t xml:space="preserve"> which oftentimes presented as being descriptive of </w:t>
            </w:r>
            <w:r w:rsidR="00174397">
              <w:rPr>
                <w:color w:val="auto"/>
                <w:sz w:val="24"/>
                <w:szCs w:val="24"/>
              </w:rPr>
              <w:t xml:space="preserve">a </w:t>
            </w:r>
            <w:r w:rsidR="00E558BD">
              <w:rPr>
                <w:color w:val="auto"/>
                <w:sz w:val="24"/>
                <w:szCs w:val="24"/>
              </w:rPr>
              <w:t xml:space="preserve">family’s circumstance as opposed to being analytical. Millie was also uncomfortable with having </w:t>
            </w:r>
            <w:r>
              <w:rPr>
                <w:color w:val="auto"/>
                <w:sz w:val="24"/>
                <w:szCs w:val="24"/>
              </w:rPr>
              <w:t xml:space="preserve">difficult conversations with families and professionals </w:t>
            </w:r>
            <w:r w:rsidR="00E558BD">
              <w:rPr>
                <w:color w:val="auto"/>
                <w:sz w:val="24"/>
                <w:szCs w:val="24"/>
              </w:rPr>
              <w:t>alike,</w:t>
            </w:r>
            <w:r>
              <w:rPr>
                <w:color w:val="auto"/>
                <w:sz w:val="24"/>
                <w:szCs w:val="24"/>
              </w:rPr>
              <w:t xml:space="preserve"> which can be typical of newly qualified social workers. </w:t>
            </w:r>
          </w:p>
          <w:p w14:paraId="645E9F1B" w14:textId="77777777" w:rsidR="00AD607B" w:rsidRDefault="00AD607B" w:rsidP="005D4F72">
            <w:pPr>
              <w:jc w:val="both"/>
              <w:rPr>
                <w:color w:val="auto"/>
                <w:sz w:val="24"/>
                <w:szCs w:val="24"/>
              </w:rPr>
            </w:pPr>
          </w:p>
          <w:p w14:paraId="3EE63469" w14:textId="1A157279" w:rsidR="00487DF8" w:rsidRDefault="00AD607B" w:rsidP="005D4F72">
            <w:pPr>
              <w:jc w:val="both"/>
              <w:rPr>
                <w:color w:val="auto"/>
                <w:sz w:val="24"/>
                <w:szCs w:val="24"/>
              </w:rPr>
            </w:pPr>
            <w:r>
              <w:rPr>
                <w:color w:val="auto"/>
                <w:sz w:val="24"/>
                <w:szCs w:val="24"/>
              </w:rPr>
              <w:t>Millie is a compassionate social worker who always considers the family’s strengths and reflects on the impact any decision</w:t>
            </w:r>
            <w:r w:rsidR="00E558BD">
              <w:rPr>
                <w:color w:val="auto"/>
                <w:sz w:val="24"/>
                <w:szCs w:val="24"/>
              </w:rPr>
              <w:t>s</w:t>
            </w:r>
            <w:r>
              <w:rPr>
                <w:color w:val="auto"/>
                <w:sz w:val="24"/>
                <w:szCs w:val="24"/>
              </w:rPr>
              <w:t xml:space="preserve"> can have on children and families.</w:t>
            </w:r>
            <w:r w:rsidR="00A61A9C">
              <w:rPr>
                <w:color w:val="auto"/>
                <w:sz w:val="24"/>
                <w:szCs w:val="24"/>
              </w:rPr>
              <w:t xml:space="preserve"> Sometimes, it would appear as though the voice of the child was lost in amongst parents’ views.</w:t>
            </w:r>
            <w:r>
              <w:rPr>
                <w:color w:val="auto"/>
                <w:sz w:val="24"/>
                <w:szCs w:val="24"/>
              </w:rPr>
              <w:t xml:space="preserve"> However, through regular supervision, reflection and training, there has been a great improvement in how she is able to identify risks</w:t>
            </w:r>
            <w:r w:rsidR="00A61A9C">
              <w:rPr>
                <w:color w:val="auto"/>
                <w:sz w:val="24"/>
                <w:szCs w:val="24"/>
              </w:rPr>
              <w:t xml:space="preserve"> for children / young people, and advocate for them whilst supporting parents. She has been able to work </w:t>
            </w:r>
            <w:r>
              <w:rPr>
                <w:color w:val="auto"/>
                <w:sz w:val="24"/>
                <w:szCs w:val="24"/>
              </w:rPr>
              <w:t xml:space="preserve">collaboratively with families and any involved professionals to mitigate </w:t>
            </w:r>
            <w:r w:rsidR="00A61A9C">
              <w:rPr>
                <w:color w:val="auto"/>
                <w:sz w:val="24"/>
                <w:szCs w:val="24"/>
              </w:rPr>
              <w:t>the identified risks</w:t>
            </w:r>
            <w:r>
              <w:rPr>
                <w:color w:val="auto"/>
                <w:sz w:val="24"/>
                <w:szCs w:val="24"/>
              </w:rPr>
              <w:t>. She is more able and willing to have difficult conversations with parents, particularly around the concerns that have been identified</w:t>
            </w:r>
            <w:r w:rsidR="00E558BD">
              <w:rPr>
                <w:color w:val="auto"/>
                <w:sz w:val="24"/>
                <w:szCs w:val="24"/>
              </w:rPr>
              <w:t>,</w:t>
            </w:r>
            <w:r>
              <w:rPr>
                <w:color w:val="auto"/>
                <w:sz w:val="24"/>
                <w:szCs w:val="24"/>
              </w:rPr>
              <w:t xml:space="preserve"> which has enabled her to strengthen the safety plans implemented, as well as inform assessments and recommendations. </w:t>
            </w:r>
            <w:r w:rsidR="00E558BD">
              <w:rPr>
                <w:color w:val="auto"/>
                <w:sz w:val="24"/>
                <w:szCs w:val="24"/>
              </w:rPr>
              <w:t xml:space="preserve">Moreover, she recognises that the family’s outcomes are improved by supporting them to understand </w:t>
            </w:r>
            <w:r w:rsidR="00E558BD">
              <w:rPr>
                <w:i/>
                <w:iCs/>
                <w:color w:val="auto"/>
                <w:sz w:val="24"/>
                <w:szCs w:val="24"/>
              </w:rPr>
              <w:t xml:space="preserve">why </w:t>
            </w:r>
            <w:r w:rsidR="00E558BD">
              <w:rPr>
                <w:color w:val="auto"/>
                <w:sz w:val="24"/>
                <w:szCs w:val="24"/>
              </w:rPr>
              <w:t>professionals are concerned</w:t>
            </w:r>
            <w:r w:rsidR="00487DF8">
              <w:rPr>
                <w:color w:val="auto"/>
                <w:sz w:val="24"/>
                <w:szCs w:val="24"/>
              </w:rPr>
              <w:t xml:space="preserve"> and </w:t>
            </w:r>
            <w:r w:rsidR="00487DF8">
              <w:rPr>
                <w:i/>
                <w:iCs/>
                <w:color w:val="auto"/>
                <w:sz w:val="24"/>
                <w:szCs w:val="24"/>
              </w:rPr>
              <w:t xml:space="preserve">why </w:t>
            </w:r>
            <w:r w:rsidR="00487DF8">
              <w:rPr>
                <w:color w:val="auto"/>
                <w:sz w:val="24"/>
                <w:szCs w:val="24"/>
              </w:rPr>
              <w:t>decisions have been made</w:t>
            </w:r>
            <w:r w:rsidR="00E558BD">
              <w:rPr>
                <w:color w:val="auto"/>
                <w:sz w:val="24"/>
                <w:szCs w:val="24"/>
              </w:rPr>
              <w:t xml:space="preserve"> so that positive progress can be made and sustained</w:t>
            </w:r>
            <w:r w:rsidR="00F13BD1">
              <w:rPr>
                <w:color w:val="auto"/>
                <w:sz w:val="24"/>
                <w:szCs w:val="24"/>
              </w:rPr>
              <w:t>, as well as their outcomes to be achieved</w:t>
            </w:r>
            <w:r w:rsidR="00487DF8">
              <w:rPr>
                <w:color w:val="auto"/>
                <w:sz w:val="24"/>
                <w:szCs w:val="24"/>
              </w:rPr>
              <w:t>.</w:t>
            </w:r>
          </w:p>
          <w:p w14:paraId="65BDAB65" w14:textId="77777777" w:rsidR="00487DF8" w:rsidRDefault="00487DF8" w:rsidP="005D4F72">
            <w:pPr>
              <w:jc w:val="both"/>
              <w:rPr>
                <w:color w:val="auto"/>
                <w:sz w:val="24"/>
                <w:szCs w:val="24"/>
              </w:rPr>
            </w:pPr>
          </w:p>
          <w:p w14:paraId="1A8A7A52" w14:textId="55D90098" w:rsidR="00487DF8" w:rsidRDefault="00487DF8" w:rsidP="005D4F72">
            <w:pPr>
              <w:jc w:val="both"/>
              <w:rPr>
                <w:color w:val="auto"/>
                <w:sz w:val="24"/>
                <w:szCs w:val="24"/>
              </w:rPr>
            </w:pPr>
            <w:r>
              <w:rPr>
                <w:color w:val="auto"/>
                <w:sz w:val="24"/>
                <w:szCs w:val="24"/>
              </w:rPr>
              <w:t xml:space="preserve">This has translated into her written work, where she is able to draw upon all the information gathered through the assessment period in terms of discussions with parents, their network, direct work with the children and the views of involved professionals. Millie’s analytical skills have greatly </w:t>
            </w:r>
            <w:r w:rsidR="00A61A9C">
              <w:rPr>
                <w:color w:val="auto"/>
                <w:sz w:val="24"/>
                <w:szCs w:val="24"/>
              </w:rPr>
              <w:t>improved,</w:t>
            </w:r>
            <w:r>
              <w:rPr>
                <w:color w:val="auto"/>
                <w:sz w:val="24"/>
                <w:szCs w:val="24"/>
              </w:rPr>
              <w:t xml:space="preserve"> and it is clear as to why she has reached any decisions / recommendations made. </w:t>
            </w:r>
          </w:p>
          <w:p w14:paraId="5396A415" w14:textId="77777777" w:rsidR="00487DF8" w:rsidRDefault="00487DF8" w:rsidP="005D4F72">
            <w:pPr>
              <w:jc w:val="both"/>
              <w:rPr>
                <w:color w:val="auto"/>
                <w:sz w:val="24"/>
                <w:szCs w:val="24"/>
              </w:rPr>
            </w:pPr>
          </w:p>
          <w:p w14:paraId="3DEECEBA" w14:textId="37AAEC27" w:rsidR="00AD607B" w:rsidRDefault="00E558BD" w:rsidP="005D4F72">
            <w:pPr>
              <w:jc w:val="both"/>
              <w:rPr>
                <w:color w:val="auto"/>
                <w:sz w:val="24"/>
                <w:szCs w:val="24"/>
              </w:rPr>
            </w:pPr>
            <w:r>
              <w:rPr>
                <w:color w:val="auto"/>
                <w:sz w:val="24"/>
                <w:szCs w:val="24"/>
              </w:rPr>
              <w:t>I have observed Millie in practice by carrying out the direct observation (set out in task 3) whereby she shared an initial child protection report with a mother. It was clear that</w:t>
            </w:r>
            <w:r w:rsidR="00A61A9C">
              <w:rPr>
                <w:color w:val="auto"/>
                <w:sz w:val="24"/>
                <w:szCs w:val="24"/>
              </w:rPr>
              <w:t xml:space="preserve"> Millie has been able to develop a positive relationship with Mother in a short space of time. M</w:t>
            </w:r>
            <w:r>
              <w:rPr>
                <w:color w:val="auto"/>
                <w:sz w:val="24"/>
                <w:szCs w:val="24"/>
              </w:rPr>
              <w:t xml:space="preserve">other was minimising the department’s </w:t>
            </w:r>
            <w:r w:rsidR="00A61A9C">
              <w:rPr>
                <w:color w:val="auto"/>
                <w:sz w:val="24"/>
                <w:szCs w:val="24"/>
              </w:rPr>
              <w:t>concerns;</w:t>
            </w:r>
            <w:r>
              <w:rPr>
                <w:color w:val="auto"/>
                <w:sz w:val="24"/>
                <w:szCs w:val="24"/>
              </w:rPr>
              <w:t xml:space="preserve"> however, Millie was able to respect mother’s views but remain balanced in sharing the worries which led to the decisions made to proceed to conference</w:t>
            </w:r>
            <w:r w:rsidR="00A61A9C">
              <w:rPr>
                <w:color w:val="auto"/>
                <w:sz w:val="24"/>
                <w:szCs w:val="24"/>
              </w:rPr>
              <w:t xml:space="preserve"> and offer her reassurance and support through this process. This included explaining the process, what this looks like and </w:t>
            </w:r>
            <w:r w:rsidR="00F13BD1">
              <w:rPr>
                <w:color w:val="auto"/>
                <w:sz w:val="24"/>
                <w:szCs w:val="24"/>
              </w:rPr>
              <w:t xml:space="preserve">its </w:t>
            </w:r>
            <w:r w:rsidR="00A61A9C">
              <w:rPr>
                <w:color w:val="auto"/>
                <w:sz w:val="24"/>
                <w:szCs w:val="24"/>
              </w:rPr>
              <w:t>possible outcomes, so mother was fully informed and prepared.</w:t>
            </w:r>
          </w:p>
          <w:p w14:paraId="28DC7F6F" w14:textId="77777777" w:rsidR="00487DF8" w:rsidRDefault="00487DF8" w:rsidP="005D4F72">
            <w:pPr>
              <w:jc w:val="both"/>
              <w:rPr>
                <w:color w:val="auto"/>
                <w:sz w:val="24"/>
                <w:szCs w:val="24"/>
              </w:rPr>
            </w:pPr>
          </w:p>
          <w:p w14:paraId="71215241" w14:textId="0D237809" w:rsidR="00E558BD" w:rsidRDefault="00E558BD" w:rsidP="005D4F72">
            <w:pPr>
              <w:jc w:val="both"/>
              <w:rPr>
                <w:color w:val="auto"/>
                <w:sz w:val="24"/>
                <w:szCs w:val="24"/>
              </w:rPr>
            </w:pPr>
            <w:r>
              <w:rPr>
                <w:color w:val="auto"/>
                <w:sz w:val="24"/>
                <w:szCs w:val="24"/>
              </w:rPr>
              <w:t xml:space="preserve">Millie is also able to manage wider professional anxieties by ensuring their views inform her assessments. Whilst Millie may not necessarily agree with what has been shared, she is able to provide a rationale as to why within her analysis. </w:t>
            </w:r>
          </w:p>
          <w:p w14:paraId="1FC6F038" w14:textId="21C68493" w:rsidR="00E558BD" w:rsidRDefault="00E558BD" w:rsidP="005D4F72">
            <w:pPr>
              <w:jc w:val="both"/>
              <w:rPr>
                <w:color w:val="auto"/>
                <w:sz w:val="24"/>
                <w:szCs w:val="24"/>
              </w:rPr>
            </w:pPr>
          </w:p>
          <w:p w14:paraId="0EE51686" w14:textId="36C6E86B" w:rsidR="00487DF8" w:rsidRDefault="00E558BD" w:rsidP="005D4F72">
            <w:pPr>
              <w:jc w:val="both"/>
              <w:rPr>
                <w:color w:val="auto"/>
                <w:sz w:val="24"/>
                <w:szCs w:val="24"/>
              </w:rPr>
            </w:pPr>
            <w:r>
              <w:rPr>
                <w:color w:val="auto"/>
                <w:sz w:val="24"/>
                <w:szCs w:val="24"/>
              </w:rPr>
              <w:t>Following the direct observation, I stayed to obtain feedback from Mother who provided positive feedback in terms of Millie’s involvement with her and her children. Mother respected Millie’s opinions and reported she felt listened to and not judged by her, enabling her to trust her</w:t>
            </w:r>
            <w:r w:rsidR="00A61A9C">
              <w:rPr>
                <w:color w:val="auto"/>
                <w:sz w:val="24"/>
                <w:szCs w:val="24"/>
              </w:rPr>
              <w:t xml:space="preserve"> and engage in the assessment process during an incredibly difficult time for her. </w:t>
            </w:r>
          </w:p>
          <w:p w14:paraId="5E260BBA" w14:textId="77777777" w:rsidR="00E558BD" w:rsidRDefault="00E558BD"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491AEC33" w:rsidR="00D3203C" w:rsidRPr="00174397" w:rsidRDefault="00D3203C" w:rsidP="005D4F72">
            <w:pPr>
              <w:jc w:val="both"/>
              <w:rPr>
                <w:i/>
                <w:iCs/>
                <w:color w:val="auto"/>
                <w:sz w:val="24"/>
                <w:szCs w:val="24"/>
              </w:rPr>
            </w:pPr>
            <w:r w:rsidRPr="00D3203C">
              <w:rPr>
                <w:b/>
                <w:bCs/>
                <w:color w:val="auto"/>
                <w:sz w:val="24"/>
                <w:szCs w:val="24"/>
              </w:rPr>
              <w:lastRenderedPageBreak/>
              <w:t>Note for Mentor</w:t>
            </w:r>
            <w:r w:rsidR="00174397">
              <w:rPr>
                <w:b/>
                <w:bCs/>
                <w:color w:val="auto"/>
                <w:sz w:val="24"/>
                <w:szCs w:val="24"/>
              </w:rPr>
              <w:t xml:space="preserve"> – </w:t>
            </w:r>
            <w:r w:rsidR="00174397">
              <w:rPr>
                <w:color w:val="auto"/>
                <w:sz w:val="24"/>
                <w:szCs w:val="24"/>
              </w:rPr>
              <w:t xml:space="preserve">Please ensure that you provide a signature of verification of this report in the section titled ‘Signatures and Line Manager Verification’. </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4A09C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1. Name of Learner</w:t>
      </w:r>
      <w:r w:rsidR="009D59C2">
        <w:rPr>
          <w:b/>
          <w:sz w:val="24"/>
          <w:szCs w:val="24"/>
        </w:rPr>
        <w:t>:</w:t>
      </w:r>
      <w:r w:rsidRPr="008B28E7">
        <w:rPr>
          <w:b/>
          <w:sz w:val="24"/>
          <w:szCs w:val="24"/>
        </w:rPr>
        <w:t xml:space="preserve"> </w:t>
      </w:r>
      <w:r w:rsidR="00FB7D8A">
        <w:rPr>
          <w:b/>
          <w:sz w:val="24"/>
          <w:szCs w:val="24"/>
        </w:rPr>
        <w:t xml:space="preserve">Millie Coldrick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0E5773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B7D8A">
        <w:rPr>
          <w:b/>
          <w:sz w:val="24"/>
          <w:szCs w:val="24"/>
        </w:rPr>
        <w:t xml:space="preserve"> </w:t>
      </w:r>
      <w:r w:rsidR="00FB7D8A" w:rsidRPr="00FB7D8A">
        <w:rPr>
          <w:b/>
          <w:sz w:val="24"/>
          <w:szCs w:val="24"/>
        </w:rPr>
        <w:t>2420737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C1ADA76" w14:textId="62D7BA9F" w:rsidR="00FB7D8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FB7D8A">
        <w:rPr>
          <w:b/>
          <w:sz w:val="24"/>
          <w:szCs w:val="24"/>
        </w:rPr>
        <w:t xml:space="preserve"> 32 Anson Green, </w:t>
      </w:r>
    </w:p>
    <w:p w14:paraId="091F51F6" w14:textId="116F9FA7" w:rsidR="00FB7D8A" w:rsidRDefault="00FB7D8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Newport</w:t>
      </w:r>
    </w:p>
    <w:p w14:paraId="024C7355" w14:textId="184DF585" w:rsidR="00FB7D8A" w:rsidRPr="008B28E7" w:rsidRDefault="00FB7D8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NP19 9GN</w:t>
      </w:r>
    </w:p>
    <w:p w14:paraId="1FA12CF4" w14:textId="22CE595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AA2ADE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B7D8A">
        <w:rPr>
          <w:b/>
          <w:sz w:val="24"/>
          <w:szCs w:val="24"/>
        </w:rPr>
        <w:t xml:space="preserve"> 07479639059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A00143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B7D8A">
        <w:rPr>
          <w:b/>
          <w:sz w:val="24"/>
          <w:szCs w:val="24"/>
        </w:rPr>
        <w:t xml:space="preserve"> m.coldrick@npt.gov.uk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AEB3A0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B7D8A">
        <w:rPr>
          <w:b/>
          <w:sz w:val="24"/>
          <w:szCs w:val="24"/>
        </w:rPr>
        <w:t>21/09/2023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F9CD05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B7D8A">
        <w:rPr>
          <w:b/>
          <w:sz w:val="24"/>
          <w:szCs w:val="24"/>
        </w:rPr>
        <w:t xml:space="preserve"> 29/09/2021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31E2B3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3246C8">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25250F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C3A97">
        <w:rPr>
          <w:b/>
          <w:sz w:val="24"/>
          <w:szCs w:val="24"/>
        </w:rPr>
        <w:t xml:space="preserve"> Neath Port Talbot Council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4E3B2830" w:rsidR="004923DA" w:rsidRDefault="002C3A9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 Civic Centre</w:t>
      </w:r>
    </w:p>
    <w:p w14:paraId="4E818963" w14:textId="6A1318CB" w:rsidR="002C3A97" w:rsidRDefault="002C3A9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Water Street </w:t>
      </w:r>
    </w:p>
    <w:p w14:paraId="79AB1CD4" w14:textId="289DF76B" w:rsidR="002C3A97" w:rsidRDefault="002C3A9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w:t>
      </w:r>
    </w:p>
    <w:p w14:paraId="4F298FD9" w14:textId="2179F382" w:rsidR="002C3A97" w:rsidRDefault="002C3A9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SA11 3QZ</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604F1F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C3A97">
        <w:rPr>
          <w:b/>
          <w:sz w:val="24"/>
          <w:szCs w:val="24"/>
        </w:rPr>
        <w:t>01639 686868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BA2D72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B7D8A">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CCBDD5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B7D8A">
        <w:rPr>
          <w:b/>
          <w:sz w:val="24"/>
          <w:szCs w:val="24"/>
        </w:rPr>
        <w:t xml:space="preserve"> Rosemary Barratt</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9CFAB82" w14:textId="77777777" w:rsidR="00DB27EB"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E0A65B7" w14:textId="4EF36381" w:rsidR="004923DA" w:rsidRDefault="00DB27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19 Cecil Griffiths Close </w:t>
      </w:r>
    </w:p>
    <w:p w14:paraId="4A90D162" w14:textId="4E15038E" w:rsidR="00DB27EB" w:rsidRDefault="00DB27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Tonna </w:t>
      </w:r>
    </w:p>
    <w:p w14:paraId="26626812" w14:textId="0E560520" w:rsidR="004923DA" w:rsidRPr="008B28E7" w:rsidRDefault="00DB27E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SA11 3FF </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E85C07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B27EB">
        <w:rPr>
          <w:b/>
          <w:sz w:val="24"/>
          <w:szCs w:val="24"/>
        </w:rPr>
        <w:t xml:space="preserve"> 07544665959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DEB7E2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B27EB">
        <w:rPr>
          <w:b/>
          <w:sz w:val="24"/>
          <w:szCs w:val="24"/>
        </w:rPr>
        <w:t xml:space="preserve"> rosiebarratt92@icloud.com</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D414A2B" w:rsidR="004923DA" w:rsidRDefault="004923DA" w:rsidP="00FF7EBB">
            <w:pPr>
              <w:jc w:val="both"/>
              <w:rPr>
                <w:b/>
                <w:sz w:val="24"/>
                <w:szCs w:val="24"/>
              </w:rPr>
            </w:pPr>
            <w:r w:rsidRPr="008B28E7">
              <w:rPr>
                <w:b/>
                <w:sz w:val="24"/>
                <w:szCs w:val="24"/>
              </w:rPr>
              <w:t>Name:</w:t>
            </w:r>
            <w:r w:rsidR="00FB7D8A">
              <w:rPr>
                <w:b/>
                <w:sz w:val="24"/>
                <w:szCs w:val="24"/>
              </w:rPr>
              <w:t xml:space="preserve"> Rosemary Barratt</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60913D6C" w14:textId="1BCCF5BD" w:rsidR="00FB7D8A" w:rsidRDefault="00FB7D8A" w:rsidP="00FF7EBB">
            <w:pPr>
              <w:jc w:val="both"/>
              <w:rPr>
                <w:b/>
                <w:sz w:val="24"/>
                <w:szCs w:val="24"/>
              </w:rPr>
            </w:pPr>
            <w:r>
              <w:rPr>
                <w:b/>
                <w:sz w:val="24"/>
                <w:szCs w:val="24"/>
              </w:rPr>
              <w:t xml:space="preserve">Neath Civic Centre </w:t>
            </w:r>
          </w:p>
          <w:p w14:paraId="20FC2137" w14:textId="7F785160" w:rsidR="00FB7D8A" w:rsidRDefault="00FB7D8A" w:rsidP="00FF7EBB">
            <w:pPr>
              <w:jc w:val="both"/>
              <w:rPr>
                <w:b/>
                <w:sz w:val="24"/>
                <w:szCs w:val="24"/>
              </w:rPr>
            </w:pPr>
            <w:r>
              <w:rPr>
                <w:b/>
                <w:sz w:val="24"/>
                <w:szCs w:val="24"/>
              </w:rPr>
              <w:t>Water Street</w:t>
            </w:r>
          </w:p>
          <w:p w14:paraId="45D6C1B1" w14:textId="2B87CA99" w:rsidR="00FB7D8A" w:rsidRDefault="00FB7D8A" w:rsidP="00FF7EBB">
            <w:pPr>
              <w:jc w:val="both"/>
              <w:rPr>
                <w:b/>
                <w:sz w:val="24"/>
                <w:szCs w:val="24"/>
              </w:rPr>
            </w:pPr>
            <w:r>
              <w:rPr>
                <w:b/>
                <w:sz w:val="24"/>
                <w:szCs w:val="24"/>
              </w:rPr>
              <w:t>SA 3QZ</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Default="004923DA" w:rsidP="00FF7EBB">
            <w:pPr>
              <w:jc w:val="both"/>
              <w:rPr>
                <w:b/>
                <w:sz w:val="24"/>
                <w:szCs w:val="24"/>
              </w:rPr>
            </w:pPr>
            <w:r w:rsidRPr="008B28E7">
              <w:rPr>
                <w:b/>
                <w:sz w:val="24"/>
                <w:szCs w:val="24"/>
              </w:rPr>
              <w:t>Professional Qualification and date of qualification:</w:t>
            </w:r>
          </w:p>
          <w:p w14:paraId="107799EC" w14:textId="77777777" w:rsidR="00DB27EB" w:rsidRDefault="00DB27EB" w:rsidP="00FF7EBB">
            <w:pPr>
              <w:jc w:val="both"/>
              <w:rPr>
                <w:b/>
                <w:sz w:val="24"/>
                <w:szCs w:val="24"/>
              </w:rPr>
            </w:pPr>
          </w:p>
          <w:p w14:paraId="123612AF" w14:textId="5B8199BA" w:rsidR="00DB27EB" w:rsidRDefault="00DB27EB" w:rsidP="00FF7EBB">
            <w:pPr>
              <w:jc w:val="both"/>
              <w:rPr>
                <w:b/>
                <w:sz w:val="24"/>
                <w:szCs w:val="24"/>
              </w:rPr>
            </w:pPr>
            <w:r>
              <w:rPr>
                <w:b/>
                <w:sz w:val="24"/>
                <w:szCs w:val="24"/>
              </w:rPr>
              <w:t>Postgraduate Diploma in Social Work</w:t>
            </w:r>
          </w:p>
          <w:p w14:paraId="36EDABF3" w14:textId="474245B3" w:rsidR="00DB27EB" w:rsidRPr="008B28E7" w:rsidRDefault="00DB27EB" w:rsidP="00FF7EBB">
            <w:pPr>
              <w:jc w:val="both"/>
              <w:rPr>
                <w:b/>
                <w:sz w:val="24"/>
                <w:szCs w:val="24"/>
              </w:rPr>
            </w:pPr>
            <w:r>
              <w:rPr>
                <w:b/>
                <w:sz w:val="24"/>
                <w:szCs w:val="24"/>
              </w:rPr>
              <w:t>Date obtained: 05/09/2016</w:t>
            </w:r>
          </w:p>
          <w:p w14:paraId="5F68A3CF" w14:textId="77777777" w:rsidR="004923DA" w:rsidRDefault="004923DA" w:rsidP="00FF7EBB">
            <w:pPr>
              <w:jc w:val="both"/>
              <w:rPr>
                <w:b/>
                <w:sz w:val="24"/>
                <w:szCs w:val="24"/>
              </w:rPr>
            </w:pPr>
          </w:p>
          <w:p w14:paraId="4C6113F1" w14:textId="13F59F88" w:rsidR="004923DA" w:rsidRDefault="009D59C2" w:rsidP="00FF7EBB">
            <w:pPr>
              <w:jc w:val="both"/>
              <w:rPr>
                <w:b/>
                <w:sz w:val="24"/>
                <w:szCs w:val="24"/>
              </w:rPr>
            </w:pPr>
            <w:r>
              <w:rPr>
                <w:b/>
                <w:sz w:val="24"/>
                <w:szCs w:val="24"/>
              </w:rPr>
              <w:t>T</w:t>
            </w:r>
            <w:r w:rsidR="004923DA" w:rsidRPr="008B28E7">
              <w:rPr>
                <w:b/>
                <w:sz w:val="24"/>
                <w:szCs w:val="24"/>
              </w:rPr>
              <w:t>elephone number:</w:t>
            </w:r>
            <w:r w:rsidR="00DB27EB">
              <w:rPr>
                <w:b/>
                <w:sz w:val="24"/>
                <w:szCs w:val="24"/>
              </w:rPr>
              <w:t xml:space="preserve"> 01639 686802</w:t>
            </w:r>
          </w:p>
          <w:p w14:paraId="0BB87919" w14:textId="548A11EF" w:rsidR="009D59C2" w:rsidRDefault="009D59C2" w:rsidP="00FF7EBB">
            <w:pPr>
              <w:jc w:val="both"/>
              <w:rPr>
                <w:b/>
                <w:sz w:val="24"/>
                <w:szCs w:val="24"/>
              </w:rPr>
            </w:pPr>
          </w:p>
          <w:p w14:paraId="4FDEE73F" w14:textId="6F15F845" w:rsidR="009D59C2" w:rsidRPr="008B28E7" w:rsidRDefault="009D59C2" w:rsidP="00FF7EBB">
            <w:pPr>
              <w:jc w:val="both"/>
              <w:rPr>
                <w:b/>
                <w:sz w:val="24"/>
                <w:szCs w:val="24"/>
              </w:rPr>
            </w:pPr>
            <w:r>
              <w:rPr>
                <w:b/>
                <w:sz w:val="24"/>
                <w:szCs w:val="24"/>
              </w:rPr>
              <w:t>Email address:</w:t>
            </w:r>
            <w:r w:rsidR="00DB27EB">
              <w:rPr>
                <w:b/>
                <w:sz w:val="24"/>
                <w:szCs w:val="24"/>
              </w:rPr>
              <w:t xml:space="preserve"> </w:t>
            </w:r>
            <w:hyperlink r:id="rId16" w:history="1">
              <w:r w:rsidR="00DB27EB" w:rsidRPr="001C734F">
                <w:rPr>
                  <w:rStyle w:val="Hyperlink"/>
                  <w:b/>
                  <w:sz w:val="24"/>
                  <w:szCs w:val="24"/>
                </w:rPr>
                <w:t>r.barratt@npt.gov.uk</w:t>
              </w:r>
            </w:hyperlink>
            <w:r w:rsidR="00DB27EB">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w:t>
      </w:r>
      <w:r w:rsidR="004F4E33">
        <w:rPr>
          <w:sz w:val="24"/>
          <w:szCs w:val="24"/>
        </w:rPr>
        <w:lastRenderedPageBreak/>
        <w:t>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F5CD50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FB7D8A">
        <w:rPr>
          <w:sz w:val="24"/>
          <w:szCs w:val="24"/>
        </w:rPr>
        <w:t xml:space="preserve"> M. Coldrick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97AEFC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B7D8A">
        <w:rPr>
          <w:sz w:val="24"/>
          <w:szCs w:val="24"/>
        </w:rPr>
        <w:t>06/10/2025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E4E9DE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2C3A97">
        <w:rPr>
          <w:sz w:val="24"/>
          <w:szCs w:val="24"/>
        </w:rPr>
        <w:t xml:space="preserve">R. Barratt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5EB56F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C3A97">
        <w:rPr>
          <w:sz w:val="24"/>
          <w:szCs w:val="24"/>
        </w:rPr>
        <w:t>06/10/2025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265956B" w:rsidR="00335C41" w:rsidRPr="00D3203C" w:rsidRDefault="00335C41" w:rsidP="00335C41">
            <w:pPr>
              <w:ind w:right="180"/>
              <w:jc w:val="both"/>
              <w:rPr>
                <w:sz w:val="24"/>
                <w:szCs w:val="24"/>
              </w:rPr>
            </w:pPr>
            <w:r w:rsidRPr="00D3203C">
              <w:rPr>
                <w:sz w:val="24"/>
                <w:szCs w:val="24"/>
              </w:rPr>
              <w:t>Signed_</w:t>
            </w:r>
            <w:r w:rsidR="002C3A97">
              <w:rPr>
                <w:sz w:val="24"/>
                <w:szCs w:val="24"/>
              </w:rPr>
              <w:t>R. Barratt</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12ABBC6" w:rsidR="00335C41" w:rsidRPr="00D3203C" w:rsidRDefault="00335C41" w:rsidP="00335C41">
            <w:pPr>
              <w:ind w:right="180"/>
              <w:jc w:val="both"/>
              <w:rPr>
                <w:sz w:val="24"/>
                <w:szCs w:val="24"/>
              </w:rPr>
            </w:pPr>
            <w:r w:rsidRPr="00D3203C">
              <w:rPr>
                <w:sz w:val="24"/>
                <w:szCs w:val="24"/>
              </w:rPr>
              <w:t xml:space="preserve">Date </w:t>
            </w:r>
            <w:r w:rsidR="002C3A97">
              <w:rPr>
                <w:sz w:val="24"/>
                <w:szCs w:val="24"/>
              </w:rPr>
              <w:t>06/10/2025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65E8C2EB" w14:textId="77777777" w:rsidR="002C3A97" w:rsidRDefault="004923DA">
      <w:pPr>
        <w:ind w:right="180"/>
        <w:jc w:val="both"/>
        <w:rPr>
          <w:b/>
          <w:bCs/>
          <w:sz w:val="24"/>
          <w:szCs w:val="24"/>
        </w:rPr>
      </w:pPr>
      <w:r w:rsidRPr="00F15354">
        <w:rPr>
          <w:b/>
          <w:bCs/>
          <w:sz w:val="24"/>
          <w:szCs w:val="24"/>
        </w:rPr>
        <w:t xml:space="preserve"> </w:t>
      </w:r>
    </w:p>
    <w:p w14:paraId="62EF1CFC" w14:textId="77777777" w:rsidR="002C3A97" w:rsidRDefault="002C3A97">
      <w:pPr>
        <w:ind w:right="180"/>
        <w:jc w:val="both"/>
        <w:rPr>
          <w:b/>
          <w:bCs/>
          <w:sz w:val="24"/>
          <w:szCs w:val="24"/>
        </w:rPr>
      </w:pPr>
    </w:p>
    <w:p w14:paraId="47F07AA0" w14:textId="77777777" w:rsidR="002C3A97" w:rsidRDefault="002C3A97">
      <w:pPr>
        <w:ind w:right="180"/>
        <w:jc w:val="both"/>
        <w:rPr>
          <w:b/>
          <w:bCs/>
          <w:sz w:val="24"/>
          <w:szCs w:val="24"/>
        </w:rPr>
      </w:pPr>
    </w:p>
    <w:p w14:paraId="557E5384" w14:textId="77777777" w:rsidR="002C3A97" w:rsidRDefault="002C3A97">
      <w:pPr>
        <w:ind w:right="180"/>
        <w:jc w:val="both"/>
        <w:rPr>
          <w:b/>
          <w:bCs/>
          <w:sz w:val="24"/>
          <w:szCs w:val="24"/>
        </w:rPr>
      </w:pPr>
    </w:p>
    <w:p w14:paraId="18ED902D" w14:textId="77777777" w:rsidR="002C3A97" w:rsidRDefault="002C3A97">
      <w:pPr>
        <w:ind w:right="180"/>
        <w:jc w:val="both"/>
        <w:rPr>
          <w:b/>
          <w:bCs/>
          <w:sz w:val="24"/>
          <w:szCs w:val="24"/>
        </w:rPr>
      </w:pPr>
    </w:p>
    <w:p w14:paraId="47C26B68" w14:textId="77777777" w:rsidR="002C3A97" w:rsidRDefault="002C3A97">
      <w:pPr>
        <w:ind w:right="180"/>
        <w:jc w:val="both"/>
        <w:rPr>
          <w:b/>
          <w:bCs/>
          <w:sz w:val="24"/>
          <w:szCs w:val="24"/>
        </w:rPr>
      </w:pPr>
    </w:p>
    <w:p w14:paraId="2A2477FA" w14:textId="77777777" w:rsidR="002C3A97" w:rsidRDefault="002C3A97">
      <w:pPr>
        <w:ind w:right="180"/>
        <w:jc w:val="both"/>
        <w:rPr>
          <w:b/>
          <w:bCs/>
          <w:sz w:val="24"/>
          <w:szCs w:val="24"/>
        </w:rPr>
      </w:pPr>
    </w:p>
    <w:p w14:paraId="637FF17A" w14:textId="77777777" w:rsidR="002C3A97" w:rsidRDefault="002C3A97">
      <w:pPr>
        <w:ind w:right="180"/>
        <w:jc w:val="both"/>
        <w:rPr>
          <w:b/>
          <w:bCs/>
          <w:sz w:val="24"/>
          <w:szCs w:val="24"/>
        </w:rPr>
      </w:pPr>
    </w:p>
    <w:p w14:paraId="06CACCA8" w14:textId="77777777" w:rsidR="002C3A97" w:rsidRDefault="002C3A97">
      <w:pPr>
        <w:ind w:right="180"/>
        <w:jc w:val="both"/>
        <w:rPr>
          <w:b/>
          <w:bCs/>
          <w:sz w:val="24"/>
          <w:szCs w:val="24"/>
        </w:rPr>
      </w:pPr>
    </w:p>
    <w:p w14:paraId="6447521E" w14:textId="77777777" w:rsidR="002C3A97" w:rsidRDefault="002C3A97">
      <w:pPr>
        <w:ind w:right="180"/>
        <w:jc w:val="both"/>
        <w:rPr>
          <w:b/>
          <w:bCs/>
          <w:sz w:val="24"/>
          <w:szCs w:val="24"/>
        </w:rPr>
      </w:pPr>
    </w:p>
    <w:p w14:paraId="706A1AF1" w14:textId="526ABFA7" w:rsidR="004923DA" w:rsidRPr="00706BB5" w:rsidRDefault="004923DA">
      <w:pPr>
        <w:ind w:right="180"/>
        <w:jc w:val="both"/>
        <w:rPr>
          <w:b/>
          <w:bCs/>
          <w:sz w:val="24"/>
          <w:szCs w:val="24"/>
        </w:rPr>
      </w:pPr>
      <w:r w:rsidRPr="00F15354">
        <w:rPr>
          <w:b/>
          <w:bCs/>
          <w:sz w:val="24"/>
          <w:szCs w:val="24"/>
        </w:rPr>
        <w:lastRenderedPageBreak/>
        <w:t>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265F3C3" w14:textId="77777777" w:rsidR="002C3A97" w:rsidRDefault="002C3A97" w:rsidP="00FF7EBB">
      <w:pPr>
        <w:overflowPunct/>
        <w:autoSpaceDE/>
        <w:autoSpaceDN/>
        <w:adjustRightInd/>
        <w:jc w:val="both"/>
        <w:textAlignment w:val="auto"/>
        <w:rPr>
          <w:color w:val="auto"/>
          <w:sz w:val="24"/>
          <w:szCs w:val="24"/>
        </w:rPr>
      </w:pPr>
    </w:p>
    <w:p w14:paraId="14E9FCDF" w14:textId="77777777" w:rsidR="002C3A97" w:rsidRDefault="002C3A97" w:rsidP="00FF7EBB">
      <w:pPr>
        <w:overflowPunct/>
        <w:autoSpaceDE/>
        <w:autoSpaceDN/>
        <w:adjustRightInd/>
        <w:jc w:val="both"/>
        <w:textAlignment w:val="auto"/>
        <w:rPr>
          <w:color w:val="auto"/>
          <w:sz w:val="24"/>
          <w:szCs w:val="24"/>
        </w:rPr>
      </w:pPr>
    </w:p>
    <w:p w14:paraId="057E3A73" w14:textId="77777777" w:rsidR="002C3A97" w:rsidRDefault="002C3A97" w:rsidP="00FF7EBB">
      <w:pPr>
        <w:overflowPunct/>
        <w:autoSpaceDE/>
        <w:autoSpaceDN/>
        <w:adjustRightInd/>
        <w:jc w:val="both"/>
        <w:textAlignment w:val="auto"/>
        <w:rPr>
          <w:color w:val="auto"/>
          <w:sz w:val="24"/>
          <w:szCs w:val="24"/>
        </w:rPr>
      </w:pPr>
    </w:p>
    <w:p w14:paraId="6B8BD9BD" w14:textId="77777777" w:rsidR="002C3A97" w:rsidRDefault="002C3A97" w:rsidP="00FF7EBB">
      <w:pPr>
        <w:overflowPunct/>
        <w:autoSpaceDE/>
        <w:autoSpaceDN/>
        <w:adjustRightInd/>
        <w:jc w:val="both"/>
        <w:textAlignment w:val="auto"/>
        <w:rPr>
          <w:color w:val="auto"/>
          <w:sz w:val="24"/>
          <w:szCs w:val="24"/>
        </w:rPr>
      </w:pPr>
    </w:p>
    <w:p w14:paraId="5DC7725A" w14:textId="77777777" w:rsidR="002C3A97" w:rsidRDefault="002C3A97" w:rsidP="00FF7EBB">
      <w:pPr>
        <w:overflowPunct/>
        <w:autoSpaceDE/>
        <w:autoSpaceDN/>
        <w:adjustRightInd/>
        <w:jc w:val="both"/>
        <w:textAlignment w:val="auto"/>
        <w:rPr>
          <w:color w:val="auto"/>
          <w:sz w:val="24"/>
          <w:szCs w:val="24"/>
        </w:rPr>
      </w:pPr>
    </w:p>
    <w:p w14:paraId="019DDAFC" w14:textId="77777777" w:rsidR="002C3A97" w:rsidRDefault="002C3A97" w:rsidP="00FF7EBB">
      <w:pPr>
        <w:overflowPunct/>
        <w:autoSpaceDE/>
        <w:autoSpaceDN/>
        <w:adjustRightInd/>
        <w:jc w:val="both"/>
        <w:textAlignment w:val="auto"/>
        <w:rPr>
          <w:color w:val="auto"/>
          <w:sz w:val="24"/>
          <w:szCs w:val="24"/>
        </w:rPr>
      </w:pPr>
    </w:p>
    <w:p w14:paraId="3BC1629E" w14:textId="77777777" w:rsidR="002C3A97" w:rsidRDefault="002C3A97" w:rsidP="00FF7EBB">
      <w:pPr>
        <w:overflowPunct/>
        <w:autoSpaceDE/>
        <w:autoSpaceDN/>
        <w:adjustRightInd/>
        <w:jc w:val="both"/>
        <w:textAlignment w:val="auto"/>
        <w:rPr>
          <w:color w:val="auto"/>
          <w:sz w:val="24"/>
          <w:szCs w:val="24"/>
        </w:rPr>
      </w:pPr>
    </w:p>
    <w:p w14:paraId="4A18C193" w14:textId="77777777" w:rsidR="002C3A97" w:rsidRDefault="002C3A97" w:rsidP="00FF7EBB">
      <w:pPr>
        <w:overflowPunct/>
        <w:autoSpaceDE/>
        <w:autoSpaceDN/>
        <w:adjustRightInd/>
        <w:jc w:val="both"/>
        <w:textAlignment w:val="auto"/>
        <w:rPr>
          <w:color w:val="auto"/>
          <w:sz w:val="24"/>
          <w:szCs w:val="24"/>
        </w:rPr>
      </w:pPr>
    </w:p>
    <w:p w14:paraId="4F624080" w14:textId="77777777" w:rsidR="002C3A97" w:rsidRDefault="002C3A97" w:rsidP="00FF7EBB">
      <w:pPr>
        <w:overflowPunct/>
        <w:autoSpaceDE/>
        <w:autoSpaceDN/>
        <w:adjustRightInd/>
        <w:jc w:val="both"/>
        <w:textAlignment w:val="auto"/>
        <w:rPr>
          <w:color w:val="auto"/>
          <w:sz w:val="24"/>
          <w:szCs w:val="24"/>
        </w:rPr>
      </w:pPr>
    </w:p>
    <w:p w14:paraId="4F234ABD" w14:textId="77777777" w:rsidR="002C3A97" w:rsidRDefault="002C3A97" w:rsidP="00FF7EBB">
      <w:pPr>
        <w:overflowPunct/>
        <w:autoSpaceDE/>
        <w:autoSpaceDN/>
        <w:adjustRightInd/>
        <w:jc w:val="both"/>
        <w:textAlignment w:val="auto"/>
        <w:rPr>
          <w:color w:val="auto"/>
          <w:sz w:val="24"/>
          <w:szCs w:val="24"/>
        </w:rPr>
      </w:pPr>
    </w:p>
    <w:p w14:paraId="2F9B856B" w14:textId="77777777" w:rsidR="002C3A97" w:rsidRDefault="002C3A97" w:rsidP="00FF7EBB">
      <w:pPr>
        <w:overflowPunct/>
        <w:autoSpaceDE/>
        <w:autoSpaceDN/>
        <w:adjustRightInd/>
        <w:jc w:val="both"/>
        <w:textAlignment w:val="auto"/>
        <w:rPr>
          <w:color w:val="auto"/>
          <w:sz w:val="24"/>
          <w:szCs w:val="24"/>
        </w:rPr>
      </w:pPr>
    </w:p>
    <w:p w14:paraId="7074C08A" w14:textId="0D632552"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lastRenderedPageBreak/>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020AC2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2C3A97">
        <w:rPr>
          <w:caps/>
          <w:sz w:val="24"/>
          <w:szCs w:val="24"/>
        </w:rPr>
        <w:t>CARLY CROCKER</w:t>
      </w:r>
    </w:p>
    <w:p w14:paraId="7C11F360" w14:textId="1922B75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2C3A97">
        <w:rPr>
          <w:noProof/>
        </w:rPr>
        <w:drawing>
          <wp:inline distT="0" distB="0" distL="0" distR="0" wp14:anchorId="723DBD82" wp14:editId="3F8CD70C">
            <wp:extent cx="1289685" cy="526415"/>
            <wp:effectExtent l="0" t="0" r="5715" b="6985"/>
            <wp:docPr id="1" name="Picture 1" descr="cid:image001.jpg@01DC3825.7030BD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C3825.7030BD2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289685" cy="526415"/>
                    </a:xfrm>
                    <a:prstGeom prst="rect">
                      <a:avLst/>
                    </a:prstGeom>
                    <a:noFill/>
                    <a:ln>
                      <a:noFill/>
                    </a:ln>
                  </pic:spPr>
                </pic:pic>
              </a:graphicData>
            </a:graphic>
          </wp:inline>
        </w:drawing>
      </w:r>
    </w:p>
    <w:p w14:paraId="57B2A00A" w14:textId="78066CF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C3A97">
        <w:rPr>
          <w:sz w:val="24"/>
          <w:szCs w:val="24"/>
        </w:rPr>
        <w:t>06/10/2025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EC45032" w:rsidR="00986C0B" w:rsidRPr="00DA5682" w:rsidRDefault="00FB7D8A">
            <w:pPr>
              <w:rPr>
                <w:sz w:val="24"/>
                <w:szCs w:val="24"/>
              </w:rPr>
            </w:pPr>
            <w:r>
              <w:rPr>
                <w:sz w:val="24"/>
                <w:szCs w:val="24"/>
              </w:rPr>
              <w:t>Millie Coldrick</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4EC20873" w:rsidR="00986C0B" w:rsidRPr="00DA5682" w:rsidRDefault="00FB7D8A">
            <w:pPr>
              <w:rPr>
                <w:sz w:val="24"/>
                <w:szCs w:val="24"/>
              </w:rPr>
            </w:pPr>
            <w:r>
              <w:rPr>
                <w:sz w:val="24"/>
                <w:szCs w:val="24"/>
              </w:rPr>
              <w:t>Single Point of Contact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B65B080" w:rsidR="00986C0B" w:rsidRPr="00DA5682" w:rsidRDefault="00FB7D8A">
            <w:pPr>
              <w:rPr>
                <w:sz w:val="24"/>
                <w:szCs w:val="24"/>
              </w:rPr>
            </w:pPr>
            <w:r>
              <w:rPr>
                <w:sz w:val="24"/>
                <w:szCs w:val="24"/>
              </w:rPr>
              <w:t>Rosemary Barratt</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305EF1D" w:rsidR="00986C0B" w:rsidRPr="00DA5682" w:rsidRDefault="00FB7D8A">
            <w:pPr>
              <w:rPr>
                <w:sz w:val="24"/>
                <w:szCs w:val="24"/>
              </w:rPr>
            </w:pPr>
            <w:r>
              <w:rPr>
                <w:sz w:val="24"/>
                <w:szCs w:val="24"/>
              </w:rPr>
              <w:t>Carly Crocker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7399AC7" w:rsidR="00986C0B" w:rsidRPr="00DA5682" w:rsidRDefault="00FB7D8A" w:rsidP="00986C0B">
      <w:pPr>
        <w:rPr>
          <w:sz w:val="24"/>
          <w:szCs w:val="24"/>
        </w:rPr>
      </w:pPr>
      <w:r>
        <w:rPr>
          <w:sz w:val="24"/>
          <w:szCs w:val="24"/>
        </w:rPr>
        <w:t>Signed: M. Coldrick       Print Name: Millie Coldrick      Date: 25/11/2024</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01218D26" w14:textId="7A732A89" w:rsidR="002C3A97" w:rsidRPr="00DA5682" w:rsidRDefault="00986C0B" w:rsidP="00986C0B">
      <w:pPr>
        <w:rPr>
          <w:sz w:val="24"/>
          <w:szCs w:val="24"/>
        </w:rPr>
      </w:pPr>
      <w:r w:rsidRPr="00DA5682">
        <w:rPr>
          <w:sz w:val="24"/>
          <w:szCs w:val="24"/>
        </w:rPr>
        <w:t>Signed:</w:t>
      </w:r>
      <w:r w:rsidR="002C3A97">
        <w:rPr>
          <w:sz w:val="24"/>
          <w:szCs w:val="24"/>
        </w:rPr>
        <w:t xml:space="preserve"> </w:t>
      </w:r>
      <w:r w:rsidR="002C3A97">
        <w:rPr>
          <w:noProof/>
        </w:rPr>
        <w:drawing>
          <wp:inline distT="0" distB="0" distL="0" distR="0" wp14:anchorId="2E612FD5" wp14:editId="6AD4F79A">
            <wp:extent cx="1289685" cy="526415"/>
            <wp:effectExtent l="0" t="0" r="5715" b="6985"/>
            <wp:docPr id="2" name="Picture 2" descr="cid:image001.jpg@01DC3825.7030BD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C3825.7030BD20"/>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289685" cy="526415"/>
                    </a:xfrm>
                    <a:prstGeom prst="rect">
                      <a:avLst/>
                    </a:prstGeom>
                    <a:noFill/>
                    <a:ln>
                      <a:noFill/>
                    </a:ln>
                  </pic:spPr>
                </pic:pic>
              </a:graphicData>
            </a:graphic>
          </wp:inline>
        </w:drawing>
      </w:r>
      <w:r w:rsidRPr="00DA5682">
        <w:rPr>
          <w:sz w:val="24"/>
          <w:szCs w:val="24"/>
        </w:rPr>
        <w:t xml:space="preserve"> Print Name:</w:t>
      </w:r>
      <w:r w:rsidR="002C3A97">
        <w:rPr>
          <w:sz w:val="24"/>
          <w:szCs w:val="24"/>
        </w:rPr>
        <w:t xml:space="preserve"> Carly Crocker </w:t>
      </w:r>
      <w:r w:rsidR="002C3A97" w:rsidRPr="00DA5682">
        <w:rPr>
          <w:sz w:val="24"/>
          <w:szCs w:val="24"/>
        </w:rPr>
        <w:t xml:space="preserve"> </w:t>
      </w:r>
      <w:r w:rsidR="002C3A97">
        <w:rPr>
          <w:sz w:val="24"/>
          <w:szCs w:val="24"/>
        </w:rPr>
        <w:t>Date: 25/11/2024</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5510D06" w:rsidR="00986C0B" w:rsidRPr="00DA5682" w:rsidRDefault="00986C0B" w:rsidP="00986C0B">
      <w:pPr>
        <w:rPr>
          <w:sz w:val="24"/>
          <w:szCs w:val="24"/>
        </w:rPr>
      </w:pPr>
      <w:r w:rsidRPr="00DA5682">
        <w:rPr>
          <w:sz w:val="24"/>
          <w:szCs w:val="24"/>
        </w:rPr>
        <w:t>Signed</w:t>
      </w:r>
      <w:r w:rsidR="002C3A97">
        <w:rPr>
          <w:sz w:val="24"/>
          <w:szCs w:val="24"/>
        </w:rPr>
        <w:t xml:space="preserve">:  R. Barratt     </w:t>
      </w:r>
      <w:r w:rsidRPr="00DA5682">
        <w:rPr>
          <w:sz w:val="24"/>
          <w:szCs w:val="24"/>
        </w:rPr>
        <w:t>Print Name:</w:t>
      </w:r>
      <w:r w:rsidR="002C3A97">
        <w:rPr>
          <w:sz w:val="24"/>
          <w:szCs w:val="24"/>
        </w:rPr>
        <w:t xml:space="preserve"> Rosemary Barratt  Date: 25/11/2025</w:t>
      </w:r>
      <w:bookmarkStart w:id="1" w:name="_GoBack"/>
      <w:bookmarkEnd w:id="1"/>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1370E" w14:textId="77777777" w:rsidR="00E500FD" w:rsidRDefault="00E500FD">
      <w:r>
        <w:separator/>
      </w:r>
    </w:p>
  </w:endnote>
  <w:endnote w:type="continuationSeparator" w:id="0">
    <w:p w14:paraId="458D0715" w14:textId="77777777" w:rsidR="00E500FD" w:rsidRDefault="00E50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4F58B64" w:rsidR="00A5656A" w:rsidRDefault="00A5656A">
    <w:pPr>
      <w:pStyle w:val="Footer"/>
      <w:jc w:val="right"/>
    </w:pPr>
    <w:r>
      <w:fldChar w:fldCharType="begin"/>
    </w:r>
    <w:r>
      <w:instrText xml:space="preserve"> PAGE   \* MERGEFORMAT </w:instrText>
    </w:r>
    <w:r>
      <w:fldChar w:fldCharType="separate"/>
    </w:r>
    <w:r w:rsidR="002C3A97">
      <w:rPr>
        <w:noProof/>
      </w:rPr>
      <w:t>7</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80D39" w14:textId="77777777" w:rsidR="00E500FD" w:rsidRDefault="00E500FD">
      <w:r>
        <w:separator/>
      </w:r>
    </w:p>
  </w:footnote>
  <w:footnote w:type="continuationSeparator" w:id="0">
    <w:p w14:paraId="45020E0A" w14:textId="77777777" w:rsidR="00E500FD" w:rsidRDefault="00E500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2C0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4397"/>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365CE"/>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A97"/>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46C8"/>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7DF8"/>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5D7"/>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1AD"/>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1A9C"/>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607B"/>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27EB"/>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0FD"/>
    <w:rsid w:val="00E50821"/>
    <w:rsid w:val="00E51F91"/>
    <w:rsid w:val="00E5498A"/>
    <w:rsid w:val="00E558BD"/>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3BD1"/>
    <w:rsid w:val="00F15354"/>
    <w:rsid w:val="00F22AC5"/>
    <w:rsid w:val="00F254D1"/>
    <w:rsid w:val="00F32B82"/>
    <w:rsid w:val="00F34C86"/>
    <w:rsid w:val="00F4043E"/>
    <w:rsid w:val="00F41795"/>
    <w:rsid w:val="00F41BBC"/>
    <w:rsid w:val="00F444F0"/>
    <w:rsid w:val="00F446FF"/>
    <w:rsid w:val="00F45521"/>
    <w:rsid w:val="00F50847"/>
    <w:rsid w:val="00F53E41"/>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B7D8A"/>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UnresolvedMention">
    <w:name w:val="Unresolved Mention"/>
    <w:basedOn w:val="DefaultParagraphFont"/>
    <w:uiPriority w:val="99"/>
    <w:semiHidden/>
    <w:unhideWhenUsed/>
    <w:rsid w:val="00DB27EB"/>
    <w:rPr>
      <w:color w:val="605E5C"/>
      <w:shd w:val="clear" w:color="auto" w:fill="E1DFDD"/>
    </w:rPr>
  </w:style>
  <w:style w:type="character" w:styleId="Strong">
    <w:name w:val="Strong"/>
    <w:basedOn w:val="DefaultParagraphFont"/>
    <w:uiPriority w:val="22"/>
    <w:qFormat/>
    <w:rsid w:val="002C3A97"/>
    <w:rPr>
      <w:b/>
      <w:bCs/>
    </w:rPr>
  </w:style>
  <w:style w:type="paragraph" w:styleId="NormalWeb">
    <w:name w:val="Normal (Web)"/>
    <w:basedOn w:val="Normal"/>
    <w:uiPriority w:val="99"/>
    <w:unhideWhenUsed/>
    <w:rsid w:val="002C3A97"/>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styleId="Emphasis">
    <w:name w:val="Emphasis"/>
    <w:basedOn w:val="DefaultParagraphFont"/>
    <w:uiPriority w:val="20"/>
    <w:qFormat/>
    <w:rsid w:val="002C3A97"/>
    <w:rPr>
      <w:i/>
      <w:iCs/>
    </w:rPr>
  </w:style>
  <w:style w:type="character" w:customStyle="1" w:styleId="uv3um">
    <w:name w:val="uv3um"/>
    <w:basedOn w:val="DefaultParagraphFont"/>
    <w:rsid w:val="002C3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ns.gov.uk/visualisations/censuspopulationchange/W06000012/" TargetMode="External"/><Relationship Id="rId18" Type="http://schemas.openxmlformats.org/officeDocument/2006/relationships/image" Target="cid:image001.jpg@01DC3825.7030BD2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wales/written-statement-more-just-words-strategic-framework-welsh-language-services-health-social"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mailto:r.barratt@npt.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afeguarding.wales/" TargetMode="External"/><Relationship Id="rId5" Type="http://schemas.openxmlformats.org/officeDocument/2006/relationships/styles" Target="styles.xml"/><Relationship Id="rId15" Type="http://schemas.openxmlformats.org/officeDocument/2006/relationships/hyperlink" Target="https://socialcare.wales/resources-guidance/early-years-and-childcare/national-occupational-standards-nos"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ns.gov.uk/visualisations/censusareachanges/W0600001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F8103F-E3BE-4441-9EB8-8ACDB0CC0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3448</Words>
  <Characters>20424</Characters>
  <Application>Microsoft Office Word</Application>
  <DocSecurity>4</DocSecurity>
  <Lines>704</Lines>
  <Paragraphs>310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Millie Coldrick</cp:lastModifiedBy>
  <cp:revision>2</cp:revision>
  <cp:lastPrinted>2020-02-11T19:20:00Z</cp:lastPrinted>
  <dcterms:created xsi:type="dcterms:W3CDTF">2025-10-08T08:12:00Z</dcterms:created>
  <dcterms:modified xsi:type="dcterms:W3CDTF">2025-10-08T08:12:00Z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