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A7E29" w14:textId="27E3CD6E" w:rsidR="008C2C6F" w:rsidRPr="00DE5638" w:rsidRDefault="008C2C6F" w:rsidP="008C2C6F">
      <w:pPr>
        <w:spacing w:after="0"/>
        <w:rPr>
          <w:rFonts w:ascii="Times New Roman" w:hAnsi="Times New Roman" w:cs="Times New Roman"/>
          <w:b/>
          <w:bCs/>
        </w:rPr>
      </w:pPr>
      <w:r w:rsidRPr="008C2C6F">
        <w:rPr>
          <w:rFonts w:ascii="Times New Roman" w:hAnsi="Times New Roman" w:cs="Times New Roman"/>
          <w:b/>
          <w:bCs/>
        </w:rPr>
        <w:t xml:space="preserve">BMNS4014. Living well: </w:t>
      </w:r>
      <w:r w:rsidR="00784E29">
        <w:rPr>
          <w:rFonts w:ascii="Times New Roman" w:hAnsi="Times New Roman" w:cs="Times New Roman"/>
          <w:b/>
          <w:bCs/>
        </w:rPr>
        <w:t>a</w:t>
      </w:r>
      <w:r w:rsidRPr="008C2C6F">
        <w:rPr>
          <w:rFonts w:ascii="Times New Roman" w:hAnsi="Times New Roman" w:cs="Times New Roman"/>
          <w:b/>
          <w:bCs/>
        </w:rPr>
        <w:t xml:space="preserve"> Life </w:t>
      </w:r>
      <w:r w:rsidR="00784E29">
        <w:rPr>
          <w:rFonts w:ascii="Times New Roman" w:hAnsi="Times New Roman" w:cs="Times New Roman"/>
          <w:b/>
          <w:bCs/>
        </w:rPr>
        <w:t>Co</w:t>
      </w:r>
      <w:r w:rsidRPr="008C2C6F">
        <w:rPr>
          <w:rFonts w:ascii="Times New Roman" w:hAnsi="Times New Roman" w:cs="Times New Roman"/>
          <w:b/>
          <w:bCs/>
        </w:rPr>
        <w:t xml:space="preserve">urse </w:t>
      </w:r>
      <w:r w:rsidR="00784E29">
        <w:rPr>
          <w:rFonts w:ascii="Times New Roman" w:hAnsi="Times New Roman" w:cs="Times New Roman"/>
          <w:b/>
          <w:bCs/>
        </w:rPr>
        <w:t>A</w:t>
      </w:r>
      <w:r w:rsidRPr="008C2C6F">
        <w:rPr>
          <w:rFonts w:ascii="Times New Roman" w:hAnsi="Times New Roman" w:cs="Times New Roman"/>
          <w:b/>
          <w:bCs/>
        </w:rPr>
        <w:t>pproach to Health and Wellbeing</w:t>
      </w:r>
      <w:r w:rsidR="0002717E">
        <w:rPr>
          <w:rFonts w:ascii="Times New Roman" w:hAnsi="Times New Roman" w:cs="Times New Roman"/>
          <w:b/>
          <w:bCs/>
        </w:rPr>
        <w:t xml:space="preserve">.  </w:t>
      </w:r>
      <w:r w:rsidR="004D178D" w:rsidRPr="0002717E">
        <w:rPr>
          <w:rFonts w:ascii="Times New Roman" w:hAnsi="Times New Roman" w:cs="Times New Roman"/>
          <w:b/>
          <w:bCs/>
        </w:rPr>
        <w:t>R</w:t>
      </w:r>
      <w:r w:rsidRPr="0002717E">
        <w:rPr>
          <w:rFonts w:ascii="Times New Roman" w:hAnsi="Times New Roman" w:cs="Times New Roman"/>
          <w:b/>
          <w:bCs/>
        </w:rPr>
        <w:t>eference</w:t>
      </w:r>
      <w:r w:rsidR="00C21E25" w:rsidRPr="0002717E">
        <w:rPr>
          <w:rFonts w:ascii="Times New Roman" w:hAnsi="Times New Roman" w:cs="Times New Roman"/>
          <w:b/>
          <w:bCs/>
        </w:rPr>
        <w:t xml:space="preserve">s/further reading </w:t>
      </w:r>
      <w:r w:rsidRPr="0002717E">
        <w:rPr>
          <w:rFonts w:ascii="Times New Roman" w:hAnsi="Times New Roman" w:cs="Times New Roman"/>
          <w:b/>
          <w:bCs/>
        </w:rPr>
        <w:t xml:space="preserve">lecture </w:t>
      </w:r>
      <w:r w:rsidR="00857B70">
        <w:rPr>
          <w:rFonts w:ascii="Times New Roman" w:hAnsi="Times New Roman" w:cs="Times New Roman"/>
          <w:b/>
          <w:bCs/>
        </w:rPr>
        <w:t xml:space="preserve">4, </w:t>
      </w:r>
      <w:r w:rsidRPr="0002717E">
        <w:rPr>
          <w:rFonts w:ascii="Times New Roman" w:hAnsi="Times New Roman" w:cs="Times New Roman"/>
          <w:b/>
          <w:bCs/>
        </w:rPr>
        <w:t xml:space="preserve">w/c </w:t>
      </w:r>
      <w:r w:rsidR="006B62EA" w:rsidRPr="0002717E">
        <w:rPr>
          <w:rFonts w:ascii="Times New Roman" w:hAnsi="Times New Roman" w:cs="Times New Roman"/>
          <w:b/>
          <w:bCs/>
        </w:rPr>
        <w:t>23</w:t>
      </w:r>
      <w:r w:rsidR="006B62EA" w:rsidRPr="0002717E">
        <w:rPr>
          <w:rFonts w:ascii="Times New Roman" w:hAnsi="Times New Roman" w:cs="Times New Roman"/>
          <w:b/>
          <w:bCs/>
          <w:vertAlign w:val="superscript"/>
        </w:rPr>
        <w:t>rd</w:t>
      </w:r>
      <w:r w:rsidR="00E21199" w:rsidRPr="0002717E">
        <w:rPr>
          <w:rFonts w:ascii="Times New Roman" w:hAnsi="Times New Roman" w:cs="Times New Roman"/>
          <w:b/>
          <w:bCs/>
        </w:rPr>
        <w:t xml:space="preserve"> </w:t>
      </w:r>
      <w:r w:rsidR="00825010" w:rsidRPr="0002717E">
        <w:rPr>
          <w:rFonts w:ascii="Times New Roman" w:hAnsi="Times New Roman" w:cs="Times New Roman"/>
          <w:b/>
          <w:bCs/>
        </w:rPr>
        <w:t>February</w:t>
      </w:r>
      <w:r w:rsidRPr="0002717E">
        <w:rPr>
          <w:rFonts w:ascii="Times New Roman" w:hAnsi="Times New Roman" w:cs="Times New Roman"/>
          <w:b/>
          <w:bCs/>
        </w:rPr>
        <w:t>, 2026</w:t>
      </w:r>
      <w:r w:rsidR="004D178D" w:rsidRPr="0002717E">
        <w:rPr>
          <w:rFonts w:ascii="Times New Roman" w:hAnsi="Times New Roman" w:cs="Times New Roman"/>
          <w:b/>
          <w:bCs/>
        </w:rPr>
        <w:t>.</w:t>
      </w:r>
    </w:p>
    <w:p w14:paraId="719378F5" w14:textId="77777777" w:rsidR="00B47074" w:rsidRDefault="00B47074" w:rsidP="008C2C6F">
      <w:pPr>
        <w:spacing w:after="0"/>
        <w:rPr>
          <w:rFonts w:ascii="Times New Roman" w:hAnsi="Times New Roman" w:cs="Times New Roman"/>
          <w:b/>
          <w:bCs/>
        </w:rPr>
      </w:pPr>
    </w:p>
    <w:p w14:paraId="1DD899E2" w14:textId="618F7E9C" w:rsidR="00F65152" w:rsidRPr="0077051A" w:rsidRDefault="00F65152" w:rsidP="00FB184A">
      <w:pPr>
        <w:rPr>
          <w:rFonts w:ascii="Times New Roman" w:eastAsia="+mn-ea" w:hAnsi="Times New Roman" w:cs="Times New Roman"/>
          <w:color w:val="000000"/>
          <w:kern w:val="24"/>
        </w:rPr>
      </w:pPr>
      <w:bookmarkStart w:id="0" w:name="_Hlk190003823"/>
      <w:r w:rsidRPr="0077051A">
        <w:rPr>
          <w:rFonts w:ascii="Times New Roman" w:eastAsia="+mn-ea" w:hAnsi="Times New Roman" w:cs="Times New Roman"/>
          <w:color w:val="000000"/>
          <w:kern w:val="24"/>
        </w:rPr>
        <w:t xml:space="preserve">Branca, F., Lartey, A., </w:t>
      </w:r>
      <w:proofErr w:type="spellStart"/>
      <w:r w:rsidRPr="0077051A">
        <w:rPr>
          <w:rFonts w:ascii="Times New Roman" w:eastAsia="+mn-ea" w:hAnsi="Times New Roman" w:cs="Times New Roman"/>
          <w:color w:val="000000"/>
          <w:kern w:val="24"/>
        </w:rPr>
        <w:t>Oenema</w:t>
      </w:r>
      <w:proofErr w:type="spellEnd"/>
      <w:r w:rsidRPr="0077051A">
        <w:rPr>
          <w:rFonts w:ascii="Times New Roman" w:eastAsia="+mn-ea" w:hAnsi="Times New Roman" w:cs="Times New Roman"/>
          <w:color w:val="000000"/>
          <w:kern w:val="24"/>
        </w:rPr>
        <w:t xml:space="preserve">, S., Aguayo, V., Stordalen, G.A., Richardson, R., Arvelo, M. and Afshin, A. (2019).  ‘Transforming the food system to fight non-communicable diseases’, </w:t>
      </w:r>
      <w:r w:rsidRPr="0077051A">
        <w:rPr>
          <w:rFonts w:ascii="Times New Roman" w:eastAsia="+mn-ea" w:hAnsi="Times New Roman" w:cs="Times New Roman"/>
          <w:i/>
          <w:iCs/>
          <w:color w:val="000000"/>
          <w:kern w:val="24"/>
        </w:rPr>
        <w:t>BMJ</w:t>
      </w:r>
      <w:r w:rsidRPr="0077051A">
        <w:rPr>
          <w:rFonts w:ascii="Times New Roman" w:eastAsia="+mn-ea" w:hAnsi="Times New Roman" w:cs="Times New Roman"/>
          <w:color w:val="000000"/>
          <w:kern w:val="24"/>
        </w:rPr>
        <w:t xml:space="preserve">: 365:l296.  Available at: </w:t>
      </w:r>
      <w:hyperlink r:id="rId6" w:history="1">
        <w:r w:rsidR="007A4418" w:rsidRPr="0077051A">
          <w:rPr>
            <w:rStyle w:val="Hyperlink"/>
            <w:rFonts w:ascii="Times New Roman" w:eastAsia="+mn-ea" w:hAnsi="Times New Roman" w:cs="Times New Roman"/>
            <w:kern w:val="24"/>
          </w:rPr>
          <w:t>http://dx.doi.org/10.1136/bmj.l296</w:t>
        </w:r>
      </w:hyperlink>
      <w:r w:rsidR="007A4418" w:rsidRPr="0077051A">
        <w:rPr>
          <w:rFonts w:ascii="Times New Roman" w:eastAsia="+mn-ea" w:hAnsi="Times New Roman" w:cs="Times New Roman"/>
          <w:color w:val="000000"/>
          <w:kern w:val="24"/>
        </w:rPr>
        <w:t xml:space="preserve"> (Accessed: 20</w:t>
      </w:r>
      <w:r w:rsidR="007A4418" w:rsidRPr="0077051A">
        <w:rPr>
          <w:rFonts w:ascii="Times New Roman" w:eastAsia="+mn-ea" w:hAnsi="Times New Roman" w:cs="Times New Roman"/>
          <w:color w:val="000000"/>
          <w:kern w:val="24"/>
          <w:vertAlign w:val="superscript"/>
        </w:rPr>
        <w:t>th</w:t>
      </w:r>
      <w:r w:rsidR="007A4418" w:rsidRPr="0077051A">
        <w:rPr>
          <w:rFonts w:ascii="Times New Roman" w:eastAsia="+mn-ea" w:hAnsi="Times New Roman" w:cs="Times New Roman"/>
          <w:color w:val="000000"/>
          <w:kern w:val="24"/>
        </w:rPr>
        <w:t xml:space="preserve"> February, 2026).  </w:t>
      </w:r>
    </w:p>
    <w:bookmarkEnd w:id="0"/>
    <w:p w14:paraId="2BC242BC" w14:textId="779C8338" w:rsidR="0075580D" w:rsidRDefault="0075580D" w:rsidP="0075580D">
      <w:pPr>
        <w:rPr>
          <w:rFonts w:ascii="Times New Roman" w:hAnsi="Times New Roman" w:cs="Times New Roman"/>
        </w:rPr>
      </w:pPr>
      <w:r w:rsidRPr="0077051A">
        <w:rPr>
          <w:rFonts w:ascii="Times New Roman" w:hAnsi="Times New Roman" w:cs="Times New Roman"/>
        </w:rPr>
        <w:t xml:space="preserve">Dahlgren, G. and Whitehead, M.  (2006). </w:t>
      </w:r>
      <w:r w:rsidRPr="0077051A">
        <w:rPr>
          <w:rFonts w:ascii="Times New Roman" w:hAnsi="Times New Roman" w:cs="Times New Roman"/>
          <w:i/>
          <w:iCs/>
        </w:rPr>
        <w:t xml:space="preserve">European strategies for tackling social inequities in health: Levelling up Part 2. </w:t>
      </w:r>
      <w:r w:rsidRPr="0077051A">
        <w:rPr>
          <w:rFonts w:ascii="Times New Roman" w:hAnsi="Times New Roman" w:cs="Times New Roman"/>
        </w:rPr>
        <w:t>Copenhagen: World Health Organization Regional Office for Europe</w:t>
      </w:r>
      <w:r w:rsidRPr="0077051A">
        <w:rPr>
          <w:rFonts w:ascii="Times New Roman" w:hAnsi="Times New Roman" w:cs="Times New Roman"/>
          <w:i/>
          <w:iCs/>
        </w:rPr>
        <w:t xml:space="preserve">.  </w:t>
      </w:r>
      <w:r w:rsidRPr="0077051A">
        <w:rPr>
          <w:rFonts w:ascii="Times New Roman" w:hAnsi="Times New Roman" w:cs="Times New Roman"/>
        </w:rPr>
        <w:t xml:space="preserve">Available at: </w:t>
      </w:r>
      <w:hyperlink r:id="rId7" w:history="1">
        <w:r w:rsidRPr="0077051A">
          <w:rPr>
            <w:rStyle w:val="Hyperlink"/>
            <w:rFonts w:ascii="Times New Roman" w:hAnsi="Times New Roman" w:cs="Times New Roman"/>
          </w:rPr>
          <w:t>https://iris.who.int/bitstream/handle/10665/107791/E89384.pdf?sequence=1&amp;isAllowed=y</w:t>
        </w:r>
      </w:hyperlink>
      <w:r w:rsidRPr="0077051A">
        <w:rPr>
          <w:rFonts w:ascii="Times New Roman" w:hAnsi="Times New Roman" w:cs="Times New Roman"/>
        </w:rPr>
        <w:t xml:space="preserve">  (Accessed: 25</w:t>
      </w:r>
      <w:r w:rsidRPr="0077051A">
        <w:rPr>
          <w:rFonts w:ascii="Times New Roman" w:hAnsi="Times New Roman" w:cs="Times New Roman"/>
          <w:vertAlign w:val="superscript"/>
        </w:rPr>
        <w:t>th</w:t>
      </w:r>
      <w:r w:rsidRPr="0077051A">
        <w:rPr>
          <w:rFonts w:ascii="Times New Roman" w:hAnsi="Times New Roman" w:cs="Times New Roman"/>
        </w:rPr>
        <w:t xml:space="preserve"> January, 2026).</w:t>
      </w:r>
    </w:p>
    <w:p w14:paraId="22BF659F" w14:textId="040B00C8" w:rsidR="0077051A" w:rsidRPr="0002717E" w:rsidRDefault="0077051A" w:rsidP="0002717E">
      <w:p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Lawless, M.T., Tieu, M., Golley, R.K. and Kitson, A.L.  (2026).  ‘</w:t>
      </w:r>
      <w:r w:rsidRPr="0077051A">
        <w:rPr>
          <w:rFonts w:ascii="Times New Roman" w:hAnsi="Times New Roman" w:cs="Times New Roman"/>
        </w:rPr>
        <w:t xml:space="preserve">Defining Life Stages and Mapping Care Trajectories: </w:t>
      </w:r>
      <w:r>
        <w:rPr>
          <w:rFonts w:ascii="Times New Roman" w:hAnsi="Times New Roman" w:cs="Times New Roman"/>
        </w:rPr>
        <w:t xml:space="preserve"> </w:t>
      </w:r>
      <w:r w:rsidRPr="0077051A">
        <w:rPr>
          <w:rFonts w:ascii="Times New Roman" w:hAnsi="Times New Roman" w:cs="Times New Roman"/>
        </w:rPr>
        <w:t>A Narrative Review of Life-Course Theories, Models and Frameworks</w:t>
      </w:r>
      <w:r>
        <w:rPr>
          <w:rFonts w:ascii="Times New Roman" w:hAnsi="Times New Roman" w:cs="Times New Roman"/>
        </w:rPr>
        <w:t xml:space="preserve">’, </w:t>
      </w:r>
      <w:r w:rsidRPr="0002717E">
        <w:rPr>
          <w:rFonts w:ascii="Times New Roman" w:hAnsi="Times New Roman" w:cs="Times New Roman"/>
          <w:i/>
          <w:iCs/>
        </w:rPr>
        <w:t>Journal of Advanced Nursing</w:t>
      </w:r>
      <w:r w:rsidR="0002717E">
        <w:rPr>
          <w:rFonts w:ascii="Times New Roman" w:hAnsi="Times New Roman" w:cs="Times New Roman"/>
          <w:i/>
          <w:iCs/>
        </w:rPr>
        <w:t xml:space="preserve">. </w:t>
      </w:r>
      <w:r w:rsidR="0002717E" w:rsidRPr="0002717E">
        <w:rPr>
          <w:rFonts w:ascii="Times New Roman" w:hAnsi="Times New Roman" w:cs="Times New Roman"/>
        </w:rPr>
        <w:t xml:space="preserve">Early </w:t>
      </w:r>
      <w:r w:rsidR="0002717E">
        <w:rPr>
          <w:rFonts w:ascii="Times New Roman" w:hAnsi="Times New Roman" w:cs="Times New Roman"/>
        </w:rPr>
        <w:t>view: o</w:t>
      </w:r>
      <w:r w:rsidR="0002717E" w:rsidRPr="0002717E">
        <w:rPr>
          <w:rFonts w:ascii="Times New Roman" w:hAnsi="Times New Roman" w:cs="Times New Roman"/>
        </w:rPr>
        <w:t xml:space="preserve">nline </w:t>
      </w:r>
      <w:r w:rsidR="0002717E">
        <w:rPr>
          <w:rFonts w:ascii="Times New Roman" w:hAnsi="Times New Roman" w:cs="Times New Roman"/>
        </w:rPr>
        <w:t>v</w:t>
      </w:r>
      <w:r w:rsidR="0002717E" w:rsidRPr="0002717E">
        <w:rPr>
          <w:rFonts w:ascii="Times New Roman" w:hAnsi="Times New Roman" w:cs="Times New Roman"/>
        </w:rPr>
        <w:t xml:space="preserve">ersion of </w:t>
      </w:r>
      <w:r w:rsidR="0002717E">
        <w:rPr>
          <w:rFonts w:ascii="Times New Roman" w:hAnsi="Times New Roman" w:cs="Times New Roman"/>
        </w:rPr>
        <w:t>r</w:t>
      </w:r>
      <w:r w:rsidR="0002717E" w:rsidRPr="0002717E">
        <w:rPr>
          <w:rFonts w:ascii="Times New Roman" w:hAnsi="Times New Roman" w:cs="Times New Roman"/>
        </w:rPr>
        <w:t xml:space="preserve">ecord before inclusion in an issue.  Available at: </w:t>
      </w:r>
      <w:hyperlink r:id="rId8" w:history="1">
        <w:r w:rsidR="0002717E" w:rsidRPr="0002717E">
          <w:rPr>
            <w:rStyle w:val="Hyperlink"/>
            <w:rFonts w:ascii="Times New Roman" w:hAnsi="Times New Roman" w:cs="Times New Roman"/>
          </w:rPr>
          <w:t>https://doi.org/10.1111/jan.70471</w:t>
        </w:r>
      </w:hyperlink>
      <w:r w:rsidR="0002717E">
        <w:rPr>
          <w:rFonts w:ascii="Times New Roman" w:hAnsi="Times New Roman" w:cs="Times New Roman"/>
        </w:rPr>
        <w:t xml:space="preserve"> (Accessed: 25</w:t>
      </w:r>
      <w:r w:rsidR="0002717E" w:rsidRPr="0002717E">
        <w:rPr>
          <w:rFonts w:ascii="Times New Roman" w:hAnsi="Times New Roman" w:cs="Times New Roman"/>
          <w:vertAlign w:val="superscript"/>
        </w:rPr>
        <w:t>th</w:t>
      </w:r>
      <w:r w:rsidR="0002717E">
        <w:rPr>
          <w:rFonts w:ascii="Times New Roman" w:hAnsi="Times New Roman" w:cs="Times New Roman"/>
        </w:rPr>
        <w:t xml:space="preserve"> February, 2026)</w:t>
      </w:r>
      <w:r w:rsidR="0002717E">
        <w:rPr>
          <w:rFonts w:ascii="Times New Roman" w:hAnsi="Times New Roman" w:cs="Times New Roman"/>
          <w:i/>
          <w:iCs/>
        </w:rPr>
        <w:t>.</w:t>
      </w:r>
    </w:p>
    <w:p w14:paraId="360E5311" w14:textId="1EB8EBAA" w:rsidR="00F65152" w:rsidRPr="0077051A" w:rsidRDefault="00F65152" w:rsidP="0075580D">
      <w:pPr>
        <w:kinsoku w:val="0"/>
        <w:overflowPunct w:val="0"/>
        <w:spacing w:before="115"/>
        <w:textAlignment w:val="baseline"/>
        <w:rPr>
          <w:rFonts w:ascii="Times New Roman" w:eastAsia="+mn-ea" w:hAnsi="Times New Roman" w:cs="Times New Roman"/>
          <w:color w:val="000000"/>
          <w:kern w:val="24"/>
          <w:lang w:eastAsia="en-GB"/>
        </w:rPr>
      </w:pPr>
      <w:bookmarkStart w:id="1" w:name="_Hlk210370423"/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Mikkelsen, B., Williams, J., </w:t>
      </w:r>
      <w:proofErr w:type="spellStart"/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>Rakovac</w:t>
      </w:r>
      <w:proofErr w:type="spellEnd"/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, I., Wickramasinghe, K., Hennis, A., Shin, H-R.,  Farmer, M., Weber, M., </w:t>
      </w:r>
      <w:proofErr w:type="spellStart"/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>Berdzuli</w:t>
      </w:r>
      <w:proofErr w:type="spellEnd"/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>, N., Borges, C., Huber, M. and Breda, J.  (2019).</w:t>
      </w:r>
      <w:r w:rsidRPr="0077051A">
        <w:t xml:space="preserve">  ‘</w:t>
      </w:r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Life course approach to prevention and control of non-communicable diseases’, </w:t>
      </w:r>
      <w:r w:rsidRPr="0077051A">
        <w:rPr>
          <w:rFonts w:ascii="Times New Roman" w:eastAsia="+mn-ea" w:hAnsi="Times New Roman" w:cs="Times New Roman"/>
          <w:i/>
          <w:iCs/>
          <w:color w:val="000000"/>
          <w:kern w:val="24"/>
          <w:lang w:eastAsia="en-GB"/>
        </w:rPr>
        <w:t xml:space="preserve">BMJ </w:t>
      </w:r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364: l257 Available at: </w:t>
      </w:r>
      <w:hyperlink r:id="rId9" w:history="1">
        <w:r w:rsidRPr="0077051A">
          <w:rPr>
            <w:rStyle w:val="Hyperlink"/>
            <w:rFonts w:ascii="Times New Roman" w:eastAsia="+mn-ea" w:hAnsi="Times New Roman" w:cs="Times New Roman"/>
            <w:kern w:val="24"/>
            <w:lang w:eastAsia="en-GB"/>
          </w:rPr>
          <w:t>http://dx.doi.org/10.1136/bmj.l257</w:t>
        </w:r>
      </w:hyperlink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(Accessed: 20</w:t>
      </w:r>
      <w:r w:rsidRPr="0077051A">
        <w:rPr>
          <w:rFonts w:ascii="Times New Roman" w:eastAsia="+mn-ea" w:hAnsi="Times New Roman" w:cs="Times New Roman"/>
          <w:color w:val="000000"/>
          <w:kern w:val="24"/>
          <w:vertAlign w:val="superscript"/>
          <w:lang w:eastAsia="en-GB"/>
        </w:rPr>
        <w:t>th</w:t>
      </w:r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February, 2026)</w:t>
      </w:r>
    </w:p>
    <w:p w14:paraId="64F9E339" w14:textId="6E8FEF70" w:rsidR="007A4418" w:rsidRPr="0077051A" w:rsidRDefault="007A4418" w:rsidP="0075580D">
      <w:pPr>
        <w:kinsoku w:val="0"/>
        <w:overflowPunct w:val="0"/>
        <w:spacing w:before="115"/>
        <w:textAlignment w:val="baseline"/>
        <w:rPr>
          <w:rFonts w:ascii="Times New Roman" w:eastAsia="+mn-ea" w:hAnsi="Times New Roman" w:cs="Times New Roman"/>
          <w:color w:val="000000"/>
          <w:kern w:val="24"/>
          <w:lang w:eastAsia="en-GB"/>
        </w:rPr>
      </w:pPr>
      <w:proofErr w:type="spellStart"/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>Motuhifonua</w:t>
      </w:r>
      <w:proofErr w:type="spellEnd"/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, S.K., Lin, L,, </w:t>
      </w:r>
      <w:proofErr w:type="spellStart"/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>Alsweiler</w:t>
      </w:r>
      <w:proofErr w:type="spellEnd"/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, J., Crawford. T.J. and Crowther CA.  (2023).  Antenatal dietary supplementation with myo-inositol for preventing gestational diabetes. </w:t>
      </w:r>
      <w:r w:rsidRPr="0077051A">
        <w:rPr>
          <w:rFonts w:ascii="Times New Roman" w:eastAsia="+mn-ea" w:hAnsi="Times New Roman" w:cs="Times New Roman"/>
          <w:i/>
          <w:iCs/>
          <w:color w:val="000000"/>
          <w:kern w:val="24"/>
          <w:lang w:eastAsia="en-GB"/>
        </w:rPr>
        <w:t>Cochrane Database of Systematic Reviews</w:t>
      </w:r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, Issue 2. Art. No.: CD011507. DOI: 10.1002/14651858.CD011507.pub3. </w:t>
      </w:r>
    </w:p>
    <w:bookmarkEnd w:id="1"/>
    <w:p w14:paraId="487756E7" w14:textId="3F11FA79" w:rsidR="00BC11D1" w:rsidRPr="0077051A" w:rsidRDefault="00BC11D1" w:rsidP="00943932">
      <w:pPr>
        <w:kinsoku w:val="0"/>
        <w:overflowPunct w:val="0"/>
        <w:spacing w:before="115"/>
        <w:textAlignment w:val="baseline"/>
        <w:rPr>
          <w:rFonts w:ascii="Times New Roman" w:eastAsia="+mn-ea" w:hAnsi="Times New Roman" w:cs="Times New Roman"/>
          <w:color w:val="000000"/>
          <w:kern w:val="24"/>
          <w:lang w:eastAsia="en-GB"/>
        </w:rPr>
      </w:pPr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Organisation for Economic Co-operation and Development (OECD) (2020).  </w:t>
      </w:r>
      <w:r w:rsidRPr="0077051A">
        <w:rPr>
          <w:rFonts w:ascii="Times New Roman" w:eastAsia="+mn-ea" w:hAnsi="Times New Roman" w:cs="Times New Roman"/>
          <w:i/>
          <w:iCs/>
          <w:color w:val="000000"/>
          <w:kern w:val="24"/>
          <w:lang w:eastAsia="en-GB"/>
        </w:rPr>
        <w:t xml:space="preserve">How’s Life?  2020.  Measuring Well-being.  </w:t>
      </w:r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Paris: OECD Publishing.  Available at: </w:t>
      </w:r>
      <w:hyperlink r:id="rId10" w:history="1">
        <w:r w:rsidRPr="0077051A">
          <w:rPr>
            <w:rStyle w:val="Hyperlink"/>
            <w:rFonts w:ascii="Times New Roman" w:eastAsia="+mn-ea" w:hAnsi="Times New Roman" w:cs="Times New Roman"/>
            <w:kern w:val="24"/>
            <w:lang w:eastAsia="en-GB"/>
          </w:rPr>
          <w:t>https://www.oecd.org/content/dam/oecd/en/publications/reports/2020/03/how-s-life-2020_b547d82c/9870c393-en.pdf</w:t>
        </w:r>
      </w:hyperlink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(Accessed: 25</w:t>
      </w:r>
      <w:r w:rsidRPr="0077051A">
        <w:rPr>
          <w:rFonts w:ascii="Times New Roman" w:eastAsia="+mn-ea" w:hAnsi="Times New Roman" w:cs="Times New Roman"/>
          <w:color w:val="000000"/>
          <w:kern w:val="24"/>
          <w:vertAlign w:val="superscript"/>
          <w:lang w:eastAsia="en-GB"/>
        </w:rPr>
        <w:t>th</w:t>
      </w:r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January, 2026) </w:t>
      </w:r>
    </w:p>
    <w:p w14:paraId="0F618F7A" w14:textId="74E0D48A" w:rsidR="00BC11D1" w:rsidRPr="0077051A" w:rsidRDefault="00BC11D1" w:rsidP="00943932">
      <w:pPr>
        <w:kinsoku w:val="0"/>
        <w:overflowPunct w:val="0"/>
        <w:spacing w:before="115"/>
        <w:textAlignment w:val="baseline"/>
        <w:rPr>
          <w:rFonts w:ascii="Times New Roman" w:eastAsia="+mn-ea" w:hAnsi="Times New Roman" w:cs="Times New Roman"/>
          <w:color w:val="000000"/>
          <w:kern w:val="24"/>
          <w:lang w:eastAsia="en-GB"/>
        </w:rPr>
      </w:pPr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Public Health England (2019).  </w:t>
      </w:r>
      <w:r w:rsidRPr="0077051A">
        <w:rPr>
          <w:rFonts w:ascii="Times New Roman" w:eastAsia="+mn-ea" w:hAnsi="Times New Roman" w:cs="Times New Roman"/>
          <w:i/>
          <w:iCs/>
          <w:color w:val="000000"/>
          <w:kern w:val="24"/>
          <w:lang w:eastAsia="en-GB"/>
        </w:rPr>
        <w:t>Guidance: Health matters: Prevention – a life course approach</w:t>
      </w:r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.  London: Public Health England.  Retrieved from: </w:t>
      </w:r>
      <w:hyperlink r:id="rId11" w:history="1">
        <w:r w:rsidRPr="0077051A">
          <w:rPr>
            <w:rStyle w:val="Hyperlink"/>
            <w:rFonts w:ascii="Times New Roman" w:eastAsia="+mn-ea" w:hAnsi="Times New Roman" w:cs="Times New Roman"/>
            <w:kern w:val="24"/>
            <w:lang w:eastAsia="en-GB"/>
          </w:rPr>
          <w:t>https://www.gov.uk/government/publications/health-matters-life-course-approach-to-prevention/health-matters-prevention-a-life-course-approach</w:t>
        </w:r>
      </w:hyperlink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 (Retrieved: 1</w:t>
      </w:r>
      <w:r w:rsidRPr="0077051A">
        <w:rPr>
          <w:rFonts w:ascii="Times New Roman" w:eastAsia="+mn-ea" w:hAnsi="Times New Roman" w:cs="Times New Roman"/>
          <w:color w:val="000000"/>
          <w:kern w:val="24"/>
          <w:vertAlign w:val="superscript"/>
          <w:lang w:eastAsia="en-GB"/>
        </w:rPr>
        <w:t>st</w:t>
      </w:r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February, 2026).  </w:t>
      </w:r>
    </w:p>
    <w:p w14:paraId="288A27B1" w14:textId="1FC6DE8A" w:rsidR="00E21199" w:rsidRPr="0077051A" w:rsidRDefault="00E21199" w:rsidP="00943932">
      <w:pPr>
        <w:kinsoku w:val="0"/>
        <w:overflowPunct w:val="0"/>
        <w:spacing w:before="115"/>
        <w:textAlignment w:val="baseline"/>
        <w:rPr>
          <w:rFonts w:ascii="Times New Roman" w:eastAsia="+mn-ea" w:hAnsi="Times New Roman" w:cs="Times New Roman"/>
          <w:color w:val="000000"/>
          <w:kern w:val="24"/>
          <w:lang w:eastAsia="en-GB"/>
        </w:rPr>
      </w:pPr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>Russ, S.A., Hotez, E., Berghaus, M., Verbiest, S., Hoover, C., Schor, E.L. and</w:t>
      </w:r>
      <w:r w:rsidRPr="0077051A">
        <w:t xml:space="preserve"> </w:t>
      </w:r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Halfon, N.  (2022)  ‘What Makes an Intervention a Life Course Intervention?’, </w:t>
      </w:r>
      <w:proofErr w:type="spellStart"/>
      <w:r w:rsidRPr="0077051A">
        <w:rPr>
          <w:rFonts w:ascii="Times New Roman" w:eastAsia="+mn-ea" w:hAnsi="Times New Roman" w:cs="Times New Roman"/>
          <w:i/>
          <w:iCs/>
          <w:color w:val="000000"/>
          <w:kern w:val="24"/>
          <w:lang w:eastAsia="en-GB"/>
        </w:rPr>
        <w:t>Pediactrics</w:t>
      </w:r>
      <w:proofErr w:type="spellEnd"/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, 149 (s5), Available at: </w:t>
      </w:r>
      <w:hyperlink r:id="rId12" w:history="1">
        <w:r w:rsidRPr="0077051A">
          <w:rPr>
            <w:rStyle w:val="Hyperlink"/>
            <w:rFonts w:ascii="Times New Roman" w:eastAsia="+mn-ea" w:hAnsi="Times New Roman" w:cs="Times New Roman"/>
            <w:kern w:val="24"/>
            <w:lang w:eastAsia="en-GB"/>
          </w:rPr>
          <w:t>https://doi.org/10.1542/peds.2021-053509D</w:t>
        </w:r>
      </w:hyperlink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(Accessed: 5</w:t>
      </w:r>
      <w:r w:rsidRPr="0077051A">
        <w:rPr>
          <w:rFonts w:ascii="Times New Roman" w:eastAsia="+mn-ea" w:hAnsi="Times New Roman" w:cs="Times New Roman"/>
          <w:color w:val="000000"/>
          <w:kern w:val="24"/>
          <w:vertAlign w:val="superscript"/>
          <w:lang w:eastAsia="en-GB"/>
        </w:rPr>
        <w:t>th</w:t>
      </w:r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February, 2026).    </w:t>
      </w:r>
    </w:p>
    <w:p w14:paraId="4793C953" w14:textId="67713E7C" w:rsidR="004343FE" w:rsidRPr="0077051A" w:rsidRDefault="004343FE" w:rsidP="00DE59C7">
      <w:pPr>
        <w:kinsoku w:val="0"/>
        <w:overflowPunct w:val="0"/>
        <w:spacing w:before="115" w:after="0" w:line="240" w:lineRule="auto"/>
        <w:textAlignment w:val="baseline"/>
        <w:rPr>
          <w:rFonts w:ascii="Times New Roman" w:hAnsi="Times New Roman" w:cs="Times New Roman"/>
        </w:rPr>
      </w:pPr>
      <w:r w:rsidRPr="0077051A">
        <w:rPr>
          <w:rFonts w:ascii="Times New Roman" w:hAnsi="Times New Roman" w:cs="Times New Roman"/>
        </w:rPr>
        <w:t xml:space="preserve">Tomlinson, M., Hunt, X., Daelmans, B., Rollins, N., Ross, D. and </w:t>
      </w:r>
      <w:proofErr w:type="spellStart"/>
      <w:r w:rsidRPr="0077051A">
        <w:rPr>
          <w:rFonts w:ascii="Times New Roman" w:hAnsi="Times New Roman" w:cs="Times New Roman"/>
        </w:rPr>
        <w:t>Oberklaid</w:t>
      </w:r>
      <w:proofErr w:type="spellEnd"/>
      <w:r w:rsidRPr="0077051A">
        <w:rPr>
          <w:rFonts w:ascii="Times New Roman" w:hAnsi="Times New Roman" w:cs="Times New Roman"/>
        </w:rPr>
        <w:t xml:space="preserve">, F.  (2022). ‘Optimising child and adolescent health and development through an integrated ecological life course approach’, </w:t>
      </w:r>
      <w:r w:rsidRPr="0077051A">
        <w:rPr>
          <w:rFonts w:ascii="Times New Roman" w:hAnsi="Times New Roman" w:cs="Times New Roman"/>
          <w:i/>
          <w:iCs/>
        </w:rPr>
        <w:t>BMJ</w:t>
      </w:r>
      <w:r w:rsidRPr="0077051A">
        <w:rPr>
          <w:rFonts w:ascii="Times New Roman" w:hAnsi="Times New Roman" w:cs="Times New Roman"/>
        </w:rPr>
        <w:t xml:space="preserve">, 372:m4784.  Available at: </w:t>
      </w:r>
      <w:hyperlink r:id="rId13" w:history="1">
        <w:r w:rsidRPr="0077051A">
          <w:rPr>
            <w:rStyle w:val="Hyperlink"/>
            <w:rFonts w:ascii="Times New Roman" w:hAnsi="Times New Roman" w:cs="Times New Roman"/>
          </w:rPr>
          <w:t>https://www.bmj.com/content/372/bmj.m4784.full.pdf</w:t>
        </w:r>
      </w:hyperlink>
      <w:r w:rsidRPr="0077051A">
        <w:rPr>
          <w:rFonts w:ascii="Times New Roman" w:hAnsi="Times New Roman" w:cs="Times New Roman"/>
        </w:rPr>
        <w:t xml:space="preserve"> (Accessed: 7</w:t>
      </w:r>
      <w:r w:rsidRPr="0077051A">
        <w:rPr>
          <w:rFonts w:ascii="Times New Roman" w:hAnsi="Times New Roman" w:cs="Times New Roman"/>
          <w:vertAlign w:val="superscript"/>
        </w:rPr>
        <w:t>th</w:t>
      </w:r>
      <w:r w:rsidRPr="0077051A">
        <w:rPr>
          <w:rFonts w:ascii="Times New Roman" w:hAnsi="Times New Roman" w:cs="Times New Roman"/>
        </w:rPr>
        <w:t xml:space="preserve"> February, 2026)</w:t>
      </w:r>
    </w:p>
    <w:p w14:paraId="7213F461" w14:textId="5EE6FF51" w:rsidR="00BC11D1" w:rsidRPr="0077051A" w:rsidRDefault="00BC11D1" w:rsidP="00C21E25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77051A">
        <w:rPr>
          <w:rFonts w:ascii="Times New Roman" w:eastAsia="Times New Roman" w:hAnsi="Times New Roman" w:cs="Times New Roman"/>
          <w:lang w:eastAsia="en-GB"/>
        </w:rPr>
        <w:lastRenderedPageBreak/>
        <w:t xml:space="preserve">Welsh Government (WG).  (2024).   </w:t>
      </w:r>
      <w:r w:rsidRPr="0077051A">
        <w:rPr>
          <w:rFonts w:ascii="Times New Roman" w:eastAsia="Times New Roman" w:hAnsi="Times New Roman" w:cs="Times New Roman"/>
          <w:i/>
          <w:iCs/>
          <w:lang w:eastAsia="en-GB"/>
        </w:rPr>
        <w:t>Well-being of Future Generations (Wales) Act 2015.  Essentials Guide</w:t>
      </w:r>
      <w:r w:rsidRPr="0077051A">
        <w:rPr>
          <w:rFonts w:ascii="Times New Roman" w:eastAsia="Times New Roman" w:hAnsi="Times New Roman" w:cs="Times New Roman"/>
          <w:lang w:eastAsia="en-GB"/>
        </w:rPr>
        <w:t xml:space="preserve">. Cardiff: WG.  Available at: </w:t>
      </w:r>
      <w:hyperlink r:id="rId14" w:history="1">
        <w:r w:rsidRPr="0077051A">
          <w:rPr>
            <w:rStyle w:val="Hyperlink"/>
            <w:rFonts w:ascii="Times New Roman" w:eastAsia="Times New Roman" w:hAnsi="Times New Roman" w:cs="Times New Roman"/>
            <w:lang w:eastAsia="en-GB"/>
          </w:rPr>
          <w:t>https://www.gov.wales/sites/default/files/publications/2024-07/well-being-future-generations-wales-act-2015-the-essentials-2024.pdf</w:t>
        </w:r>
      </w:hyperlink>
      <w:r w:rsidRPr="0077051A">
        <w:rPr>
          <w:rFonts w:ascii="Times New Roman" w:eastAsia="Times New Roman" w:hAnsi="Times New Roman" w:cs="Times New Roman"/>
          <w:lang w:eastAsia="en-GB"/>
        </w:rPr>
        <w:t xml:space="preserve">  (Accessed: 25</w:t>
      </w:r>
      <w:r w:rsidRPr="0077051A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77051A">
        <w:rPr>
          <w:rFonts w:ascii="Times New Roman" w:eastAsia="Times New Roman" w:hAnsi="Times New Roman" w:cs="Times New Roman"/>
          <w:lang w:eastAsia="en-GB"/>
        </w:rPr>
        <w:t xml:space="preserve"> January, 2026).     </w:t>
      </w:r>
    </w:p>
    <w:p w14:paraId="6EA783BF" w14:textId="77777777" w:rsidR="00C8222B" w:rsidRPr="0077051A" w:rsidRDefault="00C8222B" w:rsidP="00DE59C7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lang w:eastAsia="en-GB"/>
        </w:rPr>
      </w:pPr>
    </w:p>
    <w:p w14:paraId="104D95CE" w14:textId="4E5403B3" w:rsidR="008C2C6F" w:rsidRPr="001A14B3" w:rsidRDefault="008C2C6F" w:rsidP="008C2C6F">
      <w:pPr>
        <w:rPr>
          <w:rFonts w:ascii="Times New Roman" w:hAnsi="Times New Roman" w:cs="Times New Roman"/>
          <w:b/>
          <w:bCs/>
        </w:rPr>
      </w:pPr>
    </w:p>
    <w:sectPr w:rsidR="008C2C6F" w:rsidRPr="001A14B3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6E807" w14:textId="77777777" w:rsidR="00B8786E" w:rsidRDefault="00B8786E" w:rsidP="00943932">
      <w:pPr>
        <w:spacing w:after="0" w:line="240" w:lineRule="auto"/>
      </w:pPr>
      <w:r>
        <w:separator/>
      </w:r>
    </w:p>
  </w:endnote>
  <w:endnote w:type="continuationSeparator" w:id="0">
    <w:p w14:paraId="79482C61" w14:textId="77777777" w:rsidR="00B8786E" w:rsidRDefault="00B8786E" w:rsidP="00943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389302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E4D794" w14:textId="7A51EED4" w:rsidR="00943932" w:rsidRDefault="0094393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BE3CAF" w14:textId="77777777" w:rsidR="00943932" w:rsidRDefault="009439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EC367" w14:textId="77777777" w:rsidR="00B8786E" w:rsidRDefault="00B8786E" w:rsidP="00943932">
      <w:pPr>
        <w:spacing w:after="0" w:line="240" w:lineRule="auto"/>
      </w:pPr>
      <w:r>
        <w:separator/>
      </w:r>
    </w:p>
  </w:footnote>
  <w:footnote w:type="continuationSeparator" w:id="0">
    <w:p w14:paraId="018C58C2" w14:textId="77777777" w:rsidR="00B8786E" w:rsidRDefault="00B8786E" w:rsidP="009439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C6F"/>
    <w:rsid w:val="00004E63"/>
    <w:rsid w:val="00005F0D"/>
    <w:rsid w:val="00015E80"/>
    <w:rsid w:val="0002717E"/>
    <w:rsid w:val="0003335B"/>
    <w:rsid w:val="000B4F6C"/>
    <w:rsid w:val="000D0D96"/>
    <w:rsid w:val="000E5254"/>
    <w:rsid w:val="00127D78"/>
    <w:rsid w:val="00170876"/>
    <w:rsid w:val="00197150"/>
    <w:rsid w:val="001A14B3"/>
    <w:rsid w:val="001C28FD"/>
    <w:rsid w:val="001F49CF"/>
    <w:rsid w:val="001F60B9"/>
    <w:rsid w:val="001F7C0B"/>
    <w:rsid w:val="00246EB7"/>
    <w:rsid w:val="00273DB9"/>
    <w:rsid w:val="0029791A"/>
    <w:rsid w:val="002C16A5"/>
    <w:rsid w:val="002E40D0"/>
    <w:rsid w:val="0030216C"/>
    <w:rsid w:val="003058CD"/>
    <w:rsid w:val="003065CD"/>
    <w:rsid w:val="00366C64"/>
    <w:rsid w:val="00395493"/>
    <w:rsid w:val="003A72D5"/>
    <w:rsid w:val="003F1A2D"/>
    <w:rsid w:val="004204DD"/>
    <w:rsid w:val="004343FE"/>
    <w:rsid w:val="004712B9"/>
    <w:rsid w:val="004862C4"/>
    <w:rsid w:val="004B6091"/>
    <w:rsid w:val="004D178D"/>
    <w:rsid w:val="005B540C"/>
    <w:rsid w:val="005C4C72"/>
    <w:rsid w:val="006053EE"/>
    <w:rsid w:val="00631184"/>
    <w:rsid w:val="0065075D"/>
    <w:rsid w:val="00676C85"/>
    <w:rsid w:val="006A7222"/>
    <w:rsid w:val="006B62EA"/>
    <w:rsid w:val="007216B7"/>
    <w:rsid w:val="0073285F"/>
    <w:rsid w:val="00742449"/>
    <w:rsid w:val="0075580D"/>
    <w:rsid w:val="0077051A"/>
    <w:rsid w:val="00784E29"/>
    <w:rsid w:val="007A4418"/>
    <w:rsid w:val="007B6D78"/>
    <w:rsid w:val="00825010"/>
    <w:rsid w:val="008550DE"/>
    <w:rsid w:val="00855852"/>
    <w:rsid w:val="00857B70"/>
    <w:rsid w:val="00880BFA"/>
    <w:rsid w:val="008929EB"/>
    <w:rsid w:val="008C2C6F"/>
    <w:rsid w:val="008C6AA5"/>
    <w:rsid w:val="008F7536"/>
    <w:rsid w:val="00943932"/>
    <w:rsid w:val="00987CB1"/>
    <w:rsid w:val="009A21EB"/>
    <w:rsid w:val="009B728D"/>
    <w:rsid w:val="00A40825"/>
    <w:rsid w:val="00A50650"/>
    <w:rsid w:val="00A85A58"/>
    <w:rsid w:val="00AB0CF7"/>
    <w:rsid w:val="00AB3BD2"/>
    <w:rsid w:val="00B0305D"/>
    <w:rsid w:val="00B47074"/>
    <w:rsid w:val="00B6710E"/>
    <w:rsid w:val="00B7569A"/>
    <w:rsid w:val="00B8786E"/>
    <w:rsid w:val="00BC11D1"/>
    <w:rsid w:val="00BE6E0D"/>
    <w:rsid w:val="00BF3010"/>
    <w:rsid w:val="00BF6260"/>
    <w:rsid w:val="00C15BE0"/>
    <w:rsid w:val="00C21E25"/>
    <w:rsid w:val="00C521DE"/>
    <w:rsid w:val="00C74BF1"/>
    <w:rsid w:val="00C8222B"/>
    <w:rsid w:val="00C83A25"/>
    <w:rsid w:val="00D07436"/>
    <w:rsid w:val="00DC45C5"/>
    <w:rsid w:val="00DE3959"/>
    <w:rsid w:val="00DE5638"/>
    <w:rsid w:val="00DE59C7"/>
    <w:rsid w:val="00E11486"/>
    <w:rsid w:val="00E21199"/>
    <w:rsid w:val="00E65E29"/>
    <w:rsid w:val="00E871BF"/>
    <w:rsid w:val="00E93EE8"/>
    <w:rsid w:val="00EA05E9"/>
    <w:rsid w:val="00EB5C57"/>
    <w:rsid w:val="00EB73B4"/>
    <w:rsid w:val="00ED5B5C"/>
    <w:rsid w:val="00F12CA8"/>
    <w:rsid w:val="00F17CC0"/>
    <w:rsid w:val="00F65152"/>
    <w:rsid w:val="00FB184A"/>
    <w:rsid w:val="00FC6663"/>
    <w:rsid w:val="00FD0414"/>
    <w:rsid w:val="00FF0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482D4"/>
  <w15:chartTrackingRefBased/>
  <w15:docId w15:val="{580D11A7-2C1D-4F5D-8A0D-C9EE3C66A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2C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2C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C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C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C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C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C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C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C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2C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2C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2C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2C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C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C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C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C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C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2C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2C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2C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2C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2C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2C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2C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2C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2C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2C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2C6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F753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753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5580D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55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43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3932"/>
  </w:style>
  <w:style w:type="paragraph" w:styleId="Footer">
    <w:name w:val="footer"/>
    <w:basedOn w:val="Normal"/>
    <w:link w:val="FooterChar"/>
    <w:uiPriority w:val="99"/>
    <w:unhideWhenUsed/>
    <w:rsid w:val="00943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39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11/jan.70471" TargetMode="External"/><Relationship Id="rId13" Type="http://schemas.openxmlformats.org/officeDocument/2006/relationships/hyperlink" Target="https://www.bmj.com/content/372/bmj.m4784.full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ris.who.int/bitstream/handle/10665/107791/E89384.pdf?sequence=1&amp;isAllowed=y" TargetMode="External"/><Relationship Id="rId12" Type="http://schemas.openxmlformats.org/officeDocument/2006/relationships/hyperlink" Target="https://doi.org/10.1542/peds.2021-053509D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dx.doi.org/10.1136/bmj.l296" TargetMode="External"/><Relationship Id="rId11" Type="http://schemas.openxmlformats.org/officeDocument/2006/relationships/hyperlink" Target="https://www.gov.uk/government/publications/health-matters-life-course-approach-to-prevention/health-matters-prevention-a-life-course-approach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www.oecd.org/content/dam/oecd/en/publications/reports/2020/03/how-s-life-2020_b547d82c/9870c393-en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dx.doi.org/10.1136/bmj.l257" TargetMode="External"/><Relationship Id="rId14" Type="http://schemas.openxmlformats.org/officeDocument/2006/relationships/hyperlink" Target="https://www.gov.wales/sites/default/files/publications/2024-07/well-being-future-generations-wales-act-2015-the-essentials-2024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2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Duxbury</dc:creator>
  <cp:keywords/>
  <dc:description/>
  <cp:lastModifiedBy>Ben Duxbury</cp:lastModifiedBy>
  <cp:revision>30</cp:revision>
  <dcterms:created xsi:type="dcterms:W3CDTF">2026-02-01T13:43:00Z</dcterms:created>
  <dcterms:modified xsi:type="dcterms:W3CDTF">2026-02-25T08:35:00Z</dcterms:modified>
</cp:coreProperties>
</file>