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32924C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31F79">
              <w:rPr>
                <w:rFonts w:ascii="Times New Roman" w:hAnsi="Times New Roman" w:cs="Times New Roman"/>
                <w:b/>
                <w:color w:val="auto"/>
                <w:sz w:val="48"/>
              </w:rPr>
              <w:t>Rebecca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9821D3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31F79">
              <w:rPr>
                <w:rFonts w:ascii="Times New Roman" w:hAnsi="Times New Roman" w:cs="Times New Roman"/>
                <w:b/>
                <w:color w:val="auto"/>
                <w:sz w:val="48"/>
              </w:rPr>
              <w:t xml:space="preserve"> </w:t>
            </w:r>
            <w:hyperlink r:id="rId11" w:history="1">
              <w:r w:rsidR="00031F79" w:rsidRPr="001F1310">
                <w:rPr>
                  <w:rStyle w:val="Hyperlink"/>
                  <w:rFonts w:ascii="Times New Roman" w:hAnsi="Times New Roman" w:cs="Times New Roman"/>
                  <w:b/>
                  <w:sz w:val="48"/>
                </w:rPr>
                <w:t>becky.a.jones@flintshire.gov.uk</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FF5D0EF" w14:textId="77777777" w:rsidR="00031F79"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31F79">
              <w:rPr>
                <w:rFonts w:ascii="Times New Roman" w:hAnsi="Times New Roman" w:cs="Times New Roman"/>
                <w:b/>
                <w:color w:val="auto"/>
                <w:sz w:val="48"/>
              </w:rPr>
              <w:t xml:space="preserve"> </w:t>
            </w:r>
          </w:p>
          <w:p w14:paraId="0DE696B2" w14:textId="0E0925A5" w:rsidR="00F927A1" w:rsidRPr="005D3F07" w:rsidRDefault="00031F7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2221400</w:t>
            </w:r>
          </w:p>
          <w:p w14:paraId="622FD17A" w14:textId="1590BE00"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25CF209F" w14:textId="77777777" w:rsidR="00C91C0A"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684FBBA6" w14:textId="77777777" w:rsidR="000178CD" w:rsidRDefault="000178CD" w:rsidP="00FF7EBB">
            <w:pPr>
              <w:jc w:val="both"/>
              <w:rPr>
                <w:sz w:val="24"/>
                <w:szCs w:val="24"/>
              </w:rPr>
            </w:pPr>
          </w:p>
          <w:p w14:paraId="0623C32E" w14:textId="77777777" w:rsidR="000178CD" w:rsidRDefault="000178CD" w:rsidP="000178CD">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5AF1B7C4" w14:textId="77777777" w:rsidR="000178CD" w:rsidRDefault="000178CD" w:rsidP="00FF7EBB">
            <w:pPr>
              <w:jc w:val="both"/>
              <w:rPr>
                <w:sz w:val="24"/>
                <w:szCs w:val="24"/>
              </w:rPr>
            </w:pPr>
          </w:p>
          <w:p w14:paraId="0676F1B8" w14:textId="280F6433" w:rsidR="000178CD" w:rsidRDefault="00CD0F5E" w:rsidP="00CD0F5E">
            <w:pPr>
              <w:jc w:val="both"/>
              <w:rPr>
                <w:sz w:val="24"/>
                <w:szCs w:val="24"/>
              </w:rPr>
            </w:pPr>
            <w:r>
              <w:rPr>
                <w:noProof/>
                <w:sz w:val="24"/>
                <w:szCs w:val="24"/>
              </w:rPr>
              <mc:AlternateContent>
                <mc:Choice Requires="wps">
                  <w:drawing>
                    <wp:anchor distT="0" distB="0" distL="114300" distR="114300" simplePos="0" relativeHeight="251659264" behindDoc="0" locked="0" layoutInCell="1" allowOverlap="1" wp14:anchorId="5A060B85" wp14:editId="6E403BC4">
                      <wp:simplePos x="0" y="0"/>
                      <wp:positionH relativeFrom="column">
                        <wp:posOffset>944245</wp:posOffset>
                      </wp:positionH>
                      <wp:positionV relativeFrom="paragraph">
                        <wp:posOffset>114300</wp:posOffset>
                      </wp:positionV>
                      <wp:extent cx="4064000" cy="12700"/>
                      <wp:effectExtent l="0" t="0" r="31750" b="25400"/>
                      <wp:wrapNone/>
                      <wp:docPr id="475506599" name="Straight Connector 1"/>
                      <wp:cNvGraphicFramePr/>
                      <a:graphic xmlns:a="http://schemas.openxmlformats.org/drawingml/2006/main">
                        <a:graphicData uri="http://schemas.microsoft.com/office/word/2010/wordprocessingShape">
                          <wps:wsp>
                            <wps:cNvCnPr/>
                            <wps:spPr>
                              <a:xfrm flipV="1">
                                <a:off x="0" y="0"/>
                                <a:ext cx="406400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621D83"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74.35pt,9pt" to="394.3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" strokecolor="#4472c4 [3204]" strokeweight=".5pt">
                      <v:stroke joinstyle="miter"/>
                    </v:line>
                  </w:pict>
                </mc:Fallback>
              </mc:AlternateContent>
            </w:r>
          </w:p>
          <w:p w14:paraId="43564C03" w14:textId="77777777" w:rsidR="00CD0F5E" w:rsidRDefault="00CD0F5E" w:rsidP="00CD0F5E">
            <w:pPr>
              <w:jc w:val="both"/>
              <w:rPr>
                <w:sz w:val="24"/>
                <w:szCs w:val="24"/>
              </w:rPr>
            </w:pPr>
          </w:p>
          <w:p w14:paraId="0898AEEB" w14:textId="77777777" w:rsidR="00AC538B" w:rsidRDefault="00AC538B" w:rsidP="00FF7EBB">
            <w:pPr>
              <w:jc w:val="both"/>
              <w:rPr>
                <w:sz w:val="24"/>
                <w:szCs w:val="24"/>
              </w:rPr>
            </w:pPr>
          </w:p>
          <w:p w14:paraId="0318E819" w14:textId="7F0B6B0A" w:rsidR="00FC0334" w:rsidRDefault="00982464" w:rsidP="00982464">
            <w:pPr>
              <w:spacing w:line="360" w:lineRule="auto"/>
              <w:jc w:val="both"/>
              <w:rPr>
                <w:sz w:val="24"/>
                <w:szCs w:val="24"/>
              </w:rPr>
            </w:pPr>
            <w:r>
              <w:rPr>
                <w:sz w:val="24"/>
                <w:szCs w:val="24"/>
              </w:rPr>
              <w:t>As my area of work is children’s safeguarding, this task will focus on and show my understanding of the relevant legislation</w:t>
            </w:r>
            <w:r w:rsidR="00145630">
              <w:rPr>
                <w:sz w:val="24"/>
                <w:szCs w:val="24"/>
              </w:rPr>
              <w:t xml:space="preserve"> </w:t>
            </w:r>
            <w:r>
              <w:rPr>
                <w:sz w:val="24"/>
                <w:szCs w:val="24"/>
              </w:rPr>
              <w:t>and policies and procedures in relation to the safeguarding of adults.</w:t>
            </w:r>
            <w:r w:rsidR="00CE365C">
              <w:rPr>
                <w:sz w:val="24"/>
                <w:szCs w:val="24"/>
              </w:rPr>
              <w:t xml:space="preserve"> </w:t>
            </w:r>
          </w:p>
          <w:p w14:paraId="14AD7FE4" w14:textId="77777777" w:rsidR="00CE365C" w:rsidRDefault="00CE365C" w:rsidP="00982464">
            <w:pPr>
              <w:spacing w:line="360" w:lineRule="auto"/>
              <w:jc w:val="both"/>
              <w:rPr>
                <w:sz w:val="24"/>
                <w:szCs w:val="24"/>
              </w:rPr>
            </w:pPr>
          </w:p>
          <w:p w14:paraId="037685DE" w14:textId="0E4818AA" w:rsidR="00CE365C" w:rsidRDefault="00CE365C" w:rsidP="00982464">
            <w:pPr>
              <w:spacing w:line="360" w:lineRule="auto"/>
              <w:jc w:val="both"/>
              <w:rPr>
                <w:sz w:val="24"/>
                <w:szCs w:val="24"/>
              </w:rPr>
            </w:pPr>
            <w:r>
              <w:rPr>
                <w:sz w:val="24"/>
                <w:szCs w:val="24"/>
              </w:rPr>
              <w:t>The Social Services and Wellbeing (Wales) Act (SSWBA</w:t>
            </w:r>
            <w:r w:rsidR="00A31D83">
              <w:rPr>
                <w:sz w:val="24"/>
                <w:szCs w:val="24"/>
              </w:rPr>
              <w:t>) (</w:t>
            </w:r>
            <w:r>
              <w:rPr>
                <w:sz w:val="24"/>
                <w:szCs w:val="24"/>
              </w:rPr>
              <w:t xml:space="preserve">2014) is a piece of legislation that I am very familiar with and refer to regularly for my work in safeguarding children. However, the SSWBA (2014) is also the overarching legislation </w:t>
            </w:r>
            <w:r w:rsidR="00982464">
              <w:rPr>
                <w:sz w:val="24"/>
                <w:szCs w:val="24"/>
              </w:rPr>
              <w:t>regarding</w:t>
            </w:r>
            <w:r>
              <w:rPr>
                <w:sz w:val="24"/>
                <w:szCs w:val="24"/>
              </w:rPr>
              <w:t xml:space="preserve"> adults safeguarding. </w:t>
            </w:r>
            <w:r w:rsidR="00C91C0A">
              <w:rPr>
                <w:sz w:val="24"/>
                <w:szCs w:val="24"/>
              </w:rPr>
              <w:t>In Part 7 of the act a</w:t>
            </w:r>
            <w:r>
              <w:rPr>
                <w:sz w:val="24"/>
                <w:szCs w:val="24"/>
              </w:rPr>
              <w:t xml:space="preserve">n ‘adult at risk’ is defined as an adult who is experiencing or is at risk of abuse or neglect or who has care and support needs and due to these needs, is unable to protect themselves from abuse or neglect (SSWBA, 2014). </w:t>
            </w:r>
            <w:r w:rsidR="00232A44">
              <w:rPr>
                <w:sz w:val="24"/>
                <w:szCs w:val="24"/>
              </w:rPr>
              <w:t>The introduction of a single act legislation was considered beneficial to provide a clear, unified framework for adults safeguarding and the approach ensured consistency across services which sought to enhance the protection and safeguarding of adults at risk by promoting their wellbeing, ensuring access to services, and empower individuals to make choices about their care and support</w:t>
            </w:r>
            <w:r w:rsidR="00232A44" w:rsidRPr="00232A44">
              <w:rPr>
                <w:color w:val="auto"/>
                <w:sz w:val="24"/>
                <w:szCs w:val="24"/>
              </w:rPr>
              <w:t xml:space="preserve"> (Community Care Inform</w:t>
            </w:r>
            <w:r w:rsidR="00853AFB">
              <w:rPr>
                <w:color w:val="auto"/>
                <w:sz w:val="24"/>
                <w:szCs w:val="24"/>
              </w:rPr>
              <w:t>,</w:t>
            </w:r>
            <w:r w:rsidR="00232A44" w:rsidRPr="00232A44">
              <w:rPr>
                <w:color w:val="auto"/>
                <w:sz w:val="24"/>
                <w:szCs w:val="24"/>
              </w:rPr>
              <w:t xml:space="preserve"> 2015). </w:t>
            </w:r>
            <w:r w:rsidR="00AC538B">
              <w:rPr>
                <w:color w:val="auto"/>
                <w:sz w:val="24"/>
                <w:szCs w:val="24"/>
              </w:rPr>
              <w:t>A</w:t>
            </w:r>
            <w:r w:rsidR="00D25257">
              <w:rPr>
                <w:color w:val="auto"/>
                <w:sz w:val="24"/>
                <w:szCs w:val="24"/>
              </w:rPr>
              <w:t xml:space="preserve">lthough my role focuses on the child, it is important that I </w:t>
            </w:r>
            <w:proofErr w:type="gramStart"/>
            <w:r w:rsidR="00D25257">
              <w:rPr>
                <w:color w:val="auto"/>
                <w:sz w:val="24"/>
                <w:szCs w:val="24"/>
              </w:rPr>
              <w:t>have an understanding of</w:t>
            </w:r>
            <w:proofErr w:type="gramEnd"/>
            <w:r w:rsidR="00D25257">
              <w:rPr>
                <w:color w:val="auto"/>
                <w:sz w:val="24"/>
                <w:szCs w:val="24"/>
              </w:rPr>
              <w:t xml:space="preserve"> the duties to safeguard adults, as </w:t>
            </w:r>
            <w:r w:rsidR="00AC538B">
              <w:rPr>
                <w:color w:val="auto"/>
                <w:sz w:val="24"/>
                <w:szCs w:val="24"/>
              </w:rPr>
              <w:t xml:space="preserve">my role involves working </w:t>
            </w:r>
            <w:r w:rsidR="00D25257">
              <w:rPr>
                <w:color w:val="auto"/>
                <w:sz w:val="24"/>
                <w:szCs w:val="24"/>
              </w:rPr>
              <w:t xml:space="preserve">closely with </w:t>
            </w:r>
            <w:r w:rsidR="00D25257">
              <w:rPr>
                <w:color w:val="auto"/>
                <w:sz w:val="24"/>
                <w:szCs w:val="24"/>
              </w:rPr>
              <w:lastRenderedPageBreak/>
              <w:t>parents who may require support.</w:t>
            </w:r>
            <w:r w:rsidR="00B018C8">
              <w:rPr>
                <w:color w:val="auto"/>
                <w:sz w:val="24"/>
                <w:szCs w:val="24"/>
              </w:rPr>
              <w:t xml:space="preserve"> The Local Authority in which I work</w:t>
            </w:r>
            <w:r w:rsidR="00982464">
              <w:rPr>
                <w:color w:val="auto"/>
                <w:sz w:val="24"/>
                <w:szCs w:val="24"/>
              </w:rPr>
              <w:t>,</w:t>
            </w:r>
            <w:r w:rsidR="00B018C8">
              <w:rPr>
                <w:color w:val="auto"/>
                <w:sz w:val="24"/>
                <w:szCs w:val="24"/>
              </w:rPr>
              <w:t xml:space="preserve"> also has their own corporate safeguarding policy in relation to adults and children, which </w:t>
            </w:r>
            <w:r w:rsidR="00982464">
              <w:rPr>
                <w:color w:val="auto"/>
                <w:sz w:val="24"/>
                <w:szCs w:val="24"/>
              </w:rPr>
              <w:t xml:space="preserve">aims to </w:t>
            </w:r>
            <w:r w:rsidR="00982464" w:rsidRPr="00982464">
              <w:rPr>
                <w:color w:val="auto"/>
                <w:sz w:val="24"/>
                <w:szCs w:val="24"/>
              </w:rPr>
              <w:t>safeguard and promote the welfare of children and adults and protect them from others who may abuse them</w:t>
            </w:r>
            <w:r w:rsidR="00982464">
              <w:rPr>
                <w:color w:val="auto"/>
                <w:sz w:val="24"/>
                <w:szCs w:val="24"/>
              </w:rPr>
              <w:t xml:space="preserve"> (xxx</w:t>
            </w:r>
            <w:r w:rsidR="00227D44">
              <w:rPr>
                <w:color w:val="auto"/>
                <w:sz w:val="24"/>
                <w:szCs w:val="24"/>
              </w:rPr>
              <w:t xml:space="preserve"> Authority Policy</w:t>
            </w:r>
            <w:r w:rsidR="00982464">
              <w:rPr>
                <w:color w:val="auto"/>
                <w:sz w:val="24"/>
                <w:szCs w:val="24"/>
              </w:rPr>
              <w:t>, 2022).</w:t>
            </w:r>
          </w:p>
          <w:p w14:paraId="240F948B" w14:textId="77777777" w:rsidR="002528A8" w:rsidRDefault="002528A8" w:rsidP="00982464">
            <w:pPr>
              <w:spacing w:line="360" w:lineRule="auto"/>
              <w:jc w:val="both"/>
              <w:rPr>
                <w:color w:val="FF0000"/>
                <w:sz w:val="24"/>
                <w:szCs w:val="24"/>
              </w:rPr>
            </w:pPr>
          </w:p>
          <w:p w14:paraId="7587387A" w14:textId="061B7DE2" w:rsidR="00E0008D" w:rsidRDefault="0010571A" w:rsidP="00982464">
            <w:pPr>
              <w:spacing w:line="360" w:lineRule="auto"/>
              <w:jc w:val="both"/>
              <w:rPr>
                <w:color w:val="auto"/>
                <w:sz w:val="24"/>
                <w:szCs w:val="24"/>
              </w:rPr>
            </w:pPr>
            <w:r w:rsidRPr="0010571A">
              <w:rPr>
                <w:color w:val="auto"/>
                <w:sz w:val="24"/>
                <w:szCs w:val="24"/>
              </w:rPr>
              <w:t>If an adult</w:t>
            </w:r>
            <w:r w:rsidR="00C91C0A">
              <w:rPr>
                <w:color w:val="auto"/>
                <w:sz w:val="24"/>
                <w:szCs w:val="24"/>
              </w:rPr>
              <w:t xml:space="preserve"> is d</w:t>
            </w:r>
            <w:r w:rsidRPr="0010571A">
              <w:rPr>
                <w:color w:val="auto"/>
                <w:sz w:val="24"/>
                <w:szCs w:val="24"/>
              </w:rPr>
              <w:t xml:space="preserve">eemed at risk, consideration must be given to whether they have capacity to make decisions </w:t>
            </w:r>
            <w:r>
              <w:rPr>
                <w:color w:val="auto"/>
                <w:sz w:val="24"/>
                <w:szCs w:val="24"/>
              </w:rPr>
              <w:t xml:space="preserve">around their care and support. The Mental Capacity Act (2005) is a key piece of legislation in the United </w:t>
            </w:r>
            <w:r w:rsidR="009927EE">
              <w:rPr>
                <w:color w:val="auto"/>
                <w:sz w:val="24"/>
                <w:szCs w:val="24"/>
              </w:rPr>
              <w:t>K</w:t>
            </w:r>
            <w:r>
              <w:rPr>
                <w:color w:val="auto"/>
                <w:sz w:val="24"/>
                <w:szCs w:val="24"/>
              </w:rPr>
              <w:t>ingdom</w:t>
            </w:r>
            <w:r w:rsidR="009927EE">
              <w:rPr>
                <w:color w:val="auto"/>
                <w:sz w:val="24"/>
                <w:szCs w:val="24"/>
              </w:rPr>
              <w:t>,</w:t>
            </w:r>
            <w:r>
              <w:rPr>
                <w:color w:val="auto"/>
                <w:sz w:val="24"/>
                <w:szCs w:val="24"/>
              </w:rPr>
              <w:t xml:space="preserve"> that provides a framework for supporting individuals </w:t>
            </w:r>
            <w:r w:rsidR="009927EE">
              <w:rPr>
                <w:color w:val="auto"/>
                <w:sz w:val="24"/>
                <w:szCs w:val="24"/>
              </w:rPr>
              <w:t>aged</w:t>
            </w:r>
            <w:r>
              <w:rPr>
                <w:color w:val="auto"/>
                <w:sz w:val="24"/>
                <w:szCs w:val="24"/>
              </w:rPr>
              <w:t xml:space="preserve"> 16 and over</w:t>
            </w:r>
            <w:r w:rsidR="009927EE">
              <w:rPr>
                <w:color w:val="auto"/>
                <w:sz w:val="24"/>
                <w:szCs w:val="24"/>
              </w:rPr>
              <w:t xml:space="preserve">, who may lack the mental capacity to make decisions for themselves. </w:t>
            </w:r>
            <w:proofErr w:type="gramStart"/>
            <w:r w:rsidR="009927EE">
              <w:rPr>
                <w:color w:val="auto"/>
                <w:sz w:val="24"/>
                <w:szCs w:val="24"/>
              </w:rPr>
              <w:t>In order to</w:t>
            </w:r>
            <w:proofErr w:type="gramEnd"/>
            <w:r w:rsidR="009927EE">
              <w:rPr>
                <w:color w:val="auto"/>
                <w:sz w:val="24"/>
                <w:szCs w:val="24"/>
              </w:rPr>
              <w:t xml:space="preserve"> have capacity a person must be able to ‘understand information relevant to the decision, retain the information long enough to make the decision, use or weigh the information as part of the </w:t>
            </w:r>
            <w:r w:rsidR="00E81B44">
              <w:rPr>
                <w:color w:val="auto"/>
                <w:sz w:val="24"/>
                <w:szCs w:val="24"/>
              </w:rPr>
              <w:t>decision-making</w:t>
            </w:r>
            <w:r w:rsidR="009927EE">
              <w:rPr>
                <w:color w:val="auto"/>
                <w:sz w:val="24"/>
                <w:szCs w:val="24"/>
              </w:rPr>
              <w:t xml:space="preserve"> process and communicate the decision in any recognisable way’ (Mencap, 2025).</w:t>
            </w:r>
            <w:r w:rsidR="00E81B44">
              <w:rPr>
                <w:color w:val="auto"/>
                <w:sz w:val="24"/>
                <w:szCs w:val="24"/>
              </w:rPr>
              <w:t xml:space="preserve"> </w:t>
            </w:r>
            <w:r w:rsidR="002B5850">
              <w:rPr>
                <w:color w:val="auto"/>
                <w:sz w:val="24"/>
                <w:szCs w:val="24"/>
              </w:rPr>
              <w:t>If a decision is made for someone who cannot make it themselves, The Mental Capacity Act (2005) stresses that this decision should be in the person’s ‘best interest’</w:t>
            </w:r>
            <w:r w:rsidR="001D53D7">
              <w:rPr>
                <w:color w:val="auto"/>
                <w:sz w:val="24"/>
                <w:szCs w:val="24"/>
              </w:rPr>
              <w:t xml:space="preserve">, taking into consideration their past wishes and feelings when they had capacity, as well as their beliefs and values that would influence the decision. </w:t>
            </w:r>
            <w:r w:rsidR="00982464">
              <w:rPr>
                <w:color w:val="auto"/>
                <w:sz w:val="24"/>
                <w:szCs w:val="24"/>
              </w:rPr>
              <w:t>If an adult is deemed to have capacity to make their own decisions, they</w:t>
            </w:r>
            <w:r w:rsidR="000178CD">
              <w:rPr>
                <w:color w:val="auto"/>
                <w:sz w:val="24"/>
                <w:szCs w:val="24"/>
              </w:rPr>
              <w:t xml:space="preserve"> have a choice and </w:t>
            </w:r>
            <w:proofErr w:type="gramStart"/>
            <w:r w:rsidR="00982464">
              <w:rPr>
                <w:color w:val="auto"/>
                <w:sz w:val="24"/>
                <w:szCs w:val="24"/>
              </w:rPr>
              <w:t>are able to</w:t>
            </w:r>
            <w:proofErr w:type="gramEnd"/>
            <w:r w:rsidR="00982464">
              <w:rPr>
                <w:color w:val="auto"/>
                <w:sz w:val="24"/>
                <w:szCs w:val="24"/>
              </w:rPr>
              <w:t xml:space="preserve"> decline the offer of </w:t>
            </w:r>
            <w:r w:rsidR="000178CD">
              <w:rPr>
                <w:color w:val="auto"/>
                <w:sz w:val="24"/>
                <w:szCs w:val="24"/>
              </w:rPr>
              <w:t xml:space="preserve">care and </w:t>
            </w:r>
            <w:r w:rsidR="00982464">
              <w:rPr>
                <w:color w:val="auto"/>
                <w:sz w:val="24"/>
                <w:szCs w:val="24"/>
              </w:rPr>
              <w:t>support (</w:t>
            </w:r>
            <w:r w:rsidR="00853AFB">
              <w:rPr>
                <w:color w:val="auto"/>
                <w:sz w:val="24"/>
                <w:szCs w:val="24"/>
              </w:rPr>
              <w:t>Welsh Government</w:t>
            </w:r>
            <w:r w:rsidR="00982464">
              <w:rPr>
                <w:color w:val="auto"/>
                <w:sz w:val="24"/>
                <w:szCs w:val="24"/>
              </w:rPr>
              <w:t>, 202</w:t>
            </w:r>
            <w:r w:rsidR="00853AFB">
              <w:rPr>
                <w:color w:val="auto"/>
                <w:sz w:val="24"/>
                <w:szCs w:val="24"/>
              </w:rPr>
              <w:t>3</w:t>
            </w:r>
            <w:r w:rsidR="00982464">
              <w:rPr>
                <w:color w:val="auto"/>
                <w:sz w:val="24"/>
                <w:szCs w:val="24"/>
              </w:rPr>
              <w:t xml:space="preserve">). </w:t>
            </w:r>
          </w:p>
          <w:p w14:paraId="1072EEEF" w14:textId="77777777" w:rsidR="00C44032" w:rsidRDefault="00C44032" w:rsidP="00982464">
            <w:pPr>
              <w:spacing w:line="360" w:lineRule="auto"/>
              <w:jc w:val="both"/>
              <w:rPr>
                <w:color w:val="auto"/>
                <w:sz w:val="24"/>
                <w:szCs w:val="24"/>
              </w:rPr>
            </w:pPr>
          </w:p>
          <w:p w14:paraId="206514B9" w14:textId="4A0753C7" w:rsidR="00FC0334" w:rsidRDefault="00C44032" w:rsidP="00982464">
            <w:pPr>
              <w:spacing w:line="360" w:lineRule="auto"/>
              <w:jc w:val="both"/>
              <w:rPr>
                <w:color w:val="auto"/>
                <w:sz w:val="24"/>
                <w:szCs w:val="24"/>
              </w:rPr>
            </w:pPr>
            <w:r w:rsidRPr="00C44032">
              <w:rPr>
                <w:color w:val="auto"/>
                <w:sz w:val="24"/>
                <w:szCs w:val="24"/>
              </w:rPr>
              <w:t xml:space="preserve">In Wales, adult safeguarding is largely guided by the SSWBA (2014), which provides legal frameworks for local authorities and agencies to protect adults at risk. This act along with additional legislation like the </w:t>
            </w:r>
            <w:bookmarkStart w:id="0" w:name="_Hlk190195420"/>
            <w:r w:rsidRPr="00C44032">
              <w:rPr>
                <w:color w:val="auto"/>
                <w:sz w:val="24"/>
                <w:szCs w:val="24"/>
              </w:rPr>
              <w:t>Violence Against Women, Domestic Abuse and Sexual Violence (Wales) Act 2015</w:t>
            </w:r>
            <w:bookmarkEnd w:id="0"/>
            <w:r>
              <w:rPr>
                <w:color w:val="auto"/>
                <w:sz w:val="24"/>
                <w:szCs w:val="24"/>
              </w:rPr>
              <w:t xml:space="preserve">, </w:t>
            </w:r>
            <w:bookmarkStart w:id="1" w:name="_Hlk190195494"/>
            <w:r>
              <w:rPr>
                <w:color w:val="auto"/>
                <w:sz w:val="24"/>
                <w:szCs w:val="24"/>
              </w:rPr>
              <w:t xml:space="preserve">Modern Slavery Act (2015), </w:t>
            </w:r>
            <w:bookmarkEnd w:id="1"/>
            <w:r w:rsidR="008363EE">
              <w:rPr>
                <w:color w:val="auto"/>
                <w:sz w:val="24"/>
                <w:szCs w:val="24"/>
              </w:rPr>
              <w:t xml:space="preserve">The Safeguarding Vulnerable Group (Wales) </w:t>
            </w:r>
            <w:r w:rsidR="00B07AA8">
              <w:rPr>
                <w:color w:val="auto"/>
                <w:sz w:val="24"/>
                <w:szCs w:val="24"/>
              </w:rPr>
              <w:t>Act (2006)</w:t>
            </w:r>
            <w:r w:rsidR="00E0073E">
              <w:rPr>
                <w:color w:val="auto"/>
                <w:sz w:val="24"/>
                <w:szCs w:val="24"/>
              </w:rPr>
              <w:t xml:space="preserve"> and</w:t>
            </w:r>
            <w:r>
              <w:rPr>
                <w:color w:val="auto"/>
                <w:sz w:val="24"/>
                <w:szCs w:val="24"/>
              </w:rPr>
              <w:t xml:space="preserve"> </w:t>
            </w:r>
            <w:bookmarkStart w:id="2" w:name="_Hlk190195762"/>
            <w:r w:rsidR="008363EE">
              <w:rPr>
                <w:color w:val="auto"/>
                <w:sz w:val="24"/>
                <w:szCs w:val="24"/>
              </w:rPr>
              <w:t xml:space="preserve">The Equality Act (2010) </w:t>
            </w:r>
            <w:bookmarkEnd w:id="2"/>
            <w:r>
              <w:rPr>
                <w:color w:val="auto"/>
                <w:sz w:val="24"/>
                <w:szCs w:val="24"/>
              </w:rPr>
              <w:t xml:space="preserve">creates a robust system for addressing the diverse needs of vulnerable adults and ensuring that they are protected from abuse, neglect and exploitation. </w:t>
            </w:r>
          </w:p>
          <w:p w14:paraId="041CAA57" w14:textId="77777777" w:rsidR="00B018C8" w:rsidRDefault="00B018C8" w:rsidP="00A31D83">
            <w:pPr>
              <w:spacing w:line="276" w:lineRule="auto"/>
              <w:jc w:val="both"/>
              <w:rPr>
                <w:sz w:val="24"/>
                <w:szCs w:val="24"/>
              </w:rPr>
            </w:pPr>
          </w:p>
          <w:p w14:paraId="58D36D46" w14:textId="5A61392E" w:rsidR="007B73CC" w:rsidRDefault="007B73CC" w:rsidP="00FF7EBB">
            <w:pPr>
              <w:jc w:val="both"/>
              <w:rPr>
                <w:sz w:val="24"/>
                <w:szCs w:val="24"/>
              </w:rPr>
            </w:pPr>
            <w:r>
              <w:rPr>
                <w:sz w:val="24"/>
                <w:szCs w:val="24"/>
              </w:rPr>
              <w:t xml:space="preserve">Word count – </w:t>
            </w:r>
            <w:r w:rsidR="000178CD">
              <w:rPr>
                <w:sz w:val="24"/>
                <w:szCs w:val="24"/>
              </w:rPr>
              <w:t>53</w:t>
            </w:r>
            <w:r w:rsidR="00A03B07">
              <w:rPr>
                <w:sz w:val="24"/>
                <w:szCs w:val="24"/>
              </w:rPr>
              <w:t>7</w:t>
            </w:r>
          </w:p>
          <w:p w14:paraId="73EC7AE5" w14:textId="77777777" w:rsidR="007B73CC" w:rsidRDefault="007B73CC" w:rsidP="00FF7EBB">
            <w:pPr>
              <w:jc w:val="both"/>
              <w:rPr>
                <w:sz w:val="24"/>
                <w:szCs w:val="24"/>
              </w:rPr>
            </w:pPr>
          </w:p>
          <w:p w14:paraId="03BD6D93" w14:textId="56AD433A" w:rsidR="007A628F" w:rsidRPr="008B28E7" w:rsidRDefault="007A628F" w:rsidP="000178CD">
            <w:pPr>
              <w:jc w:val="both"/>
              <w:rPr>
                <w:b/>
                <w:sz w:val="24"/>
                <w:szCs w:val="24"/>
              </w:rPr>
            </w:pPr>
          </w:p>
        </w:tc>
      </w:tr>
    </w:tbl>
    <w:p w14:paraId="37E9CF73" w14:textId="77777777" w:rsidR="00AA666E" w:rsidRPr="008B28E7" w:rsidRDefault="00AA666E" w:rsidP="00FF7EBB">
      <w:pPr>
        <w:jc w:val="both"/>
        <w:rPr>
          <w:sz w:val="24"/>
          <w:szCs w:val="24"/>
        </w:rPr>
      </w:pPr>
    </w:p>
    <w:p w14:paraId="65D70F4B" w14:textId="77777777" w:rsidR="00E81B44" w:rsidRDefault="00E81B44" w:rsidP="00FF7EBB">
      <w:pPr>
        <w:jc w:val="both"/>
        <w:rPr>
          <w:sz w:val="24"/>
          <w:szCs w:val="24"/>
        </w:rPr>
      </w:pPr>
    </w:p>
    <w:p w14:paraId="7375DC2B" w14:textId="77777777" w:rsidR="00E81B44" w:rsidRDefault="00E81B44" w:rsidP="00FF7EBB">
      <w:pPr>
        <w:jc w:val="both"/>
        <w:rPr>
          <w:sz w:val="24"/>
          <w:szCs w:val="24"/>
        </w:rPr>
      </w:pPr>
    </w:p>
    <w:p w14:paraId="23799382" w14:textId="77777777" w:rsidR="00E81B44" w:rsidRPr="008B28E7" w:rsidRDefault="00E81B44"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67AB8C8" w14:textId="77777777" w:rsidR="00AB25B7" w:rsidRDefault="00AB25B7" w:rsidP="00FC0334">
            <w:pPr>
              <w:jc w:val="both"/>
              <w:rPr>
                <w:sz w:val="24"/>
                <w:szCs w:val="24"/>
              </w:rPr>
            </w:pPr>
          </w:p>
          <w:p w14:paraId="770CF5EB" w14:textId="77777777" w:rsidR="00AB25B7" w:rsidRDefault="00AB25B7" w:rsidP="00AB25B7">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0B632EF4" w14:textId="77777777" w:rsidR="00AB25B7" w:rsidRDefault="00AB25B7" w:rsidP="00FC0334">
            <w:pPr>
              <w:jc w:val="both"/>
              <w:rPr>
                <w:sz w:val="24"/>
                <w:szCs w:val="24"/>
              </w:rPr>
            </w:pPr>
          </w:p>
          <w:p w14:paraId="4CABE426" w14:textId="77777777" w:rsidR="00FC0334" w:rsidRDefault="00FC0334" w:rsidP="00FC0334">
            <w:pPr>
              <w:jc w:val="both"/>
              <w:rPr>
                <w:sz w:val="24"/>
                <w:szCs w:val="24"/>
              </w:rPr>
            </w:pPr>
          </w:p>
          <w:p w14:paraId="46D81433" w14:textId="5DEE5BFC" w:rsidR="009828F6" w:rsidRDefault="00182843" w:rsidP="00182843">
            <w:pPr>
              <w:spacing w:line="360" w:lineRule="auto"/>
              <w:jc w:val="both"/>
              <w:rPr>
                <w:sz w:val="24"/>
                <w:szCs w:val="24"/>
              </w:rPr>
            </w:pPr>
            <w:r>
              <w:rPr>
                <w:sz w:val="24"/>
                <w:szCs w:val="24"/>
              </w:rPr>
              <w:t>Adult and children’s safeguarding in Wales</w:t>
            </w:r>
            <w:r w:rsidR="00297F13">
              <w:rPr>
                <w:sz w:val="24"/>
                <w:szCs w:val="24"/>
              </w:rPr>
              <w:t xml:space="preserve"> </w:t>
            </w:r>
            <w:r>
              <w:rPr>
                <w:sz w:val="24"/>
                <w:szCs w:val="24"/>
              </w:rPr>
              <w:t xml:space="preserve">have similarities, in that they are both guided by the </w:t>
            </w:r>
            <w:r w:rsidR="00236FFC">
              <w:rPr>
                <w:sz w:val="24"/>
                <w:szCs w:val="24"/>
              </w:rPr>
              <w:t xml:space="preserve">same legal framework, the </w:t>
            </w:r>
            <w:r>
              <w:rPr>
                <w:sz w:val="24"/>
                <w:szCs w:val="24"/>
              </w:rPr>
              <w:t>Social Services and Wellbeing (Wales) Act (2014)</w:t>
            </w:r>
            <w:r w:rsidR="00236FFC">
              <w:rPr>
                <w:sz w:val="24"/>
                <w:szCs w:val="24"/>
              </w:rPr>
              <w:t>, as well as the Wale Safeguarding Procedures (</w:t>
            </w:r>
            <w:r w:rsidR="00853AFB">
              <w:rPr>
                <w:sz w:val="24"/>
                <w:szCs w:val="24"/>
              </w:rPr>
              <w:t xml:space="preserve">Welsh Government, </w:t>
            </w:r>
            <w:r w:rsidR="00236FFC">
              <w:rPr>
                <w:sz w:val="24"/>
                <w:szCs w:val="24"/>
              </w:rPr>
              <w:t xml:space="preserve">2023). </w:t>
            </w:r>
            <w:r w:rsidR="00297F13">
              <w:rPr>
                <w:sz w:val="24"/>
                <w:szCs w:val="24"/>
              </w:rPr>
              <w:t>T</w:t>
            </w:r>
            <w:r w:rsidR="00236FFC">
              <w:rPr>
                <w:sz w:val="24"/>
                <w:szCs w:val="24"/>
              </w:rPr>
              <w:t xml:space="preserve">he </w:t>
            </w:r>
            <w:r w:rsidR="00297F13">
              <w:rPr>
                <w:sz w:val="24"/>
                <w:szCs w:val="24"/>
              </w:rPr>
              <w:t>overall aim of both safeguarding in children’s and adult sectors is ensuring that individuals are protected from harm, neglect and abuse, whilst also promoting the wellbeing of children and supporting their growth, education and development.</w:t>
            </w:r>
          </w:p>
          <w:p w14:paraId="798F84F0" w14:textId="77777777" w:rsidR="00883947" w:rsidRDefault="00883947" w:rsidP="00182843">
            <w:pPr>
              <w:spacing w:line="360" w:lineRule="auto"/>
              <w:jc w:val="both"/>
              <w:rPr>
                <w:sz w:val="24"/>
                <w:szCs w:val="24"/>
              </w:rPr>
            </w:pPr>
          </w:p>
          <w:p w14:paraId="3793A654" w14:textId="67FA4AA3" w:rsidR="002A5826" w:rsidRDefault="009828F6" w:rsidP="00182843">
            <w:pPr>
              <w:spacing w:line="360" w:lineRule="auto"/>
              <w:jc w:val="both"/>
              <w:rPr>
                <w:sz w:val="24"/>
                <w:szCs w:val="24"/>
              </w:rPr>
            </w:pPr>
            <w:r>
              <w:rPr>
                <w:sz w:val="24"/>
                <w:szCs w:val="24"/>
              </w:rPr>
              <w:t xml:space="preserve">The main difference between adults and children’s safeguarding is the role of consent and capacity. Children under 18 years old do not have the capacity to make certain decisions and instead the responsibility lies with the child’s legal parent or guardian, </w:t>
            </w:r>
            <w:r w:rsidR="00297F13">
              <w:rPr>
                <w:sz w:val="24"/>
                <w:szCs w:val="24"/>
              </w:rPr>
              <w:t>who is also r</w:t>
            </w:r>
            <w:r>
              <w:rPr>
                <w:sz w:val="24"/>
                <w:szCs w:val="24"/>
              </w:rPr>
              <w:t xml:space="preserve">esponsible for </w:t>
            </w:r>
            <w:r w:rsidR="00297F13">
              <w:rPr>
                <w:sz w:val="24"/>
                <w:szCs w:val="24"/>
              </w:rPr>
              <w:t>ensuring their child is protected from harm.</w:t>
            </w:r>
            <w:r>
              <w:rPr>
                <w:sz w:val="24"/>
                <w:szCs w:val="24"/>
              </w:rPr>
              <w:t xml:space="preserve"> </w:t>
            </w:r>
            <w:r w:rsidR="00264A74">
              <w:rPr>
                <w:sz w:val="24"/>
                <w:szCs w:val="24"/>
              </w:rPr>
              <w:t>However, should there be concerns that a child is in immediate danger, or at risk of significant harm, they can be removed from the care of their parents</w:t>
            </w:r>
            <w:r w:rsidR="00510905">
              <w:rPr>
                <w:sz w:val="24"/>
                <w:szCs w:val="24"/>
              </w:rPr>
              <w:t xml:space="preserve"> under the statutory powers of the Children Act (1989)</w:t>
            </w:r>
            <w:r w:rsidR="00264A74">
              <w:rPr>
                <w:sz w:val="24"/>
                <w:szCs w:val="24"/>
              </w:rPr>
              <w:t xml:space="preserve">. </w:t>
            </w:r>
            <w:r w:rsidR="00510905">
              <w:rPr>
                <w:sz w:val="24"/>
                <w:szCs w:val="24"/>
              </w:rPr>
              <w:t>This includes the p</w:t>
            </w:r>
            <w:r w:rsidR="00264A74">
              <w:rPr>
                <w:sz w:val="24"/>
                <w:szCs w:val="24"/>
              </w:rPr>
              <w:t>olice hav</w:t>
            </w:r>
            <w:r w:rsidR="00510905">
              <w:rPr>
                <w:sz w:val="24"/>
                <w:szCs w:val="24"/>
              </w:rPr>
              <w:t>ing</w:t>
            </w:r>
            <w:r w:rsidR="00264A74">
              <w:rPr>
                <w:sz w:val="24"/>
                <w:szCs w:val="24"/>
              </w:rPr>
              <w:t xml:space="preserve"> the powers to remove children to a place of safety for up to </w:t>
            </w:r>
            <w:r w:rsidR="00510905">
              <w:rPr>
                <w:sz w:val="24"/>
                <w:szCs w:val="24"/>
              </w:rPr>
              <w:t>eight days</w:t>
            </w:r>
            <w:r w:rsidR="00264A74">
              <w:rPr>
                <w:sz w:val="24"/>
                <w:szCs w:val="24"/>
              </w:rPr>
              <w:t xml:space="preserve"> under a</w:t>
            </w:r>
            <w:r w:rsidR="00510905">
              <w:rPr>
                <w:sz w:val="24"/>
                <w:szCs w:val="24"/>
              </w:rPr>
              <w:t>n Emergency</w:t>
            </w:r>
            <w:r w:rsidR="00264A74">
              <w:rPr>
                <w:sz w:val="24"/>
                <w:szCs w:val="24"/>
              </w:rPr>
              <w:t xml:space="preserve"> Protection Order</w:t>
            </w:r>
            <w:r w:rsidR="00811DDF">
              <w:rPr>
                <w:sz w:val="24"/>
                <w:szCs w:val="24"/>
              </w:rPr>
              <w:t>. If this significant risk of harm continues, the Local Authority can follow procedures and make application</w:t>
            </w:r>
            <w:r w:rsidR="002A5826">
              <w:rPr>
                <w:sz w:val="24"/>
                <w:szCs w:val="24"/>
              </w:rPr>
              <w:t>s</w:t>
            </w:r>
            <w:r w:rsidR="00811DDF">
              <w:rPr>
                <w:sz w:val="24"/>
                <w:szCs w:val="24"/>
              </w:rPr>
              <w:t xml:space="preserve"> to </w:t>
            </w:r>
            <w:r w:rsidR="00510905">
              <w:rPr>
                <w:sz w:val="24"/>
                <w:szCs w:val="24"/>
              </w:rPr>
              <w:t xml:space="preserve">the </w:t>
            </w:r>
            <w:r w:rsidR="00811DDF">
              <w:rPr>
                <w:sz w:val="24"/>
                <w:szCs w:val="24"/>
              </w:rPr>
              <w:t>court</w:t>
            </w:r>
            <w:r w:rsidR="00510905">
              <w:rPr>
                <w:sz w:val="24"/>
                <w:szCs w:val="24"/>
              </w:rPr>
              <w:t>s for orders</w:t>
            </w:r>
            <w:r w:rsidR="002A5826">
              <w:rPr>
                <w:sz w:val="24"/>
                <w:szCs w:val="24"/>
              </w:rPr>
              <w:t xml:space="preserve"> such as</w:t>
            </w:r>
            <w:r w:rsidR="00811DDF">
              <w:rPr>
                <w:sz w:val="24"/>
                <w:szCs w:val="24"/>
              </w:rPr>
              <w:t xml:space="preserve"> </w:t>
            </w:r>
            <w:r w:rsidR="00FC70D1">
              <w:rPr>
                <w:sz w:val="24"/>
                <w:szCs w:val="24"/>
              </w:rPr>
              <w:t>an</w:t>
            </w:r>
            <w:r w:rsidR="00510905">
              <w:rPr>
                <w:sz w:val="24"/>
                <w:szCs w:val="24"/>
              </w:rPr>
              <w:t xml:space="preserve"> </w:t>
            </w:r>
            <w:r w:rsidR="00811DDF">
              <w:rPr>
                <w:sz w:val="24"/>
                <w:szCs w:val="24"/>
              </w:rPr>
              <w:t>Interim Care Order</w:t>
            </w:r>
            <w:r w:rsidR="002A5826">
              <w:rPr>
                <w:sz w:val="24"/>
                <w:szCs w:val="24"/>
              </w:rPr>
              <w:t xml:space="preserve"> </w:t>
            </w:r>
            <w:r w:rsidR="00811DDF">
              <w:rPr>
                <w:sz w:val="24"/>
                <w:szCs w:val="24"/>
              </w:rPr>
              <w:t>or Full Care Order</w:t>
            </w:r>
            <w:r w:rsidR="00510905">
              <w:rPr>
                <w:sz w:val="24"/>
                <w:szCs w:val="24"/>
              </w:rPr>
              <w:t xml:space="preserve">. This means a child </w:t>
            </w:r>
            <w:r w:rsidR="00FC70D1">
              <w:rPr>
                <w:sz w:val="24"/>
                <w:szCs w:val="24"/>
              </w:rPr>
              <w:t>can</w:t>
            </w:r>
            <w:r w:rsidR="00510905">
              <w:rPr>
                <w:sz w:val="24"/>
                <w:szCs w:val="24"/>
              </w:rPr>
              <w:t xml:space="preserve"> be placed in the care of the Local Authority to ensure their safety, </w:t>
            </w:r>
            <w:r w:rsidR="002A5826">
              <w:rPr>
                <w:sz w:val="24"/>
                <w:szCs w:val="24"/>
              </w:rPr>
              <w:t xml:space="preserve">even if parent’s do not agree with this. </w:t>
            </w:r>
          </w:p>
          <w:p w14:paraId="371D6A1F" w14:textId="77777777" w:rsidR="002A5826" w:rsidRDefault="002A5826" w:rsidP="00182843">
            <w:pPr>
              <w:spacing w:line="360" w:lineRule="auto"/>
              <w:jc w:val="both"/>
              <w:rPr>
                <w:sz w:val="24"/>
                <w:szCs w:val="24"/>
              </w:rPr>
            </w:pPr>
          </w:p>
          <w:p w14:paraId="0B641F7F" w14:textId="080E4FA5" w:rsidR="002A5826" w:rsidRDefault="002A5826" w:rsidP="00182843">
            <w:pPr>
              <w:spacing w:line="360" w:lineRule="auto"/>
              <w:jc w:val="both"/>
              <w:rPr>
                <w:sz w:val="24"/>
                <w:szCs w:val="24"/>
              </w:rPr>
            </w:pPr>
            <w:r>
              <w:rPr>
                <w:sz w:val="24"/>
                <w:szCs w:val="24"/>
              </w:rPr>
              <w:t>However, adults safeguarding</w:t>
            </w:r>
            <w:r w:rsidR="007F3BC4">
              <w:rPr>
                <w:sz w:val="24"/>
                <w:szCs w:val="24"/>
              </w:rPr>
              <w:t xml:space="preserve"> is centred around </w:t>
            </w:r>
            <w:r>
              <w:rPr>
                <w:sz w:val="24"/>
                <w:szCs w:val="24"/>
              </w:rPr>
              <w:t xml:space="preserve">individuals </w:t>
            </w:r>
            <w:r w:rsidR="007F3BC4">
              <w:rPr>
                <w:sz w:val="24"/>
                <w:szCs w:val="24"/>
              </w:rPr>
              <w:t xml:space="preserve">having control and choice over their care and support (SSWBA, 2014) and having rights to </w:t>
            </w:r>
            <w:r w:rsidR="00916069">
              <w:rPr>
                <w:sz w:val="24"/>
                <w:szCs w:val="24"/>
              </w:rPr>
              <w:t xml:space="preserve">make decisions, even if those decisions involve a level of risk. Unlike the statutory element of children’s safeguarding, adults have the choice to </w:t>
            </w:r>
            <w:r w:rsidR="007F3BC4">
              <w:rPr>
                <w:sz w:val="24"/>
                <w:szCs w:val="24"/>
              </w:rPr>
              <w:t>decline services if they so wish</w:t>
            </w:r>
            <w:r w:rsidR="00916069">
              <w:rPr>
                <w:sz w:val="24"/>
                <w:szCs w:val="24"/>
              </w:rPr>
              <w:t xml:space="preserve"> and have ‘the right to self-determination’ (</w:t>
            </w:r>
            <w:r w:rsidR="00AB25B7">
              <w:rPr>
                <w:sz w:val="24"/>
                <w:szCs w:val="24"/>
              </w:rPr>
              <w:t>United Nations, 1948). The only exception to this</w:t>
            </w:r>
            <w:r w:rsidR="001A7BA9">
              <w:rPr>
                <w:sz w:val="24"/>
                <w:szCs w:val="24"/>
              </w:rPr>
              <w:t>,</w:t>
            </w:r>
            <w:r w:rsidR="00AB25B7">
              <w:rPr>
                <w:sz w:val="24"/>
                <w:szCs w:val="24"/>
              </w:rPr>
              <w:t xml:space="preserve"> is if an adult is deemed to not have the </w:t>
            </w:r>
            <w:r w:rsidR="00AB25B7">
              <w:rPr>
                <w:sz w:val="24"/>
                <w:szCs w:val="24"/>
              </w:rPr>
              <w:lastRenderedPageBreak/>
              <w:t>mental capacity to make</w:t>
            </w:r>
            <w:r w:rsidR="001A7BA9">
              <w:rPr>
                <w:sz w:val="24"/>
                <w:szCs w:val="24"/>
              </w:rPr>
              <w:t xml:space="preserve"> decisions and only then will intervention, thought to be in the individuals ‘best interest’</w:t>
            </w:r>
            <w:r w:rsidR="00297F13">
              <w:rPr>
                <w:sz w:val="24"/>
                <w:szCs w:val="24"/>
              </w:rPr>
              <w:t>,</w:t>
            </w:r>
            <w:r w:rsidR="001A7BA9">
              <w:rPr>
                <w:sz w:val="24"/>
                <w:szCs w:val="24"/>
              </w:rPr>
              <w:t xml:space="preserve"> will be considered (Mental Capacity Act, 2005).</w:t>
            </w:r>
          </w:p>
          <w:p w14:paraId="124AD8B3" w14:textId="77777777" w:rsidR="001A7BA9" w:rsidRDefault="001A7BA9" w:rsidP="00182843">
            <w:pPr>
              <w:spacing w:line="360" w:lineRule="auto"/>
              <w:jc w:val="both"/>
              <w:rPr>
                <w:sz w:val="24"/>
                <w:szCs w:val="24"/>
              </w:rPr>
            </w:pPr>
          </w:p>
          <w:p w14:paraId="0E64B386" w14:textId="5BF53B4C" w:rsidR="00FC0334" w:rsidRDefault="001A7BA9" w:rsidP="001A7BA9">
            <w:pPr>
              <w:spacing w:line="360" w:lineRule="auto"/>
              <w:jc w:val="both"/>
              <w:rPr>
                <w:sz w:val="24"/>
                <w:szCs w:val="24"/>
              </w:rPr>
            </w:pPr>
            <w:r>
              <w:rPr>
                <w:sz w:val="24"/>
                <w:szCs w:val="24"/>
              </w:rPr>
              <w:t xml:space="preserve">Although the core principles of the SSWBA (2014), which includes co-production and voice and control, align within children’s and adult safeguarding, the statutory powers that guide children protection will see vast differences in social workers ways of working compared to </w:t>
            </w:r>
            <w:r w:rsidR="00297F13">
              <w:rPr>
                <w:sz w:val="24"/>
                <w:szCs w:val="24"/>
              </w:rPr>
              <w:t>those working</w:t>
            </w:r>
            <w:r>
              <w:rPr>
                <w:sz w:val="24"/>
                <w:szCs w:val="24"/>
              </w:rPr>
              <w:t xml:space="preserve"> in adult services. </w:t>
            </w:r>
            <w:r w:rsidR="00297F13">
              <w:rPr>
                <w:sz w:val="24"/>
                <w:szCs w:val="24"/>
              </w:rPr>
              <w:t xml:space="preserve">Families who find themselves within the child protection arena may not feel they have much control over the outcomes that are to be achieved, whereas adults who may need care and support, simply </w:t>
            </w:r>
            <w:proofErr w:type="gramStart"/>
            <w:r w:rsidR="00297F13">
              <w:rPr>
                <w:sz w:val="24"/>
                <w:szCs w:val="24"/>
              </w:rPr>
              <w:t>have the ability to</w:t>
            </w:r>
            <w:proofErr w:type="gramEnd"/>
            <w:r w:rsidR="00297F13">
              <w:rPr>
                <w:sz w:val="24"/>
                <w:szCs w:val="24"/>
              </w:rPr>
              <w:t xml:space="preserve"> say no.</w:t>
            </w:r>
          </w:p>
          <w:p w14:paraId="4847C39E" w14:textId="77777777" w:rsidR="00FC0334" w:rsidRDefault="00FC0334" w:rsidP="00FC0334">
            <w:pPr>
              <w:jc w:val="both"/>
              <w:rPr>
                <w:sz w:val="24"/>
                <w:szCs w:val="24"/>
              </w:rPr>
            </w:pPr>
          </w:p>
          <w:p w14:paraId="7B7B4827" w14:textId="31472A3D" w:rsidR="00FC0334" w:rsidRDefault="00883947" w:rsidP="00FC0334">
            <w:pPr>
              <w:jc w:val="both"/>
              <w:rPr>
                <w:sz w:val="24"/>
                <w:szCs w:val="24"/>
              </w:rPr>
            </w:pPr>
            <w:r>
              <w:rPr>
                <w:sz w:val="24"/>
                <w:szCs w:val="24"/>
              </w:rPr>
              <w:t>Word count - 427</w:t>
            </w:r>
          </w:p>
          <w:p w14:paraId="438BF787" w14:textId="77777777" w:rsidR="00FC0334" w:rsidRPr="006108C9" w:rsidRDefault="00FC0334" w:rsidP="00FC0334">
            <w:pPr>
              <w:jc w:val="both"/>
              <w:rPr>
                <w:sz w:val="24"/>
                <w:szCs w:val="24"/>
              </w:rPr>
            </w:pPr>
          </w:p>
          <w:p w14:paraId="08760B3D" w14:textId="77777777" w:rsidR="00FC0334" w:rsidRPr="006108C9" w:rsidRDefault="00FC0334" w:rsidP="00AB25B7">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DB15C4">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D17931"/>
    <w:multiLevelType w:val="hybridMultilevel"/>
    <w:tmpl w:val="66C89BF8"/>
    <w:lvl w:ilvl="0" w:tplc="D812E64A">
      <w:start w:val="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54882458">
    <w:abstractNumId w:val="1"/>
    <w:lvlOverride w:ilvl="0">
      <w:lvl w:ilvl="0">
        <w:start w:val="1"/>
        <w:numFmt w:val="bullet"/>
        <w:lvlText w:val=""/>
        <w:lvlJc w:val="left"/>
        <w:pPr>
          <w:ind w:left="720" w:hanging="360"/>
        </w:pPr>
        <w:rPr>
          <w:rFonts w:ascii="Symbol" w:hAnsi="Symbol" w:hint="default"/>
        </w:rPr>
      </w:lvl>
    </w:lvlOverride>
  </w:num>
  <w:num w:numId="2" w16cid:durableId="1155029559">
    <w:abstractNumId w:val="22"/>
  </w:num>
  <w:num w:numId="3" w16cid:durableId="2045250349">
    <w:abstractNumId w:val="46"/>
  </w:num>
  <w:num w:numId="4" w16cid:durableId="1816215535">
    <w:abstractNumId w:val="48"/>
  </w:num>
  <w:num w:numId="5" w16cid:durableId="1556355147">
    <w:abstractNumId w:val="35"/>
  </w:num>
  <w:num w:numId="6" w16cid:durableId="227805996">
    <w:abstractNumId w:val="33"/>
  </w:num>
  <w:num w:numId="7" w16cid:durableId="2057315806">
    <w:abstractNumId w:val="30"/>
  </w:num>
  <w:num w:numId="8" w16cid:durableId="1018583590">
    <w:abstractNumId w:val="31"/>
  </w:num>
  <w:num w:numId="9" w16cid:durableId="1176922075">
    <w:abstractNumId w:val="10"/>
  </w:num>
  <w:num w:numId="10" w16cid:durableId="1180386910">
    <w:abstractNumId w:val="34"/>
  </w:num>
  <w:num w:numId="11" w16cid:durableId="1033769486">
    <w:abstractNumId w:val="17"/>
  </w:num>
  <w:num w:numId="12" w16cid:durableId="1551574398">
    <w:abstractNumId w:val="16"/>
  </w:num>
  <w:num w:numId="13" w16cid:durableId="812410323">
    <w:abstractNumId w:val="28"/>
  </w:num>
  <w:num w:numId="14" w16cid:durableId="721975985">
    <w:abstractNumId w:val="8"/>
  </w:num>
  <w:num w:numId="15" w16cid:durableId="67967003">
    <w:abstractNumId w:val="27"/>
  </w:num>
  <w:num w:numId="16" w16cid:durableId="1205947493">
    <w:abstractNumId w:val="15"/>
  </w:num>
  <w:num w:numId="17" w16cid:durableId="1219122485">
    <w:abstractNumId w:val="13"/>
  </w:num>
  <w:num w:numId="18" w16cid:durableId="167877640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72032873">
    <w:abstractNumId w:val="23"/>
  </w:num>
  <w:num w:numId="20" w16cid:durableId="174266415">
    <w:abstractNumId w:val="18"/>
  </w:num>
  <w:num w:numId="21" w16cid:durableId="1086268186">
    <w:abstractNumId w:val="14"/>
  </w:num>
  <w:num w:numId="22" w16cid:durableId="1905527414">
    <w:abstractNumId w:val="11"/>
  </w:num>
  <w:num w:numId="23" w16cid:durableId="1006708867">
    <w:abstractNumId w:val="29"/>
  </w:num>
  <w:num w:numId="24" w16cid:durableId="1909417771">
    <w:abstractNumId w:val="19"/>
  </w:num>
  <w:num w:numId="25" w16cid:durableId="1892106588">
    <w:abstractNumId w:val="42"/>
  </w:num>
  <w:num w:numId="26" w16cid:durableId="1228420891">
    <w:abstractNumId w:val="36"/>
  </w:num>
  <w:num w:numId="27" w16cid:durableId="116031153">
    <w:abstractNumId w:val="41"/>
  </w:num>
  <w:num w:numId="28" w16cid:durableId="288053523">
    <w:abstractNumId w:val="20"/>
  </w:num>
  <w:num w:numId="29" w16cid:durableId="77791627">
    <w:abstractNumId w:val="44"/>
  </w:num>
  <w:num w:numId="30" w16cid:durableId="1808163444">
    <w:abstractNumId w:val="32"/>
  </w:num>
  <w:num w:numId="31" w16cid:durableId="1963876068">
    <w:abstractNumId w:val="12"/>
  </w:num>
  <w:num w:numId="32" w16cid:durableId="52121981">
    <w:abstractNumId w:val="45"/>
  </w:num>
  <w:num w:numId="33" w16cid:durableId="1519082012">
    <w:abstractNumId w:val="40"/>
  </w:num>
  <w:num w:numId="34" w16cid:durableId="1739091057">
    <w:abstractNumId w:val="5"/>
  </w:num>
  <w:num w:numId="35" w16cid:durableId="1731343155">
    <w:abstractNumId w:val="47"/>
  </w:num>
  <w:num w:numId="36" w16cid:durableId="223293458">
    <w:abstractNumId w:val="43"/>
  </w:num>
  <w:num w:numId="37" w16cid:durableId="2090346518">
    <w:abstractNumId w:val="37"/>
  </w:num>
  <w:num w:numId="38" w16cid:durableId="1789930854">
    <w:abstractNumId w:val="38"/>
  </w:num>
  <w:num w:numId="39" w16cid:durableId="434323297">
    <w:abstractNumId w:val="4"/>
  </w:num>
  <w:num w:numId="40" w16cid:durableId="359815746">
    <w:abstractNumId w:val="6"/>
  </w:num>
  <w:num w:numId="41" w16cid:durableId="459106616">
    <w:abstractNumId w:val="26"/>
  </w:num>
  <w:num w:numId="42" w16cid:durableId="1075130540">
    <w:abstractNumId w:val="7"/>
  </w:num>
  <w:num w:numId="43" w16cid:durableId="1133449646">
    <w:abstractNumId w:val="3"/>
  </w:num>
  <w:num w:numId="44" w16cid:durableId="303052415">
    <w:abstractNumId w:val="39"/>
  </w:num>
  <w:num w:numId="45" w16cid:durableId="44381174">
    <w:abstractNumId w:val="0"/>
  </w:num>
  <w:num w:numId="46" w16cid:durableId="1009479315">
    <w:abstractNumId w:val="14"/>
  </w:num>
  <w:num w:numId="47" w16cid:durableId="1268586077">
    <w:abstractNumId w:val="49"/>
  </w:num>
  <w:num w:numId="48" w16cid:durableId="12649947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8526870">
    <w:abstractNumId w:val="11"/>
  </w:num>
  <w:num w:numId="50" w16cid:durableId="96566451">
    <w:abstractNumId w:val="29"/>
  </w:num>
  <w:num w:numId="51" w16cid:durableId="1142423857">
    <w:abstractNumId w:val="25"/>
  </w:num>
  <w:num w:numId="52" w16cid:durableId="529028693">
    <w:abstractNumId w:val="21"/>
  </w:num>
  <w:num w:numId="53" w16cid:durableId="2142261120">
    <w:abstractNumId w:val="2"/>
  </w:num>
  <w:num w:numId="54" w16cid:durableId="1967009500">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78CD"/>
    <w:rsid w:val="00020EEC"/>
    <w:rsid w:val="0002440E"/>
    <w:rsid w:val="00024B3B"/>
    <w:rsid w:val="0002759A"/>
    <w:rsid w:val="00027B1F"/>
    <w:rsid w:val="0003088B"/>
    <w:rsid w:val="00031F79"/>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571A"/>
    <w:rsid w:val="0010662B"/>
    <w:rsid w:val="00106DC7"/>
    <w:rsid w:val="00112391"/>
    <w:rsid w:val="00114F52"/>
    <w:rsid w:val="00130119"/>
    <w:rsid w:val="00132812"/>
    <w:rsid w:val="001347F8"/>
    <w:rsid w:val="001359EE"/>
    <w:rsid w:val="00137BB5"/>
    <w:rsid w:val="00137E05"/>
    <w:rsid w:val="001447F6"/>
    <w:rsid w:val="00145630"/>
    <w:rsid w:val="00147DE3"/>
    <w:rsid w:val="00150794"/>
    <w:rsid w:val="00151DA6"/>
    <w:rsid w:val="001608C4"/>
    <w:rsid w:val="00164832"/>
    <w:rsid w:val="00166B9E"/>
    <w:rsid w:val="00171418"/>
    <w:rsid w:val="001772BF"/>
    <w:rsid w:val="001772DE"/>
    <w:rsid w:val="00182843"/>
    <w:rsid w:val="0019496C"/>
    <w:rsid w:val="001961CF"/>
    <w:rsid w:val="001A59BB"/>
    <w:rsid w:val="001A607E"/>
    <w:rsid w:val="001A6A51"/>
    <w:rsid w:val="001A79C4"/>
    <w:rsid w:val="001A7BA9"/>
    <w:rsid w:val="001B331A"/>
    <w:rsid w:val="001C0237"/>
    <w:rsid w:val="001C0E74"/>
    <w:rsid w:val="001C4DB8"/>
    <w:rsid w:val="001C50B8"/>
    <w:rsid w:val="001D229F"/>
    <w:rsid w:val="001D53D7"/>
    <w:rsid w:val="001E2EB6"/>
    <w:rsid w:val="001F4552"/>
    <w:rsid w:val="002019EB"/>
    <w:rsid w:val="00204B58"/>
    <w:rsid w:val="00205051"/>
    <w:rsid w:val="00211F65"/>
    <w:rsid w:val="00214047"/>
    <w:rsid w:val="00216563"/>
    <w:rsid w:val="0021792F"/>
    <w:rsid w:val="00220D06"/>
    <w:rsid w:val="002246A0"/>
    <w:rsid w:val="00227D44"/>
    <w:rsid w:val="00230439"/>
    <w:rsid w:val="00232A09"/>
    <w:rsid w:val="00232A44"/>
    <w:rsid w:val="00235176"/>
    <w:rsid w:val="00236061"/>
    <w:rsid w:val="00236FFC"/>
    <w:rsid w:val="0024100E"/>
    <w:rsid w:val="00241C1B"/>
    <w:rsid w:val="0024288B"/>
    <w:rsid w:val="00243DB0"/>
    <w:rsid w:val="00247265"/>
    <w:rsid w:val="002528A8"/>
    <w:rsid w:val="00260663"/>
    <w:rsid w:val="00264A74"/>
    <w:rsid w:val="002657E9"/>
    <w:rsid w:val="0026665E"/>
    <w:rsid w:val="0027147E"/>
    <w:rsid w:val="002761F4"/>
    <w:rsid w:val="002775E1"/>
    <w:rsid w:val="00277979"/>
    <w:rsid w:val="00291ADD"/>
    <w:rsid w:val="002920DF"/>
    <w:rsid w:val="00292F3D"/>
    <w:rsid w:val="00295CA1"/>
    <w:rsid w:val="00297F13"/>
    <w:rsid w:val="002A0E51"/>
    <w:rsid w:val="002A1A44"/>
    <w:rsid w:val="002A291A"/>
    <w:rsid w:val="002A2C54"/>
    <w:rsid w:val="002A4E2E"/>
    <w:rsid w:val="002A5604"/>
    <w:rsid w:val="002A5826"/>
    <w:rsid w:val="002B1701"/>
    <w:rsid w:val="002B23C3"/>
    <w:rsid w:val="002B443A"/>
    <w:rsid w:val="002B5850"/>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63A"/>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0C9"/>
    <w:rsid w:val="004046F0"/>
    <w:rsid w:val="0040668F"/>
    <w:rsid w:val="00411EF7"/>
    <w:rsid w:val="00412677"/>
    <w:rsid w:val="00425160"/>
    <w:rsid w:val="00430DE3"/>
    <w:rsid w:val="004348AE"/>
    <w:rsid w:val="004376C0"/>
    <w:rsid w:val="0044223A"/>
    <w:rsid w:val="00450B67"/>
    <w:rsid w:val="00451851"/>
    <w:rsid w:val="0045189A"/>
    <w:rsid w:val="00452927"/>
    <w:rsid w:val="00453343"/>
    <w:rsid w:val="004538C3"/>
    <w:rsid w:val="004608B9"/>
    <w:rsid w:val="00461B31"/>
    <w:rsid w:val="00463B55"/>
    <w:rsid w:val="00465947"/>
    <w:rsid w:val="004667B1"/>
    <w:rsid w:val="00467653"/>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CFE"/>
    <w:rsid w:val="004F1E21"/>
    <w:rsid w:val="004F2542"/>
    <w:rsid w:val="004F4E33"/>
    <w:rsid w:val="004F740D"/>
    <w:rsid w:val="004F7B8F"/>
    <w:rsid w:val="00500748"/>
    <w:rsid w:val="005011D6"/>
    <w:rsid w:val="00502A14"/>
    <w:rsid w:val="005042F1"/>
    <w:rsid w:val="0050481B"/>
    <w:rsid w:val="00510905"/>
    <w:rsid w:val="005113D4"/>
    <w:rsid w:val="0051287D"/>
    <w:rsid w:val="00513C7D"/>
    <w:rsid w:val="00521123"/>
    <w:rsid w:val="00521221"/>
    <w:rsid w:val="0052250B"/>
    <w:rsid w:val="005305C6"/>
    <w:rsid w:val="00540EEC"/>
    <w:rsid w:val="005414F4"/>
    <w:rsid w:val="00543FCC"/>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0A87"/>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163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B73CC"/>
    <w:rsid w:val="007C1D94"/>
    <w:rsid w:val="007C556F"/>
    <w:rsid w:val="007C5ABE"/>
    <w:rsid w:val="007C6A87"/>
    <w:rsid w:val="007D0A07"/>
    <w:rsid w:val="007D0F11"/>
    <w:rsid w:val="007D133D"/>
    <w:rsid w:val="007D3EB4"/>
    <w:rsid w:val="007D3F16"/>
    <w:rsid w:val="007F10BD"/>
    <w:rsid w:val="007F312E"/>
    <w:rsid w:val="007F3BC4"/>
    <w:rsid w:val="007F3F7E"/>
    <w:rsid w:val="007F4BA4"/>
    <w:rsid w:val="00811DDF"/>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3EE"/>
    <w:rsid w:val="00836FEC"/>
    <w:rsid w:val="00841F9D"/>
    <w:rsid w:val="008420E1"/>
    <w:rsid w:val="00844D98"/>
    <w:rsid w:val="00846D84"/>
    <w:rsid w:val="00850233"/>
    <w:rsid w:val="0085230E"/>
    <w:rsid w:val="00853AFB"/>
    <w:rsid w:val="008550A1"/>
    <w:rsid w:val="00861038"/>
    <w:rsid w:val="00865B58"/>
    <w:rsid w:val="00866B50"/>
    <w:rsid w:val="00867A63"/>
    <w:rsid w:val="008708F1"/>
    <w:rsid w:val="00871960"/>
    <w:rsid w:val="0087369F"/>
    <w:rsid w:val="00880539"/>
    <w:rsid w:val="00883947"/>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069"/>
    <w:rsid w:val="00916FB2"/>
    <w:rsid w:val="00920E5B"/>
    <w:rsid w:val="00926436"/>
    <w:rsid w:val="00926C53"/>
    <w:rsid w:val="0093018C"/>
    <w:rsid w:val="0094495F"/>
    <w:rsid w:val="009544C0"/>
    <w:rsid w:val="00954FA4"/>
    <w:rsid w:val="00956AE9"/>
    <w:rsid w:val="00964CC6"/>
    <w:rsid w:val="00967BFA"/>
    <w:rsid w:val="00982464"/>
    <w:rsid w:val="0098262C"/>
    <w:rsid w:val="009828F6"/>
    <w:rsid w:val="0098427C"/>
    <w:rsid w:val="00986B43"/>
    <w:rsid w:val="00986C0B"/>
    <w:rsid w:val="00986D46"/>
    <w:rsid w:val="00991FDA"/>
    <w:rsid w:val="009927EE"/>
    <w:rsid w:val="00992ACA"/>
    <w:rsid w:val="009A5F3B"/>
    <w:rsid w:val="009A5F79"/>
    <w:rsid w:val="009A6F87"/>
    <w:rsid w:val="009B0B61"/>
    <w:rsid w:val="009B28C0"/>
    <w:rsid w:val="009B3178"/>
    <w:rsid w:val="009B3E46"/>
    <w:rsid w:val="009B7136"/>
    <w:rsid w:val="009C337F"/>
    <w:rsid w:val="009C53E7"/>
    <w:rsid w:val="009C6092"/>
    <w:rsid w:val="009C7342"/>
    <w:rsid w:val="009D11B5"/>
    <w:rsid w:val="009D4365"/>
    <w:rsid w:val="009D477B"/>
    <w:rsid w:val="009D4E3B"/>
    <w:rsid w:val="009D59C2"/>
    <w:rsid w:val="009D7BC9"/>
    <w:rsid w:val="009E122F"/>
    <w:rsid w:val="009E1982"/>
    <w:rsid w:val="009E4D2C"/>
    <w:rsid w:val="009F0978"/>
    <w:rsid w:val="009F3AEC"/>
    <w:rsid w:val="009F6801"/>
    <w:rsid w:val="00A00081"/>
    <w:rsid w:val="00A03B07"/>
    <w:rsid w:val="00A06422"/>
    <w:rsid w:val="00A10D56"/>
    <w:rsid w:val="00A12AAE"/>
    <w:rsid w:val="00A12F22"/>
    <w:rsid w:val="00A16DD1"/>
    <w:rsid w:val="00A22441"/>
    <w:rsid w:val="00A23F3B"/>
    <w:rsid w:val="00A24406"/>
    <w:rsid w:val="00A25F64"/>
    <w:rsid w:val="00A275F6"/>
    <w:rsid w:val="00A303B9"/>
    <w:rsid w:val="00A31D83"/>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25B7"/>
    <w:rsid w:val="00AB5518"/>
    <w:rsid w:val="00AC3A0E"/>
    <w:rsid w:val="00AC4A04"/>
    <w:rsid w:val="00AC538B"/>
    <w:rsid w:val="00AC5679"/>
    <w:rsid w:val="00AD336F"/>
    <w:rsid w:val="00AE134C"/>
    <w:rsid w:val="00AE1868"/>
    <w:rsid w:val="00AE2564"/>
    <w:rsid w:val="00AE301F"/>
    <w:rsid w:val="00AE3302"/>
    <w:rsid w:val="00AE5BA6"/>
    <w:rsid w:val="00AE6231"/>
    <w:rsid w:val="00AE7077"/>
    <w:rsid w:val="00AF61C2"/>
    <w:rsid w:val="00AF6CC6"/>
    <w:rsid w:val="00B018C8"/>
    <w:rsid w:val="00B0248C"/>
    <w:rsid w:val="00B0296A"/>
    <w:rsid w:val="00B07AA8"/>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7AEB"/>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4032"/>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1C0A"/>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0F5E"/>
    <w:rsid w:val="00CD45E3"/>
    <w:rsid w:val="00CD4771"/>
    <w:rsid w:val="00CD5089"/>
    <w:rsid w:val="00CD5D3F"/>
    <w:rsid w:val="00CD7E1F"/>
    <w:rsid w:val="00CE365C"/>
    <w:rsid w:val="00CE4BC4"/>
    <w:rsid w:val="00CE7DA2"/>
    <w:rsid w:val="00CF2F8A"/>
    <w:rsid w:val="00CF3DB3"/>
    <w:rsid w:val="00D0274B"/>
    <w:rsid w:val="00D0503D"/>
    <w:rsid w:val="00D052BC"/>
    <w:rsid w:val="00D07026"/>
    <w:rsid w:val="00D146AE"/>
    <w:rsid w:val="00D22C8F"/>
    <w:rsid w:val="00D25257"/>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15C4"/>
    <w:rsid w:val="00DB2767"/>
    <w:rsid w:val="00DC1B10"/>
    <w:rsid w:val="00DC2924"/>
    <w:rsid w:val="00DC4729"/>
    <w:rsid w:val="00DD31C5"/>
    <w:rsid w:val="00DD5020"/>
    <w:rsid w:val="00DD63BE"/>
    <w:rsid w:val="00DE4296"/>
    <w:rsid w:val="00DF2469"/>
    <w:rsid w:val="00DF7899"/>
    <w:rsid w:val="00E0008D"/>
    <w:rsid w:val="00E0073E"/>
    <w:rsid w:val="00E0524C"/>
    <w:rsid w:val="00E15751"/>
    <w:rsid w:val="00E17160"/>
    <w:rsid w:val="00E17D41"/>
    <w:rsid w:val="00E21470"/>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1B44"/>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C70D1"/>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031F79"/>
    <w:rPr>
      <w:color w:val="605E5C"/>
      <w:shd w:val="clear" w:color="auto" w:fill="E1DFDD"/>
    </w:rPr>
  </w:style>
  <w:style w:type="paragraph" w:styleId="ListParagraph">
    <w:name w:val="List Paragraph"/>
    <w:basedOn w:val="Normal"/>
    <w:uiPriority w:val="34"/>
    <w:qFormat/>
    <w:rsid w:val="00CD0F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ecky.a.jones@flintshire.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CB96A4-5440-4FF1-BBE7-242328F81949}">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5</Pages>
  <Words>1173</Words>
  <Characters>6199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Becky A. Jones</cp:lastModifiedBy>
  <cp:revision>16</cp:revision>
  <cp:lastPrinted>2020-02-11T19:20:00Z</cp:lastPrinted>
  <dcterms:created xsi:type="dcterms:W3CDTF">2022-10-17T12:39:00Z</dcterms:created>
  <dcterms:modified xsi:type="dcterms:W3CDTF">2025-02-14T11:39:00Z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