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0CC" w:rsidRDefault="007B0E04" w:rsidP="007B0E04">
      <w:pPr>
        <w:pBdr>
          <w:top w:val="nil"/>
          <w:left w:val="nil"/>
          <w:bottom w:val="nil"/>
          <w:right w:val="nil"/>
          <w:between w:val="nil"/>
        </w:pBdr>
        <w:jc w:val="left"/>
        <w:rPr>
          <w:b/>
          <w:color w:val="000000"/>
          <w:sz w:val="32"/>
          <w:szCs w:val="32"/>
        </w:rPr>
      </w:pPr>
      <w:r w:rsidRPr="007B0E04">
        <w:rPr>
          <w:b/>
          <w:color w:val="000000"/>
          <w:sz w:val="32"/>
          <w:szCs w:val="32"/>
        </w:rPr>
        <w:drawing>
          <wp:inline distT="0" distB="0" distL="0" distR="0">
            <wp:extent cx="2623078" cy="116754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23078" cy="1167542"/>
                    </a:xfrm>
                    <a:prstGeom prst="rect">
                      <a:avLst/>
                    </a:prstGeom>
                    <a:ln/>
                  </pic:spPr>
                </pic:pic>
              </a:graphicData>
            </a:graphic>
          </wp:inline>
        </w:drawing>
      </w:r>
    </w:p>
    <w:p w:rsidR="00CA60CC" w:rsidRDefault="00CA60CC">
      <w:pPr>
        <w:pBdr>
          <w:top w:val="nil"/>
          <w:left w:val="nil"/>
          <w:bottom w:val="nil"/>
          <w:right w:val="nil"/>
          <w:between w:val="nil"/>
        </w:pBdr>
        <w:jc w:val="center"/>
        <w:rPr>
          <w:b/>
          <w:color w:val="000000"/>
          <w:sz w:val="32"/>
          <w:szCs w:val="32"/>
        </w:rPr>
      </w:pPr>
    </w:p>
    <w:p w:rsidR="00CA60CC" w:rsidRDefault="00CA60CC">
      <w:pPr>
        <w:pBdr>
          <w:top w:val="nil"/>
          <w:left w:val="nil"/>
          <w:bottom w:val="nil"/>
          <w:right w:val="nil"/>
          <w:between w:val="nil"/>
        </w:pBdr>
        <w:jc w:val="center"/>
        <w:rPr>
          <w:b/>
          <w:color w:val="000000"/>
          <w:sz w:val="32"/>
          <w:szCs w:val="32"/>
        </w:rPr>
      </w:pPr>
    </w:p>
    <w:p w:rsidR="007B0E04" w:rsidRDefault="005B412D" w:rsidP="007B0E04">
      <w:pPr>
        <w:pBdr>
          <w:top w:val="nil"/>
          <w:left w:val="nil"/>
          <w:bottom w:val="nil"/>
          <w:right w:val="nil"/>
          <w:between w:val="nil"/>
        </w:pBdr>
        <w:jc w:val="center"/>
        <w:rPr>
          <w:b/>
          <w:color w:val="000000"/>
          <w:sz w:val="32"/>
          <w:szCs w:val="32"/>
        </w:rPr>
      </w:pPr>
      <w:r>
        <w:rPr>
          <w:b/>
          <w:color w:val="000000"/>
          <w:sz w:val="32"/>
          <w:szCs w:val="32"/>
        </w:rPr>
        <w:t>FINANCIAL MANAGEMENT</w:t>
      </w:r>
    </w:p>
    <w:p w:rsidR="007B0E04" w:rsidRDefault="007B0E04" w:rsidP="007B0E04">
      <w:pPr>
        <w:pBdr>
          <w:top w:val="nil"/>
          <w:left w:val="nil"/>
          <w:bottom w:val="nil"/>
          <w:right w:val="nil"/>
          <w:between w:val="nil"/>
        </w:pBdr>
        <w:jc w:val="center"/>
        <w:rPr>
          <w:b/>
          <w:color w:val="000000"/>
          <w:sz w:val="32"/>
          <w:szCs w:val="32"/>
        </w:rPr>
      </w:pPr>
    </w:p>
    <w:p w:rsidR="007B0E04" w:rsidRDefault="007B0E04" w:rsidP="007B0E04">
      <w:pPr>
        <w:pBdr>
          <w:top w:val="nil"/>
          <w:left w:val="nil"/>
          <w:bottom w:val="nil"/>
          <w:right w:val="nil"/>
          <w:between w:val="nil"/>
        </w:pBdr>
        <w:jc w:val="center"/>
        <w:rPr>
          <w:b/>
          <w:color w:val="000000"/>
          <w:sz w:val="32"/>
          <w:szCs w:val="32"/>
        </w:rPr>
      </w:pPr>
    </w:p>
    <w:p w:rsidR="007B0E04" w:rsidRDefault="007B0E04" w:rsidP="007B0E04">
      <w:pPr>
        <w:rPr>
          <w:sz w:val="28"/>
          <w:szCs w:val="28"/>
        </w:rPr>
      </w:pPr>
      <w:r>
        <w:rPr>
          <w:sz w:val="28"/>
          <w:szCs w:val="28"/>
        </w:rPr>
        <w:t>Student Name: Akshay Maheshbhai Tadhani</w:t>
      </w:r>
    </w:p>
    <w:p w:rsidR="007B0E04" w:rsidRDefault="007B0E04" w:rsidP="007B0E04">
      <w:pPr>
        <w:rPr>
          <w:sz w:val="28"/>
          <w:szCs w:val="28"/>
        </w:rPr>
      </w:pPr>
      <w:r>
        <w:rPr>
          <w:sz w:val="28"/>
          <w:szCs w:val="28"/>
        </w:rPr>
        <w:t>Student ID: 2334624</w:t>
      </w:r>
    </w:p>
    <w:p w:rsidR="007B0E04" w:rsidRDefault="007B0E04" w:rsidP="007B0E04">
      <w:pPr>
        <w:rPr>
          <w:sz w:val="28"/>
          <w:szCs w:val="28"/>
        </w:rPr>
      </w:pPr>
      <w:r>
        <w:rPr>
          <w:sz w:val="28"/>
          <w:szCs w:val="28"/>
        </w:rPr>
        <w:t>Module Code: LCMB7002</w:t>
      </w:r>
    </w:p>
    <w:p w:rsidR="007B0E04" w:rsidRDefault="007B0E04" w:rsidP="007B0E04">
      <w:pPr>
        <w:rPr>
          <w:sz w:val="28"/>
          <w:szCs w:val="28"/>
        </w:rPr>
      </w:pPr>
      <w:r>
        <w:rPr>
          <w:sz w:val="28"/>
          <w:szCs w:val="28"/>
        </w:rPr>
        <w:t>Module: Financial Management</w:t>
      </w:r>
    </w:p>
    <w:p w:rsidR="00CA60CC" w:rsidRDefault="007B0E04" w:rsidP="007B0E04">
      <w:pPr>
        <w:pBdr>
          <w:top w:val="nil"/>
          <w:left w:val="nil"/>
          <w:bottom w:val="nil"/>
          <w:right w:val="nil"/>
          <w:between w:val="nil"/>
        </w:pBdr>
        <w:rPr>
          <w:b/>
          <w:color w:val="000000"/>
          <w:sz w:val="32"/>
          <w:szCs w:val="32"/>
        </w:rPr>
      </w:pPr>
      <w:r>
        <w:rPr>
          <w:sz w:val="28"/>
          <w:szCs w:val="28"/>
        </w:rPr>
        <w:t>Lecturer: MD Kalam</w:t>
      </w:r>
      <w:r w:rsidR="005B412D">
        <w:br w:type="page"/>
      </w:r>
    </w:p>
    <w:p w:rsidR="00CA60CC" w:rsidRDefault="005B412D">
      <w:pPr>
        <w:pBdr>
          <w:top w:val="nil"/>
          <w:left w:val="nil"/>
          <w:bottom w:val="nil"/>
          <w:right w:val="nil"/>
          <w:between w:val="nil"/>
        </w:pBdr>
        <w:jc w:val="center"/>
        <w:rPr>
          <w:b/>
          <w:sz w:val="28"/>
          <w:szCs w:val="28"/>
        </w:rPr>
      </w:pPr>
      <w:r>
        <w:rPr>
          <w:b/>
          <w:sz w:val="28"/>
          <w:szCs w:val="28"/>
        </w:rPr>
        <w:lastRenderedPageBreak/>
        <w:t>Executive Summary</w:t>
      </w:r>
    </w:p>
    <w:p w:rsidR="00CA60CC" w:rsidRDefault="005B412D">
      <w:pPr>
        <w:pBdr>
          <w:top w:val="nil"/>
          <w:left w:val="nil"/>
          <w:bottom w:val="nil"/>
          <w:right w:val="nil"/>
          <w:between w:val="nil"/>
        </w:pBdr>
      </w:pPr>
      <w:r>
        <w:t>financial management is considered to be one of the prominent prospectuses that is used by companies in terms of formulating their financial performance. Subsequently, the concerned report is focused towards formulating a financial comparison of Rolls Royc</w:t>
      </w:r>
      <w:r>
        <w:t>e and Bae Systems against the overall performance of their business over the recent five financial years. Following this, three of the prominent investment appraisal tools are being used to compare two of the investments. Following this, the advantages and</w:t>
      </w:r>
      <w:r>
        <w:t xml:space="preserve"> shortfalls of the investment appraisal techniques have been discussed. Furthermore, in the last some of the prominent non-financial factors has been identified that are required to be considered by an individual while making the choice of investment. </w:t>
      </w:r>
    </w:p>
    <w:p w:rsidR="00CA60CC" w:rsidRDefault="005B412D">
      <w:pPr>
        <w:rPr>
          <w:b/>
          <w:sz w:val="32"/>
          <w:szCs w:val="32"/>
        </w:rPr>
      </w:pPr>
      <w:r>
        <w:br w:type="page"/>
      </w:r>
    </w:p>
    <w:p w:rsidR="00CA60CC" w:rsidRPr="00CF3C15" w:rsidRDefault="005B412D" w:rsidP="00585E97">
      <w:pPr>
        <w:keepNext/>
        <w:keepLines/>
        <w:pBdr>
          <w:top w:val="nil"/>
          <w:left w:val="nil"/>
          <w:bottom w:val="nil"/>
          <w:right w:val="nil"/>
          <w:between w:val="nil"/>
        </w:pBdr>
        <w:spacing w:before="240"/>
        <w:jc w:val="center"/>
        <w:rPr>
          <w:b/>
          <w:color w:val="000000"/>
          <w:sz w:val="28"/>
          <w:szCs w:val="28"/>
        </w:rPr>
      </w:pPr>
      <w:r w:rsidRPr="00CF3C15">
        <w:rPr>
          <w:b/>
          <w:color w:val="000000"/>
          <w:sz w:val="28"/>
          <w:szCs w:val="28"/>
        </w:rPr>
        <w:lastRenderedPageBreak/>
        <w:t>Table of Contents</w:t>
      </w:r>
    </w:p>
    <w:sdt>
      <w:sdtPr>
        <w:id w:val="-2025162170"/>
        <w:docPartObj>
          <w:docPartGallery w:val="Table of Contents"/>
          <w:docPartUnique/>
        </w:docPartObj>
      </w:sdtPr>
      <w:sdtContent>
        <w:p w:rsidR="00585E97" w:rsidRDefault="00D139BE" w:rsidP="00585E97">
          <w:pPr>
            <w:pStyle w:val="TOC1"/>
            <w:tabs>
              <w:tab w:val="right" w:leader="dot" w:pos="9350"/>
            </w:tabs>
            <w:rPr>
              <w:rFonts w:asciiTheme="minorHAnsi" w:eastAsiaTheme="minorEastAsia" w:hAnsiTheme="minorHAnsi" w:cstheme="minorBidi"/>
              <w:noProof/>
              <w:kern w:val="2"/>
              <w:sz w:val="22"/>
              <w:szCs w:val="22"/>
              <w:lang w:val="en-IN"/>
            </w:rPr>
          </w:pPr>
          <w:r>
            <w:fldChar w:fldCharType="begin"/>
          </w:r>
          <w:r w:rsidR="005B412D">
            <w:instrText xml:space="preserve"> TOC \h \u \z \t "Heading 1,1,Heading 2,2,Heading 3,3,"</w:instrText>
          </w:r>
          <w:r>
            <w:fldChar w:fldCharType="separate"/>
          </w:r>
          <w:hyperlink w:anchor="_Toc173258882" w:history="1">
            <w:r w:rsidR="00585E97" w:rsidRPr="00531A20">
              <w:rPr>
                <w:rStyle w:val="Hyperlink"/>
                <w:noProof/>
              </w:rPr>
              <w:t>Part A: Introduction</w:t>
            </w:r>
            <w:r w:rsidR="00585E97">
              <w:rPr>
                <w:noProof/>
                <w:webHidden/>
              </w:rPr>
              <w:tab/>
            </w:r>
            <w:r>
              <w:rPr>
                <w:noProof/>
                <w:webHidden/>
              </w:rPr>
              <w:fldChar w:fldCharType="begin"/>
            </w:r>
            <w:r w:rsidR="00585E97">
              <w:rPr>
                <w:noProof/>
                <w:webHidden/>
              </w:rPr>
              <w:instrText xml:space="preserve"> PAGEREF _Toc173258882 \h </w:instrText>
            </w:r>
            <w:r>
              <w:rPr>
                <w:noProof/>
                <w:webHidden/>
              </w:rPr>
            </w:r>
            <w:r>
              <w:rPr>
                <w:noProof/>
                <w:webHidden/>
              </w:rPr>
              <w:fldChar w:fldCharType="separate"/>
            </w:r>
            <w:r w:rsidR="00435FD1">
              <w:rPr>
                <w:noProof/>
                <w:webHidden/>
              </w:rPr>
              <w:t>3</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83" w:history="1">
            <w:r w:rsidR="00585E97" w:rsidRPr="00531A20">
              <w:rPr>
                <w:rStyle w:val="Hyperlink"/>
                <w:noProof/>
              </w:rPr>
              <w:t>History of the organisation</w:t>
            </w:r>
            <w:r w:rsidR="00585E97">
              <w:rPr>
                <w:noProof/>
                <w:webHidden/>
              </w:rPr>
              <w:tab/>
            </w:r>
            <w:r>
              <w:rPr>
                <w:noProof/>
                <w:webHidden/>
              </w:rPr>
              <w:fldChar w:fldCharType="begin"/>
            </w:r>
            <w:r w:rsidR="00585E97">
              <w:rPr>
                <w:noProof/>
                <w:webHidden/>
              </w:rPr>
              <w:instrText xml:space="preserve"> PAGEREF _Toc173258883 \h </w:instrText>
            </w:r>
            <w:r>
              <w:rPr>
                <w:noProof/>
                <w:webHidden/>
              </w:rPr>
            </w:r>
            <w:r>
              <w:rPr>
                <w:noProof/>
                <w:webHidden/>
              </w:rPr>
              <w:fldChar w:fldCharType="separate"/>
            </w:r>
            <w:r w:rsidR="00435FD1">
              <w:rPr>
                <w:noProof/>
                <w:webHidden/>
              </w:rPr>
              <w:t>3</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84" w:history="1">
            <w:r w:rsidR="00585E97" w:rsidRPr="00531A20">
              <w:rPr>
                <w:rStyle w:val="Hyperlink"/>
                <w:noProof/>
              </w:rPr>
              <w:t>Marketplace and major competitors</w:t>
            </w:r>
            <w:r w:rsidR="00585E97">
              <w:rPr>
                <w:noProof/>
                <w:webHidden/>
              </w:rPr>
              <w:tab/>
            </w:r>
            <w:r>
              <w:rPr>
                <w:noProof/>
                <w:webHidden/>
              </w:rPr>
              <w:fldChar w:fldCharType="begin"/>
            </w:r>
            <w:r w:rsidR="00585E97">
              <w:rPr>
                <w:noProof/>
                <w:webHidden/>
              </w:rPr>
              <w:instrText xml:space="preserve"> PAGEREF _Toc173258884 \h </w:instrText>
            </w:r>
            <w:r>
              <w:rPr>
                <w:noProof/>
                <w:webHidden/>
              </w:rPr>
            </w:r>
            <w:r>
              <w:rPr>
                <w:noProof/>
                <w:webHidden/>
              </w:rPr>
              <w:fldChar w:fldCharType="separate"/>
            </w:r>
            <w:r w:rsidR="00435FD1">
              <w:rPr>
                <w:noProof/>
                <w:webHidden/>
              </w:rPr>
              <w:t>3</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85" w:history="1">
            <w:r w:rsidR="00585E97" w:rsidRPr="00531A20">
              <w:rPr>
                <w:rStyle w:val="Hyperlink"/>
                <w:noProof/>
              </w:rPr>
              <w:t>Recent events</w:t>
            </w:r>
            <w:r w:rsidR="00585E97">
              <w:rPr>
                <w:noProof/>
                <w:webHidden/>
              </w:rPr>
              <w:tab/>
            </w:r>
            <w:r>
              <w:rPr>
                <w:noProof/>
                <w:webHidden/>
              </w:rPr>
              <w:fldChar w:fldCharType="begin"/>
            </w:r>
            <w:r w:rsidR="00585E97">
              <w:rPr>
                <w:noProof/>
                <w:webHidden/>
              </w:rPr>
              <w:instrText xml:space="preserve"> PAGEREF _Toc173258885 \h </w:instrText>
            </w:r>
            <w:r>
              <w:rPr>
                <w:noProof/>
                <w:webHidden/>
              </w:rPr>
            </w:r>
            <w:r>
              <w:rPr>
                <w:noProof/>
                <w:webHidden/>
              </w:rPr>
              <w:fldChar w:fldCharType="separate"/>
            </w:r>
            <w:r w:rsidR="00435FD1">
              <w:rPr>
                <w:noProof/>
                <w:webHidden/>
              </w:rPr>
              <w:t>4</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86" w:history="1">
            <w:r w:rsidR="00585E97" w:rsidRPr="00531A20">
              <w:rPr>
                <w:rStyle w:val="Hyperlink"/>
                <w:noProof/>
              </w:rPr>
              <w:t>Profitability</w:t>
            </w:r>
            <w:r w:rsidR="00585E97">
              <w:rPr>
                <w:noProof/>
                <w:webHidden/>
              </w:rPr>
              <w:tab/>
            </w:r>
            <w:r>
              <w:rPr>
                <w:noProof/>
                <w:webHidden/>
              </w:rPr>
              <w:fldChar w:fldCharType="begin"/>
            </w:r>
            <w:r w:rsidR="00585E97">
              <w:rPr>
                <w:noProof/>
                <w:webHidden/>
              </w:rPr>
              <w:instrText xml:space="preserve"> PAGEREF _Toc173258886 \h </w:instrText>
            </w:r>
            <w:r>
              <w:rPr>
                <w:noProof/>
                <w:webHidden/>
              </w:rPr>
            </w:r>
            <w:r>
              <w:rPr>
                <w:noProof/>
                <w:webHidden/>
              </w:rPr>
              <w:fldChar w:fldCharType="separate"/>
            </w:r>
            <w:r w:rsidR="00435FD1">
              <w:rPr>
                <w:noProof/>
                <w:webHidden/>
              </w:rPr>
              <w:t>4</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87" w:history="1">
            <w:r w:rsidR="00585E97" w:rsidRPr="00531A20">
              <w:rPr>
                <w:rStyle w:val="Hyperlink"/>
                <w:noProof/>
              </w:rPr>
              <w:t>Strategic Change</w:t>
            </w:r>
            <w:r w:rsidR="00585E97">
              <w:rPr>
                <w:noProof/>
                <w:webHidden/>
              </w:rPr>
              <w:tab/>
            </w:r>
            <w:r>
              <w:rPr>
                <w:noProof/>
                <w:webHidden/>
              </w:rPr>
              <w:fldChar w:fldCharType="begin"/>
            </w:r>
            <w:r w:rsidR="00585E97">
              <w:rPr>
                <w:noProof/>
                <w:webHidden/>
              </w:rPr>
              <w:instrText xml:space="preserve"> PAGEREF _Toc173258887 \h </w:instrText>
            </w:r>
            <w:r>
              <w:rPr>
                <w:noProof/>
                <w:webHidden/>
              </w:rPr>
            </w:r>
            <w:r>
              <w:rPr>
                <w:noProof/>
                <w:webHidden/>
              </w:rPr>
              <w:fldChar w:fldCharType="separate"/>
            </w:r>
            <w:r w:rsidR="00435FD1">
              <w:rPr>
                <w:noProof/>
                <w:webHidden/>
              </w:rPr>
              <w:t>4</w:t>
            </w:r>
            <w:r>
              <w:rPr>
                <w:noProof/>
                <w:webHidden/>
              </w:rPr>
              <w:fldChar w:fldCharType="end"/>
            </w:r>
          </w:hyperlink>
        </w:p>
        <w:p w:rsidR="00585E97" w:rsidRDefault="00D139BE" w:rsidP="00585E97">
          <w:pPr>
            <w:pStyle w:val="TOC1"/>
            <w:tabs>
              <w:tab w:val="right" w:leader="dot" w:pos="9350"/>
            </w:tabs>
            <w:rPr>
              <w:rFonts w:asciiTheme="minorHAnsi" w:eastAsiaTheme="minorEastAsia" w:hAnsiTheme="minorHAnsi" w:cstheme="minorBidi"/>
              <w:noProof/>
              <w:kern w:val="2"/>
              <w:sz w:val="22"/>
              <w:szCs w:val="22"/>
              <w:lang w:val="en-IN"/>
            </w:rPr>
          </w:pPr>
          <w:hyperlink w:anchor="_Toc173258888" w:history="1">
            <w:r w:rsidR="00585E97" w:rsidRPr="00531A20">
              <w:rPr>
                <w:rStyle w:val="Hyperlink"/>
                <w:noProof/>
              </w:rPr>
              <w:t>Part B: Financial Performance Review</w:t>
            </w:r>
            <w:r w:rsidR="00585E97">
              <w:rPr>
                <w:noProof/>
                <w:webHidden/>
              </w:rPr>
              <w:tab/>
            </w:r>
            <w:r>
              <w:rPr>
                <w:noProof/>
                <w:webHidden/>
              </w:rPr>
              <w:fldChar w:fldCharType="begin"/>
            </w:r>
            <w:r w:rsidR="00585E97">
              <w:rPr>
                <w:noProof/>
                <w:webHidden/>
              </w:rPr>
              <w:instrText xml:space="preserve"> PAGEREF _Toc173258888 \h </w:instrText>
            </w:r>
            <w:r>
              <w:rPr>
                <w:noProof/>
                <w:webHidden/>
              </w:rPr>
            </w:r>
            <w:r>
              <w:rPr>
                <w:noProof/>
                <w:webHidden/>
              </w:rPr>
              <w:fldChar w:fldCharType="separate"/>
            </w:r>
            <w:r w:rsidR="00435FD1">
              <w:rPr>
                <w:noProof/>
                <w:webHidden/>
              </w:rPr>
              <w:t>4</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89" w:history="1">
            <w:r w:rsidR="00585E97" w:rsidRPr="00531A20">
              <w:rPr>
                <w:rStyle w:val="Hyperlink"/>
                <w:noProof/>
              </w:rPr>
              <w:t>Calculation of the key financial ratios</w:t>
            </w:r>
            <w:r w:rsidR="00585E97">
              <w:rPr>
                <w:noProof/>
                <w:webHidden/>
              </w:rPr>
              <w:tab/>
            </w:r>
            <w:r>
              <w:rPr>
                <w:noProof/>
                <w:webHidden/>
              </w:rPr>
              <w:fldChar w:fldCharType="begin"/>
            </w:r>
            <w:r w:rsidR="00585E97">
              <w:rPr>
                <w:noProof/>
                <w:webHidden/>
              </w:rPr>
              <w:instrText xml:space="preserve"> PAGEREF _Toc173258889 \h </w:instrText>
            </w:r>
            <w:r>
              <w:rPr>
                <w:noProof/>
                <w:webHidden/>
              </w:rPr>
            </w:r>
            <w:r>
              <w:rPr>
                <w:noProof/>
                <w:webHidden/>
              </w:rPr>
              <w:fldChar w:fldCharType="separate"/>
            </w:r>
            <w:r w:rsidR="00435FD1">
              <w:rPr>
                <w:noProof/>
                <w:webHidden/>
              </w:rPr>
              <w:t>4</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90" w:history="1">
            <w:r w:rsidR="00585E97" w:rsidRPr="00531A20">
              <w:rPr>
                <w:rStyle w:val="Hyperlink"/>
                <w:noProof/>
              </w:rPr>
              <w:t>Critical evaluation of the ratios</w:t>
            </w:r>
            <w:r w:rsidR="00585E97">
              <w:rPr>
                <w:noProof/>
                <w:webHidden/>
              </w:rPr>
              <w:tab/>
            </w:r>
            <w:r>
              <w:rPr>
                <w:noProof/>
                <w:webHidden/>
              </w:rPr>
              <w:fldChar w:fldCharType="begin"/>
            </w:r>
            <w:r w:rsidR="00585E97">
              <w:rPr>
                <w:noProof/>
                <w:webHidden/>
              </w:rPr>
              <w:instrText xml:space="preserve"> PAGEREF _Toc173258890 \h </w:instrText>
            </w:r>
            <w:r>
              <w:rPr>
                <w:noProof/>
                <w:webHidden/>
              </w:rPr>
            </w:r>
            <w:r>
              <w:rPr>
                <w:noProof/>
                <w:webHidden/>
              </w:rPr>
              <w:fldChar w:fldCharType="separate"/>
            </w:r>
            <w:r w:rsidR="00435FD1">
              <w:rPr>
                <w:noProof/>
                <w:webHidden/>
              </w:rPr>
              <w:t>6</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91" w:history="1">
            <w:r w:rsidR="00585E97" w:rsidRPr="00531A20">
              <w:rPr>
                <w:rStyle w:val="Hyperlink"/>
                <w:noProof/>
              </w:rPr>
              <w:t>Comparison to major competitors</w:t>
            </w:r>
            <w:r w:rsidR="00585E97">
              <w:rPr>
                <w:noProof/>
                <w:webHidden/>
              </w:rPr>
              <w:tab/>
            </w:r>
            <w:r>
              <w:rPr>
                <w:noProof/>
                <w:webHidden/>
              </w:rPr>
              <w:fldChar w:fldCharType="begin"/>
            </w:r>
            <w:r w:rsidR="00585E97">
              <w:rPr>
                <w:noProof/>
                <w:webHidden/>
              </w:rPr>
              <w:instrText xml:space="preserve"> PAGEREF _Toc173258891 \h </w:instrText>
            </w:r>
            <w:r>
              <w:rPr>
                <w:noProof/>
                <w:webHidden/>
              </w:rPr>
            </w:r>
            <w:r>
              <w:rPr>
                <w:noProof/>
                <w:webHidden/>
              </w:rPr>
              <w:fldChar w:fldCharType="separate"/>
            </w:r>
            <w:r w:rsidR="00435FD1">
              <w:rPr>
                <w:noProof/>
                <w:webHidden/>
              </w:rPr>
              <w:t>9</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92" w:history="1">
            <w:r w:rsidR="00585E97" w:rsidRPr="00531A20">
              <w:rPr>
                <w:rStyle w:val="Hyperlink"/>
                <w:noProof/>
              </w:rPr>
              <w:t>Recommendation for improvement</w:t>
            </w:r>
            <w:r w:rsidR="00585E97">
              <w:rPr>
                <w:noProof/>
                <w:webHidden/>
              </w:rPr>
              <w:tab/>
            </w:r>
            <w:r>
              <w:rPr>
                <w:noProof/>
                <w:webHidden/>
              </w:rPr>
              <w:fldChar w:fldCharType="begin"/>
            </w:r>
            <w:r w:rsidR="00585E97">
              <w:rPr>
                <w:noProof/>
                <w:webHidden/>
              </w:rPr>
              <w:instrText xml:space="preserve"> PAGEREF _Toc173258892 \h </w:instrText>
            </w:r>
            <w:r>
              <w:rPr>
                <w:noProof/>
                <w:webHidden/>
              </w:rPr>
            </w:r>
            <w:r>
              <w:rPr>
                <w:noProof/>
                <w:webHidden/>
              </w:rPr>
              <w:fldChar w:fldCharType="separate"/>
            </w:r>
            <w:r w:rsidR="00435FD1">
              <w:rPr>
                <w:noProof/>
                <w:webHidden/>
              </w:rPr>
              <w:t>12</w:t>
            </w:r>
            <w:r>
              <w:rPr>
                <w:noProof/>
                <w:webHidden/>
              </w:rPr>
              <w:fldChar w:fldCharType="end"/>
            </w:r>
          </w:hyperlink>
        </w:p>
        <w:p w:rsidR="00585E97" w:rsidRDefault="00D139BE" w:rsidP="00585E97">
          <w:pPr>
            <w:pStyle w:val="TOC1"/>
            <w:tabs>
              <w:tab w:val="right" w:leader="dot" w:pos="9350"/>
            </w:tabs>
            <w:rPr>
              <w:rFonts w:asciiTheme="minorHAnsi" w:eastAsiaTheme="minorEastAsia" w:hAnsiTheme="minorHAnsi" w:cstheme="minorBidi"/>
              <w:noProof/>
              <w:kern w:val="2"/>
              <w:sz w:val="22"/>
              <w:szCs w:val="22"/>
              <w:lang w:val="en-IN"/>
            </w:rPr>
          </w:pPr>
          <w:hyperlink w:anchor="_Toc173258893" w:history="1">
            <w:r w:rsidR="00585E97" w:rsidRPr="00531A20">
              <w:rPr>
                <w:rStyle w:val="Hyperlink"/>
                <w:noProof/>
              </w:rPr>
              <w:t>Part C: Investment appraisal</w:t>
            </w:r>
            <w:r w:rsidR="00585E97">
              <w:rPr>
                <w:noProof/>
                <w:webHidden/>
              </w:rPr>
              <w:tab/>
            </w:r>
            <w:r>
              <w:rPr>
                <w:noProof/>
                <w:webHidden/>
              </w:rPr>
              <w:fldChar w:fldCharType="begin"/>
            </w:r>
            <w:r w:rsidR="00585E97">
              <w:rPr>
                <w:noProof/>
                <w:webHidden/>
              </w:rPr>
              <w:instrText xml:space="preserve"> PAGEREF _Toc173258893 \h </w:instrText>
            </w:r>
            <w:r>
              <w:rPr>
                <w:noProof/>
                <w:webHidden/>
              </w:rPr>
            </w:r>
            <w:r>
              <w:rPr>
                <w:noProof/>
                <w:webHidden/>
              </w:rPr>
              <w:fldChar w:fldCharType="separate"/>
            </w:r>
            <w:r w:rsidR="00435FD1">
              <w:rPr>
                <w:noProof/>
                <w:webHidden/>
              </w:rPr>
              <w:t>12</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94" w:history="1">
            <w:r w:rsidR="00585E97" w:rsidRPr="00531A20">
              <w:rPr>
                <w:rStyle w:val="Hyperlink"/>
                <w:noProof/>
              </w:rPr>
              <w:t>Calculation of the investment appraisal techniques and their evaluation</w:t>
            </w:r>
            <w:r w:rsidR="00585E97">
              <w:rPr>
                <w:noProof/>
                <w:webHidden/>
              </w:rPr>
              <w:tab/>
            </w:r>
            <w:r>
              <w:rPr>
                <w:noProof/>
                <w:webHidden/>
              </w:rPr>
              <w:fldChar w:fldCharType="begin"/>
            </w:r>
            <w:r w:rsidR="00585E97">
              <w:rPr>
                <w:noProof/>
                <w:webHidden/>
              </w:rPr>
              <w:instrText xml:space="preserve"> PAGEREF _Toc173258894 \h </w:instrText>
            </w:r>
            <w:r>
              <w:rPr>
                <w:noProof/>
                <w:webHidden/>
              </w:rPr>
            </w:r>
            <w:r>
              <w:rPr>
                <w:noProof/>
                <w:webHidden/>
              </w:rPr>
              <w:fldChar w:fldCharType="separate"/>
            </w:r>
            <w:r w:rsidR="00435FD1">
              <w:rPr>
                <w:noProof/>
                <w:webHidden/>
              </w:rPr>
              <w:t>12</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95" w:history="1">
            <w:r w:rsidR="00585E97" w:rsidRPr="00531A20">
              <w:rPr>
                <w:rStyle w:val="Hyperlink"/>
                <w:noProof/>
              </w:rPr>
              <w:t>Critical discussion over the advantages and shortcomings</w:t>
            </w:r>
            <w:r w:rsidR="00585E97">
              <w:rPr>
                <w:noProof/>
                <w:webHidden/>
              </w:rPr>
              <w:tab/>
            </w:r>
            <w:r>
              <w:rPr>
                <w:noProof/>
                <w:webHidden/>
              </w:rPr>
              <w:fldChar w:fldCharType="begin"/>
            </w:r>
            <w:r w:rsidR="00585E97">
              <w:rPr>
                <w:noProof/>
                <w:webHidden/>
              </w:rPr>
              <w:instrText xml:space="preserve"> PAGEREF _Toc173258895 \h </w:instrText>
            </w:r>
            <w:r>
              <w:rPr>
                <w:noProof/>
                <w:webHidden/>
              </w:rPr>
            </w:r>
            <w:r>
              <w:rPr>
                <w:noProof/>
                <w:webHidden/>
              </w:rPr>
              <w:fldChar w:fldCharType="separate"/>
            </w:r>
            <w:r w:rsidR="00435FD1">
              <w:rPr>
                <w:noProof/>
                <w:webHidden/>
              </w:rPr>
              <w:t>15</w:t>
            </w:r>
            <w:r>
              <w:rPr>
                <w:noProof/>
                <w:webHidden/>
              </w:rPr>
              <w:fldChar w:fldCharType="end"/>
            </w:r>
          </w:hyperlink>
        </w:p>
        <w:p w:rsidR="00585E97" w:rsidRDefault="00D139BE" w:rsidP="00585E97">
          <w:pPr>
            <w:pStyle w:val="TOC1"/>
            <w:tabs>
              <w:tab w:val="right" w:leader="dot" w:pos="9350"/>
            </w:tabs>
            <w:rPr>
              <w:rFonts w:asciiTheme="minorHAnsi" w:eastAsiaTheme="minorEastAsia" w:hAnsiTheme="minorHAnsi" w:cstheme="minorBidi"/>
              <w:noProof/>
              <w:kern w:val="2"/>
              <w:sz w:val="22"/>
              <w:szCs w:val="22"/>
              <w:lang w:val="en-IN"/>
            </w:rPr>
          </w:pPr>
          <w:hyperlink w:anchor="_Toc173258896" w:history="1">
            <w:r w:rsidR="00585E97" w:rsidRPr="00531A20">
              <w:rPr>
                <w:rStyle w:val="Hyperlink"/>
                <w:noProof/>
              </w:rPr>
              <w:t>Reference List</w:t>
            </w:r>
            <w:r w:rsidR="00585E97">
              <w:rPr>
                <w:noProof/>
                <w:webHidden/>
              </w:rPr>
              <w:tab/>
            </w:r>
            <w:r>
              <w:rPr>
                <w:noProof/>
                <w:webHidden/>
              </w:rPr>
              <w:fldChar w:fldCharType="begin"/>
            </w:r>
            <w:r w:rsidR="00585E97">
              <w:rPr>
                <w:noProof/>
                <w:webHidden/>
              </w:rPr>
              <w:instrText xml:space="preserve"> PAGEREF _Toc173258896 \h </w:instrText>
            </w:r>
            <w:r>
              <w:rPr>
                <w:noProof/>
                <w:webHidden/>
              </w:rPr>
            </w:r>
            <w:r>
              <w:rPr>
                <w:noProof/>
                <w:webHidden/>
              </w:rPr>
              <w:fldChar w:fldCharType="separate"/>
            </w:r>
            <w:r w:rsidR="00435FD1">
              <w:rPr>
                <w:noProof/>
                <w:webHidden/>
              </w:rPr>
              <w:t>18</w:t>
            </w:r>
            <w:r>
              <w:rPr>
                <w:noProof/>
                <w:webHidden/>
              </w:rPr>
              <w:fldChar w:fldCharType="end"/>
            </w:r>
          </w:hyperlink>
        </w:p>
        <w:p w:rsidR="00585E97" w:rsidRDefault="00D139BE" w:rsidP="00585E97">
          <w:pPr>
            <w:pStyle w:val="TOC1"/>
            <w:tabs>
              <w:tab w:val="right" w:leader="dot" w:pos="9350"/>
            </w:tabs>
            <w:rPr>
              <w:rFonts w:asciiTheme="minorHAnsi" w:eastAsiaTheme="minorEastAsia" w:hAnsiTheme="minorHAnsi" w:cstheme="minorBidi"/>
              <w:noProof/>
              <w:kern w:val="2"/>
              <w:sz w:val="22"/>
              <w:szCs w:val="22"/>
              <w:lang w:val="en-IN"/>
            </w:rPr>
          </w:pPr>
          <w:hyperlink w:anchor="_Toc173258897" w:history="1">
            <w:r w:rsidR="00585E97" w:rsidRPr="00531A20">
              <w:rPr>
                <w:rStyle w:val="Hyperlink"/>
                <w:noProof/>
              </w:rPr>
              <w:t>Appendices</w:t>
            </w:r>
            <w:r w:rsidR="00585E97">
              <w:rPr>
                <w:noProof/>
                <w:webHidden/>
              </w:rPr>
              <w:tab/>
            </w:r>
            <w:r>
              <w:rPr>
                <w:noProof/>
                <w:webHidden/>
              </w:rPr>
              <w:fldChar w:fldCharType="begin"/>
            </w:r>
            <w:r w:rsidR="00585E97">
              <w:rPr>
                <w:noProof/>
                <w:webHidden/>
              </w:rPr>
              <w:instrText xml:space="preserve"> PAGEREF _Toc173258897 \h </w:instrText>
            </w:r>
            <w:r>
              <w:rPr>
                <w:noProof/>
                <w:webHidden/>
              </w:rPr>
            </w:r>
            <w:r>
              <w:rPr>
                <w:noProof/>
                <w:webHidden/>
              </w:rPr>
              <w:fldChar w:fldCharType="separate"/>
            </w:r>
            <w:r w:rsidR="00435FD1">
              <w:rPr>
                <w:noProof/>
                <w:webHidden/>
              </w:rPr>
              <w:t>21</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98" w:history="1">
            <w:r w:rsidR="00585E97" w:rsidRPr="00531A20">
              <w:rPr>
                <w:rStyle w:val="Hyperlink"/>
                <w:noProof/>
              </w:rPr>
              <w:t>Appendix 1: Financial Statements for the past five years of Rolls Royce</w:t>
            </w:r>
            <w:r w:rsidR="00585E97">
              <w:rPr>
                <w:noProof/>
                <w:webHidden/>
              </w:rPr>
              <w:tab/>
            </w:r>
            <w:r>
              <w:rPr>
                <w:noProof/>
                <w:webHidden/>
              </w:rPr>
              <w:fldChar w:fldCharType="begin"/>
            </w:r>
            <w:r w:rsidR="00585E97">
              <w:rPr>
                <w:noProof/>
                <w:webHidden/>
              </w:rPr>
              <w:instrText xml:space="preserve"> PAGEREF _Toc173258898 \h </w:instrText>
            </w:r>
            <w:r>
              <w:rPr>
                <w:noProof/>
                <w:webHidden/>
              </w:rPr>
            </w:r>
            <w:r>
              <w:rPr>
                <w:noProof/>
                <w:webHidden/>
              </w:rPr>
              <w:fldChar w:fldCharType="separate"/>
            </w:r>
            <w:r w:rsidR="00435FD1">
              <w:rPr>
                <w:noProof/>
                <w:webHidden/>
              </w:rPr>
              <w:t>21</w:t>
            </w:r>
            <w:r>
              <w:rPr>
                <w:noProof/>
                <w:webHidden/>
              </w:rPr>
              <w:fldChar w:fldCharType="end"/>
            </w:r>
          </w:hyperlink>
        </w:p>
        <w:p w:rsidR="00585E97" w:rsidRDefault="00D139BE" w:rsidP="00585E97">
          <w:pPr>
            <w:pStyle w:val="TOC2"/>
            <w:tabs>
              <w:tab w:val="right" w:leader="dot" w:pos="9350"/>
            </w:tabs>
            <w:rPr>
              <w:rFonts w:asciiTheme="minorHAnsi" w:eastAsiaTheme="minorEastAsia" w:hAnsiTheme="minorHAnsi" w:cstheme="minorBidi"/>
              <w:noProof/>
              <w:kern w:val="2"/>
              <w:sz w:val="22"/>
              <w:szCs w:val="22"/>
              <w:lang w:val="en-IN"/>
            </w:rPr>
          </w:pPr>
          <w:hyperlink w:anchor="_Toc173258899" w:history="1">
            <w:r w:rsidR="00585E97" w:rsidRPr="00531A20">
              <w:rPr>
                <w:rStyle w:val="Hyperlink"/>
                <w:noProof/>
              </w:rPr>
              <w:t>Appendix 2: Financial Statements for the past five years of Bae Systems</w:t>
            </w:r>
            <w:r w:rsidR="00585E97">
              <w:rPr>
                <w:noProof/>
                <w:webHidden/>
              </w:rPr>
              <w:tab/>
            </w:r>
            <w:r>
              <w:rPr>
                <w:noProof/>
                <w:webHidden/>
              </w:rPr>
              <w:fldChar w:fldCharType="begin"/>
            </w:r>
            <w:r w:rsidR="00585E97">
              <w:rPr>
                <w:noProof/>
                <w:webHidden/>
              </w:rPr>
              <w:instrText xml:space="preserve"> PAGEREF _Toc173258899 \h </w:instrText>
            </w:r>
            <w:r>
              <w:rPr>
                <w:noProof/>
                <w:webHidden/>
              </w:rPr>
            </w:r>
            <w:r>
              <w:rPr>
                <w:noProof/>
                <w:webHidden/>
              </w:rPr>
              <w:fldChar w:fldCharType="separate"/>
            </w:r>
            <w:r w:rsidR="00435FD1">
              <w:rPr>
                <w:noProof/>
                <w:webHidden/>
              </w:rPr>
              <w:t>27</w:t>
            </w:r>
            <w:r>
              <w:rPr>
                <w:noProof/>
                <w:webHidden/>
              </w:rPr>
              <w:fldChar w:fldCharType="end"/>
            </w:r>
          </w:hyperlink>
        </w:p>
        <w:p w:rsidR="00CA60CC" w:rsidRDefault="00D139BE" w:rsidP="00585E97">
          <w:r>
            <w:fldChar w:fldCharType="end"/>
          </w:r>
        </w:p>
      </w:sdtContent>
    </w:sdt>
    <w:p w:rsidR="00CA60CC" w:rsidRDefault="005B412D">
      <w:pPr>
        <w:pBdr>
          <w:top w:val="nil"/>
          <w:left w:val="nil"/>
          <w:bottom w:val="nil"/>
          <w:right w:val="nil"/>
          <w:between w:val="nil"/>
        </w:pBdr>
        <w:jc w:val="left"/>
        <w:rPr>
          <w:b/>
          <w:color w:val="000000"/>
          <w:sz w:val="32"/>
          <w:szCs w:val="32"/>
        </w:rPr>
      </w:pPr>
      <w:r>
        <w:br w:type="page"/>
      </w:r>
    </w:p>
    <w:p w:rsidR="00CA60CC" w:rsidRDefault="005B412D">
      <w:pPr>
        <w:pStyle w:val="Heading1"/>
        <w:rPr>
          <w:sz w:val="24"/>
          <w:szCs w:val="24"/>
        </w:rPr>
      </w:pPr>
      <w:bookmarkStart w:id="0" w:name="_Toc173258882"/>
      <w:r>
        <w:lastRenderedPageBreak/>
        <w:t>Part A: Introduction</w:t>
      </w:r>
      <w:bookmarkEnd w:id="0"/>
    </w:p>
    <w:p w:rsidR="00CA60CC" w:rsidRDefault="005B412D">
      <w:pPr>
        <w:pStyle w:val="Heading2"/>
      </w:pPr>
      <w:bookmarkStart w:id="1" w:name="_Toc173258883"/>
      <w:r>
        <w:t>History of the organisation</w:t>
      </w:r>
      <w:bookmarkEnd w:id="1"/>
    </w:p>
    <w:p w:rsidR="00CA60CC" w:rsidRDefault="005B412D">
      <w:pPr>
        <w:pBdr>
          <w:top w:val="nil"/>
          <w:left w:val="nil"/>
          <w:bottom w:val="nil"/>
          <w:right w:val="nil"/>
          <w:between w:val="nil"/>
        </w:pBdr>
        <w:rPr>
          <w:color w:val="000000"/>
        </w:rPr>
      </w:pPr>
      <w:r>
        <w:rPr>
          <w:color w:val="000000"/>
        </w:rPr>
        <w:t xml:space="preserve">In 1998, Rolls-Royce Motor Cars Limited, a division of BMW was founded after the brand's licensing from </w:t>
      </w:r>
      <w:r>
        <w:rPr>
          <w:color w:val="000000"/>
        </w:rPr>
        <w:t>Rolls-Royce Holdings plc and its acquisition of trademarks from Volkswagen AG. After VW bought Bentley and the former Rolls-Royce factories, the business started producing Rolls-Royce automobiles in 2003. The previous CEO of the firm, Torsten Müller-Ötvös,</w:t>
      </w:r>
      <w:r>
        <w:rPr>
          <w:color w:val="000000"/>
        </w:rPr>
        <w:t xml:space="preserve"> sought to bring back quality standards. China became the world's second-largest market in 2010 after sales there grew by 600%. Müller-Ötvös, who is now the CEO of BMW UK, will retire in 2023. Brownridge has been the CEO of the corporation for the longest </w:t>
      </w:r>
      <w:r>
        <w:rPr>
          <w:color w:val="000000"/>
        </w:rPr>
        <w:t>(Azevedo and Olschewski, 2020).</w:t>
      </w:r>
    </w:p>
    <w:p w:rsidR="00CA60CC" w:rsidRDefault="005B412D">
      <w:pPr>
        <w:pStyle w:val="Heading2"/>
      </w:pPr>
      <w:bookmarkStart w:id="2" w:name="_Toc173258884"/>
      <w:r>
        <w:t>Marketplace and major competitors</w:t>
      </w:r>
      <w:bookmarkEnd w:id="2"/>
    </w:p>
    <w:p w:rsidR="00CA60CC" w:rsidRDefault="005B412D">
      <w:pPr>
        <w:pBdr>
          <w:top w:val="nil"/>
          <w:left w:val="nil"/>
          <w:bottom w:val="nil"/>
          <w:right w:val="nil"/>
          <w:between w:val="nil"/>
        </w:pBdr>
        <w:jc w:val="center"/>
        <w:rPr>
          <w:color w:val="000000"/>
        </w:rPr>
      </w:pPr>
      <w:r>
        <w:rPr>
          <w:noProof/>
          <w:lang w:val="en-US" w:eastAsia="en-US" w:bidi="gu-IN"/>
        </w:rPr>
        <w:drawing>
          <wp:inline distT="114300" distB="114300" distL="114300" distR="114300">
            <wp:extent cx="5586413" cy="3500460"/>
            <wp:effectExtent l="25400" t="25400" r="25400" b="2540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5586413" cy="3500460"/>
                    </a:xfrm>
                    <a:prstGeom prst="rect">
                      <a:avLst/>
                    </a:prstGeom>
                    <a:ln w="25400">
                      <a:solidFill>
                        <a:srgbClr val="000000"/>
                      </a:solidFill>
                      <a:prstDash val="solid"/>
                    </a:ln>
                  </pic:spPr>
                </pic:pic>
              </a:graphicData>
            </a:graphic>
          </wp:inline>
        </w:drawing>
      </w:r>
    </w:p>
    <w:p w:rsidR="00CA60CC" w:rsidRDefault="005B412D">
      <w:pPr>
        <w:pBdr>
          <w:top w:val="nil"/>
          <w:left w:val="nil"/>
          <w:bottom w:val="nil"/>
          <w:right w:val="nil"/>
          <w:between w:val="nil"/>
        </w:pBdr>
        <w:jc w:val="center"/>
        <w:rPr>
          <w:color w:val="000000"/>
        </w:rPr>
      </w:pPr>
      <w:r>
        <w:rPr>
          <w:b/>
          <w:color w:val="000000"/>
        </w:rPr>
        <w:t>Figure 1: Global deliveries of Rolls-Royce automobiles from FY 2007 to FY 2023</w:t>
      </w:r>
    </w:p>
    <w:p w:rsidR="00CA60CC" w:rsidRDefault="005B412D">
      <w:pPr>
        <w:pBdr>
          <w:top w:val="nil"/>
          <w:left w:val="nil"/>
          <w:bottom w:val="nil"/>
          <w:right w:val="nil"/>
          <w:between w:val="nil"/>
        </w:pBdr>
        <w:jc w:val="center"/>
        <w:rPr>
          <w:color w:val="000000"/>
        </w:rPr>
      </w:pPr>
      <w:r>
        <w:rPr>
          <w:color w:val="000000"/>
        </w:rPr>
        <w:t>(Source:  Statista, 2024)</w:t>
      </w:r>
    </w:p>
    <w:p w:rsidR="00CA60CC" w:rsidRDefault="005B412D">
      <w:pPr>
        <w:pBdr>
          <w:top w:val="nil"/>
          <w:left w:val="nil"/>
          <w:bottom w:val="nil"/>
          <w:right w:val="nil"/>
          <w:between w:val="nil"/>
        </w:pBdr>
        <w:rPr>
          <w:color w:val="000000"/>
        </w:rPr>
      </w:pPr>
      <w:r>
        <w:rPr>
          <w:color w:val="000000"/>
        </w:rPr>
        <w:t>In the fiscal year 2023, Rolls-Royce Motor Cars delivered over 6,000 automobiles, a</w:t>
      </w:r>
      <w:r>
        <w:rPr>
          <w:color w:val="000000"/>
        </w:rPr>
        <w:t>n increase of 11 vehicles over the prior year. The launch of the Spectre model helped the premium car company, a fully owned subsidiary of BMW, post record sales. International sales of new light vehicles, however, fell sharply in 2020 after being stagnant</w:t>
      </w:r>
      <w:r>
        <w:rPr>
          <w:color w:val="000000"/>
        </w:rPr>
        <w:t xml:space="preserve"> from 2016 to 2019. Since 90% of </w:t>
      </w:r>
      <w:r>
        <w:rPr>
          <w:color w:val="000000"/>
        </w:rPr>
        <w:lastRenderedPageBreak/>
        <w:t>completed cars are exported from the UK, manufacturers located there are concerned about the UK's possible exit from the EU. With the UK supplying only 10% of the components for Rolls-Royce cars, the US and China are antici</w:t>
      </w:r>
      <w:r>
        <w:rPr>
          <w:color w:val="000000"/>
        </w:rPr>
        <w:t xml:space="preserve">pated to become important trade partners. Rolls </w:t>
      </w:r>
      <w:r w:rsidR="0076512E">
        <w:rPr>
          <w:color w:val="000000"/>
        </w:rPr>
        <w:t>Royce's</w:t>
      </w:r>
      <w:r>
        <w:rPr>
          <w:color w:val="000000"/>
        </w:rPr>
        <w:t xml:space="preserve"> major competitors include models like the Rolls-Royce Ghost and Cullinan, Bentley and Maybach are rival luxury automakers to Rolls-Royce. Other competitors include the </w:t>
      </w:r>
      <w:r w:rsidR="0076512E">
        <w:rPr>
          <w:color w:val="000000"/>
        </w:rPr>
        <w:t>Mercedes-Maybach</w:t>
      </w:r>
      <w:r>
        <w:rPr>
          <w:color w:val="000000"/>
        </w:rPr>
        <w:t xml:space="preserve"> S-Class, Masera</w:t>
      </w:r>
      <w:r>
        <w:rPr>
          <w:color w:val="000000"/>
        </w:rPr>
        <w:t>ti Quattroporte, BMW 7 Series, Bentley Mulsanne, and Bentley Flying Spur (Brutailer, 2018).</w:t>
      </w:r>
    </w:p>
    <w:p w:rsidR="00CA60CC" w:rsidRDefault="005B412D">
      <w:pPr>
        <w:pStyle w:val="Heading2"/>
      </w:pPr>
      <w:bookmarkStart w:id="3" w:name="_Toc173258885"/>
      <w:r>
        <w:t>Recent events</w:t>
      </w:r>
      <w:bookmarkEnd w:id="3"/>
    </w:p>
    <w:p w:rsidR="00CA60CC" w:rsidRDefault="005B412D">
      <w:pPr>
        <w:pBdr>
          <w:top w:val="nil"/>
          <w:left w:val="nil"/>
          <w:bottom w:val="nil"/>
          <w:right w:val="nil"/>
          <w:between w:val="nil"/>
        </w:pBdr>
        <w:rPr>
          <w:color w:val="000000"/>
        </w:rPr>
      </w:pPr>
      <w:r>
        <w:rPr>
          <w:color w:val="000000"/>
        </w:rPr>
        <w:t>In the recent financial year of 2023, the organisation released “Rolls-Royce Spectre” one of its electric cars that is fully automated (</w:t>
      </w:r>
      <w:r>
        <w:rPr>
          <w:color w:val="222222"/>
          <w:highlight w:val="white"/>
        </w:rPr>
        <w:t>BMW Group, 202</w:t>
      </w:r>
      <w:r>
        <w:rPr>
          <w:color w:val="222222"/>
          <w:highlight w:val="white"/>
        </w:rPr>
        <w:t>4</w:t>
      </w:r>
      <w:r>
        <w:rPr>
          <w:color w:val="000000"/>
        </w:rPr>
        <w:t xml:space="preserve">). Based on the present requirements of the consumers, it is expected that this new product line will provide a broader change within the automobile segment as a whole. </w:t>
      </w:r>
    </w:p>
    <w:p w:rsidR="00CA60CC" w:rsidRDefault="005B412D">
      <w:pPr>
        <w:pStyle w:val="Heading2"/>
      </w:pPr>
      <w:bookmarkStart w:id="4" w:name="_Toc173258886"/>
      <w:r>
        <w:t>Profitability</w:t>
      </w:r>
      <w:bookmarkEnd w:id="4"/>
    </w:p>
    <w:p w:rsidR="00CA60CC" w:rsidRDefault="005B412D">
      <w:pPr>
        <w:pBdr>
          <w:top w:val="nil"/>
          <w:left w:val="nil"/>
          <w:bottom w:val="nil"/>
          <w:right w:val="nil"/>
          <w:between w:val="nil"/>
        </w:pBdr>
        <w:rPr>
          <w:color w:val="000000"/>
        </w:rPr>
      </w:pPr>
      <w:r>
        <w:rPr>
          <w:color w:val="000000"/>
        </w:rPr>
        <w:t xml:space="preserve">The </w:t>
      </w:r>
      <w:r w:rsidR="00CF3C15">
        <w:rPr>
          <w:color w:val="000000"/>
        </w:rPr>
        <w:t>organisation</w:t>
      </w:r>
      <w:r>
        <w:rPr>
          <w:color w:val="000000"/>
        </w:rPr>
        <w:t xml:space="preserve"> has observed a broader transformation </w:t>
      </w:r>
      <w:r w:rsidR="0076512E">
        <w:rPr>
          <w:color w:val="000000"/>
        </w:rPr>
        <w:t>in</w:t>
      </w:r>
      <w:r>
        <w:rPr>
          <w:color w:val="000000"/>
        </w:rPr>
        <w:t xml:space="preserve"> the profitabi</w:t>
      </w:r>
      <w:r>
        <w:rPr>
          <w:color w:val="000000"/>
        </w:rPr>
        <w:t xml:space="preserve">lity of </w:t>
      </w:r>
      <w:r w:rsidR="0076512E">
        <w:rPr>
          <w:color w:val="000000"/>
        </w:rPr>
        <w:t>its</w:t>
      </w:r>
      <w:r>
        <w:rPr>
          <w:color w:val="000000"/>
        </w:rPr>
        <w:t xml:space="preserve"> business. Certainly, it can be noted that between 2019 to 2022 the company was running at a loss. However, by the end of the year 2023, the organisation has formulated a standard profit. </w:t>
      </w:r>
    </w:p>
    <w:p w:rsidR="00CA60CC" w:rsidRDefault="005B412D">
      <w:pPr>
        <w:pStyle w:val="Heading2"/>
      </w:pPr>
      <w:bookmarkStart w:id="5" w:name="_Toc173258887"/>
      <w:r>
        <w:t>Strategic Change</w:t>
      </w:r>
      <w:bookmarkEnd w:id="5"/>
    </w:p>
    <w:p w:rsidR="00CA60CC" w:rsidRDefault="005B412D">
      <w:pPr>
        <w:pBdr>
          <w:top w:val="nil"/>
          <w:left w:val="nil"/>
          <w:bottom w:val="nil"/>
          <w:right w:val="nil"/>
          <w:between w:val="nil"/>
        </w:pBdr>
        <w:rPr>
          <w:color w:val="000000"/>
        </w:rPr>
      </w:pPr>
      <w:r>
        <w:rPr>
          <w:color w:val="000000"/>
        </w:rPr>
        <w:t>In terms of considering the recent change, it can be ascertained that the organisation is now formulating a transformation towards electronic automated vehicles that are sustainable in nature. The key reason behind this transformation is just that there is</w:t>
      </w:r>
      <w:r>
        <w:rPr>
          <w:color w:val="000000"/>
        </w:rPr>
        <w:t xml:space="preserve"> a broader requirement for electronic and conventional vehicles in the recent time period. </w:t>
      </w:r>
    </w:p>
    <w:p w:rsidR="00CA60CC" w:rsidRDefault="005B412D">
      <w:pPr>
        <w:pStyle w:val="Heading1"/>
      </w:pPr>
      <w:bookmarkStart w:id="6" w:name="_Toc173258888"/>
      <w:r>
        <w:t>Part B: Financial Performance Review</w:t>
      </w:r>
      <w:bookmarkEnd w:id="6"/>
    </w:p>
    <w:p w:rsidR="00CA60CC" w:rsidRDefault="005B412D">
      <w:pPr>
        <w:pStyle w:val="Heading2"/>
      </w:pPr>
      <w:bookmarkStart w:id="7" w:name="_Toc173258889"/>
      <w:r>
        <w:t>Calculation of the key financial ratios</w:t>
      </w:r>
      <w:bookmarkEnd w:id="7"/>
    </w:p>
    <w:p w:rsidR="00CA60CC" w:rsidRDefault="005B412D">
      <w:pPr>
        <w:pBdr>
          <w:top w:val="nil"/>
          <w:left w:val="nil"/>
          <w:bottom w:val="nil"/>
          <w:right w:val="nil"/>
          <w:between w:val="nil"/>
        </w:pBdr>
        <w:rPr>
          <w:b/>
          <w:i/>
          <w:color w:val="000000"/>
          <w:u w:val="single"/>
        </w:rPr>
      </w:pPr>
      <w:r>
        <w:rPr>
          <w:b/>
          <w:i/>
          <w:color w:val="000000"/>
          <w:u w:val="single"/>
        </w:rPr>
        <w:t>Profitability Ratios</w:t>
      </w:r>
    </w:p>
    <w:tbl>
      <w:tblPr>
        <w:tblStyle w:val="a"/>
        <w:tblW w:w="9360" w:type="dxa"/>
        <w:jc w:val="center"/>
        <w:tblBorders>
          <w:top w:val="nil"/>
          <w:left w:val="nil"/>
          <w:bottom w:val="nil"/>
          <w:right w:val="nil"/>
          <w:insideH w:val="nil"/>
          <w:insideV w:val="nil"/>
        </w:tblBorders>
        <w:tblLayout w:type="fixed"/>
        <w:tblLook w:val="0600"/>
      </w:tblPr>
      <w:tblGrid>
        <w:gridCol w:w="1364"/>
        <w:gridCol w:w="2076"/>
        <w:gridCol w:w="1371"/>
        <w:gridCol w:w="1112"/>
        <w:gridCol w:w="1135"/>
        <w:gridCol w:w="1167"/>
        <w:gridCol w:w="1135"/>
      </w:tblGrid>
      <w:tr w:rsidR="00CA60CC">
        <w:trPr>
          <w:trHeight w:val="345"/>
          <w:jc w:val="center"/>
        </w:trPr>
        <w:tc>
          <w:tcPr>
            <w:tcW w:w="9360" w:type="dxa"/>
            <w:gridSpan w:val="7"/>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Profitability Ratios</w:t>
            </w:r>
          </w:p>
        </w:tc>
      </w:tr>
      <w:tr w:rsidR="00CA60CC">
        <w:trPr>
          <w:trHeight w:val="345"/>
          <w:jc w:val="center"/>
        </w:trPr>
        <w:tc>
          <w:tcPr>
            <w:tcW w:w="1364"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Ratio</w:t>
            </w:r>
          </w:p>
        </w:tc>
        <w:tc>
          <w:tcPr>
            <w:tcW w:w="2076"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Formulas</w:t>
            </w:r>
          </w:p>
        </w:tc>
        <w:tc>
          <w:tcPr>
            <w:tcW w:w="1371"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2019 (in £m)</w:t>
            </w:r>
          </w:p>
        </w:tc>
        <w:tc>
          <w:tcPr>
            <w:tcW w:w="1112"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2020 (in £m)</w:t>
            </w:r>
          </w:p>
        </w:tc>
        <w:tc>
          <w:tcPr>
            <w:tcW w:w="113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2021 (in £m)</w:t>
            </w:r>
          </w:p>
        </w:tc>
        <w:tc>
          <w:tcPr>
            <w:tcW w:w="1167"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2022 (in £m)</w:t>
            </w:r>
          </w:p>
        </w:tc>
        <w:tc>
          <w:tcPr>
            <w:tcW w:w="113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2023 (in £m)</w:t>
            </w:r>
          </w:p>
        </w:tc>
      </w:tr>
      <w:tr w:rsidR="00CA60CC">
        <w:trPr>
          <w:trHeight w:val="345"/>
          <w:jc w:val="center"/>
        </w:trPr>
        <w:tc>
          <w:tcPr>
            <w:tcW w:w="1364" w:type="dxa"/>
            <w:vMerge w:val="restart"/>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Gross Profit Margin</w:t>
            </w:r>
          </w:p>
        </w:tc>
        <w:tc>
          <w:tcPr>
            <w:tcW w:w="2076" w:type="dxa"/>
            <w:vMerge w:val="restart"/>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(Gross Profit/ Revenue) * 100</w:t>
            </w:r>
          </w:p>
        </w:tc>
        <w:tc>
          <w:tcPr>
            <w:tcW w:w="137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(942 / 16587) * 100</w:t>
            </w:r>
          </w:p>
        </w:tc>
        <w:tc>
          <w:tcPr>
            <w:tcW w:w="1112"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(187 / 11491) * 100</w:t>
            </w:r>
          </w:p>
        </w:tc>
        <w:tc>
          <w:tcPr>
            <w:tcW w:w="113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(2136 / 11218) * 100</w:t>
            </w:r>
          </w:p>
        </w:tc>
        <w:tc>
          <w:tcPr>
            <w:tcW w:w="11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(2757/ 13520) * 100</w:t>
            </w:r>
          </w:p>
        </w:tc>
        <w:tc>
          <w:tcPr>
            <w:tcW w:w="113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(3620/ 16486) * 100</w:t>
            </w:r>
          </w:p>
        </w:tc>
      </w:tr>
      <w:tr w:rsidR="00CA60CC">
        <w:trPr>
          <w:trHeight w:val="345"/>
          <w:jc w:val="center"/>
        </w:trPr>
        <w:tc>
          <w:tcPr>
            <w:tcW w:w="1364" w:type="dxa"/>
            <w:vMerge/>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2076" w:type="dxa"/>
            <w:vMerge/>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137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5.68%</w:t>
            </w:r>
          </w:p>
        </w:tc>
        <w:tc>
          <w:tcPr>
            <w:tcW w:w="1112"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1.63%</w:t>
            </w:r>
          </w:p>
        </w:tc>
        <w:tc>
          <w:tcPr>
            <w:tcW w:w="113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19.04%</w:t>
            </w:r>
          </w:p>
        </w:tc>
        <w:tc>
          <w:tcPr>
            <w:tcW w:w="11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20.39%</w:t>
            </w:r>
          </w:p>
        </w:tc>
        <w:tc>
          <w:tcPr>
            <w:tcW w:w="113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21.96%</w:t>
            </w:r>
          </w:p>
        </w:tc>
      </w:tr>
      <w:tr w:rsidR="00CA60CC">
        <w:trPr>
          <w:trHeight w:val="630"/>
          <w:jc w:val="center"/>
        </w:trPr>
        <w:tc>
          <w:tcPr>
            <w:tcW w:w="1364" w:type="dxa"/>
            <w:vMerge w:val="restart"/>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Net Profit Margin</w:t>
            </w:r>
          </w:p>
        </w:tc>
        <w:tc>
          <w:tcPr>
            <w:tcW w:w="2076" w:type="dxa"/>
            <w:vMerge w:val="restart"/>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 xml:space="preserve">(Net </w:t>
            </w:r>
            <w:r>
              <w:rPr>
                <w:color w:val="000000"/>
              </w:rPr>
              <w:t>Profit/ Revenue) * 100</w:t>
            </w:r>
          </w:p>
        </w:tc>
        <w:tc>
          <w:tcPr>
            <w:tcW w:w="137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(-1311 / 16587) * 100</w:t>
            </w:r>
          </w:p>
        </w:tc>
        <w:tc>
          <w:tcPr>
            <w:tcW w:w="1112"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(-3169 / 11491) * 100</w:t>
            </w:r>
          </w:p>
        </w:tc>
        <w:tc>
          <w:tcPr>
            <w:tcW w:w="113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(121 / 11218) * 100</w:t>
            </w:r>
          </w:p>
        </w:tc>
        <w:tc>
          <w:tcPr>
            <w:tcW w:w="11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(-1274 / 13520) * 100</w:t>
            </w:r>
          </w:p>
        </w:tc>
        <w:tc>
          <w:tcPr>
            <w:tcW w:w="113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(2404 / 16486) * 100</w:t>
            </w:r>
          </w:p>
        </w:tc>
      </w:tr>
      <w:tr w:rsidR="00CA60CC">
        <w:trPr>
          <w:trHeight w:val="345"/>
          <w:jc w:val="center"/>
        </w:trPr>
        <w:tc>
          <w:tcPr>
            <w:tcW w:w="1364" w:type="dxa"/>
            <w:vMerge/>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2076" w:type="dxa"/>
            <w:vMerge/>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137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-7.90%</w:t>
            </w:r>
          </w:p>
        </w:tc>
        <w:tc>
          <w:tcPr>
            <w:tcW w:w="1112"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-27.58%</w:t>
            </w:r>
          </w:p>
        </w:tc>
        <w:tc>
          <w:tcPr>
            <w:tcW w:w="113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1.08%</w:t>
            </w:r>
          </w:p>
        </w:tc>
        <w:tc>
          <w:tcPr>
            <w:tcW w:w="1167"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-9.42%</w:t>
            </w:r>
          </w:p>
        </w:tc>
        <w:tc>
          <w:tcPr>
            <w:tcW w:w="113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14.58%</w:t>
            </w:r>
          </w:p>
        </w:tc>
      </w:tr>
    </w:tbl>
    <w:p w:rsidR="00CA60CC" w:rsidRDefault="005B412D">
      <w:pPr>
        <w:pBdr>
          <w:top w:val="nil"/>
          <w:left w:val="nil"/>
          <w:bottom w:val="nil"/>
          <w:right w:val="nil"/>
          <w:between w:val="nil"/>
        </w:pBdr>
        <w:jc w:val="center"/>
        <w:rPr>
          <w:b/>
          <w:color w:val="000000"/>
        </w:rPr>
      </w:pPr>
      <w:r>
        <w:rPr>
          <w:b/>
          <w:color w:val="000000"/>
        </w:rPr>
        <w:t>Table 1: Profitability Ratios</w:t>
      </w:r>
    </w:p>
    <w:p w:rsidR="00CA60CC" w:rsidRDefault="005B412D">
      <w:pPr>
        <w:pBdr>
          <w:top w:val="nil"/>
          <w:left w:val="nil"/>
          <w:bottom w:val="nil"/>
          <w:right w:val="nil"/>
          <w:between w:val="nil"/>
        </w:pBdr>
        <w:jc w:val="center"/>
        <w:rPr>
          <w:color w:val="000000"/>
        </w:rPr>
      </w:pPr>
      <w:r>
        <w:rPr>
          <w:color w:val="000000"/>
        </w:rPr>
        <w:t>(Source: Prepared by self)</w:t>
      </w:r>
    </w:p>
    <w:p w:rsidR="00CA60CC" w:rsidRDefault="005B412D">
      <w:pPr>
        <w:pBdr>
          <w:top w:val="nil"/>
          <w:left w:val="nil"/>
          <w:bottom w:val="nil"/>
          <w:right w:val="nil"/>
          <w:between w:val="nil"/>
        </w:pBdr>
        <w:rPr>
          <w:b/>
          <w:i/>
          <w:color w:val="000000"/>
          <w:u w:val="single"/>
        </w:rPr>
      </w:pPr>
      <w:r>
        <w:rPr>
          <w:b/>
          <w:i/>
          <w:color w:val="000000"/>
          <w:u w:val="single"/>
        </w:rPr>
        <w:t>Liquidity Ratios</w:t>
      </w:r>
    </w:p>
    <w:tbl>
      <w:tblPr>
        <w:tblStyle w:val="a0"/>
        <w:tblW w:w="9360" w:type="dxa"/>
        <w:jc w:val="center"/>
        <w:tblBorders>
          <w:top w:val="nil"/>
          <w:left w:val="nil"/>
          <w:bottom w:val="nil"/>
          <w:right w:val="nil"/>
          <w:insideH w:val="nil"/>
          <w:insideV w:val="nil"/>
        </w:tblBorders>
        <w:tblLayout w:type="fixed"/>
        <w:tblLook w:val="0600"/>
      </w:tblPr>
      <w:tblGrid>
        <w:gridCol w:w="1364"/>
        <w:gridCol w:w="2076"/>
        <w:gridCol w:w="1371"/>
        <w:gridCol w:w="1112"/>
        <w:gridCol w:w="1135"/>
        <w:gridCol w:w="1167"/>
        <w:gridCol w:w="1135"/>
      </w:tblGrid>
      <w:tr w:rsidR="00CA60CC">
        <w:trPr>
          <w:trHeight w:val="345"/>
          <w:jc w:val="center"/>
        </w:trPr>
        <w:tc>
          <w:tcPr>
            <w:tcW w:w="9360" w:type="dxa"/>
            <w:gridSpan w:val="7"/>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 xml:space="preserve">Liquidity </w:t>
            </w:r>
            <w:r>
              <w:rPr>
                <w:color w:val="000000"/>
              </w:rPr>
              <w:t>Ratios</w:t>
            </w:r>
          </w:p>
        </w:tc>
      </w:tr>
      <w:tr w:rsidR="00CA60CC">
        <w:trPr>
          <w:trHeight w:val="345"/>
          <w:jc w:val="center"/>
        </w:trPr>
        <w:tc>
          <w:tcPr>
            <w:tcW w:w="1364"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Ratio</w:t>
            </w:r>
          </w:p>
        </w:tc>
        <w:tc>
          <w:tcPr>
            <w:tcW w:w="2076"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Formulas</w:t>
            </w:r>
          </w:p>
        </w:tc>
        <w:tc>
          <w:tcPr>
            <w:tcW w:w="1371"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2019 (in £m)</w:t>
            </w:r>
          </w:p>
        </w:tc>
        <w:tc>
          <w:tcPr>
            <w:tcW w:w="1112"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2020 (in £m)</w:t>
            </w:r>
          </w:p>
        </w:tc>
        <w:tc>
          <w:tcPr>
            <w:tcW w:w="113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2021 (in £m)</w:t>
            </w:r>
          </w:p>
        </w:tc>
        <w:tc>
          <w:tcPr>
            <w:tcW w:w="1167"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2022 (in £m)</w:t>
            </w:r>
          </w:p>
        </w:tc>
        <w:tc>
          <w:tcPr>
            <w:tcW w:w="113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2023 (in £m)</w:t>
            </w:r>
          </w:p>
        </w:tc>
      </w:tr>
      <w:tr w:rsidR="00CA60CC">
        <w:trPr>
          <w:trHeight w:val="345"/>
          <w:jc w:val="center"/>
        </w:trPr>
        <w:tc>
          <w:tcPr>
            <w:tcW w:w="1364" w:type="dxa"/>
            <w:vMerge w:val="restart"/>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Current Ratio</w:t>
            </w:r>
          </w:p>
        </w:tc>
        <w:tc>
          <w:tcPr>
            <w:tcW w:w="2076" w:type="dxa"/>
            <w:vMerge w:val="restart"/>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(Current Assets/ Current Liabilities)</w:t>
            </w:r>
          </w:p>
        </w:tc>
        <w:tc>
          <w:tcPr>
            <w:tcW w:w="137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(16054 / 14976)</w:t>
            </w:r>
          </w:p>
        </w:tc>
        <w:tc>
          <w:tcPr>
            <w:tcW w:w="1112"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(14331/ 13700)</w:t>
            </w:r>
          </w:p>
        </w:tc>
        <w:tc>
          <w:tcPr>
            <w:tcW w:w="113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(13287 / 11159)</w:t>
            </w:r>
          </w:p>
        </w:tc>
        <w:tc>
          <w:tcPr>
            <w:tcW w:w="11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(16011 / 13918)</w:t>
            </w:r>
          </w:p>
        </w:tc>
        <w:tc>
          <w:tcPr>
            <w:tcW w:w="113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(18111/ 14926)</w:t>
            </w:r>
          </w:p>
        </w:tc>
      </w:tr>
      <w:tr w:rsidR="00CA60CC">
        <w:trPr>
          <w:trHeight w:val="345"/>
          <w:jc w:val="center"/>
        </w:trPr>
        <w:tc>
          <w:tcPr>
            <w:tcW w:w="1364" w:type="dxa"/>
            <w:vMerge/>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2076" w:type="dxa"/>
            <w:vMerge/>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137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1.07</w:t>
            </w:r>
          </w:p>
        </w:tc>
        <w:tc>
          <w:tcPr>
            <w:tcW w:w="1112"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1.05</w:t>
            </w:r>
          </w:p>
        </w:tc>
        <w:tc>
          <w:tcPr>
            <w:tcW w:w="113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1.19</w:t>
            </w:r>
          </w:p>
        </w:tc>
        <w:tc>
          <w:tcPr>
            <w:tcW w:w="11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1.15</w:t>
            </w:r>
          </w:p>
        </w:tc>
        <w:tc>
          <w:tcPr>
            <w:tcW w:w="113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1.21</w:t>
            </w:r>
          </w:p>
        </w:tc>
      </w:tr>
      <w:tr w:rsidR="00CA60CC">
        <w:trPr>
          <w:trHeight w:val="630"/>
          <w:jc w:val="center"/>
        </w:trPr>
        <w:tc>
          <w:tcPr>
            <w:tcW w:w="1364" w:type="dxa"/>
            <w:vMerge w:val="restart"/>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 xml:space="preserve">Quick </w:t>
            </w:r>
            <w:r>
              <w:rPr>
                <w:color w:val="000000"/>
              </w:rPr>
              <w:t>Ratio</w:t>
            </w:r>
          </w:p>
        </w:tc>
        <w:tc>
          <w:tcPr>
            <w:tcW w:w="2076" w:type="dxa"/>
            <w:vMerge w:val="restart"/>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(Current Assets - Inventory)/ Current Liabilities</w:t>
            </w:r>
          </w:p>
        </w:tc>
        <w:tc>
          <w:tcPr>
            <w:tcW w:w="137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(16054 - 4320) / 14976</w:t>
            </w:r>
          </w:p>
        </w:tc>
        <w:tc>
          <w:tcPr>
            <w:tcW w:w="1112"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(14331- 3690)/ 13700</w:t>
            </w:r>
          </w:p>
        </w:tc>
        <w:tc>
          <w:tcPr>
            <w:tcW w:w="113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(13287 -3666)/ 11159</w:t>
            </w:r>
          </w:p>
        </w:tc>
        <w:tc>
          <w:tcPr>
            <w:tcW w:w="11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(16011- 4708) / 13918</w:t>
            </w:r>
          </w:p>
        </w:tc>
        <w:tc>
          <w:tcPr>
            <w:tcW w:w="113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(18111- 4848) / 14926</w:t>
            </w:r>
          </w:p>
        </w:tc>
      </w:tr>
      <w:tr w:rsidR="00CA60CC">
        <w:trPr>
          <w:trHeight w:val="345"/>
          <w:jc w:val="center"/>
        </w:trPr>
        <w:tc>
          <w:tcPr>
            <w:tcW w:w="1364" w:type="dxa"/>
            <w:vMerge/>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2076" w:type="dxa"/>
            <w:vMerge/>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137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0.78</w:t>
            </w:r>
          </w:p>
        </w:tc>
        <w:tc>
          <w:tcPr>
            <w:tcW w:w="1112"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0.78</w:t>
            </w:r>
          </w:p>
        </w:tc>
        <w:tc>
          <w:tcPr>
            <w:tcW w:w="113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0.86</w:t>
            </w:r>
          </w:p>
        </w:tc>
        <w:tc>
          <w:tcPr>
            <w:tcW w:w="1167"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0.81</w:t>
            </w:r>
          </w:p>
        </w:tc>
        <w:tc>
          <w:tcPr>
            <w:tcW w:w="113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0.89</w:t>
            </w:r>
          </w:p>
        </w:tc>
      </w:tr>
    </w:tbl>
    <w:p w:rsidR="00CA60CC" w:rsidRDefault="005B412D">
      <w:pPr>
        <w:pBdr>
          <w:top w:val="nil"/>
          <w:left w:val="nil"/>
          <w:bottom w:val="nil"/>
          <w:right w:val="nil"/>
          <w:between w:val="nil"/>
        </w:pBdr>
        <w:jc w:val="center"/>
        <w:rPr>
          <w:b/>
          <w:color w:val="000000"/>
        </w:rPr>
      </w:pPr>
      <w:r>
        <w:rPr>
          <w:b/>
          <w:color w:val="000000"/>
        </w:rPr>
        <w:t>Table 2: Liquidity Ratios</w:t>
      </w:r>
    </w:p>
    <w:p w:rsidR="00CA60CC" w:rsidRDefault="005B412D">
      <w:pPr>
        <w:pBdr>
          <w:top w:val="nil"/>
          <w:left w:val="nil"/>
          <w:bottom w:val="nil"/>
          <w:right w:val="nil"/>
          <w:between w:val="nil"/>
        </w:pBdr>
        <w:jc w:val="center"/>
        <w:rPr>
          <w:b/>
          <w:i/>
          <w:color w:val="000000"/>
          <w:u w:val="single"/>
        </w:rPr>
      </w:pPr>
      <w:r>
        <w:rPr>
          <w:color w:val="000000"/>
        </w:rPr>
        <w:t>(Source: Prepared by self)</w:t>
      </w:r>
    </w:p>
    <w:p w:rsidR="00CA60CC" w:rsidRDefault="005B412D">
      <w:pPr>
        <w:pBdr>
          <w:top w:val="nil"/>
          <w:left w:val="nil"/>
          <w:bottom w:val="nil"/>
          <w:right w:val="nil"/>
          <w:between w:val="nil"/>
        </w:pBdr>
        <w:rPr>
          <w:color w:val="000000"/>
        </w:rPr>
      </w:pPr>
      <w:r>
        <w:rPr>
          <w:b/>
          <w:i/>
          <w:color w:val="000000"/>
          <w:u w:val="single"/>
        </w:rPr>
        <w:t xml:space="preserve">Gearing </w:t>
      </w:r>
      <w:r>
        <w:rPr>
          <w:b/>
          <w:i/>
          <w:color w:val="000000"/>
          <w:u w:val="single"/>
        </w:rPr>
        <w:t>Ratios</w:t>
      </w:r>
    </w:p>
    <w:tbl>
      <w:tblPr>
        <w:tblStyle w:val="a1"/>
        <w:tblW w:w="9360" w:type="dxa"/>
        <w:jc w:val="center"/>
        <w:tblBorders>
          <w:top w:val="nil"/>
          <w:left w:val="nil"/>
          <w:bottom w:val="nil"/>
          <w:right w:val="nil"/>
          <w:insideH w:val="nil"/>
          <w:insideV w:val="nil"/>
        </w:tblBorders>
        <w:tblLayout w:type="fixed"/>
        <w:tblLook w:val="0600"/>
      </w:tblPr>
      <w:tblGrid>
        <w:gridCol w:w="1364"/>
        <w:gridCol w:w="2076"/>
        <w:gridCol w:w="1371"/>
        <w:gridCol w:w="1112"/>
        <w:gridCol w:w="1135"/>
        <w:gridCol w:w="1167"/>
        <w:gridCol w:w="1135"/>
      </w:tblGrid>
      <w:tr w:rsidR="00CA60CC">
        <w:trPr>
          <w:trHeight w:val="345"/>
          <w:jc w:val="center"/>
        </w:trPr>
        <w:tc>
          <w:tcPr>
            <w:tcW w:w="9360" w:type="dxa"/>
            <w:gridSpan w:val="7"/>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Gearing Ratios</w:t>
            </w:r>
          </w:p>
        </w:tc>
      </w:tr>
      <w:tr w:rsidR="00CA60CC">
        <w:trPr>
          <w:trHeight w:val="345"/>
          <w:jc w:val="center"/>
        </w:trPr>
        <w:tc>
          <w:tcPr>
            <w:tcW w:w="1364"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Ratio</w:t>
            </w:r>
          </w:p>
        </w:tc>
        <w:tc>
          <w:tcPr>
            <w:tcW w:w="2076"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Formulas</w:t>
            </w:r>
          </w:p>
        </w:tc>
        <w:tc>
          <w:tcPr>
            <w:tcW w:w="1371"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2019 (in £m)</w:t>
            </w:r>
          </w:p>
        </w:tc>
        <w:tc>
          <w:tcPr>
            <w:tcW w:w="1112"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2020 (in £m)</w:t>
            </w:r>
          </w:p>
        </w:tc>
        <w:tc>
          <w:tcPr>
            <w:tcW w:w="113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2021 (in £m)</w:t>
            </w:r>
          </w:p>
        </w:tc>
        <w:tc>
          <w:tcPr>
            <w:tcW w:w="1167"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2022 (in £m)</w:t>
            </w:r>
          </w:p>
        </w:tc>
        <w:tc>
          <w:tcPr>
            <w:tcW w:w="113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2023 (in £m)</w:t>
            </w:r>
          </w:p>
        </w:tc>
      </w:tr>
      <w:tr w:rsidR="00CA60CC">
        <w:trPr>
          <w:trHeight w:val="345"/>
          <w:jc w:val="center"/>
        </w:trPr>
        <w:tc>
          <w:tcPr>
            <w:tcW w:w="1364" w:type="dxa"/>
            <w:vMerge w:val="restart"/>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Debt-to-Equity</w:t>
            </w:r>
          </w:p>
        </w:tc>
        <w:tc>
          <w:tcPr>
            <w:tcW w:w="2076" w:type="dxa"/>
            <w:vMerge w:val="restart"/>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(Total debt/ Total equity)</w:t>
            </w:r>
          </w:p>
        </w:tc>
        <w:tc>
          <w:tcPr>
            <w:tcW w:w="137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(35599/1114)</w:t>
            </w:r>
          </w:p>
        </w:tc>
        <w:tc>
          <w:tcPr>
            <w:tcW w:w="1112"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(34365/4517)</w:t>
            </w:r>
          </w:p>
        </w:tc>
        <w:tc>
          <w:tcPr>
            <w:tcW w:w="1135"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(33286/(4278)</w:t>
            </w:r>
          </w:p>
        </w:tc>
        <w:tc>
          <w:tcPr>
            <w:tcW w:w="11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(33286/6016)</w:t>
            </w:r>
          </w:p>
        </w:tc>
        <w:tc>
          <w:tcPr>
            <w:tcW w:w="1135"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(35141/3,629)</w:t>
            </w:r>
          </w:p>
        </w:tc>
      </w:tr>
      <w:tr w:rsidR="00CA60CC">
        <w:trPr>
          <w:trHeight w:val="345"/>
          <w:jc w:val="center"/>
        </w:trPr>
        <w:tc>
          <w:tcPr>
            <w:tcW w:w="1364" w:type="dxa"/>
            <w:vMerge/>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2076" w:type="dxa"/>
            <w:vMerge/>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137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31.96</w:t>
            </w:r>
          </w:p>
        </w:tc>
        <w:tc>
          <w:tcPr>
            <w:tcW w:w="1112"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7.61</w:t>
            </w:r>
          </w:p>
        </w:tc>
        <w:tc>
          <w:tcPr>
            <w:tcW w:w="1135"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7.78</w:t>
            </w:r>
          </w:p>
        </w:tc>
        <w:tc>
          <w:tcPr>
            <w:tcW w:w="11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5.53</w:t>
            </w:r>
          </w:p>
        </w:tc>
        <w:tc>
          <w:tcPr>
            <w:tcW w:w="1135"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9.68</w:t>
            </w:r>
          </w:p>
        </w:tc>
      </w:tr>
      <w:tr w:rsidR="00CA60CC">
        <w:trPr>
          <w:trHeight w:val="345"/>
          <w:jc w:val="center"/>
        </w:trPr>
        <w:tc>
          <w:tcPr>
            <w:tcW w:w="1364" w:type="dxa"/>
            <w:vMerge w:val="restart"/>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Debt-to-</w:t>
            </w:r>
            <w:r>
              <w:rPr>
                <w:color w:val="000000"/>
              </w:rPr>
              <w:lastRenderedPageBreak/>
              <w:t>Asset</w:t>
            </w:r>
          </w:p>
        </w:tc>
        <w:tc>
          <w:tcPr>
            <w:tcW w:w="2076" w:type="dxa"/>
            <w:vMerge w:val="restart"/>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lastRenderedPageBreak/>
              <w:t xml:space="preserve">(Total debt/ Total </w:t>
            </w:r>
            <w:r>
              <w:rPr>
                <w:color w:val="000000"/>
              </w:rPr>
              <w:lastRenderedPageBreak/>
              <w:t>assets)</w:t>
            </w:r>
          </w:p>
        </w:tc>
        <w:tc>
          <w:tcPr>
            <w:tcW w:w="137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lastRenderedPageBreak/>
              <w:t>(35599/3448</w:t>
            </w:r>
            <w:r>
              <w:rPr>
                <w:color w:val="000000"/>
              </w:rPr>
              <w:lastRenderedPageBreak/>
              <w:t>5)</w:t>
            </w:r>
          </w:p>
        </w:tc>
        <w:tc>
          <w:tcPr>
            <w:tcW w:w="1112"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lastRenderedPageBreak/>
              <w:t>(34365/29</w:t>
            </w:r>
            <w:r>
              <w:rPr>
                <w:color w:val="000000"/>
              </w:rPr>
              <w:lastRenderedPageBreak/>
              <w:t>848)</w:t>
            </w:r>
          </w:p>
        </w:tc>
        <w:tc>
          <w:tcPr>
            <w:tcW w:w="1135"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lastRenderedPageBreak/>
              <w:t>(33286/29</w:t>
            </w:r>
            <w:r>
              <w:rPr>
                <w:color w:val="000000"/>
              </w:rPr>
              <w:lastRenderedPageBreak/>
              <w:t>008)</w:t>
            </w:r>
          </w:p>
        </w:tc>
        <w:tc>
          <w:tcPr>
            <w:tcW w:w="11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lastRenderedPageBreak/>
              <w:t>(33286/29</w:t>
            </w:r>
            <w:r>
              <w:rPr>
                <w:color w:val="000000"/>
              </w:rPr>
              <w:lastRenderedPageBreak/>
              <w:t>008)</w:t>
            </w:r>
          </w:p>
        </w:tc>
        <w:tc>
          <w:tcPr>
            <w:tcW w:w="1135"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lastRenderedPageBreak/>
              <w:t>(35141/31</w:t>
            </w:r>
            <w:r>
              <w:rPr>
                <w:color w:val="000000"/>
              </w:rPr>
              <w:lastRenderedPageBreak/>
              <w:t>512 )</w:t>
            </w:r>
          </w:p>
        </w:tc>
      </w:tr>
      <w:tr w:rsidR="00CA60CC">
        <w:trPr>
          <w:trHeight w:val="345"/>
          <w:jc w:val="center"/>
        </w:trPr>
        <w:tc>
          <w:tcPr>
            <w:tcW w:w="1364" w:type="dxa"/>
            <w:vMerge/>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2076" w:type="dxa"/>
            <w:vMerge/>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137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1.03</w:t>
            </w:r>
          </w:p>
        </w:tc>
        <w:tc>
          <w:tcPr>
            <w:tcW w:w="1112"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1.15</w:t>
            </w:r>
          </w:p>
        </w:tc>
        <w:tc>
          <w:tcPr>
            <w:tcW w:w="1135"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1.15</w:t>
            </w:r>
          </w:p>
        </w:tc>
        <w:tc>
          <w:tcPr>
            <w:tcW w:w="1167"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1.15</w:t>
            </w:r>
          </w:p>
        </w:tc>
        <w:tc>
          <w:tcPr>
            <w:tcW w:w="113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1.12</w:t>
            </w:r>
          </w:p>
        </w:tc>
      </w:tr>
    </w:tbl>
    <w:p w:rsidR="00CA60CC" w:rsidRDefault="005B412D">
      <w:pPr>
        <w:pBdr>
          <w:top w:val="nil"/>
          <w:left w:val="nil"/>
          <w:bottom w:val="nil"/>
          <w:right w:val="nil"/>
          <w:between w:val="nil"/>
        </w:pBdr>
        <w:jc w:val="center"/>
        <w:rPr>
          <w:b/>
          <w:color w:val="000000"/>
        </w:rPr>
      </w:pPr>
      <w:r>
        <w:rPr>
          <w:b/>
          <w:color w:val="000000"/>
        </w:rPr>
        <w:t>Table 3: Gearing Ratios</w:t>
      </w:r>
    </w:p>
    <w:p w:rsidR="00CA60CC" w:rsidRDefault="005B412D">
      <w:pPr>
        <w:pBdr>
          <w:top w:val="nil"/>
          <w:left w:val="nil"/>
          <w:bottom w:val="nil"/>
          <w:right w:val="nil"/>
          <w:between w:val="nil"/>
        </w:pBdr>
        <w:jc w:val="center"/>
        <w:rPr>
          <w:color w:val="000000"/>
        </w:rPr>
      </w:pPr>
      <w:r>
        <w:rPr>
          <w:color w:val="000000"/>
        </w:rPr>
        <w:t>(Source: Prepared by self)</w:t>
      </w:r>
    </w:p>
    <w:p w:rsidR="00CA60CC" w:rsidRDefault="005B412D">
      <w:pPr>
        <w:pBdr>
          <w:top w:val="nil"/>
          <w:left w:val="nil"/>
          <w:bottom w:val="nil"/>
          <w:right w:val="nil"/>
          <w:between w:val="nil"/>
        </w:pBdr>
        <w:rPr>
          <w:color w:val="000000"/>
        </w:rPr>
      </w:pPr>
      <w:r>
        <w:rPr>
          <w:b/>
          <w:i/>
          <w:color w:val="000000"/>
          <w:u w:val="single"/>
        </w:rPr>
        <w:t>Efficiency Ratios</w:t>
      </w:r>
    </w:p>
    <w:tbl>
      <w:tblPr>
        <w:tblStyle w:val="a2"/>
        <w:tblW w:w="9360" w:type="dxa"/>
        <w:jc w:val="center"/>
        <w:tblBorders>
          <w:top w:val="nil"/>
          <w:left w:val="nil"/>
          <w:bottom w:val="nil"/>
          <w:right w:val="nil"/>
          <w:insideH w:val="nil"/>
          <w:insideV w:val="nil"/>
        </w:tblBorders>
        <w:tblLayout w:type="fixed"/>
        <w:tblLook w:val="0600"/>
      </w:tblPr>
      <w:tblGrid>
        <w:gridCol w:w="1364"/>
        <w:gridCol w:w="2076"/>
        <w:gridCol w:w="1371"/>
        <w:gridCol w:w="1112"/>
        <w:gridCol w:w="1135"/>
        <w:gridCol w:w="1167"/>
        <w:gridCol w:w="1135"/>
      </w:tblGrid>
      <w:tr w:rsidR="00CA60CC">
        <w:trPr>
          <w:trHeight w:val="345"/>
          <w:jc w:val="center"/>
        </w:trPr>
        <w:tc>
          <w:tcPr>
            <w:tcW w:w="9360" w:type="dxa"/>
            <w:gridSpan w:val="7"/>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Efficiency Ratios</w:t>
            </w:r>
          </w:p>
        </w:tc>
      </w:tr>
      <w:tr w:rsidR="00CA60CC">
        <w:trPr>
          <w:trHeight w:val="345"/>
          <w:jc w:val="center"/>
        </w:trPr>
        <w:tc>
          <w:tcPr>
            <w:tcW w:w="1364"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Ratio</w:t>
            </w:r>
          </w:p>
        </w:tc>
        <w:tc>
          <w:tcPr>
            <w:tcW w:w="2076"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Formulas</w:t>
            </w:r>
          </w:p>
        </w:tc>
        <w:tc>
          <w:tcPr>
            <w:tcW w:w="1371"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2019 (in £m)</w:t>
            </w:r>
          </w:p>
        </w:tc>
        <w:tc>
          <w:tcPr>
            <w:tcW w:w="1112"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2020 (in £m)</w:t>
            </w:r>
          </w:p>
        </w:tc>
        <w:tc>
          <w:tcPr>
            <w:tcW w:w="113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2021 (in £m)</w:t>
            </w:r>
          </w:p>
        </w:tc>
        <w:tc>
          <w:tcPr>
            <w:tcW w:w="1167"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2022 (in £m)</w:t>
            </w:r>
          </w:p>
        </w:tc>
        <w:tc>
          <w:tcPr>
            <w:tcW w:w="113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2023 (in £m)</w:t>
            </w:r>
          </w:p>
        </w:tc>
      </w:tr>
      <w:tr w:rsidR="00CA60CC">
        <w:trPr>
          <w:trHeight w:val="315"/>
          <w:jc w:val="center"/>
        </w:trPr>
        <w:tc>
          <w:tcPr>
            <w:tcW w:w="1364" w:type="dxa"/>
            <w:vMerge w:val="restart"/>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Inventory Turnover Ratio</w:t>
            </w:r>
          </w:p>
        </w:tc>
        <w:tc>
          <w:tcPr>
            <w:tcW w:w="2076" w:type="dxa"/>
            <w:vMerge w:val="restart"/>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(Cost of goods sold/ average inventory)</w:t>
            </w:r>
          </w:p>
        </w:tc>
        <w:tc>
          <w:tcPr>
            <w:tcW w:w="137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rPr>
                <w:color w:val="000000"/>
                <w:sz w:val="20"/>
                <w:szCs w:val="20"/>
              </w:rPr>
            </w:pPr>
          </w:p>
        </w:tc>
        <w:tc>
          <w:tcPr>
            <w:tcW w:w="1112"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rPr>
                <w:color w:val="000000"/>
                <w:sz w:val="20"/>
                <w:szCs w:val="20"/>
              </w:rPr>
            </w:pPr>
          </w:p>
        </w:tc>
        <w:tc>
          <w:tcPr>
            <w:tcW w:w="1135"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rPr>
                <w:color w:val="000000"/>
                <w:sz w:val="20"/>
                <w:szCs w:val="20"/>
              </w:rPr>
            </w:pPr>
          </w:p>
        </w:tc>
        <w:tc>
          <w:tcPr>
            <w:tcW w:w="11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rPr>
                <w:color w:val="000000"/>
                <w:sz w:val="20"/>
                <w:szCs w:val="20"/>
              </w:rPr>
            </w:pPr>
          </w:p>
        </w:tc>
        <w:tc>
          <w:tcPr>
            <w:tcW w:w="1135"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rPr>
                <w:color w:val="000000"/>
                <w:sz w:val="20"/>
                <w:szCs w:val="20"/>
              </w:rPr>
            </w:pPr>
          </w:p>
        </w:tc>
      </w:tr>
      <w:tr w:rsidR="00CA60CC">
        <w:trPr>
          <w:trHeight w:val="345"/>
          <w:jc w:val="center"/>
        </w:trPr>
        <w:tc>
          <w:tcPr>
            <w:tcW w:w="1364" w:type="dxa"/>
            <w:vMerge/>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2076" w:type="dxa"/>
            <w:vMerge/>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137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(16587/4320)</w:t>
            </w:r>
          </w:p>
        </w:tc>
        <w:tc>
          <w:tcPr>
            <w:tcW w:w="1112"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(11824/3690)</w:t>
            </w:r>
          </w:p>
        </w:tc>
        <w:tc>
          <w:tcPr>
            <w:tcW w:w="1135"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(9082/3666)</w:t>
            </w:r>
          </w:p>
        </w:tc>
        <w:tc>
          <w:tcPr>
            <w:tcW w:w="11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(10763/4708)</w:t>
            </w:r>
          </w:p>
        </w:tc>
        <w:tc>
          <w:tcPr>
            <w:tcW w:w="1135" w:type="dxa"/>
            <w:tcBorders>
              <w:top w:val="single" w:sz="4" w:space="0" w:color="CCCCCC"/>
              <w:left w:val="single" w:sz="4" w:space="0" w:color="CCCCCC"/>
              <w:bottom w:val="single" w:sz="4" w:space="0" w:color="CCCCCC"/>
              <w:right w:val="single" w:sz="4" w:space="0" w:color="000000"/>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(12866)/4848)</w:t>
            </w:r>
          </w:p>
        </w:tc>
      </w:tr>
      <w:tr w:rsidR="00CA60CC">
        <w:trPr>
          <w:trHeight w:val="345"/>
          <w:jc w:val="center"/>
        </w:trPr>
        <w:tc>
          <w:tcPr>
            <w:tcW w:w="1364" w:type="dxa"/>
            <w:vMerge w:val="restart"/>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Receivable Turnover Ratio</w:t>
            </w:r>
          </w:p>
        </w:tc>
        <w:tc>
          <w:tcPr>
            <w:tcW w:w="2076" w:type="dxa"/>
            <w:vMerge w:val="restart"/>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rPr>
            </w:pPr>
            <w:r>
              <w:rPr>
                <w:color w:val="000000"/>
              </w:rPr>
              <w:t>(Cost of goods sold/ accounts payable)</w:t>
            </w:r>
          </w:p>
        </w:tc>
        <w:tc>
          <w:tcPr>
            <w:tcW w:w="137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3.84</w:t>
            </w:r>
          </w:p>
        </w:tc>
        <w:tc>
          <w:tcPr>
            <w:tcW w:w="1112"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3.20</w:t>
            </w:r>
          </w:p>
        </w:tc>
        <w:tc>
          <w:tcPr>
            <w:tcW w:w="1135"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2.48</w:t>
            </w:r>
          </w:p>
        </w:tc>
        <w:tc>
          <w:tcPr>
            <w:tcW w:w="11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2.29</w:t>
            </w:r>
          </w:p>
        </w:tc>
        <w:tc>
          <w:tcPr>
            <w:tcW w:w="1135"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2.65</w:t>
            </w:r>
          </w:p>
        </w:tc>
      </w:tr>
      <w:tr w:rsidR="00CA60CC">
        <w:trPr>
          <w:trHeight w:val="345"/>
          <w:jc w:val="center"/>
        </w:trPr>
        <w:tc>
          <w:tcPr>
            <w:tcW w:w="1364" w:type="dxa"/>
            <w:vMerge/>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2076" w:type="dxa"/>
            <w:vMerge/>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137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(16587/8460)</w:t>
            </w:r>
          </w:p>
        </w:tc>
        <w:tc>
          <w:tcPr>
            <w:tcW w:w="1112"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(11824/8460)</w:t>
            </w:r>
          </w:p>
        </w:tc>
        <w:tc>
          <w:tcPr>
            <w:tcW w:w="1135"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(9082/6017)</w:t>
            </w:r>
          </w:p>
        </w:tc>
        <w:tc>
          <w:tcPr>
            <w:tcW w:w="11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(10763/6983)</w:t>
            </w:r>
          </w:p>
        </w:tc>
        <w:tc>
          <w:tcPr>
            <w:tcW w:w="1135" w:type="dxa"/>
            <w:tcBorders>
              <w:top w:val="single" w:sz="4" w:space="0" w:color="CCCCCC"/>
              <w:left w:val="single" w:sz="4" w:space="0" w:color="CCCCCC"/>
              <w:bottom w:val="single" w:sz="4" w:space="0" w:color="CCCCCC"/>
              <w:right w:val="single" w:sz="4" w:space="0" w:color="000000"/>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(12866)/6896)</w:t>
            </w:r>
          </w:p>
        </w:tc>
      </w:tr>
      <w:tr w:rsidR="00CA60CC">
        <w:trPr>
          <w:trHeight w:val="345"/>
          <w:jc w:val="center"/>
        </w:trPr>
        <w:tc>
          <w:tcPr>
            <w:tcW w:w="1364"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rPr>
                <w:color w:val="000000"/>
                <w:sz w:val="20"/>
                <w:szCs w:val="20"/>
              </w:rPr>
            </w:pPr>
          </w:p>
        </w:tc>
        <w:tc>
          <w:tcPr>
            <w:tcW w:w="2076"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CA60CC">
            <w:pPr>
              <w:widowControl w:val="0"/>
              <w:pBdr>
                <w:top w:val="nil"/>
                <w:left w:val="nil"/>
                <w:bottom w:val="nil"/>
                <w:right w:val="nil"/>
                <w:between w:val="nil"/>
              </w:pBdr>
              <w:rPr>
                <w:color w:val="000000"/>
                <w:sz w:val="20"/>
                <w:szCs w:val="20"/>
              </w:rPr>
            </w:pPr>
          </w:p>
        </w:tc>
        <w:tc>
          <w:tcPr>
            <w:tcW w:w="137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1.96</w:t>
            </w:r>
          </w:p>
        </w:tc>
        <w:tc>
          <w:tcPr>
            <w:tcW w:w="1112"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1.40</w:t>
            </w:r>
          </w:p>
        </w:tc>
        <w:tc>
          <w:tcPr>
            <w:tcW w:w="1135"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1.51</w:t>
            </w:r>
          </w:p>
        </w:tc>
        <w:tc>
          <w:tcPr>
            <w:tcW w:w="1167"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1.54</w:t>
            </w:r>
          </w:p>
        </w:tc>
        <w:tc>
          <w:tcPr>
            <w:tcW w:w="1135"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1.87</w:t>
            </w:r>
          </w:p>
        </w:tc>
      </w:tr>
    </w:tbl>
    <w:p w:rsidR="00CA60CC" w:rsidRDefault="005B412D">
      <w:pPr>
        <w:pBdr>
          <w:top w:val="nil"/>
          <w:left w:val="nil"/>
          <w:bottom w:val="nil"/>
          <w:right w:val="nil"/>
          <w:between w:val="nil"/>
        </w:pBdr>
        <w:jc w:val="center"/>
        <w:rPr>
          <w:b/>
          <w:color w:val="000000"/>
        </w:rPr>
      </w:pPr>
      <w:r>
        <w:rPr>
          <w:b/>
          <w:color w:val="000000"/>
        </w:rPr>
        <w:t>Table 4: Efficiency Ratios</w:t>
      </w:r>
    </w:p>
    <w:p w:rsidR="00CA60CC" w:rsidRDefault="005B412D">
      <w:pPr>
        <w:pBdr>
          <w:top w:val="nil"/>
          <w:left w:val="nil"/>
          <w:bottom w:val="nil"/>
          <w:right w:val="nil"/>
          <w:between w:val="nil"/>
        </w:pBdr>
        <w:jc w:val="center"/>
        <w:rPr>
          <w:color w:val="000000"/>
        </w:rPr>
      </w:pPr>
      <w:r>
        <w:rPr>
          <w:color w:val="000000"/>
        </w:rPr>
        <w:t>(Source: Prepared by self)</w:t>
      </w:r>
    </w:p>
    <w:p w:rsidR="00CA60CC" w:rsidRDefault="005B412D">
      <w:pPr>
        <w:pStyle w:val="Heading2"/>
      </w:pPr>
      <w:bookmarkStart w:id="8" w:name="_Toc173258890"/>
      <w:r>
        <w:t>Critical evaluation of the ratios</w:t>
      </w:r>
      <w:bookmarkEnd w:id="8"/>
    </w:p>
    <w:p w:rsidR="00CA60CC" w:rsidRDefault="005B412D">
      <w:pPr>
        <w:pBdr>
          <w:top w:val="nil"/>
          <w:left w:val="nil"/>
          <w:bottom w:val="nil"/>
          <w:right w:val="nil"/>
          <w:between w:val="nil"/>
        </w:pBdr>
        <w:rPr>
          <w:color w:val="000000"/>
        </w:rPr>
      </w:pPr>
      <w:r>
        <w:rPr>
          <w:color w:val="000000"/>
        </w:rPr>
        <w:t xml:space="preserve">The relevance of the profitability ratio lies </w:t>
      </w:r>
      <w:r w:rsidR="0076512E">
        <w:rPr>
          <w:color w:val="000000"/>
        </w:rPr>
        <w:t>in</w:t>
      </w:r>
      <w:r>
        <w:rPr>
          <w:color w:val="000000"/>
        </w:rPr>
        <w:t xml:space="preserve"> the evaluation of the key income that an organisation is able to generate from its key operational activities (</w:t>
      </w:r>
      <w:r>
        <w:rPr>
          <w:color w:val="222222"/>
          <w:highlight w:val="white"/>
        </w:rPr>
        <w:t xml:space="preserve">Lowe </w:t>
      </w:r>
      <w:r>
        <w:rPr>
          <w:i/>
          <w:color w:val="222222"/>
          <w:highlight w:val="white"/>
        </w:rPr>
        <w:t xml:space="preserve">et al., </w:t>
      </w:r>
      <w:r>
        <w:rPr>
          <w:color w:val="222222"/>
          <w:highlight w:val="white"/>
        </w:rPr>
        <w:t>2020</w:t>
      </w:r>
      <w:r>
        <w:rPr>
          <w:color w:val="000000"/>
        </w:rPr>
        <w:t xml:space="preserve">). An organisation generally has different options to maintain a profit for </w:t>
      </w:r>
      <w:r w:rsidR="00A733E4">
        <w:rPr>
          <w:color w:val="000000"/>
        </w:rPr>
        <w:t>its</w:t>
      </w:r>
      <w:r>
        <w:rPr>
          <w:color w:val="000000"/>
        </w:rPr>
        <w:t xml:space="preserve"> business. Certainly, based on this two of the p</w:t>
      </w:r>
      <w:r>
        <w:rPr>
          <w:color w:val="000000"/>
        </w:rPr>
        <w:t xml:space="preserve">rominent profitability ratios </w:t>
      </w:r>
      <w:r w:rsidR="0076512E">
        <w:rPr>
          <w:color w:val="000000"/>
        </w:rPr>
        <w:t>have</w:t>
      </w:r>
      <w:r>
        <w:rPr>
          <w:color w:val="000000"/>
        </w:rPr>
        <w:t xml:space="preserve"> been computed for Rolls Royce against the past five financial years. The first profitability ratio that has been computed is of gross profit margin. The gross profit margin of the organisation is computed to be 5.68% in 2</w:t>
      </w:r>
      <w:r>
        <w:rPr>
          <w:color w:val="000000"/>
        </w:rPr>
        <w:t>019, which has decreased to 1.63% while reaching the end of the financial year of 2020. However, in the very next financial year, it has been noted that the value of the ratios has reached 19.04% by the end of the year 2021. Again, in the year 2022, the gr</w:t>
      </w:r>
      <w:r>
        <w:rPr>
          <w:color w:val="000000"/>
        </w:rPr>
        <w:t xml:space="preserve">oss profit margin has reached 20.39% and 21.96% in the very next financial year of the same. In terms of comparing the overall gross profit </w:t>
      </w:r>
      <w:r>
        <w:rPr>
          <w:color w:val="000000"/>
        </w:rPr>
        <w:lastRenderedPageBreak/>
        <w:t xml:space="preserve">margin of the company, it can be ascertained that the profitability of the company has increased over time. </w:t>
      </w:r>
    </w:p>
    <w:p w:rsidR="00CA60CC" w:rsidRDefault="005B412D">
      <w:pPr>
        <w:pBdr>
          <w:top w:val="nil"/>
          <w:left w:val="nil"/>
          <w:bottom w:val="nil"/>
          <w:right w:val="nil"/>
          <w:between w:val="nil"/>
        </w:pBdr>
        <w:rPr>
          <w:color w:val="000000"/>
        </w:rPr>
      </w:pPr>
      <w:r>
        <w:rPr>
          <w:color w:val="000000"/>
        </w:rPr>
        <w:t>The ver</w:t>
      </w:r>
      <w:r>
        <w:rPr>
          <w:color w:val="000000"/>
        </w:rPr>
        <w:t xml:space="preserve">y next profitability ratio that has been computed is the net profit margin. The relevance of net profit margin lies </w:t>
      </w:r>
      <w:r w:rsidR="00A733E4">
        <w:rPr>
          <w:color w:val="000000"/>
        </w:rPr>
        <w:t>in</w:t>
      </w:r>
      <w:r>
        <w:rPr>
          <w:color w:val="000000"/>
        </w:rPr>
        <w:t xml:space="preserve"> the evaluation of the overall income that an organisation is able to maintain by means of managing the operational activities (</w:t>
      </w:r>
      <w:r>
        <w:rPr>
          <w:color w:val="222222"/>
          <w:highlight w:val="white"/>
        </w:rPr>
        <w:t>Mulyadi, 2</w:t>
      </w:r>
      <w:r>
        <w:rPr>
          <w:color w:val="222222"/>
          <w:highlight w:val="white"/>
        </w:rPr>
        <w:t>020</w:t>
      </w:r>
      <w:r>
        <w:rPr>
          <w:color w:val="000000"/>
        </w:rPr>
        <w:t xml:space="preserve">). Based on this, it can be observed that the organisation has generated a net loss of about -7.90% during the financial year of 2019 which in turn has increased to -27.58% towards the end of the year 2020. Apparently, the organisation </w:t>
      </w:r>
      <w:r w:rsidR="00F02BBC">
        <w:rPr>
          <w:color w:val="000000"/>
        </w:rPr>
        <w:t>has</w:t>
      </w:r>
      <w:r>
        <w:rPr>
          <w:color w:val="000000"/>
        </w:rPr>
        <w:t xml:space="preserve"> somehow manag</w:t>
      </w:r>
      <w:r>
        <w:rPr>
          <w:color w:val="000000"/>
        </w:rPr>
        <w:t xml:space="preserve">ed to maintain a profitability of 1.08% in 2021 which has again changed into a loss by the end of the year 2022. However, while reaching the end of the year 2023, the company is noted to have a net profit margin of 14.58% as a whole. In terms of comparing </w:t>
      </w:r>
      <w:r>
        <w:rPr>
          <w:color w:val="000000"/>
        </w:rPr>
        <w:t>the overall profitability of the company, it has been observed that right from the beginning of the year 2019 the company was generating a loss. However, while reaching the end of the year 2023, the company has somehow managed to maintain a standard profit</w:t>
      </w:r>
      <w:r>
        <w:rPr>
          <w:color w:val="000000"/>
        </w:rPr>
        <w:t xml:space="preserve"> margin to support </w:t>
      </w:r>
      <w:r w:rsidR="00C42C09">
        <w:rPr>
          <w:color w:val="000000"/>
        </w:rPr>
        <w:t>its</w:t>
      </w:r>
      <w:r>
        <w:rPr>
          <w:color w:val="000000"/>
        </w:rPr>
        <w:t xml:space="preserve"> business. </w:t>
      </w:r>
    </w:p>
    <w:p w:rsidR="00CA60CC" w:rsidRDefault="005B412D">
      <w:pPr>
        <w:pBdr>
          <w:top w:val="nil"/>
          <w:left w:val="nil"/>
          <w:bottom w:val="nil"/>
          <w:right w:val="nil"/>
          <w:between w:val="nil"/>
        </w:pBdr>
        <w:rPr>
          <w:color w:val="000000"/>
        </w:rPr>
      </w:pPr>
      <w:r>
        <w:rPr>
          <w:color w:val="000000"/>
        </w:rPr>
        <w:t>The second category of ratios that have been computed is the liquidity ratio. The liquidity ratios are mainly used for the evaluation of the liquidity level of the companies in terms of repaying the obligations that are ou</w:t>
      </w:r>
      <w:r>
        <w:rPr>
          <w:color w:val="000000"/>
        </w:rPr>
        <w:t>tstanding (</w:t>
      </w:r>
      <w:r>
        <w:rPr>
          <w:color w:val="222222"/>
          <w:highlight w:val="white"/>
        </w:rPr>
        <w:t>Štangová, 2021</w:t>
      </w:r>
      <w:r>
        <w:rPr>
          <w:color w:val="000000"/>
        </w:rPr>
        <w:t xml:space="preserve">). In any business, higher liquidity is considered to be having a positive attribute to their operational activities. Based on this, it can be ascertained that the first liquidity ratio that has been computed is the current ratio. </w:t>
      </w:r>
      <w:r>
        <w:rPr>
          <w:color w:val="000000"/>
        </w:rPr>
        <w:t xml:space="preserve">The current ratio of the company is computed to be 1.07 times for the financial year of 2019 which has further decreased to 1.05 times towards the end of the very next financial year. Again, for the year 2021, the current ratio of the company was standing </w:t>
      </w:r>
      <w:r>
        <w:rPr>
          <w:color w:val="000000"/>
        </w:rPr>
        <w:t xml:space="preserve">at 1.19 times which has further decreased to 1.15 times by the end of the year 2022. Again, in the year 2023, the organisation is observed to have a current ratio of about 1.21 times which is the highest in all the past five financial years. </w:t>
      </w:r>
    </w:p>
    <w:p w:rsidR="00CA60CC" w:rsidRDefault="005B412D">
      <w:pPr>
        <w:pBdr>
          <w:top w:val="nil"/>
          <w:left w:val="nil"/>
          <w:bottom w:val="nil"/>
          <w:right w:val="nil"/>
          <w:between w:val="nil"/>
        </w:pBdr>
        <w:rPr>
          <w:color w:val="000000"/>
        </w:rPr>
      </w:pPr>
      <w:bookmarkStart w:id="9" w:name="_heading=h.2s8eyo1" w:colFirst="0" w:colLast="0"/>
      <w:bookmarkEnd w:id="9"/>
      <w:r>
        <w:rPr>
          <w:color w:val="000000"/>
        </w:rPr>
        <w:t>The second li</w:t>
      </w:r>
      <w:r>
        <w:rPr>
          <w:color w:val="000000"/>
        </w:rPr>
        <w:t>quidity ratio that had been computed is the quick ratio which basically relates the relevance of the company in terms of using their quick assets within the business. In this aspect, the quick ratio of the organisation was standing at 0.78 times against bo</w:t>
      </w:r>
      <w:r>
        <w:rPr>
          <w:color w:val="000000"/>
        </w:rPr>
        <w:t>th the financial year of 2019 and 2020. After that, the company observed a broader increase within their quick ratio wherein the value of the ratio was standing at 0.86 times during the end of the year 2021. Apparently, in the year 2022, the quick ratio of</w:t>
      </w:r>
      <w:r>
        <w:rPr>
          <w:color w:val="000000"/>
        </w:rPr>
        <w:t xml:space="preserve"> the company was computed to be 0.81 times which has turned to 0.89 times towards the end of the very next financial year of 2023. Thus, by </w:t>
      </w:r>
      <w:r>
        <w:rPr>
          <w:color w:val="000000"/>
        </w:rPr>
        <w:lastRenderedPageBreak/>
        <w:t>means of comparing the overall liquidity level of the company, it can be noted that over time the value of ratios of</w:t>
      </w:r>
      <w:r>
        <w:rPr>
          <w:color w:val="000000"/>
        </w:rPr>
        <w:t xml:space="preserve"> </w:t>
      </w:r>
      <w:r w:rsidR="00C42C09">
        <w:rPr>
          <w:color w:val="000000"/>
        </w:rPr>
        <w:t>current</w:t>
      </w:r>
      <w:r>
        <w:rPr>
          <w:color w:val="000000"/>
        </w:rPr>
        <w:t xml:space="preserve"> assets has increased for the company in terms of managing the obligations that are standing during the accounting period. </w:t>
      </w:r>
    </w:p>
    <w:p w:rsidR="00CA60CC" w:rsidRDefault="005B412D">
      <w:pPr>
        <w:pBdr>
          <w:top w:val="nil"/>
          <w:left w:val="nil"/>
          <w:bottom w:val="nil"/>
          <w:right w:val="nil"/>
          <w:between w:val="nil"/>
        </w:pBdr>
        <w:rPr>
          <w:color w:val="000000"/>
        </w:rPr>
      </w:pPr>
      <w:r>
        <w:rPr>
          <w:color w:val="000000"/>
        </w:rPr>
        <w:t xml:space="preserve">The </w:t>
      </w:r>
      <w:r w:rsidR="000A1315">
        <w:rPr>
          <w:color w:val="000000"/>
        </w:rPr>
        <w:t>debt-equity</w:t>
      </w:r>
      <w:r>
        <w:rPr>
          <w:color w:val="000000"/>
        </w:rPr>
        <w:t xml:space="preserve"> ratio determines what part of the company’s capital is financed through debt. It determines how much of a co</w:t>
      </w:r>
      <w:r>
        <w:rPr>
          <w:color w:val="000000"/>
        </w:rPr>
        <w:t>rporation is funded by borrowing in relation to shareholders’ investments (Nuryani and Sunarsi, 2020). In an event when a business relies heavily on borrowed funds, it becomes more leveraged. In this case, if such an enterprise has problems with finance, i</w:t>
      </w:r>
      <w:r>
        <w:rPr>
          <w:color w:val="000000"/>
        </w:rPr>
        <w:t>ts peril will be higher too.</w:t>
      </w:r>
    </w:p>
    <w:p w:rsidR="00CA60CC" w:rsidRDefault="005B412D">
      <w:pPr>
        <w:pBdr>
          <w:top w:val="nil"/>
          <w:left w:val="nil"/>
          <w:bottom w:val="nil"/>
          <w:right w:val="nil"/>
          <w:between w:val="nil"/>
        </w:pBdr>
        <w:rPr>
          <w:color w:val="000000"/>
        </w:rPr>
      </w:pPr>
      <w:r>
        <w:rPr>
          <w:color w:val="000000"/>
        </w:rPr>
        <w:t xml:space="preserve">From 2019 to 2023, </w:t>
      </w:r>
      <w:r w:rsidR="000A1315">
        <w:rPr>
          <w:color w:val="000000"/>
        </w:rPr>
        <w:t>Rolls-Royce's</w:t>
      </w:r>
      <w:r>
        <w:rPr>
          <w:color w:val="000000"/>
        </w:rPr>
        <w:t xml:space="preserve"> debt-equity ratio was not constant and reached its peak at 31.96 in 2019 but fell to 7.61 the next year, that is 2020. In other words, the high proportion recorded for the initial year means tha</w:t>
      </w:r>
      <w:r>
        <w:rPr>
          <w:color w:val="000000"/>
        </w:rPr>
        <w:t>t most funds were raised using credit facilities which can be very risky</w:t>
      </w:r>
      <w:r w:rsidR="000A1315">
        <w:rPr>
          <w:color w:val="000000"/>
        </w:rPr>
        <w:t>,</w:t>
      </w:r>
      <w:r>
        <w:rPr>
          <w:color w:val="000000"/>
        </w:rPr>
        <w:t xml:space="preserve"> especially during economic recessions. Although there was some progress made towards reducing this figure over subsequent years when compared against each other they still remained r</w:t>
      </w:r>
      <w:r>
        <w:rPr>
          <w:color w:val="000000"/>
        </w:rPr>
        <w:t xml:space="preserve">elatively high until another rise occurred in 2023 where it went up again hitting 9.68%. Recent surge might indicate difficulties encountered while trying to manage equity or could simply imply </w:t>
      </w:r>
      <w:r w:rsidR="00230903">
        <w:rPr>
          <w:color w:val="000000"/>
        </w:rPr>
        <w:t xml:space="preserve">the </w:t>
      </w:r>
      <w:r>
        <w:rPr>
          <w:color w:val="000000"/>
        </w:rPr>
        <w:t xml:space="preserve">need for more borrowing either because of investment requirements or any other strategic considerations. This inconsistency shows unstable financial management practices adopted by the firm which raises questions regarding its long-term sustainable growth </w:t>
      </w:r>
      <w:r>
        <w:rPr>
          <w:color w:val="000000"/>
        </w:rPr>
        <w:t xml:space="preserve">plan as well as </w:t>
      </w:r>
      <w:r w:rsidR="00230903">
        <w:rPr>
          <w:color w:val="000000"/>
        </w:rPr>
        <w:t xml:space="preserve">the </w:t>
      </w:r>
      <w:r>
        <w:rPr>
          <w:color w:val="000000"/>
        </w:rPr>
        <w:t>overall risk exposure level of the organization.</w:t>
      </w:r>
    </w:p>
    <w:p w:rsidR="00CA60CC" w:rsidRDefault="005B412D">
      <w:pPr>
        <w:pBdr>
          <w:top w:val="nil"/>
          <w:left w:val="nil"/>
          <w:bottom w:val="nil"/>
          <w:right w:val="nil"/>
          <w:between w:val="nil"/>
        </w:pBdr>
        <w:rPr>
          <w:color w:val="000000"/>
        </w:rPr>
      </w:pPr>
      <w:r>
        <w:rPr>
          <w:color w:val="000000"/>
        </w:rPr>
        <w:t xml:space="preserve">Further, the debt-to-asset ratio demonstrates the extent to which a company’s assets are financed through debt, i.e. it shows how much leverage a company is concerned with. In case, this </w:t>
      </w:r>
      <w:r>
        <w:rPr>
          <w:color w:val="000000"/>
        </w:rPr>
        <w:t>number is higher than one, it means that the business owes more money than it actually possesses and such a situation can scare away investors or lenders (Shahfira and Hasanah, 2021).</w:t>
      </w:r>
    </w:p>
    <w:p w:rsidR="00CA60CC" w:rsidRDefault="005B412D">
      <w:pPr>
        <w:pBdr>
          <w:top w:val="nil"/>
          <w:left w:val="nil"/>
          <w:bottom w:val="nil"/>
          <w:right w:val="nil"/>
          <w:between w:val="nil"/>
        </w:pBdr>
        <w:rPr>
          <w:color w:val="000000"/>
        </w:rPr>
      </w:pPr>
      <w:bookmarkStart w:id="10" w:name="_heading=h.17dp8vu" w:colFirst="0" w:colLast="0"/>
      <w:bookmarkEnd w:id="10"/>
      <w:r>
        <w:rPr>
          <w:color w:val="000000"/>
        </w:rPr>
        <w:t>From 2019 to 2023, Rolls-Royce’s debt-to-asset ratio stayed rather uncha</w:t>
      </w:r>
      <w:r>
        <w:rPr>
          <w:color w:val="000000"/>
        </w:rPr>
        <w:t xml:space="preserve">nged at around 1.03 – 1.15. This consistency implies that most of its assets have been funded by debt thus maintaining a high level of leverage throughout this period. Having </w:t>
      </w:r>
      <w:r w:rsidR="00230903">
        <w:rPr>
          <w:color w:val="000000"/>
        </w:rPr>
        <w:t xml:space="preserve">an </w:t>
      </w:r>
      <w:r>
        <w:rPr>
          <w:color w:val="000000"/>
        </w:rPr>
        <w:t>above-one ratio all the time indicates that liquidity might become problematic</w:t>
      </w:r>
      <w:r>
        <w:rPr>
          <w:color w:val="000000"/>
        </w:rPr>
        <w:t xml:space="preserve"> for the corporation because it may lack enough property to offset obligations. Such an amount of riskiness can be especially dangerous for enterprises operating in volatile industries like aerospace where external events such as economic recessions or shi</w:t>
      </w:r>
      <w:r>
        <w:rPr>
          <w:color w:val="000000"/>
        </w:rPr>
        <w:t>fts in regulations could have significant impacts on financial stability.</w:t>
      </w:r>
    </w:p>
    <w:p w:rsidR="00CA60CC" w:rsidRDefault="005B412D">
      <w:pPr>
        <w:pBdr>
          <w:top w:val="nil"/>
          <w:left w:val="nil"/>
          <w:bottom w:val="nil"/>
          <w:right w:val="nil"/>
          <w:between w:val="nil"/>
        </w:pBdr>
        <w:rPr>
          <w:color w:val="000000"/>
        </w:rPr>
      </w:pPr>
      <w:r>
        <w:rPr>
          <w:color w:val="000000"/>
        </w:rPr>
        <w:lastRenderedPageBreak/>
        <w:t>The rate of inventory turnover is calculated by the number of times a company buys and sells its inventory over a certain period. Suppose it has a larger ratio, this means that it us</w:t>
      </w:r>
      <w:r>
        <w:rPr>
          <w:color w:val="000000"/>
        </w:rPr>
        <w:t>es its stocks more efficiently thus incurring low preservation costs while also keeping them updated (Amanda, 2019).</w:t>
      </w:r>
    </w:p>
    <w:p w:rsidR="00CA60CC" w:rsidRDefault="005B412D">
      <w:pPr>
        <w:pBdr>
          <w:top w:val="nil"/>
          <w:left w:val="nil"/>
          <w:bottom w:val="nil"/>
          <w:right w:val="nil"/>
          <w:between w:val="nil"/>
        </w:pBdr>
        <w:rPr>
          <w:color w:val="000000"/>
        </w:rPr>
      </w:pPr>
      <w:r>
        <w:rPr>
          <w:color w:val="000000"/>
        </w:rPr>
        <w:t xml:space="preserve">Rolls-Royce’s rate of turnover for inventory has shown negative progress where it declined from 3.84 during 2019 to 2.29 by 2022 then rose </w:t>
      </w:r>
      <w:r>
        <w:rPr>
          <w:color w:val="000000"/>
        </w:rPr>
        <w:t xml:space="preserve">slightly </w:t>
      </w:r>
      <w:r w:rsidR="007037D1">
        <w:rPr>
          <w:color w:val="000000"/>
        </w:rPr>
        <w:t>to</w:t>
      </w:r>
      <w:r>
        <w:rPr>
          <w:color w:val="000000"/>
        </w:rPr>
        <w:t xml:space="preserve"> 2.65 during 2023. Such </w:t>
      </w:r>
      <w:r w:rsidR="007037D1">
        <w:rPr>
          <w:color w:val="000000"/>
        </w:rPr>
        <w:t xml:space="preserve">a </w:t>
      </w:r>
      <w:r>
        <w:rPr>
          <w:color w:val="000000"/>
        </w:rPr>
        <w:t>dip signifies that goods were kept for long and this might have resulted due to; reduced need, ineffective production or problems within the supply chain management. Though some improvement was made in the same year whi</w:t>
      </w:r>
      <w:r>
        <w:rPr>
          <w:color w:val="000000"/>
        </w:rPr>
        <w:t>ch could be an indication towards solving these challenges generally looking at the trend line indicates difficulties faced with matching output levels against customer demand thereby resulting in higher storage expenses and lower profits.</w:t>
      </w:r>
    </w:p>
    <w:p w:rsidR="00CA60CC" w:rsidRDefault="005B412D">
      <w:pPr>
        <w:pBdr>
          <w:top w:val="nil"/>
          <w:left w:val="nil"/>
          <w:bottom w:val="nil"/>
          <w:right w:val="nil"/>
          <w:between w:val="nil"/>
        </w:pBdr>
        <w:rPr>
          <w:color w:val="000000"/>
        </w:rPr>
      </w:pPr>
      <w:r>
        <w:rPr>
          <w:color w:val="000000"/>
        </w:rPr>
        <w:t>The ratio of rec</w:t>
      </w:r>
      <w:r>
        <w:rPr>
          <w:color w:val="000000"/>
        </w:rPr>
        <w:t>eivables’ turnover is a measure of how efficiently a firm collects its accounts receivable (Eretna</w:t>
      </w:r>
      <w:r w:rsidR="007037D1">
        <w:rPr>
          <w:i/>
          <w:iCs/>
          <w:color w:val="000000"/>
        </w:rPr>
        <w:t>et al</w:t>
      </w:r>
      <w:r w:rsidR="007037D1">
        <w:rPr>
          <w:color w:val="000000"/>
        </w:rPr>
        <w:t>.</w:t>
      </w:r>
      <w:r>
        <w:rPr>
          <w:color w:val="000000"/>
        </w:rPr>
        <w:t xml:space="preserve">, 2021). In case this ratio is high, it means credit and collection policies are good </w:t>
      </w:r>
      <w:r w:rsidR="00D51B80">
        <w:rPr>
          <w:color w:val="000000"/>
        </w:rPr>
        <w:t>which</w:t>
      </w:r>
      <w:r>
        <w:rPr>
          <w:color w:val="000000"/>
        </w:rPr>
        <w:t xml:space="preserve"> will in turn improve cash flow.</w:t>
      </w:r>
    </w:p>
    <w:p w:rsidR="00CA60CC" w:rsidRDefault="005B412D">
      <w:pPr>
        <w:pBdr>
          <w:top w:val="nil"/>
          <w:left w:val="nil"/>
          <w:bottom w:val="nil"/>
          <w:right w:val="nil"/>
          <w:between w:val="nil"/>
        </w:pBdr>
        <w:rPr>
          <w:color w:val="000000"/>
        </w:rPr>
      </w:pPr>
      <w:r>
        <w:rPr>
          <w:color w:val="000000"/>
        </w:rPr>
        <w:t>Rolls-Royce’s receivable tur</w:t>
      </w:r>
      <w:r>
        <w:rPr>
          <w:color w:val="000000"/>
        </w:rPr>
        <w:t>nover ratio fell from 1.96 times in 2019 to 1.40 times in 2020 and then rose gradually until it reached 1.87 times by the end of 2023. This decline at first may suggest problems with collecting money owed by customers or extending credit terms which can st</w:t>
      </w:r>
      <w:r>
        <w:rPr>
          <w:color w:val="000000"/>
        </w:rPr>
        <w:t xml:space="preserve">retch on-hand cash flows thin. The later increases imply stricter credit policy enforcement or better collection strategies adopted over time while still keeping up low levels of efficiency throughout this period thus signifying there </w:t>
      </w:r>
      <w:r w:rsidR="00D51B80">
        <w:rPr>
          <w:color w:val="000000"/>
        </w:rPr>
        <w:t>are</w:t>
      </w:r>
      <w:r>
        <w:rPr>
          <w:color w:val="000000"/>
        </w:rPr>
        <w:t xml:space="preserve"> more opportunitie</w:t>
      </w:r>
      <w:r>
        <w:rPr>
          <w:color w:val="000000"/>
        </w:rPr>
        <w:t>s for enhancements in credit management practices since too much capital might be tied down as accounts receivable at such points within the organization.</w:t>
      </w:r>
    </w:p>
    <w:p w:rsidR="00CA60CC" w:rsidRDefault="005B412D">
      <w:pPr>
        <w:pStyle w:val="Heading2"/>
      </w:pPr>
      <w:bookmarkStart w:id="11" w:name="_Toc173258891"/>
      <w:r>
        <w:t>Comparison to major competitors</w:t>
      </w:r>
      <w:bookmarkEnd w:id="11"/>
    </w:p>
    <w:p w:rsidR="00CA60CC" w:rsidRDefault="005B412D">
      <w:pPr>
        <w:pBdr>
          <w:top w:val="nil"/>
          <w:left w:val="nil"/>
          <w:bottom w:val="nil"/>
          <w:right w:val="nil"/>
          <w:between w:val="nil"/>
        </w:pBdr>
        <w:rPr>
          <w:b/>
          <w:i/>
          <w:color w:val="000000"/>
          <w:u w:val="single"/>
        </w:rPr>
      </w:pPr>
      <w:r>
        <w:rPr>
          <w:b/>
          <w:i/>
          <w:color w:val="000000"/>
          <w:u w:val="single"/>
        </w:rPr>
        <w:t>Profitability Ratios</w:t>
      </w:r>
    </w:p>
    <w:tbl>
      <w:tblPr>
        <w:tblStyle w:val="a3"/>
        <w:tblW w:w="9360" w:type="dxa"/>
        <w:jc w:val="center"/>
        <w:tblBorders>
          <w:top w:val="nil"/>
          <w:left w:val="nil"/>
          <w:bottom w:val="nil"/>
          <w:right w:val="nil"/>
          <w:insideH w:val="nil"/>
          <w:insideV w:val="nil"/>
        </w:tblBorders>
        <w:tblLayout w:type="fixed"/>
        <w:tblLook w:val="0600"/>
      </w:tblPr>
      <w:tblGrid>
        <w:gridCol w:w="1621"/>
        <w:gridCol w:w="901"/>
        <w:gridCol w:w="901"/>
        <w:gridCol w:w="901"/>
        <w:gridCol w:w="901"/>
        <w:gridCol w:w="901"/>
        <w:gridCol w:w="730"/>
        <w:gridCol w:w="685"/>
        <w:gridCol w:w="567"/>
        <w:gridCol w:w="676"/>
        <w:gridCol w:w="576"/>
      </w:tblGrid>
      <w:tr w:rsidR="00CA60CC">
        <w:trPr>
          <w:trHeight w:val="345"/>
          <w:jc w:val="center"/>
        </w:trPr>
        <w:tc>
          <w:tcPr>
            <w:tcW w:w="1621" w:type="dxa"/>
            <w:vMerge w:val="restart"/>
            <w:tcBorders>
              <w:top w:val="single" w:sz="5" w:space="0" w:color="000000"/>
              <w:left w:val="single" w:sz="5" w:space="0" w:color="000000"/>
              <w:bottom w:val="single" w:sz="5" w:space="0" w:color="CCCCCC"/>
              <w:right w:val="single" w:sz="5" w:space="0" w:color="000000"/>
            </w:tcBorders>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b/>
                <w:color w:val="000000"/>
                <w:u w:val="single"/>
              </w:rPr>
            </w:pPr>
            <w:r>
              <w:rPr>
                <w:b/>
                <w:color w:val="000000"/>
                <w:u w:val="single"/>
              </w:rPr>
              <w:t>Profitability Ratios</w:t>
            </w:r>
          </w:p>
        </w:tc>
        <w:tc>
          <w:tcPr>
            <w:tcW w:w="4505" w:type="dxa"/>
            <w:gridSpan w:val="5"/>
            <w:tcBorders>
              <w:top w:val="single" w:sz="5" w:space="0" w:color="000000"/>
              <w:left w:val="single" w:sz="5" w:space="0" w:color="CCCCCC"/>
              <w:bottom w:val="single" w:sz="5" w:space="0" w:color="CCCCCC"/>
              <w:right w:val="single" w:sz="5" w:space="0" w:color="000000"/>
            </w:tcBorders>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b/>
                <w:color w:val="000000"/>
                <w:u w:val="single"/>
              </w:rPr>
              <w:t>Rolls Royce's</w:t>
            </w:r>
          </w:p>
        </w:tc>
        <w:tc>
          <w:tcPr>
            <w:tcW w:w="3234" w:type="dxa"/>
            <w:gridSpan w:val="5"/>
            <w:tcBorders>
              <w:top w:val="single" w:sz="5" w:space="0" w:color="000000"/>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b/>
                <w:color w:val="000000"/>
                <w:u w:val="single"/>
              </w:rPr>
              <w:t xml:space="preserve">Bae Systems </w:t>
            </w:r>
            <w:r>
              <w:rPr>
                <w:b/>
                <w:color w:val="000000"/>
                <w:u w:val="single"/>
              </w:rPr>
              <w:t>Plc</w:t>
            </w:r>
          </w:p>
        </w:tc>
      </w:tr>
      <w:tr w:rsidR="00CA60CC">
        <w:trPr>
          <w:trHeight w:val="345"/>
          <w:jc w:val="center"/>
        </w:trPr>
        <w:tc>
          <w:tcPr>
            <w:tcW w:w="1621" w:type="dxa"/>
            <w:vMerge/>
            <w:tcBorders>
              <w:top w:val="single" w:sz="5" w:space="0" w:color="000000"/>
              <w:left w:val="single" w:sz="5" w:space="0" w:color="000000"/>
              <w:bottom w:val="single" w:sz="5" w:space="0" w:color="CCCCCC"/>
              <w:right w:val="single" w:sz="5" w:space="0" w:color="000000"/>
            </w:tcBorders>
            <w:tcMar>
              <w:top w:w="40" w:type="dxa"/>
              <w:left w:w="40" w:type="dxa"/>
              <w:bottom w:w="40" w:type="dxa"/>
              <w:right w:w="40" w:type="dxa"/>
            </w:tcMar>
            <w:vAlign w:val="center"/>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2019</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2020</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2021</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2022</w:t>
            </w:r>
          </w:p>
        </w:tc>
        <w:tc>
          <w:tcPr>
            <w:tcW w:w="901"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2023</w:t>
            </w:r>
          </w:p>
        </w:tc>
        <w:tc>
          <w:tcPr>
            <w:tcW w:w="73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2019</w:t>
            </w:r>
          </w:p>
        </w:tc>
        <w:tc>
          <w:tcPr>
            <w:tcW w:w="68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2020</w:t>
            </w:r>
          </w:p>
        </w:tc>
        <w:tc>
          <w:tcPr>
            <w:tcW w:w="5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2021</w:t>
            </w:r>
          </w:p>
        </w:tc>
        <w:tc>
          <w:tcPr>
            <w:tcW w:w="676"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2022</w:t>
            </w:r>
          </w:p>
        </w:tc>
        <w:tc>
          <w:tcPr>
            <w:tcW w:w="576"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2023</w:t>
            </w:r>
          </w:p>
        </w:tc>
      </w:tr>
      <w:tr w:rsidR="00CA60CC">
        <w:trPr>
          <w:trHeight w:val="345"/>
          <w:jc w:val="center"/>
        </w:trPr>
        <w:tc>
          <w:tcPr>
            <w:tcW w:w="1621"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color w:val="000000"/>
              </w:rPr>
              <w:t>Gross profit ratio</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5.68%</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1.63%</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19.04%</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20.39%</w:t>
            </w:r>
          </w:p>
        </w:tc>
        <w:tc>
          <w:tcPr>
            <w:tcW w:w="901"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21.96%</w:t>
            </w:r>
          </w:p>
        </w:tc>
        <w:tc>
          <w:tcPr>
            <w:tcW w:w="73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8.64%</w:t>
            </w:r>
          </w:p>
        </w:tc>
        <w:tc>
          <w:tcPr>
            <w:tcW w:w="68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8.25%</w:t>
            </w:r>
          </w:p>
        </w:tc>
        <w:tc>
          <w:tcPr>
            <w:tcW w:w="5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9.11%</w:t>
            </w:r>
          </w:p>
        </w:tc>
        <w:tc>
          <w:tcPr>
            <w:tcW w:w="676"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9.36%</w:t>
            </w:r>
          </w:p>
        </w:tc>
        <w:tc>
          <w:tcPr>
            <w:tcW w:w="576"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9.36%</w:t>
            </w:r>
          </w:p>
        </w:tc>
      </w:tr>
      <w:tr w:rsidR="00CA60CC">
        <w:trPr>
          <w:trHeight w:val="345"/>
          <w:jc w:val="center"/>
        </w:trPr>
        <w:tc>
          <w:tcPr>
            <w:tcW w:w="1621"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color w:val="000000"/>
              </w:rPr>
              <w:t>Net profit ratio</w:t>
            </w:r>
          </w:p>
        </w:tc>
        <w:tc>
          <w:tcPr>
            <w:tcW w:w="90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-7.90%</w:t>
            </w:r>
          </w:p>
        </w:tc>
        <w:tc>
          <w:tcPr>
            <w:tcW w:w="90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0.78</w:t>
            </w:r>
          </w:p>
        </w:tc>
        <w:tc>
          <w:tcPr>
            <w:tcW w:w="90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0.86</w:t>
            </w:r>
          </w:p>
        </w:tc>
        <w:tc>
          <w:tcPr>
            <w:tcW w:w="90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0.81</w:t>
            </w:r>
          </w:p>
        </w:tc>
        <w:tc>
          <w:tcPr>
            <w:tcW w:w="901"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0.89</w:t>
            </w:r>
          </w:p>
        </w:tc>
        <w:tc>
          <w:tcPr>
            <w:tcW w:w="730"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8.37%</w:t>
            </w:r>
          </w:p>
        </w:tc>
        <w:tc>
          <w:tcPr>
            <w:tcW w:w="68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7.11%</w:t>
            </w:r>
          </w:p>
        </w:tc>
        <w:tc>
          <w:tcPr>
            <w:tcW w:w="567"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9.79%</w:t>
            </w:r>
          </w:p>
        </w:tc>
        <w:tc>
          <w:tcPr>
            <w:tcW w:w="676"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7.87%</w:t>
            </w:r>
          </w:p>
        </w:tc>
        <w:tc>
          <w:tcPr>
            <w:tcW w:w="576"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8.41%</w:t>
            </w:r>
          </w:p>
        </w:tc>
      </w:tr>
    </w:tbl>
    <w:p w:rsidR="00CA60CC" w:rsidRDefault="005B412D">
      <w:pPr>
        <w:pBdr>
          <w:top w:val="nil"/>
          <w:left w:val="nil"/>
          <w:bottom w:val="nil"/>
          <w:right w:val="nil"/>
          <w:between w:val="nil"/>
        </w:pBdr>
        <w:jc w:val="center"/>
        <w:rPr>
          <w:b/>
          <w:color w:val="000000"/>
        </w:rPr>
      </w:pPr>
      <w:r>
        <w:rPr>
          <w:b/>
          <w:color w:val="000000"/>
        </w:rPr>
        <w:lastRenderedPageBreak/>
        <w:t>Table 5:  Comparison of Profitability Ratios</w:t>
      </w:r>
    </w:p>
    <w:p w:rsidR="00CA60CC" w:rsidRDefault="005B412D">
      <w:pPr>
        <w:pBdr>
          <w:top w:val="nil"/>
          <w:left w:val="nil"/>
          <w:bottom w:val="nil"/>
          <w:right w:val="nil"/>
          <w:between w:val="nil"/>
        </w:pBdr>
        <w:jc w:val="center"/>
        <w:rPr>
          <w:color w:val="000000"/>
        </w:rPr>
      </w:pPr>
      <w:r>
        <w:rPr>
          <w:color w:val="000000"/>
        </w:rPr>
        <w:t>(Source: Prepared by self)</w:t>
      </w:r>
    </w:p>
    <w:p w:rsidR="00CA60CC" w:rsidRDefault="005B412D">
      <w:pPr>
        <w:pBdr>
          <w:top w:val="nil"/>
          <w:left w:val="nil"/>
          <w:bottom w:val="nil"/>
          <w:right w:val="nil"/>
          <w:between w:val="nil"/>
        </w:pBdr>
        <w:rPr>
          <w:color w:val="000000"/>
        </w:rPr>
      </w:pPr>
      <w:r>
        <w:rPr>
          <w:color w:val="000000"/>
        </w:rPr>
        <w:t>The above-indicated table (Table 5), is relating the comparison of profitability ratios of Rolls Royce and Bae Systems for a period of five financial years. In the years 2019 and 2020, the gross profit margin of Bae Systems was observed to be higher than t</w:t>
      </w:r>
      <w:r>
        <w:rPr>
          <w:color w:val="000000"/>
        </w:rPr>
        <w:t>hat of Rolls Royce. However, from the year 2021, a different scenario can be seen wherein the gross profit margin of Bae Systems has increased at a higher level as compared to that of Rolls Royce. However, in terms of considering the net profit margin, a d</w:t>
      </w:r>
      <w:r>
        <w:rPr>
          <w:color w:val="000000"/>
        </w:rPr>
        <w:t xml:space="preserve">ifferent scenario can be observed. Rolls Royce was having a loss in their business from 2019 to 2022. On the other hand, Bae Systems was able to maintain a standard level of profit margin within their business. However, by the end of the year 2023, it can </w:t>
      </w:r>
      <w:r>
        <w:rPr>
          <w:color w:val="000000"/>
        </w:rPr>
        <w:t xml:space="preserve">be observed that the overall profit margin of Rolls Royce is higher than that of its competitor. </w:t>
      </w:r>
    </w:p>
    <w:p w:rsidR="00CA60CC" w:rsidRDefault="005B412D">
      <w:pPr>
        <w:pBdr>
          <w:top w:val="nil"/>
          <w:left w:val="nil"/>
          <w:bottom w:val="nil"/>
          <w:right w:val="nil"/>
          <w:between w:val="nil"/>
        </w:pBdr>
        <w:rPr>
          <w:b/>
          <w:i/>
          <w:color w:val="000000"/>
          <w:u w:val="single"/>
        </w:rPr>
      </w:pPr>
      <w:r>
        <w:rPr>
          <w:b/>
          <w:i/>
          <w:color w:val="000000"/>
          <w:u w:val="single"/>
        </w:rPr>
        <w:t>Liquidity Ratios</w:t>
      </w:r>
    </w:p>
    <w:tbl>
      <w:tblPr>
        <w:tblStyle w:val="a4"/>
        <w:tblW w:w="9360" w:type="dxa"/>
        <w:jc w:val="center"/>
        <w:tblBorders>
          <w:top w:val="nil"/>
          <w:left w:val="nil"/>
          <w:bottom w:val="nil"/>
          <w:right w:val="nil"/>
          <w:insideH w:val="nil"/>
          <w:insideV w:val="nil"/>
        </w:tblBorders>
        <w:tblLayout w:type="fixed"/>
        <w:tblLook w:val="0600"/>
      </w:tblPr>
      <w:tblGrid>
        <w:gridCol w:w="1621"/>
        <w:gridCol w:w="901"/>
        <w:gridCol w:w="901"/>
        <w:gridCol w:w="901"/>
        <w:gridCol w:w="901"/>
        <w:gridCol w:w="901"/>
        <w:gridCol w:w="730"/>
        <w:gridCol w:w="685"/>
        <w:gridCol w:w="567"/>
        <w:gridCol w:w="676"/>
        <w:gridCol w:w="576"/>
      </w:tblGrid>
      <w:tr w:rsidR="00CA60CC">
        <w:trPr>
          <w:trHeight w:val="345"/>
          <w:jc w:val="center"/>
        </w:trPr>
        <w:tc>
          <w:tcPr>
            <w:tcW w:w="1621" w:type="dxa"/>
            <w:vMerge w:val="restart"/>
            <w:tcBorders>
              <w:top w:val="single" w:sz="5" w:space="0" w:color="000000"/>
              <w:left w:val="single" w:sz="5" w:space="0" w:color="000000"/>
              <w:bottom w:val="single" w:sz="5" w:space="0" w:color="CCCCCC"/>
              <w:right w:val="single" w:sz="5" w:space="0" w:color="000000"/>
            </w:tcBorders>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b/>
                <w:color w:val="000000"/>
                <w:u w:val="single"/>
              </w:rPr>
            </w:pPr>
            <w:r>
              <w:rPr>
                <w:b/>
                <w:color w:val="000000"/>
                <w:u w:val="single"/>
              </w:rPr>
              <w:t>Liquidity Ratios</w:t>
            </w:r>
          </w:p>
        </w:tc>
        <w:tc>
          <w:tcPr>
            <w:tcW w:w="4505" w:type="dxa"/>
            <w:gridSpan w:val="5"/>
            <w:tcBorders>
              <w:top w:val="single" w:sz="5" w:space="0" w:color="000000"/>
              <w:left w:val="single" w:sz="5" w:space="0" w:color="CCCCCC"/>
              <w:bottom w:val="single" w:sz="5" w:space="0" w:color="CCCCCC"/>
              <w:right w:val="single" w:sz="5" w:space="0" w:color="000000"/>
            </w:tcBorders>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b/>
                <w:color w:val="000000"/>
                <w:u w:val="single"/>
              </w:rPr>
              <w:t>Rolls Royce's</w:t>
            </w:r>
          </w:p>
        </w:tc>
        <w:tc>
          <w:tcPr>
            <w:tcW w:w="3234" w:type="dxa"/>
            <w:gridSpan w:val="5"/>
            <w:tcBorders>
              <w:top w:val="single" w:sz="5" w:space="0" w:color="000000"/>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b/>
                <w:color w:val="000000"/>
                <w:u w:val="single"/>
              </w:rPr>
              <w:t>Bae Systems Plc</w:t>
            </w:r>
          </w:p>
        </w:tc>
      </w:tr>
      <w:tr w:rsidR="00CA60CC">
        <w:trPr>
          <w:trHeight w:val="345"/>
          <w:jc w:val="center"/>
        </w:trPr>
        <w:tc>
          <w:tcPr>
            <w:tcW w:w="1621" w:type="dxa"/>
            <w:vMerge/>
            <w:tcBorders>
              <w:top w:val="single" w:sz="5" w:space="0" w:color="000000"/>
              <w:left w:val="single" w:sz="5" w:space="0" w:color="000000"/>
              <w:bottom w:val="single" w:sz="5" w:space="0" w:color="CCCCCC"/>
              <w:right w:val="single" w:sz="5" w:space="0" w:color="000000"/>
            </w:tcBorders>
            <w:tcMar>
              <w:top w:w="40" w:type="dxa"/>
              <w:left w:w="40" w:type="dxa"/>
              <w:bottom w:w="40" w:type="dxa"/>
              <w:right w:w="40" w:type="dxa"/>
            </w:tcMar>
            <w:vAlign w:val="center"/>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2019</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2020</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2021</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2022</w:t>
            </w:r>
          </w:p>
        </w:tc>
        <w:tc>
          <w:tcPr>
            <w:tcW w:w="901"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2023</w:t>
            </w:r>
          </w:p>
        </w:tc>
        <w:tc>
          <w:tcPr>
            <w:tcW w:w="73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2019</w:t>
            </w:r>
          </w:p>
        </w:tc>
        <w:tc>
          <w:tcPr>
            <w:tcW w:w="68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2020</w:t>
            </w:r>
          </w:p>
        </w:tc>
        <w:tc>
          <w:tcPr>
            <w:tcW w:w="5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2021</w:t>
            </w:r>
          </w:p>
        </w:tc>
        <w:tc>
          <w:tcPr>
            <w:tcW w:w="676"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2022</w:t>
            </w:r>
          </w:p>
        </w:tc>
        <w:tc>
          <w:tcPr>
            <w:tcW w:w="576"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2023</w:t>
            </w:r>
          </w:p>
        </w:tc>
      </w:tr>
      <w:tr w:rsidR="00CA60CC">
        <w:trPr>
          <w:trHeight w:val="345"/>
          <w:jc w:val="center"/>
        </w:trPr>
        <w:tc>
          <w:tcPr>
            <w:tcW w:w="1621"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color w:val="000000"/>
              </w:rPr>
              <w:t>Current Ratio</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1.07</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1.05</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1.19</w:t>
            </w:r>
          </w:p>
        </w:tc>
        <w:tc>
          <w:tcPr>
            <w:tcW w:w="901"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1.15</w:t>
            </w:r>
          </w:p>
        </w:tc>
        <w:tc>
          <w:tcPr>
            <w:tcW w:w="901"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1.21</w:t>
            </w:r>
          </w:p>
        </w:tc>
        <w:tc>
          <w:tcPr>
            <w:tcW w:w="73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1.01</w:t>
            </w:r>
          </w:p>
        </w:tc>
        <w:tc>
          <w:tcPr>
            <w:tcW w:w="68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1.00</w:t>
            </w:r>
          </w:p>
        </w:tc>
        <w:tc>
          <w:tcPr>
            <w:tcW w:w="567"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1.01</w:t>
            </w:r>
          </w:p>
        </w:tc>
        <w:tc>
          <w:tcPr>
            <w:tcW w:w="676"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3.20</w:t>
            </w:r>
          </w:p>
        </w:tc>
        <w:tc>
          <w:tcPr>
            <w:tcW w:w="576"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1.08</w:t>
            </w:r>
          </w:p>
        </w:tc>
      </w:tr>
      <w:tr w:rsidR="00CA60CC">
        <w:trPr>
          <w:trHeight w:val="345"/>
          <w:jc w:val="center"/>
        </w:trPr>
        <w:tc>
          <w:tcPr>
            <w:tcW w:w="1621"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color w:val="000000"/>
              </w:rPr>
              <w:t>Quick Ratio</w:t>
            </w:r>
          </w:p>
        </w:tc>
        <w:tc>
          <w:tcPr>
            <w:tcW w:w="90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0.78</w:t>
            </w:r>
          </w:p>
        </w:tc>
        <w:tc>
          <w:tcPr>
            <w:tcW w:w="90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0.78</w:t>
            </w:r>
          </w:p>
        </w:tc>
        <w:tc>
          <w:tcPr>
            <w:tcW w:w="90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0.86</w:t>
            </w:r>
          </w:p>
        </w:tc>
        <w:tc>
          <w:tcPr>
            <w:tcW w:w="901"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0.81</w:t>
            </w:r>
          </w:p>
        </w:tc>
        <w:tc>
          <w:tcPr>
            <w:tcW w:w="901"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0.89</w:t>
            </w:r>
          </w:p>
        </w:tc>
        <w:tc>
          <w:tcPr>
            <w:tcW w:w="730"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0.92</w:t>
            </w:r>
          </w:p>
        </w:tc>
        <w:tc>
          <w:tcPr>
            <w:tcW w:w="68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0.91</w:t>
            </w:r>
          </w:p>
        </w:tc>
        <w:tc>
          <w:tcPr>
            <w:tcW w:w="567"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0.92</w:t>
            </w:r>
          </w:p>
        </w:tc>
        <w:tc>
          <w:tcPr>
            <w:tcW w:w="676"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3.10</w:t>
            </w:r>
          </w:p>
        </w:tc>
        <w:tc>
          <w:tcPr>
            <w:tcW w:w="576"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0.97</w:t>
            </w:r>
          </w:p>
        </w:tc>
      </w:tr>
    </w:tbl>
    <w:p w:rsidR="00CA60CC" w:rsidRDefault="005B412D">
      <w:pPr>
        <w:pBdr>
          <w:top w:val="nil"/>
          <w:left w:val="nil"/>
          <w:bottom w:val="nil"/>
          <w:right w:val="nil"/>
          <w:between w:val="nil"/>
        </w:pBdr>
        <w:jc w:val="center"/>
        <w:rPr>
          <w:b/>
          <w:color w:val="000000"/>
        </w:rPr>
      </w:pPr>
      <w:r>
        <w:rPr>
          <w:b/>
          <w:color w:val="000000"/>
        </w:rPr>
        <w:t>Table 6:  Comparison of Liquidity Ratios</w:t>
      </w:r>
    </w:p>
    <w:p w:rsidR="00CA60CC" w:rsidRDefault="005B412D">
      <w:pPr>
        <w:pBdr>
          <w:top w:val="nil"/>
          <w:left w:val="nil"/>
          <w:bottom w:val="nil"/>
          <w:right w:val="nil"/>
          <w:between w:val="nil"/>
        </w:pBdr>
        <w:jc w:val="center"/>
        <w:rPr>
          <w:color w:val="000000"/>
        </w:rPr>
      </w:pPr>
      <w:r>
        <w:rPr>
          <w:color w:val="000000"/>
        </w:rPr>
        <w:t>(Source: Prepared by self)</w:t>
      </w:r>
    </w:p>
    <w:p w:rsidR="00CA60CC" w:rsidRDefault="005B412D">
      <w:pPr>
        <w:pBdr>
          <w:top w:val="nil"/>
          <w:left w:val="nil"/>
          <w:bottom w:val="nil"/>
          <w:right w:val="nil"/>
          <w:between w:val="nil"/>
        </w:pBdr>
        <w:rPr>
          <w:color w:val="000000"/>
        </w:rPr>
      </w:pPr>
      <w:r>
        <w:rPr>
          <w:color w:val="000000"/>
        </w:rPr>
        <w:t>The table presented above (Table 6), is relating the tabular presentation of the comparison of the two liquidity ratios for the concerned companies against th</w:t>
      </w:r>
      <w:r>
        <w:rPr>
          <w:color w:val="000000"/>
        </w:rPr>
        <w:t xml:space="preserve">e recent five financial years. Based on the data and the ratios it can be noted that in all the five financial years, the current ratio of Rolls Royce was higher than that of the Bae Systems. This implies that Rolls Royce was using its current assets in a </w:t>
      </w:r>
      <w:r>
        <w:rPr>
          <w:color w:val="000000"/>
        </w:rPr>
        <w:t>more efficient format for the outstanding business obligations as compared to that of its competitor. However, on the other hand, a different scenario can be observed in the case of the quick ratio of the companies. In the past five financial years, the qu</w:t>
      </w:r>
      <w:r>
        <w:rPr>
          <w:color w:val="000000"/>
        </w:rPr>
        <w:t xml:space="preserve">ick ratio of Bae Systems was higher than that of Rolls Royce. This indicates that Bae Systems was more efficient in terms of using its quick assets over the period for business requirements. </w:t>
      </w:r>
    </w:p>
    <w:p w:rsidR="00CA60CC" w:rsidRDefault="005B412D">
      <w:pPr>
        <w:pBdr>
          <w:top w:val="nil"/>
          <w:left w:val="nil"/>
          <w:bottom w:val="nil"/>
          <w:right w:val="nil"/>
          <w:between w:val="nil"/>
        </w:pBdr>
        <w:rPr>
          <w:color w:val="000000"/>
        </w:rPr>
      </w:pPr>
      <w:r>
        <w:rPr>
          <w:b/>
          <w:i/>
          <w:color w:val="000000"/>
          <w:u w:val="single"/>
        </w:rPr>
        <w:t>Gearing Ratios</w:t>
      </w:r>
    </w:p>
    <w:tbl>
      <w:tblPr>
        <w:tblStyle w:val="a5"/>
        <w:tblW w:w="9360" w:type="dxa"/>
        <w:jc w:val="center"/>
        <w:tblBorders>
          <w:top w:val="nil"/>
          <w:left w:val="nil"/>
          <w:bottom w:val="nil"/>
          <w:right w:val="nil"/>
          <w:insideH w:val="nil"/>
          <w:insideV w:val="nil"/>
        </w:tblBorders>
        <w:tblLayout w:type="fixed"/>
        <w:tblLook w:val="0600"/>
      </w:tblPr>
      <w:tblGrid>
        <w:gridCol w:w="1621"/>
        <w:gridCol w:w="901"/>
        <w:gridCol w:w="901"/>
        <w:gridCol w:w="901"/>
        <w:gridCol w:w="901"/>
        <w:gridCol w:w="901"/>
        <w:gridCol w:w="730"/>
        <w:gridCol w:w="685"/>
        <w:gridCol w:w="567"/>
        <w:gridCol w:w="676"/>
        <w:gridCol w:w="576"/>
      </w:tblGrid>
      <w:tr w:rsidR="00CA60CC">
        <w:trPr>
          <w:trHeight w:val="345"/>
          <w:jc w:val="center"/>
        </w:trPr>
        <w:tc>
          <w:tcPr>
            <w:tcW w:w="1621" w:type="dxa"/>
            <w:vMerge w:val="restart"/>
            <w:tcBorders>
              <w:top w:val="single" w:sz="4" w:space="0" w:color="000000"/>
              <w:left w:val="single" w:sz="4" w:space="0" w:color="000000"/>
              <w:bottom w:val="single" w:sz="4" w:space="0" w:color="CCCCCC"/>
              <w:right w:val="single" w:sz="4" w:space="0" w:color="000000"/>
            </w:tcBorders>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b/>
                <w:color w:val="000000"/>
                <w:u w:val="single"/>
              </w:rPr>
            </w:pPr>
            <w:r>
              <w:rPr>
                <w:b/>
                <w:color w:val="000000"/>
                <w:u w:val="single"/>
              </w:rPr>
              <w:t xml:space="preserve">Gearing </w:t>
            </w:r>
            <w:r>
              <w:rPr>
                <w:b/>
                <w:color w:val="000000"/>
                <w:u w:val="single"/>
              </w:rPr>
              <w:lastRenderedPageBreak/>
              <w:t>Ratios</w:t>
            </w:r>
          </w:p>
        </w:tc>
        <w:tc>
          <w:tcPr>
            <w:tcW w:w="4505" w:type="dxa"/>
            <w:gridSpan w:val="5"/>
            <w:tcBorders>
              <w:top w:val="single" w:sz="4" w:space="0" w:color="000000"/>
              <w:left w:val="single" w:sz="4" w:space="0" w:color="CCCCCC"/>
              <w:bottom w:val="single" w:sz="4" w:space="0" w:color="CCCCCC"/>
              <w:right w:val="single" w:sz="4" w:space="0" w:color="000000"/>
            </w:tcBorders>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b/>
                <w:color w:val="000000"/>
                <w:u w:val="single"/>
              </w:rPr>
              <w:lastRenderedPageBreak/>
              <w:t>Rolls Royce's</w:t>
            </w:r>
          </w:p>
        </w:tc>
        <w:tc>
          <w:tcPr>
            <w:tcW w:w="3234" w:type="dxa"/>
            <w:gridSpan w:val="5"/>
            <w:tcBorders>
              <w:top w:val="single" w:sz="4" w:space="0" w:color="000000"/>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b/>
                <w:color w:val="000000"/>
                <w:u w:val="single"/>
              </w:rPr>
              <w:t>Bae Systems Plc</w:t>
            </w:r>
          </w:p>
        </w:tc>
      </w:tr>
      <w:tr w:rsidR="00CA60CC">
        <w:trPr>
          <w:trHeight w:val="345"/>
          <w:jc w:val="center"/>
        </w:trPr>
        <w:tc>
          <w:tcPr>
            <w:tcW w:w="1621" w:type="dxa"/>
            <w:vMerge/>
            <w:tcBorders>
              <w:top w:val="single" w:sz="4" w:space="0" w:color="000000"/>
              <w:left w:val="single" w:sz="4" w:space="0" w:color="000000"/>
              <w:bottom w:val="single" w:sz="4" w:space="0" w:color="CCCCCC"/>
              <w:right w:val="single" w:sz="4" w:space="0" w:color="000000"/>
            </w:tcBorders>
            <w:tcMar>
              <w:top w:w="40" w:type="dxa"/>
              <w:left w:w="40" w:type="dxa"/>
              <w:bottom w:w="40" w:type="dxa"/>
              <w:right w:w="40" w:type="dxa"/>
            </w:tcMar>
            <w:vAlign w:val="center"/>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2019</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2020</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2021</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2022</w:t>
            </w:r>
          </w:p>
        </w:tc>
        <w:tc>
          <w:tcPr>
            <w:tcW w:w="901"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2023</w:t>
            </w:r>
          </w:p>
        </w:tc>
        <w:tc>
          <w:tcPr>
            <w:tcW w:w="730"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2019</w:t>
            </w:r>
          </w:p>
        </w:tc>
        <w:tc>
          <w:tcPr>
            <w:tcW w:w="685"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2020</w:t>
            </w:r>
          </w:p>
        </w:tc>
        <w:tc>
          <w:tcPr>
            <w:tcW w:w="5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2021</w:t>
            </w:r>
          </w:p>
        </w:tc>
        <w:tc>
          <w:tcPr>
            <w:tcW w:w="676"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2022</w:t>
            </w:r>
          </w:p>
        </w:tc>
        <w:tc>
          <w:tcPr>
            <w:tcW w:w="576"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2023</w:t>
            </w:r>
          </w:p>
        </w:tc>
      </w:tr>
      <w:tr w:rsidR="00CA60CC">
        <w:trPr>
          <w:trHeight w:val="345"/>
          <w:jc w:val="center"/>
        </w:trPr>
        <w:tc>
          <w:tcPr>
            <w:tcW w:w="1621" w:type="dxa"/>
            <w:tcBorders>
              <w:top w:val="single" w:sz="4" w:space="0" w:color="CCCCCC"/>
              <w:left w:val="single" w:sz="4" w:space="0" w:color="000000"/>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color w:val="000000"/>
              </w:rPr>
              <w:lastRenderedPageBreak/>
              <w:t>Debt-to-Equity</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31.96</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7.61</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7.78</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5.53</w:t>
            </w:r>
          </w:p>
        </w:tc>
        <w:tc>
          <w:tcPr>
            <w:tcW w:w="901"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9.68</w:t>
            </w:r>
          </w:p>
        </w:tc>
        <w:tc>
          <w:tcPr>
            <w:tcW w:w="730"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3.65</w:t>
            </w:r>
          </w:p>
        </w:tc>
        <w:tc>
          <w:tcPr>
            <w:tcW w:w="68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4.59</w:t>
            </w:r>
          </w:p>
        </w:tc>
        <w:tc>
          <w:tcPr>
            <w:tcW w:w="5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2.54</w:t>
            </w:r>
          </w:p>
        </w:tc>
        <w:tc>
          <w:tcPr>
            <w:tcW w:w="676"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1.76</w:t>
            </w:r>
          </w:p>
        </w:tc>
        <w:tc>
          <w:tcPr>
            <w:tcW w:w="576"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3.01</w:t>
            </w:r>
          </w:p>
        </w:tc>
      </w:tr>
      <w:tr w:rsidR="00CA60CC">
        <w:trPr>
          <w:trHeight w:val="345"/>
          <w:jc w:val="center"/>
        </w:trPr>
        <w:tc>
          <w:tcPr>
            <w:tcW w:w="1621"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color w:val="000000"/>
              </w:rPr>
              <w:t>Debt-to-Asset</w:t>
            </w:r>
          </w:p>
        </w:tc>
        <w:tc>
          <w:tcPr>
            <w:tcW w:w="90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1.03</w:t>
            </w:r>
          </w:p>
        </w:tc>
        <w:tc>
          <w:tcPr>
            <w:tcW w:w="90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1.15</w:t>
            </w:r>
          </w:p>
        </w:tc>
        <w:tc>
          <w:tcPr>
            <w:tcW w:w="90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1.15</w:t>
            </w:r>
          </w:p>
        </w:tc>
        <w:tc>
          <w:tcPr>
            <w:tcW w:w="90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1.15</w:t>
            </w:r>
          </w:p>
        </w:tc>
        <w:tc>
          <w:tcPr>
            <w:tcW w:w="901"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1.12</w:t>
            </w:r>
          </w:p>
        </w:tc>
        <w:tc>
          <w:tcPr>
            <w:tcW w:w="730"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0.78</w:t>
            </w:r>
          </w:p>
        </w:tc>
        <w:tc>
          <w:tcPr>
            <w:tcW w:w="685"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0.82</w:t>
            </w:r>
          </w:p>
        </w:tc>
        <w:tc>
          <w:tcPr>
            <w:tcW w:w="567"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0.72</w:t>
            </w:r>
          </w:p>
        </w:tc>
        <w:tc>
          <w:tcPr>
            <w:tcW w:w="676"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0.64</w:t>
            </w:r>
          </w:p>
        </w:tc>
        <w:tc>
          <w:tcPr>
            <w:tcW w:w="576"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0.75</w:t>
            </w:r>
          </w:p>
        </w:tc>
      </w:tr>
    </w:tbl>
    <w:p w:rsidR="00CA60CC" w:rsidRDefault="005B412D">
      <w:pPr>
        <w:pBdr>
          <w:top w:val="nil"/>
          <w:left w:val="nil"/>
          <w:bottom w:val="nil"/>
          <w:right w:val="nil"/>
          <w:between w:val="nil"/>
        </w:pBdr>
        <w:jc w:val="center"/>
        <w:rPr>
          <w:b/>
          <w:color w:val="000000"/>
        </w:rPr>
      </w:pPr>
      <w:r>
        <w:rPr>
          <w:b/>
          <w:color w:val="000000"/>
        </w:rPr>
        <w:t>Table 7:  Comparison of Gearing Ratios</w:t>
      </w:r>
    </w:p>
    <w:p w:rsidR="00CA60CC" w:rsidRDefault="005B412D">
      <w:pPr>
        <w:pBdr>
          <w:top w:val="nil"/>
          <w:left w:val="nil"/>
          <w:bottom w:val="nil"/>
          <w:right w:val="nil"/>
          <w:between w:val="nil"/>
        </w:pBdr>
        <w:jc w:val="center"/>
        <w:rPr>
          <w:color w:val="000000"/>
        </w:rPr>
      </w:pPr>
      <w:r>
        <w:rPr>
          <w:color w:val="000000"/>
        </w:rPr>
        <w:t>(Source: Prepared by self)</w:t>
      </w:r>
    </w:p>
    <w:p w:rsidR="00CA60CC" w:rsidRDefault="005B412D">
      <w:pPr>
        <w:pBdr>
          <w:top w:val="nil"/>
          <w:left w:val="nil"/>
          <w:bottom w:val="nil"/>
          <w:right w:val="nil"/>
          <w:between w:val="nil"/>
        </w:pBdr>
        <w:rPr>
          <w:color w:val="000000"/>
        </w:rPr>
      </w:pPr>
      <w:r>
        <w:rPr>
          <w:color w:val="000000"/>
        </w:rPr>
        <w:t>In 2019, Rolls-Royce showed a debt-to-equity ratio of 31.96 and then declined to 9.68 in 2023. Such variations expose the mismanagement of the capital structure within an organization. The figure for this indicator was quite high in 2019 thereby signifying</w:t>
      </w:r>
      <w:r>
        <w:rPr>
          <w:color w:val="000000"/>
        </w:rPr>
        <w:t xml:space="preserve"> overdependence on loans; however, they might have restructured or serviced some before reducing them that much. On the other hand, BAE Systems has always had lower levels with less volatility ranging between 1.76 and 4.59 during the same period showing mo</w:t>
      </w:r>
      <w:r>
        <w:rPr>
          <w:color w:val="000000"/>
        </w:rPr>
        <w:t>re conservative approach to financing its activities which is characterized by low-risk perception associated with high indebtedness.</w:t>
      </w:r>
    </w:p>
    <w:p w:rsidR="00CA60CC" w:rsidRDefault="005B412D">
      <w:pPr>
        <w:pBdr>
          <w:top w:val="nil"/>
          <w:left w:val="nil"/>
          <w:bottom w:val="nil"/>
          <w:right w:val="nil"/>
          <w:between w:val="nil"/>
        </w:pBdr>
        <w:rPr>
          <w:color w:val="000000"/>
        </w:rPr>
      </w:pPr>
      <w:r>
        <w:rPr>
          <w:color w:val="000000"/>
        </w:rPr>
        <w:t>Rolls-Royce consistently reported a debt-to-asset ratio around 1.15, meaning most assets are funded through borrowing mone</w:t>
      </w:r>
      <w:r>
        <w:rPr>
          <w:color w:val="000000"/>
        </w:rPr>
        <w:t xml:space="preserve">y hence they have higher financial leverage and could be more sensitive to economic downturns or interest rate changes than companies with smaller ratios like BAE systems that recorded figures ranging from 0.64 – 0.82 implying stronger equity base as well </w:t>
      </w:r>
      <w:r>
        <w:rPr>
          <w:color w:val="000000"/>
        </w:rPr>
        <w:t>as lower reliance on debt capitalization which aligns better with stable operational performance over time leading to reduced financial risks at all levels for BAE Systems .</w:t>
      </w:r>
    </w:p>
    <w:p w:rsidR="00CA60CC" w:rsidRDefault="005B412D">
      <w:pPr>
        <w:pBdr>
          <w:top w:val="nil"/>
          <w:left w:val="nil"/>
          <w:bottom w:val="nil"/>
          <w:right w:val="nil"/>
          <w:between w:val="nil"/>
        </w:pBdr>
        <w:rPr>
          <w:color w:val="000000"/>
          <w:u w:val="single"/>
        </w:rPr>
      </w:pPr>
      <w:r>
        <w:rPr>
          <w:b/>
          <w:i/>
          <w:color w:val="000000"/>
          <w:u w:val="single"/>
        </w:rPr>
        <w:t>Efficiency Ratios</w:t>
      </w:r>
    </w:p>
    <w:tbl>
      <w:tblPr>
        <w:tblStyle w:val="a6"/>
        <w:tblW w:w="9360" w:type="dxa"/>
        <w:jc w:val="center"/>
        <w:tblBorders>
          <w:top w:val="nil"/>
          <w:left w:val="nil"/>
          <w:bottom w:val="nil"/>
          <w:right w:val="nil"/>
          <w:insideH w:val="nil"/>
          <w:insideV w:val="nil"/>
        </w:tblBorders>
        <w:tblLayout w:type="fixed"/>
        <w:tblLook w:val="0600"/>
      </w:tblPr>
      <w:tblGrid>
        <w:gridCol w:w="1621"/>
        <w:gridCol w:w="901"/>
        <w:gridCol w:w="901"/>
        <w:gridCol w:w="901"/>
        <w:gridCol w:w="901"/>
        <w:gridCol w:w="901"/>
        <w:gridCol w:w="730"/>
        <w:gridCol w:w="685"/>
        <w:gridCol w:w="567"/>
        <w:gridCol w:w="676"/>
        <w:gridCol w:w="576"/>
      </w:tblGrid>
      <w:tr w:rsidR="00CA60CC">
        <w:trPr>
          <w:trHeight w:val="345"/>
          <w:jc w:val="center"/>
        </w:trPr>
        <w:tc>
          <w:tcPr>
            <w:tcW w:w="1621" w:type="dxa"/>
            <w:vMerge w:val="restart"/>
            <w:tcBorders>
              <w:top w:val="single" w:sz="4" w:space="0" w:color="000000"/>
              <w:left w:val="single" w:sz="4" w:space="0" w:color="000000"/>
              <w:bottom w:val="single" w:sz="4" w:space="0" w:color="CCCCCC"/>
              <w:right w:val="single" w:sz="4" w:space="0" w:color="000000"/>
            </w:tcBorders>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b/>
                <w:color w:val="000000"/>
                <w:u w:val="single"/>
              </w:rPr>
            </w:pPr>
            <w:r>
              <w:rPr>
                <w:b/>
                <w:color w:val="000000"/>
                <w:u w:val="single"/>
              </w:rPr>
              <w:t>Efficiency Ratios</w:t>
            </w:r>
          </w:p>
        </w:tc>
        <w:tc>
          <w:tcPr>
            <w:tcW w:w="4505" w:type="dxa"/>
            <w:gridSpan w:val="5"/>
            <w:tcBorders>
              <w:top w:val="single" w:sz="4" w:space="0" w:color="000000"/>
              <w:left w:val="single" w:sz="4" w:space="0" w:color="CCCCCC"/>
              <w:bottom w:val="single" w:sz="4" w:space="0" w:color="CCCCCC"/>
              <w:right w:val="single" w:sz="4" w:space="0" w:color="000000"/>
            </w:tcBorders>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b/>
                <w:color w:val="000000"/>
                <w:u w:val="single"/>
              </w:rPr>
              <w:t>Rolls Royce's</w:t>
            </w:r>
          </w:p>
        </w:tc>
        <w:tc>
          <w:tcPr>
            <w:tcW w:w="3234" w:type="dxa"/>
            <w:gridSpan w:val="5"/>
            <w:tcBorders>
              <w:top w:val="single" w:sz="4" w:space="0" w:color="000000"/>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b/>
                <w:color w:val="000000"/>
                <w:u w:val="single"/>
              </w:rPr>
              <w:t>Bae Systems Plc</w:t>
            </w:r>
          </w:p>
        </w:tc>
      </w:tr>
      <w:tr w:rsidR="00CA60CC">
        <w:trPr>
          <w:trHeight w:val="345"/>
          <w:jc w:val="center"/>
        </w:trPr>
        <w:tc>
          <w:tcPr>
            <w:tcW w:w="1621" w:type="dxa"/>
            <w:vMerge/>
            <w:tcBorders>
              <w:top w:val="single" w:sz="4" w:space="0" w:color="000000"/>
              <w:left w:val="single" w:sz="4" w:space="0" w:color="000000"/>
              <w:bottom w:val="single" w:sz="4" w:space="0" w:color="CCCCCC"/>
              <w:right w:val="single" w:sz="4" w:space="0" w:color="000000"/>
            </w:tcBorders>
            <w:tcMar>
              <w:top w:w="40" w:type="dxa"/>
              <w:left w:w="40" w:type="dxa"/>
              <w:bottom w:w="40" w:type="dxa"/>
              <w:right w:w="40" w:type="dxa"/>
            </w:tcMar>
            <w:vAlign w:val="center"/>
          </w:tcPr>
          <w:p w:rsidR="00CA60CC" w:rsidRDefault="00CA60CC">
            <w:pPr>
              <w:widowControl w:val="0"/>
              <w:pBdr>
                <w:top w:val="nil"/>
                <w:left w:val="nil"/>
                <w:bottom w:val="nil"/>
                <w:right w:val="nil"/>
                <w:between w:val="nil"/>
              </w:pBdr>
              <w:spacing w:line="276" w:lineRule="auto"/>
              <w:jc w:val="left"/>
              <w:rPr>
                <w:color w:val="000000"/>
                <w:sz w:val="20"/>
                <w:szCs w:val="20"/>
              </w:rPr>
            </w:pP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2019</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2020</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2021</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2022</w:t>
            </w:r>
          </w:p>
        </w:tc>
        <w:tc>
          <w:tcPr>
            <w:tcW w:w="901"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2023</w:t>
            </w:r>
          </w:p>
        </w:tc>
        <w:tc>
          <w:tcPr>
            <w:tcW w:w="730"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2019</w:t>
            </w:r>
          </w:p>
        </w:tc>
        <w:tc>
          <w:tcPr>
            <w:tcW w:w="685"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2020</w:t>
            </w:r>
          </w:p>
        </w:tc>
        <w:tc>
          <w:tcPr>
            <w:tcW w:w="5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2021</w:t>
            </w:r>
          </w:p>
        </w:tc>
        <w:tc>
          <w:tcPr>
            <w:tcW w:w="676"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2022</w:t>
            </w:r>
          </w:p>
        </w:tc>
        <w:tc>
          <w:tcPr>
            <w:tcW w:w="576"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b/>
                <w:color w:val="000000"/>
                <w:u w:val="single"/>
              </w:rPr>
              <w:t>2023</w:t>
            </w:r>
          </w:p>
        </w:tc>
      </w:tr>
      <w:tr w:rsidR="00CA60CC">
        <w:trPr>
          <w:trHeight w:val="345"/>
          <w:jc w:val="center"/>
        </w:trPr>
        <w:tc>
          <w:tcPr>
            <w:tcW w:w="1621" w:type="dxa"/>
            <w:tcBorders>
              <w:top w:val="single" w:sz="4" w:space="0" w:color="CCCCCC"/>
              <w:left w:val="single" w:sz="4" w:space="0" w:color="000000"/>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color w:val="000000"/>
              </w:rPr>
              <w:t>Inventory Turnover Ratio</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3.84</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3.20</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2.48</w:t>
            </w:r>
          </w:p>
        </w:tc>
        <w:tc>
          <w:tcPr>
            <w:tcW w:w="901"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2.29</w:t>
            </w:r>
          </w:p>
        </w:tc>
        <w:tc>
          <w:tcPr>
            <w:tcW w:w="901"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2.65</w:t>
            </w:r>
          </w:p>
        </w:tc>
        <w:tc>
          <w:tcPr>
            <w:tcW w:w="730"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20.03</w:t>
            </w:r>
          </w:p>
        </w:tc>
        <w:tc>
          <w:tcPr>
            <w:tcW w:w="68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20.61</w:t>
            </w:r>
          </w:p>
        </w:tc>
        <w:tc>
          <w:tcPr>
            <w:tcW w:w="567" w:type="dxa"/>
            <w:tcBorders>
              <w:top w:val="single" w:sz="4" w:space="0" w:color="CCCCCC"/>
              <w:left w:val="single" w:sz="4" w:space="0" w:color="CCCCCC"/>
              <w:bottom w:val="single" w:sz="4" w:space="0" w:color="CCCCCC"/>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21.88</w:t>
            </w:r>
          </w:p>
        </w:tc>
        <w:tc>
          <w:tcPr>
            <w:tcW w:w="676"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19.74</w:t>
            </w:r>
          </w:p>
        </w:tc>
        <w:tc>
          <w:tcPr>
            <w:tcW w:w="576" w:type="dxa"/>
            <w:tcBorders>
              <w:top w:val="single" w:sz="4" w:space="0" w:color="CCCCCC"/>
              <w:left w:val="single" w:sz="4" w:space="0" w:color="CCCCCC"/>
              <w:bottom w:val="single" w:sz="4" w:space="0" w:color="CCCCCC"/>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18.09</w:t>
            </w:r>
          </w:p>
        </w:tc>
      </w:tr>
      <w:tr w:rsidR="00CA60CC">
        <w:trPr>
          <w:trHeight w:val="345"/>
          <w:jc w:val="center"/>
        </w:trPr>
        <w:tc>
          <w:tcPr>
            <w:tcW w:w="1621"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rPr>
                <w:color w:val="000000"/>
                <w:sz w:val="20"/>
                <w:szCs w:val="20"/>
              </w:rPr>
            </w:pPr>
            <w:r>
              <w:rPr>
                <w:color w:val="000000"/>
              </w:rPr>
              <w:t>Receivable Turnover Ratio</w:t>
            </w:r>
          </w:p>
        </w:tc>
        <w:tc>
          <w:tcPr>
            <w:tcW w:w="90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1.96</w:t>
            </w:r>
          </w:p>
        </w:tc>
        <w:tc>
          <w:tcPr>
            <w:tcW w:w="90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1.40</w:t>
            </w:r>
          </w:p>
        </w:tc>
        <w:tc>
          <w:tcPr>
            <w:tcW w:w="90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1.51</w:t>
            </w:r>
          </w:p>
        </w:tc>
        <w:tc>
          <w:tcPr>
            <w:tcW w:w="901"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1.54</w:t>
            </w:r>
          </w:p>
        </w:tc>
        <w:tc>
          <w:tcPr>
            <w:tcW w:w="901"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1.87</w:t>
            </w:r>
          </w:p>
        </w:tc>
        <w:tc>
          <w:tcPr>
            <w:tcW w:w="730"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17.53</w:t>
            </w:r>
          </w:p>
        </w:tc>
        <w:tc>
          <w:tcPr>
            <w:tcW w:w="685" w:type="dxa"/>
            <w:tcBorders>
              <w:top w:val="single" w:sz="4" w:space="0" w:color="CCCCCC"/>
              <w:left w:val="single" w:sz="4" w:space="0" w:color="CCCCCC"/>
              <w:bottom w:val="single" w:sz="4" w:space="0" w:color="000000"/>
              <w:right w:val="single" w:sz="4" w:space="0" w:color="CCCCCC"/>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15.19</w:t>
            </w:r>
          </w:p>
        </w:tc>
        <w:tc>
          <w:tcPr>
            <w:tcW w:w="567"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3.83</w:t>
            </w:r>
          </w:p>
        </w:tc>
        <w:tc>
          <w:tcPr>
            <w:tcW w:w="676" w:type="dxa"/>
            <w:tcBorders>
              <w:top w:val="single" w:sz="4" w:space="0" w:color="CCCCCC"/>
              <w:left w:val="single" w:sz="4" w:space="0" w:color="CCCCCC"/>
              <w:bottom w:val="single" w:sz="4" w:space="0" w:color="000000"/>
              <w:right w:val="single" w:sz="4" w:space="0" w:color="CCCCCC"/>
            </w:tcBorders>
            <w:shd w:val="clear" w:color="auto" w:fill="FFFFFF"/>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3.86</w:t>
            </w:r>
          </w:p>
        </w:tc>
        <w:tc>
          <w:tcPr>
            <w:tcW w:w="576" w:type="dxa"/>
            <w:tcBorders>
              <w:top w:val="single" w:sz="4" w:space="0" w:color="CCCCCC"/>
              <w:left w:val="single" w:sz="4" w:space="0" w:color="CCCCCC"/>
              <w:bottom w:val="single" w:sz="4" w:space="0" w:color="000000"/>
              <w:right w:val="single" w:sz="4" w:space="0" w:color="000000"/>
            </w:tcBorders>
            <w:shd w:val="clear" w:color="auto" w:fill="auto"/>
            <w:tcMar>
              <w:top w:w="40" w:type="dxa"/>
              <w:left w:w="40" w:type="dxa"/>
              <w:bottom w:w="40" w:type="dxa"/>
              <w:right w:w="40" w:type="dxa"/>
            </w:tcMar>
            <w:vAlign w:val="center"/>
          </w:tcPr>
          <w:p w:rsidR="00CA60CC" w:rsidRDefault="005B412D">
            <w:pPr>
              <w:widowControl w:val="0"/>
              <w:pBdr>
                <w:top w:val="nil"/>
                <w:left w:val="nil"/>
                <w:bottom w:val="nil"/>
                <w:right w:val="nil"/>
                <w:between w:val="nil"/>
              </w:pBdr>
              <w:jc w:val="right"/>
              <w:rPr>
                <w:color w:val="000000"/>
                <w:sz w:val="20"/>
                <w:szCs w:val="20"/>
              </w:rPr>
            </w:pPr>
            <w:r>
              <w:rPr>
                <w:color w:val="000000"/>
              </w:rPr>
              <w:t>13.12</w:t>
            </w:r>
          </w:p>
        </w:tc>
      </w:tr>
    </w:tbl>
    <w:p w:rsidR="00CA60CC" w:rsidRDefault="005B412D">
      <w:pPr>
        <w:pBdr>
          <w:top w:val="nil"/>
          <w:left w:val="nil"/>
          <w:bottom w:val="nil"/>
          <w:right w:val="nil"/>
          <w:between w:val="nil"/>
        </w:pBdr>
        <w:jc w:val="center"/>
        <w:rPr>
          <w:b/>
          <w:color w:val="000000"/>
        </w:rPr>
      </w:pPr>
      <w:r>
        <w:rPr>
          <w:b/>
          <w:color w:val="000000"/>
        </w:rPr>
        <w:t>Table 5:  Comparison of Efficiency Ratios</w:t>
      </w:r>
    </w:p>
    <w:p w:rsidR="00CA60CC" w:rsidRDefault="005B412D">
      <w:pPr>
        <w:pBdr>
          <w:top w:val="nil"/>
          <w:left w:val="nil"/>
          <w:bottom w:val="nil"/>
          <w:right w:val="nil"/>
          <w:between w:val="nil"/>
        </w:pBdr>
        <w:jc w:val="center"/>
        <w:rPr>
          <w:color w:val="000000"/>
        </w:rPr>
      </w:pPr>
      <w:r>
        <w:rPr>
          <w:color w:val="000000"/>
        </w:rPr>
        <w:t>(Source: Prepared by self)</w:t>
      </w:r>
    </w:p>
    <w:p w:rsidR="00CA60CC" w:rsidRDefault="005B412D">
      <w:pPr>
        <w:pBdr>
          <w:top w:val="nil"/>
          <w:left w:val="nil"/>
          <w:bottom w:val="nil"/>
          <w:right w:val="nil"/>
          <w:between w:val="nil"/>
        </w:pBdr>
        <w:rPr>
          <w:color w:val="000000"/>
        </w:rPr>
      </w:pPr>
      <w:r>
        <w:rPr>
          <w:color w:val="000000"/>
        </w:rPr>
        <w:t>The inventory turnover ratio of Rolls-Royce fell from 3.84 in 2019 to 2.65 in 2023 which denotes that there is a decline in the rate at which inventori</w:t>
      </w:r>
      <w:r>
        <w:rPr>
          <w:color w:val="000000"/>
        </w:rPr>
        <w:t xml:space="preserve">es are sold over a given period. This could mean that there are difficulties with forecasting demand or managing stock levels which </w:t>
      </w:r>
      <w:r>
        <w:rPr>
          <w:color w:val="000000"/>
        </w:rPr>
        <w:lastRenderedPageBreak/>
        <w:t>might result in higher holding costs and/or obsolescence risks. Conversely, BAE Systems recorded significantly higher figure</w:t>
      </w:r>
      <w:r>
        <w:rPr>
          <w:color w:val="000000"/>
        </w:rPr>
        <w:t>s for this ratio; ranging between 18.09 - 21.88. Such frequent changes in ownership demonstrate effective control over stocks as well as speedy conversion of them into sales hence indicating good operational efficiency coupled with strong demand from custo</w:t>
      </w:r>
      <w:r>
        <w:rPr>
          <w:color w:val="000000"/>
        </w:rPr>
        <w:t>mers.</w:t>
      </w:r>
    </w:p>
    <w:p w:rsidR="00CA60CC" w:rsidRDefault="005B412D">
      <w:pPr>
        <w:pBdr>
          <w:top w:val="nil"/>
          <w:left w:val="nil"/>
          <w:bottom w:val="nil"/>
          <w:right w:val="nil"/>
          <w:between w:val="nil"/>
        </w:pBdr>
        <w:rPr>
          <w:color w:val="000000"/>
        </w:rPr>
      </w:pPr>
      <w:r>
        <w:rPr>
          <w:color w:val="000000"/>
        </w:rPr>
        <w:t>Between years, receivables’ turnover ranged from 1.40-1.96 for Rolls-Royce showing their relatively slow collection process. The company can better its performance here by looking into issues around cash flows or credit policies since when it takes l</w:t>
      </w:r>
      <w:r>
        <w:rPr>
          <w:color w:val="000000"/>
        </w:rPr>
        <w:t xml:space="preserve">ong to collect such </w:t>
      </w:r>
      <w:r w:rsidR="00301AE8">
        <w:rPr>
          <w:color w:val="000000"/>
        </w:rPr>
        <w:t>debts,</w:t>
      </w:r>
      <w:r>
        <w:rPr>
          <w:color w:val="000000"/>
        </w:rPr>
        <w:t xml:space="preserve"> they may find themselves having liquidity problems. On the other side however, BAE systems had much bigger numbers on this ratio where at one point reached the highest ever figure;17.53 (2019) before slightly stabilizing at 13.12</w:t>
      </w:r>
      <w:r>
        <w:rPr>
          <w:color w:val="000000"/>
        </w:rPr>
        <w:t xml:space="preserve"> (2023). This shows that the firm managed credits efficiently throughout the year thereby enabling healthy inflow of funds needed either for further investment purposes within their business entities and debt reduction initiatives</w:t>
      </w:r>
    </w:p>
    <w:p w:rsidR="00CA60CC" w:rsidRDefault="005B412D">
      <w:pPr>
        <w:pStyle w:val="Heading2"/>
      </w:pPr>
      <w:bookmarkStart w:id="12" w:name="_Toc173258892"/>
      <w:r>
        <w:t>Recommendation for improv</w:t>
      </w:r>
      <w:r>
        <w:t>ement</w:t>
      </w:r>
      <w:bookmarkEnd w:id="12"/>
    </w:p>
    <w:p w:rsidR="00CA60CC" w:rsidRDefault="005B412D">
      <w:pPr>
        <w:pBdr>
          <w:top w:val="nil"/>
          <w:left w:val="nil"/>
          <w:bottom w:val="nil"/>
          <w:right w:val="nil"/>
          <w:between w:val="nil"/>
        </w:pBdr>
        <w:rPr>
          <w:color w:val="000000"/>
        </w:rPr>
      </w:pPr>
      <w:r>
        <w:rPr>
          <w:color w:val="000000"/>
        </w:rPr>
        <w:t>Based on the financial comparison of the companies, the following recommendations can be made for Rolls Royace that can formulate a better approach towards the growth and development of their business:</w:t>
      </w:r>
    </w:p>
    <w:p w:rsidR="00CA60CC" w:rsidRDefault="005B412D">
      <w:pPr>
        <w:numPr>
          <w:ilvl w:val="0"/>
          <w:numId w:val="2"/>
        </w:numPr>
        <w:pBdr>
          <w:top w:val="nil"/>
          <w:left w:val="nil"/>
          <w:bottom w:val="nil"/>
          <w:right w:val="nil"/>
          <w:between w:val="nil"/>
        </w:pBdr>
        <w:rPr>
          <w:color w:val="000000"/>
        </w:rPr>
      </w:pPr>
      <w:r>
        <w:rPr>
          <w:color w:val="000000"/>
        </w:rPr>
        <w:t>The organisation is recommended to maintain a lower expenditure within their business. It has been observed that in the recent four financial years, the business was running at a loss. However, in 2023, the company has somehow managed to maintain a certain</w:t>
      </w:r>
      <w:r>
        <w:rPr>
          <w:color w:val="000000"/>
        </w:rPr>
        <w:t xml:space="preserve"> margin of profit. Certainly, in this context, the company is recommended to maintain a lower expense in their business that can help to acquire an adequate level of profit margin. </w:t>
      </w:r>
    </w:p>
    <w:p w:rsidR="00CA60CC" w:rsidRDefault="005B412D">
      <w:pPr>
        <w:numPr>
          <w:ilvl w:val="0"/>
          <w:numId w:val="2"/>
        </w:numPr>
        <w:pBdr>
          <w:top w:val="nil"/>
          <w:left w:val="nil"/>
          <w:bottom w:val="nil"/>
          <w:right w:val="nil"/>
          <w:between w:val="nil"/>
        </w:pBdr>
        <w:rPr>
          <w:color w:val="000000"/>
        </w:rPr>
      </w:pPr>
      <w:r>
        <w:rPr>
          <w:color w:val="000000"/>
        </w:rPr>
        <w:t>The efficiency ratios of Rolls Royce are also observed to be at a lower le</w:t>
      </w:r>
      <w:r>
        <w:rPr>
          <w:color w:val="000000"/>
        </w:rPr>
        <w:t xml:space="preserve">vel. Based on this, it is recommended that the company use a higher level of their internal resources which are mainly their assets and inventory for meeting the business requirements. </w:t>
      </w:r>
    </w:p>
    <w:p w:rsidR="00CA60CC" w:rsidRDefault="005B412D">
      <w:pPr>
        <w:numPr>
          <w:ilvl w:val="0"/>
          <w:numId w:val="2"/>
        </w:numPr>
        <w:pBdr>
          <w:top w:val="nil"/>
          <w:left w:val="nil"/>
          <w:bottom w:val="nil"/>
          <w:right w:val="nil"/>
          <w:between w:val="nil"/>
        </w:pBdr>
        <w:rPr>
          <w:color w:val="000000"/>
        </w:rPr>
      </w:pPr>
      <w:r>
        <w:rPr>
          <w:color w:val="000000"/>
        </w:rPr>
        <w:t>Rolls Royce is also noted to have a higher proportionate of debt withi</w:t>
      </w:r>
      <w:r>
        <w:rPr>
          <w:color w:val="000000"/>
        </w:rPr>
        <w:t xml:space="preserve">n their business as a result of which their entire operational activities are affected. In this aspect, it is recommended that the company minimise the debt obligations within their business so as to have a stable operational activity. </w:t>
      </w:r>
    </w:p>
    <w:p w:rsidR="00CA60CC" w:rsidRDefault="005B412D">
      <w:pPr>
        <w:pStyle w:val="Heading1"/>
      </w:pPr>
      <w:bookmarkStart w:id="13" w:name="_Toc173258893"/>
      <w:r>
        <w:lastRenderedPageBreak/>
        <w:t xml:space="preserve">Part C: Investment </w:t>
      </w:r>
      <w:r>
        <w:t>appraisal</w:t>
      </w:r>
      <w:bookmarkEnd w:id="13"/>
    </w:p>
    <w:p w:rsidR="00CA60CC" w:rsidRDefault="005B412D">
      <w:pPr>
        <w:pStyle w:val="Heading2"/>
      </w:pPr>
      <w:bookmarkStart w:id="14" w:name="_Toc173258894"/>
      <w:r>
        <w:t>Calculation of the investment appraisal techniques and their evaluation</w:t>
      </w:r>
      <w:bookmarkEnd w:id="14"/>
    </w:p>
    <w:p w:rsidR="00CA60CC" w:rsidRDefault="005B412D">
      <w:pPr>
        <w:pBdr>
          <w:top w:val="nil"/>
          <w:left w:val="nil"/>
          <w:bottom w:val="nil"/>
          <w:right w:val="nil"/>
          <w:between w:val="nil"/>
        </w:pBdr>
        <w:rPr>
          <w:b/>
          <w:i/>
          <w:color w:val="000000"/>
          <w:u w:val="single"/>
        </w:rPr>
      </w:pPr>
      <w:r>
        <w:rPr>
          <w:b/>
          <w:i/>
          <w:color w:val="000000"/>
          <w:u w:val="single"/>
        </w:rPr>
        <w:t>Payback Period</w:t>
      </w:r>
    </w:p>
    <w:tbl>
      <w:tblPr>
        <w:tblStyle w:val="a7"/>
        <w:tblW w:w="9000" w:type="dxa"/>
        <w:jc w:val="center"/>
        <w:tblBorders>
          <w:top w:val="nil"/>
          <w:left w:val="nil"/>
          <w:bottom w:val="nil"/>
          <w:right w:val="nil"/>
          <w:insideH w:val="nil"/>
          <w:insideV w:val="nil"/>
        </w:tblBorders>
        <w:tblLayout w:type="fixed"/>
        <w:tblLook w:val="0600"/>
      </w:tblPr>
      <w:tblGrid>
        <w:gridCol w:w="1500"/>
        <w:gridCol w:w="2115"/>
        <w:gridCol w:w="1740"/>
        <w:gridCol w:w="1845"/>
        <w:gridCol w:w="1800"/>
      </w:tblGrid>
      <w:tr w:rsidR="00CA60CC">
        <w:trPr>
          <w:trHeight w:val="345"/>
          <w:jc w:val="center"/>
        </w:trPr>
        <w:tc>
          <w:tcPr>
            <w:tcW w:w="9000" w:type="dxa"/>
            <w:gridSpan w:val="5"/>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Calculation of the Payback Period</w:t>
            </w:r>
          </w:p>
        </w:tc>
      </w:tr>
      <w:tr w:rsidR="00CA60CC">
        <w:trPr>
          <w:trHeight w:val="630"/>
          <w:jc w:val="center"/>
        </w:trPr>
        <w:tc>
          <w:tcPr>
            <w:tcW w:w="150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Particulars</w:t>
            </w:r>
          </w:p>
        </w:tc>
        <w:tc>
          <w:tcPr>
            <w:tcW w:w="211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Cashflow for A</w:t>
            </w:r>
          </w:p>
        </w:tc>
        <w:tc>
          <w:tcPr>
            <w:tcW w:w="174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b/>
                <w:color w:val="000000"/>
              </w:rPr>
            </w:pPr>
            <w:r>
              <w:rPr>
                <w:b/>
                <w:color w:val="000000"/>
              </w:rPr>
              <w:t>Cumulative</w:t>
            </w:r>
          </w:p>
          <w:p w:rsidR="00CA60CC" w:rsidRDefault="005B412D">
            <w:pPr>
              <w:widowControl w:val="0"/>
              <w:pBdr>
                <w:top w:val="nil"/>
                <w:left w:val="nil"/>
                <w:bottom w:val="nil"/>
                <w:right w:val="nil"/>
                <w:between w:val="nil"/>
              </w:pBdr>
              <w:rPr>
                <w:color w:val="000000"/>
                <w:sz w:val="20"/>
                <w:szCs w:val="20"/>
              </w:rPr>
            </w:pPr>
            <w:r>
              <w:rPr>
                <w:b/>
                <w:color w:val="000000"/>
              </w:rPr>
              <w:t>Cashflow for A</w:t>
            </w:r>
          </w:p>
        </w:tc>
        <w:tc>
          <w:tcPr>
            <w:tcW w:w="184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Cashflow for B</w:t>
            </w:r>
          </w:p>
        </w:tc>
        <w:tc>
          <w:tcPr>
            <w:tcW w:w="180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b/>
                <w:color w:val="000000"/>
              </w:rPr>
            </w:pPr>
            <w:r>
              <w:rPr>
                <w:b/>
                <w:color w:val="000000"/>
              </w:rPr>
              <w:t>Cumulative</w:t>
            </w:r>
          </w:p>
          <w:p w:rsidR="00CA60CC" w:rsidRDefault="005B412D">
            <w:pPr>
              <w:widowControl w:val="0"/>
              <w:pBdr>
                <w:top w:val="nil"/>
                <w:left w:val="nil"/>
                <w:bottom w:val="nil"/>
                <w:right w:val="nil"/>
                <w:between w:val="nil"/>
              </w:pBdr>
              <w:rPr>
                <w:color w:val="000000"/>
                <w:sz w:val="20"/>
                <w:szCs w:val="20"/>
              </w:rPr>
            </w:pPr>
            <w:r>
              <w:rPr>
                <w:b/>
                <w:color w:val="000000"/>
              </w:rPr>
              <w:t>Cashflow for B</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0</w:t>
            </w:r>
          </w:p>
        </w:tc>
        <w:tc>
          <w:tcPr>
            <w:tcW w:w="211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-£80,000,000.00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-£80,000,000.00</w:t>
            </w:r>
          </w:p>
        </w:tc>
        <w:tc>
          <w:tcPr>
            <w:tcW w:w="184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-£75,000,000.00</w:t>
            </w:r>
          </w:p>
        </w:tc>
        <w:tc>
          <w:tcPr>
            <w:tcW w:w="180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-£75,000,000.00</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w:t>
            </w:r>
          </w:p>
        </w:tc>
        <w:tc>
          <w:tcPr>
            <w:tcW w:w="211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£25,000,000.00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-£55,000,000.00</w:t>
            </w:r>
          </w:p>
        </w:tc>
        <w:tc>
          <w:tcPr>
            <w:tcW w:w="184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£50,000,000.00</w:t>
            </w:r>
          </w:p>
        </w:tc>
        <w:tc>
          <w:tcPr>
            <w:tcW w:w="180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-£25,000,000.00</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w:t>
            </w:r>
          </w:p>
        </w:tc>
        <w:tc>
          <w:tcPr>
            <w:tcW w:w="211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£25,000,000.00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-£30,000,000.00</w:t>
            </w:r>
          </w:p>
        </w:tc>
        <w:tc>
          <w:tcPr>
            <w:tcW w:w="184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c>
          <w:tcPr>
            <w:tcW w:w="180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-£5,000,000.00</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w:t>
            </w:r>
          </w:p>
        </w:tc>
        <w:tc>
          <w:tcPr>
            <w:tcW w:w="211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-£10,000,000.00</w:t>
            </w:r>
          </w:p>
        </w:tc>
        <w:tc>
          <w:tcPr>
            <w:tcW w:w="184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c>
          <w:tcPr>
            <w:tcW w:w="180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£15,000,000.00</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4</w:t>
            </w:r>
          </w:p>
        </w:tc>
        <w:tc>
          <w:tcPr>
            <w:tcW w:w="211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£55,000,000.00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£45,000,000.00</w:t>
            </w:r>
          </w:p>
        </w:tc>
        <w:tc>
          <w:tcPr>
            <w:tcW w:w="184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c>
          <w:tcPr>
            <w:tcW w:w="180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£35,000,000.00</w:t>
            </w:r>
          </w:p>
        </w:tc>
      </w:tr>
      <w:tr w:rsidR="00CA60CC">
        <w:trPr>
          <w:trHeight w:val="630"/>
          <w:jc w:val="center"/>
        </w:trPr>
        <w:tc>
          <w:tcPr>
            <w:tcW w:w="150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Payback period</w:t>
            </w:r>
          </w:p>
        </w:tc>
        <w:tc>
          <w:tcPr>
            <w:tcW w:w="3855" w:type="dxa"/>
            <w:gridSpan w:val="2"/>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3.2</w:t>
            </w:r>
          </w:p>
        </w:tc>
        <w:tc>
          <w:tcPr>
            <w:tcW w:w="3645" w:type="dxa"/>
            <w:gridSpan w:val="2"/>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2.3</w:t>
            </w:r>
          </w:p>
        </w:tc>
      </w:tr>
    </w:tbl>
    <w:p w:rsidR="00CA60CC" w:rsidRDefault="005B412D">
      <w:pPr>
        <w:pBdr>
          <w:top w:val="nil"/>
          <w:left w:val="nil"/>
          <w:bottom w:val="nil"/>
          <w:right w:val="nil"/>
          <w:between w:val="nil"/>
        </w:pBdr>
        <w:jc w:val="center"/>
        <w:rPr>
          <w:b/>
          <w:color w:val="000000"/>
        </w:rPr>
      </w:pPr>
      <w:r>
        <w:rPr>
          <w:b/>
          <w:color w:val="000000"/>
        </w:rPr>
        <w:t>Table 6: Payback Period</w:t>
      </w:r>
    </w:p>
    <w:p w:rsidR="00CA60CC" w:rsidRDefault="005B412D">
      <w:pPr>
        <w:pBdr>
          <w:top w:val="nil"/>
          <w:left w:val="nil"/>
          <w:bottom w:val="nil"/>
          <w:right w:val="nil"/>
          <w:between w:val="nil"/>
        </w:pBdr>
        <w:jc w:val="center"/>
        <w:rPr>
          <w:color w:val="000000"/>
        </w:rPr>
      </w:pPr>
      <w:r>
        <w:rPr>
          <w:color w:val="000000"/>
        </w:rPr>
        <w:t>(Source: Prepared by self)</w:t>
      </w:r>
    </w:p>
    <w:p w:rsidR="00CA60CC" w:rsidRDefault="005B412D" w:rsidP="008E5348">
      <w:pPr>
        <w:pBdr>
          <w:top w:val="nil"/>
          <w:left w:val="nil"/>
          <w:bottom w:val="nil"/>
          <w:right w:val="nil"/>
          <w:between w:val="nil"/>
        </w:pBdr>
        <w:rPr>
          <w:color w:val="000000"/>
        </w:rPr>
      </w:pPr>
      <w:r>
        <w:rPr>
          <w:color w:val="000000"/>
        </w:rPr>
        <w:t xml:space="preserve">In the field of investment payback period is associated with the determination of the time that a certain investment is </w:t>
      </w:r>
      <w:r>
        <w:rPr>
          <w:color w:val="000000"/>
        </w:rPr>
        <w:t>taking in terms of covering the cost of investment (</w:t>
      </w:r>
      <w:r>
        <w:rPr>
          <w:color w:val="222222"/>
          <w:highlight w:val="white"/>
        </w:rPr>
        <w:t>Olayinka, 2022</w:t>
      </w:r>
      <w:r>
        <w:rPr>
          <w:color w:val="000000"/>
        </w:rPr>
        <w:t>). Generally, a lower payback period is relevant for having a standard profit margin. Based on this, the table presented above relates the comparison of the payback period of two of the inve</w:t>
      </w:r>
      <w:r>
        <w:rPr>
          <w:color w:val="000000"/>
        </w:rPr>
        <w:t xml:space="preserve">stment options. Certainly, it can be noted that the investment “A” will take a time </w:t>
      </w:r>
      <w:r w:rsidR="008E5348">
        <w:rPr>
          <w:color w:val="000000"/>
        </w:rPr>
        <w:t>of 3</w:t>
      </w:r>
      <w:r>
        <w:rPr>
          <w:color w:val="000000"/>
        </w:rPr>
        <w:t xml:space="preserve"> years and 2 months to cover the cost of the investment. On the other hand, investment “B” will take 2 years and 3 months to cover the cost of investment and generate p</w:t>
      </w:r>
      <w:r>
        <w:rPr>
          <w:color w:val="000000"/>
        </w:rPr>
        <w:t xml:space="preserve">rofit from the same. In this aspect, it can be ascertained that from the prospectus of the payback period, investment “B” will be relevant for covering the cost of investment within a short period of time. </w:t>
      </w:r>
    </w:p>
    <w:p w:rsidR="00CA60CC" w:rsidRDefault="005B412D">
      <w:pPr>
        <w:pBdr>
          <w:top w:val="nil"/>
          <w:left w:val="nil"/>
          <w:bottom w:val="nil"/>
          <w:right w:val="nil"/>
          <w:between w:val="nil"/>
        </w:pBdr>
        <w:rPr>
          <w:b/>
          <w:i/>
          <w:color w:val="000000"/>
          <w:u w:val="single"/>
        </w:rPr>
      </w:pPr>
      <w:r>
        <w:rPr>
          <w:b/>
          <w:i/>
          <w:color w:val="000000"/>
          <w:u w:val="single"/>
        </w:rPr>
        <w:t>Net Present Value</w:t>
      </w:r>
    </w:p>
    <w:tbl>
      <w:tblPr>
        <w:tblStyle w:val="a8"/>
        <w:tblW w:w="9360" w:type="dxa"/>
        <w:jc w:val="center"/>
        <w:tblBorders>
          <w:top w:val="nil"/>
          <w:left w:val="nil"/>
          <w:bottom w:val="nil"/>
          <w:right w:val="nil"/>
          <w:insideH w:val="nil"/>
          <w:insideV w:val="nil"/>
        </w:tblBorders>
        <w:tblLayout w:type="fixed"/>
        <w:tblLook w:val="0600"/>
      </w:tblPr>
      <w:tblGrid>
        <w:gridCol w:w="984"/>
        <w:gridCol w:w="1440"/>
        <w:gridCol w:w="1800"/>
        <w:gridCol w:w="1710"/>
        <w:gridCol w:w="1790"/>
        <w:gridCol w:w="1636"/>
      </w:tblGrid>
      <w:tr w:rsidR="00CA60CC">
        <w:trPr>
          <w:trHeight w:val="345"/>
          <w:jc w:val="center"/>
        </w:trPr>
        <w:tc>
          <w:tcPr>
            <w:tcW w:w="9360" w:type="dxa"/>
            <w:gridSpan w:val="6"/>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 xml:space="preserve">Calculation of the Net Present </w:t>
            </w:r>
            <w:r>
              <w:rPr>
                <w:b/>
                <w:color w:val="000000"/>
              </w:rPr>
              <w:t>Value</w:t>
            </w:r>
          </w:p>
        </w:tc>
      </w:tr>
      <w:tr w:rsidR="00CA60CC" w:rsidTr="008E5348">
        <w:trPr>
          <w:trHeight w:val="900"/>
          <w:jc w:val="center"/>
        </w:trPr>
        <w:tc>
          <w:tcPr>
            <w:tcW w:w="984" w:type="dxa"/>
            <w:tcBorders>
              <w:top w:val="single" w:sz="5" w:space="0" w:color="CCCCCC"/>
              <w:left w:val="single" w:sz="5" w:space="0" w:color="000000"/>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center"/>
              <w:rPr>
                <w:color w:val="000000"/>
                <w:sz w:val="20"/>
                <w:szCs w:val="20"/>
              </w:rPr>
            </w:pPr>
            <w:r>
              <w:rPr>
                <w:b/>
                <w:color w:val="000000"/>
              </w:rPr>
              <w:t>Years</w:t>
            </w:r>
          </w:p>
        </w:tc>
        <w:tc>
          <w:tcPr>
            <w:tcW w:w="14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center"/>
              <w:rPr>
                <w:b/>
                <w:color w:val="000000"/>
              </w:rPr>
            </w:pPr>
            <w:r>
              <w:rPr>
                <w:b/>
                <w:color w:val="000000"/>
              </w:rPr>
              <w:t>9.75% Discounting</w:t>
            </w:r>
          </w:p>
          <w:p w:rsidR="00CA60CC" w:rsidRDefault="005B412D">
            <w:pPr>
              <w:widowControl w:val="0"/>
              <w:pBdr>
                <w:top w:val="nil"/>
                <w:left w:val="nil"/>
                <w:bottom w:val="nil"/>
                <w:right w:val="nil"/>
                <w:between w:val="nil"/>
              </w:pBdr>
              <w:jc w:val="center"/>
              <w:rPr>
                <w:color w:val="000000"/>
                <w:sz w:val="20"/>
                <w:szCs w:val="20"/>
              </w:rPr>
            </w:pPr>
            <w:r>
              <w:rPr>
                <w:b/>
                <w:color w:val="000000"/>
              </w:rPr>
              <w:lastRenderedPageBreak/>
              <w:t>Factor</w:t>
            </w:r>
          </w:p>
        </w:tc>
        <w:tc>
          <w:tcPr>
            <w:tcW w:w="180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center"/>
              <w:rPr>
                <w:b/>
                <w:color w:val="000000"/>
              </w:rPr>
            </w:pPr>
            <w:r>
              <w:rPr>
                <w:b/>
                <w:color w:val="000000"/>
              </w:rPr>
              <w:lastRenderedPageBreak/>
              <w:t>Cash flows</w:t>
            </w:r>
          </w:p>
          <w:p w:rsidR="00CA60CC" w:rsidRDefault="005B412D">
            <w:pPr>
              <w:widowControl w:val="0"/>
              <w:pBdr>
                <w:top w:val="nil"/>
                <w:left w:val="nil"/>
                <w:bottom w:val="nil"/>
                <w:right w:val="nil"/>
                <w:between w:val="nil"/>
              </w:pBdr>
              <w:jc w:val="center"/>
              <w:rPr>
                <w:color w:val="000000"/>
                <w:sz w:val="20"/>
                <w:szCs w:val="20"/>
              </w:rPr>
            </w:pPr>
            <w:r>
              <w:rPr>
                <w:b/>
                <w:color w:val="000000"/>
              </w:rPr>
              <w:t>in £ for A</w:t>
            </w:r>
          </w:p>
        </w:tc>
        <w:tc>
          <w:tcPr>
            <w:tcW w:w="171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center"/>
              <w:rPr>
                <w:b/>
                <w:color w:val="000000"/>
              </w:rPr>
            </w:pPr>
            <w:r>
              <w:rPr>
                <w:b/>
                <w:color w:val="000000"/>
              </w:rPr>
              <w:t>Discounted</w:t>
            </w:r>
          </w:p>
          <w:p w:rsidR="00CA60CC" w:rsidRDefault="005B412D">
            <w:pPr>
              <w:widowControl w:val="0"/>
              <w:pBdr>
                <w:top w:val="nil"/>
                <w:left w:val="nil"/>
                <w:bottom w:val="nil"/>
                <w:right w:val="nil"/>
                <w:between w:val="nil"/>
              </w:pBdr>
              <w:jc w:val="center"/>
              <w:rPr>
                <w:color w:val="000000"/>
                <w:sz w:val="20"/>
                <w:szCs w:val="20"/>
              </w:rPr>
            </w:pPr>
            <w:r>
              <w:rPr>
                <w:b/>
                <w:color w:val="000000"/>
              </w:rPr>
              <w:t xml:space="preserve">cash inflow for </w:t>
            </w:r>
            <w:r>
              <w:rPr>
                <w:b/>
                <w:color w:val="000000"/>
              </w:rPr>
              <w:lastRenderedPageBreak/>
              <w:t>A</w:t>
            </w:r>
          </w:p>
        </w:tc>
        <w:tc>
          <w:tcPr>
            <w:tcW w:w="179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center"/>
              <w:rPr>
                <w:b/>
                <w:color w:val="000000"/>
              </w:rPr>
            </w:pPr>
            <w:r>
              <w:rPr>
                <w:b/>
                <w:color w:val="000000"/>
              </w:rPr>
              <w:lastRenderedPageBreak/>
              <w:t>Cash flows</w:t>
            </w:r>
          </w:p>
          <w:p w:rsidR="00CA60CC" w:rsidRDefault="005B412D">
            <w:pPr>
              <w:widowControl w:val="0"/>
              <w:pBdr>
                <w:top w:val="nil"/>
                <w:left w:val="nil"/>
                <w:bottom w:val="nil"/>
                <w:right w:val="nil"/>
                <w:between w:val="nil"/>
              </w:pBdr>
              <w:jc w:val="center"/>
              <w:rPr>
                <w:color w:val="000000"/>
                <w:sz w:val="20"/>
                <w:szCs w:val="20"/>
              </w:rPr>
            </w:pPr>
            <w:r>
              <w:rPr>
                <w:b/>
                <w:color w:val="000000"/>
              </w:rPr>
              <w:t>in £ for B</w:t>
            </w:r>
          </w:p>
        </w:tc>
        <w:tc>
          <w:tcPr>
            <w:tcW w:w="1636"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center"/>
              <w:rPr>
                <w:b/>
                <w:color w:val="000000"/>
              </w:rPr>
            </w:pPr>
            <w:r>
              <w:rPr>
                <w:b/>
                <w:color w:val="000000"/>
              </w:rPr>
              <w:t>Discounted</w:t>
            </w:r>
          </w:p>
          <w:p w:rsidR="00CA60CC" w:rsidRDefault="005B412D">
            <w:pPr>
              <w:widowControl w:val="0"/>
              <w:pBdr>
                <w:top w:val="nil"/>
                <w:left w:val="nil"/>
                <w:bottom w:val="nil"/>
                <w:right w:val="nil"/>
                <w:between w:val="nil"/>
              </w:pBdr>
              <w:jc w:val="center"/>
              <w:rPr>
                <w:color w:val="000000"/>
                <w:sz w:val="20"/>
                <w:szCs w:val="20"/>
              </w:rPr>
            </w:pPr>
            <w:r>
              <w:rPr>
                <w:b/>
                <w:color w:val="000000"/>
              </w:rPr>
              <w:t xml:space="preserve">cash inflow for </w:t>
            </w:r>
            <w:r>
              <w:rPr>
                <w:b/>
                <w:color w:val="000000"/>
              </w:rPr>
              <w:lastRenderedPageBreak/>
              <w:t>B</w:t>
            </w:r>
          </w:p>
        </w:tc>
      </w:tr>
      <w:tr w:rsidR="00CA60CC" w:rsidTr="008E5348">
        <w:trPr>
          <w:trHeight w:val="345"/>
          <w:jc w:val="center"/>
        </w:trPr>
        <w:tc>
          <w:tcPr>
            <w:tcW w:w="984" w:type="dxa"/>
            <w:tcBorders>
              <w:top w:val="single" w:sz="5" w:space="0" w:color="CCCCCC"/>
              <w:left w:val="single" w:sz="5" w:space="0" w:color="000000"/>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lastRenderedPageBreak/>
              <w:t>1</w:t>
            </w:r>
          </w:p>
        </w:tc>
        <w:tc>
          <w:tcPr>
            <w:tcW w:w="14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1.11</w:t>
            </w:r>
          </w:p>
        </w:tc>
        <w:tc>
          <w:tcPr>
            <w:tcW w:w="180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£25,000,000.00</w:t>
            </w:r>
          </w:p>
        </w:tc>
        <w:tc>
          <w:tcPr>
            <w:tcW w:w="171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£27,700,831.02</w:t>
            </w:r>
          </w:p>
        </w:tc>
        <w:tc>
          <w:tcPr>
            <w:tcW w:w="179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£50,000,000.00</w:t>
            </w:r>
          </w:p>
        </w:tc>
        <w:tc>
          <w:tcPr>
            <w:tcW w:w="1636"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£55,401,662.05</w:t>
            </w:r>
          </w:p>
        </w:tc>
      </w:tr>
      <w:tr w:rsidR="00CA60CC" w:rsidTr="008E5348">
        <w:trPr>
          <w:trHeight w:val="345"/>
          <w:jc w:val="center"/>
        </w:trPr>
        <w:tc>
          <w:tcPr>
            <w:tcW w:w="984" w:type="dxa"/>
            <w:tcBorders>
              <w:top w:val="single" w:sz="5" w:space="0" w:color="CCCCCC"/>
              <w:left w:val="single" w:sz="5" w:space="0" w:color="000000"/>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w:t>
            </w:r>
          </w:p>
        </w:tc>
        <w:tc>
          <w:tcPr>
            <w:tcW w:w="14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1.23</w:t>
            </w:r>
          </w:p>
        </w:tc>
        <w:tc>
          <w:tcPr>
            <w:tcW w:w="180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£25,000,000.00</w:t>
            </w:r>
          </w:p>
        </w:tc>
        <w:tc>
          <w:tcPr>
            <w:tcW w:w="171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£30,693,441.58</w:t>
            </w:r>
          </w:p>
        </w:tc>
        <w:tc>
          <w:tcPr>
            <w:tcW w:w="179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c>
          <w:tcPr>
            <w:tcW w:w="1636"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£24,554,753.26</w:t>
            </w:r>
          </w:p>
        </w:tc>
      </w:tr>
      <w:tr w:rsidR="00CA60CC" w:rsidTr="008E5348">
        <w:trPr>
          <w:trHeight w:val="345"/>
          <w:jc w:val="center"/>
        </w:trPr>
        <w:tc>
          <w:tcPr>
            <w:tcW w:w="984" w:type="dxa"/>
            <w:tcBorders>
              <w:top w:val="single" w:sz="5" w:space="0" w:color="CCCCCC"/>
              <w:left w:val="single" w:sz="5" w:space="0" w:color="000000"/>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w:t>
            </w:r>
          </w:p>
        </w:tc>
        <w:tc>
          <w:tcPr>
            <w:tcW w:w="14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1.36</w:t>
            </w:r>
          </w:p>
        </w:tc>
        <w:tc>
          <w:tcPr>
            <w:tcW w:w="180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c>
          <w:tcPr>
            <w:tcW w:w="171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£27,207,482.84</w:t>
            </w:r>
          </w:p>
        </w:tc>
        <w:tc>
          <w:tcPr>
            <w:tcW w:w="179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c>
          <w:tcPr>
            <w:tcW w:w="1636"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£27,207,482.84</w:t>
            </w:r>
          </w:p>
        </w:tc>
      </w:tr>
      <w:tr w:rsidR="00CA60CC" w:rsidTr="008E5348">
        <w:trPr>
          <w:trHeight w:val="345"/>
          <w:jc w:val="center"/>
        </w:trPr>
        <w:tc>
          <w:tcPr>
            <w:tcW w:w="984" w:type="dxa"/>
            <w:tcBorders>
              <w:top w:val="single" w:sz="5" w:space="0" w:color="CCCCCC"/>
              <w:left w:val="single" w:sz="5" w:space="0" w:color="000000"/>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4</w:t>
            </w:r>
          </w:p>
        </w:tc>
        <w:tc>
          <w:tcPr>
            <w:tcW w:w="14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1.51</w:t>
            </w:r>
          </w:p>
        </w:tc>
        <w:tc>
          <w:tcPr>
            <w:tcW w:w="180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£55,000,000.00</w:t>
            </w:r>
          </w:p>
        </w:tc>
        <w:tc>
          <w:tcPr>
            <w:tcW w:w="171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£82,903,687.32</w:t>
            </w:r>
          </w:p>
        </w:tc>
        <w:tc>
          <w:tcPr>
            <w:tcW w:w="1790"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c>
          <w:tcPr>
            <w:tcW w:w="1636"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£30,146,795.39</w:t>
            </w:r>
          </w:p>
        </w:tc>
      </w:tr>
      <w:tr w:rsidR="00CA60CC" w:rsidTr="008E5348">
        <w:trPr>
          <w:trHeight w:val="345"/>
          <w:jc w:val="center"/>
        </w:trPr>
        <w:tc>
          <w:tcPr>
            <w:tcW w:w="2424" w:type="dxa"/>
            <w:gridSpan w:val="2"/>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Present Value of the cash flows</w:t>
            </w:r>
          </w:p>
        </w:tc>
        <w:tc>
          <w:tcPr>
            <w:tcW w:w="3510" w:type="dxa"/>
            <w:gridSpan w:val="2"/>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£168,505,442.77</w:t>
            </w:r>
          </w:p>
        </w:tc>
        <w:tc>
          <w:tcPr>
            <w:tcW w:w="3426" w:type="dxa"/>
            <w:gridSpan w:val="2"/>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£137,310,693.54</w:t>
            </w:r>
          </w:p>
        </w:tc>
      </w:tr>
      <w:tr w:rsidR="00CA60CC" w:rsidTr="008E5348">
        <w:trPr>
          <w:trHeight w:val="345"/>
          <w:jc w:val="center"/>
        </w:trPr>
        <w:tc>
          <w:tcPr>
            <w:tcW w:w="2424" w:type="dxa"/>
            <w:gridSpan w:val="2"/>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Initial Investment</w:t>
            </w:r>
          </w:p>
        </w:tc>
        <w:tc>
          <w:tcPr>
            <w:tcW w:w="3510" w:type="dxa"/>
            <w:gridSpan w:val="2"/>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£80,000,000.00</w:t>
            </w:r>
          </w:p>
        </w:tc>
        <w:tc>
          <w:tcPr>
            <w:tcW w:w="3426" w:type="dxa"/>
            <w:gridSpan w:val="2"/>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£75,000,000.00</w:t>
            </w:r>
          </w:p>
        </w:tc>
      </w:tr>
      <w:tr w:rsidR="00CA60CC" w:rsidTr="008E5348">
        <w:trPr>
          <w:trHeight w:val="345"/>
          <w:jc w:val="center"/>
        </w:trPr>
        <w:tc>
          <w:tcPr>
            <w:tcW w:w="2424" w:type="dxa"/>
            <w:gridSpan w:val="2"/>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NPV</w:t>
            </w:r>
          </w:p>
        </w:tc>
        <w:tc>
          <w:tcPr>
            <w:tcW w:w="3510" w:type="dxa"/>
            <w:gridSpan w:val="2"/>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£88,505,442.77</w:t>
            </w:r>
          </w:p>
        </w:tc>
        <w:tc>
          <w:tcPr>
            <w:tcW w:w="3426" w:type="dxa"/>
            <w:gridSpan w:val="2"/>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£62,310,693.54</w:t>
            </w:r>
          </w:p>
        </w:tc>
      </w:tr>
    </w:tbl>
    <w:p w:rsidR="00CA60CC" w:rsidRDefault="005B412D" w:rsidP="007A5696">
      <w:pPr>
        <w:pBdr>
          <w:top w:val="nil"/>
          <w:left w:val="nil"/>
          <w:bottom w:val="nil"/>
          <w:right w:val="nil"/>
          <w:between w:val="nil"/>
        </w:pBdr>
        <w:jc w:val="center"/>
        <w:rPr>
          <w:b/>
          <w:color w:val="000000"/>
        </w:rPr>
      </w:pPr>
      <w:r>
        <w:rPr>
          <w:b/>
          <w:color w:val="000000"/>
        </w:rPr>
        <w:t>Table 7: Net Present Value</w:t>
      </w:r>
    </w:p>
    <w:p w:rsidR="00CA60CC" w:rsidRDefault="005B412D" w:rsidP="007A5696">
      <w:pPr>
        <w:pBdr>
          <w:top w:val="nil"/>
          <w:left w:val="nil"/>
          <w:bottom w:val="nil"/>
          <w:right w:val="nil"/>
          <w:between w:val="nil"/>
        </w:pBdr>
        <w:jc w:val="center"/>
        <w:rPr>
          <w:color w:val="000000"/>
        </w:rPr>
      </w:pPr>
      <w:r>
        <w:rPr>
          <w:color w:val="000000"/>
        </w:rPr>
        <w:t>(Source: Prepared by self)</w:t>
      </w:r>
    </w:p>
    <w:p w:rsidR="00CA60CC" w:rsidRDefault="005B412D" w:rsidP="007A5696">
      <w:pPr>
        <w:pBdr>
          <w:top w:val="nil"/>
          <w:left w:val="nil"/>
          <w:bottom w:val="nil"/>
          <w:right w:val="nil"/>
          <w:between w:val="nil"/>
        </w:pBdr>
        <w:rPr>
          <w:color w:val="000000"/>
        </w:rPr>
      </w:pPr>
      <w:r>
        <w:rPr>
          <w:color w:val="000000"/>
        </w:rPr>
        <w:t xml:space="preserve">The relevance of net present value (NPV), is </w:t>
      </w:r>
      <w:r>
        <w:rPr>
          <w:color w:val="000000"/>
        </w:rPr>
        <w:t>related to the evaluation of the future return that a certain investment is generating in the future course of action (</w:t>
      </w:r>
      <w:r>
        <w:rPr>
          <w:color w:val="222222"/>
          <w:highlight w:val="white"/>
        </w:rPr>
        <w:t>Fitzgerald, 2022</w:t>
      </w:r>
      <w:r>
        <w:rPr>
          <w:color w:val="000000"/>
        </w:rPr>
        <w:t xml:space="preserve">). On the basis of this, it can be ascertained that from the investment “A”, the NPV will be £88,505,442.77 and from the </w:t>
      </w:r>
      <w:r>
        <w:rPr>
          <w:color w:val="000000"/>
        </w:rPr>
        <w:t>investment “B” the NPV will be about £62,310,693.54. By means of considering the future prospectus of both investments, it can be ascertained that option A will be the most appropriate one over here as it has a higher NPV after a period of four financial y</w:t>
      </w:r>
      <w:r>
        <w:rPr>
          <w:color w:val="000000"/>
        </w:rPr>
        <w:t xml:space="preserve">ears. </w:t>
      </w:r>
    </w:p>
    <w:p w:rsidR="00CA60CC" w:rsidRDefault="005B412D">
      <w:pPr>
        <w:pBdr>
          <w:top w:val="nil"/>
          <w:left w:val="nil"/>
          <w:bottom w:val="nil"/>
          <w:right w:val="nil"/>
          <w:between w:val="nil"/>
        </w:pBdr>
        <w:rPr>
          <w:b/>
          <w:i/>
          <w:color w:val="000000"/>
          <w:u w:val="single"/>
        </w:rPr>
      </w:pPr>
      <w:r>
        <w:rPr>
          <w:b/>
          <w:i/>
          <w:color w:val="000000"/>
          <w:u w:val="single"/>
        </w:rPr>
        <w:t>Accounting Rate of Return</w:t>
      </w:r>
    </w:p>
    <w:tbl>
      <w:tblPr>
        <w:tblStyle w:val="a9"/>
        <w:tblW w:w="5355" w:type="dxa"/>
        <w:jc w:val="center"/>
        <w:tblBorders>
          <w:top w:val="nil"/>
          <w:left w:val="nil"/>
          <w:bottom w:val="nil"/>
          <w:right w:val="nil"/>
          <w:insideH w:val="nil"/>
          <w:insideV w:val="nil"/>
        </w:tblBorders>
        <w:tblLayout w:type="fixed"/>
        <w:tblLook w:val="0600"/>
      </w:tblPr>
      <w:tblGrid>
        <w:gridCol w:w="1500"/>
        <w:gridCol w:w="2115"/>
        <w:gridCol w:w="1740"/>
      </w:tblGrid>
      <w:tr w:rsidR="00CA60CC">
        <w:trPr>
          <w:trHeight w:val="345"/>
          <w:jc w:val="center"/>
        </w:trPr>
        <w:tc>
          <w:tcPr>
            <w:tcW w:w="5355" w:type="dxa"/>
            <w:gridSpan w:val="3"/>
            <w:tcBorders>
              <w:top w:val="single" w:sz="5" w:space="0" w:color="000000"/>
              <w:left w:val="single" w:sz="5" w:space="0" w:color="000000"/>
              <w:bottom w:val="single" w:sz="5" w:space="0" w:color="CCCCCC"/>
              <w:right w:val="single" w:sz="5" w:space="0" w:color="000000"/>
            </w:tcBorders>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u w:val="single"/>
              </w:rPr>
              <w:t>Calculation of ARR</w:t>
            </w:r>
          </w:p>
        </w:tc>
      </w:tr>
      <w:tr w:rsidR="00CA60CC">
        <w:trPr>
          <w:trHeight w:val="345"/>
          <w:jc w:val="center"/>
        </w:trPr>
        <w:tc>
          <w:tcPr>
            <w:tcW w:w="150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Year</w:t>
            </w:r>
          </w:p>
        </w:tc>
        <w:tc>
          <w:tcPr>
            <w:tcW w:w="21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Cashflow for A</w:t>
            </w:r>
          </w:p>
        </w:tc>
        <w:tc>
          <w:tcPr>
            <w:tcW w:w="174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Cashflow for B</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1</w:t>
            </w:r>
          </w:p>
        </w:tc>
        <w:tc>
          <w:tcPr>
            <w:tcW w:w="211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£25,000,000.00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£50,000,000.00</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w:t>
            </w:r>
          </w:p>
        </w:tc>
        <w:tc>
          <w:tcPr>
            <w:tcW w:w="211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£25,000,000.00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w:t>
            </w:r>
          </w:p>
        </w:tc>
        <w:tc>
          <w:tcPr>
            <w:tcW w:w="211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4</w:t>
            </w:r>
          </w:p>
        </w:tc>
        <w:tc>
          <w:tcPr>
            <w:tcW w:w="211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£55,000,000.00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£20,000,000.00</w:t>
            </w:r>
          </w:p>
        </w:tc>
      </w:tr>
      <w:tr w:rsidR="00CA60CC">
        <w:trPr>
          <w:trHeight w:val="345"/>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t>Average</w:t>
            </w:r>
          </w:p>
        </w:tc>
        <w:tc>
          <w:tcPr>
            <w:tcW w:w="211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£31,250,000.00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£27,500,000.00</w:t>
            </w:r>
          </w:p>
        </w:tc>
      </w:tr>
      <w:tr w:rsidR="00CA60CC">
        <w:trPr>
          <w:trHeight w:val="630"/>
          <w:jc w:val="center"/>
        </w:trPr>
        <w:tc>
          <w:tcPr>
            <w:tcW w:w="1500" w:type="dxa"/>
            <w:tcBorders>
              <w:top w:val="single" w:sz="5" w:space="0" w:color="CCCCCC"/>
              <w:left w:val="single" w:sz="5" w:space="0" w:color="000000"/>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color w:val="000000"/>
              </w:rPr>
              <w:lastRenderedPageBreak/>
              <w:t>Initial Investment</w:t>
            </w:r>
          </w:p>
        </w:tc>
        <w:tc>
          <w:tcPr>
            <w:tcW w:w="2115"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£80,000,000.00</w:t>
            </w:r>
          </w:p>
        </w:tc>
        <w:tc>
          <w:tcPr>
            <w:tcW w:w="174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color w:val="000000"/>
              </w:rPr>
              <w:t>£75,000,000.00</w:t>
            </w:r>
          </w:p>
        </w:tc>
      </w:tr>
      <w:tr w:rsidR="00CA60CC">
        <w:trPr>
          <w:trHeight w:val="345"/>
          <w:jc w:val="center"/>
        </w:trPr>
        <w:tc>
          <w:tcPr>
            <w:tcW w:w="1500" w:type="dxa"/>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rPr>
                <w:color w:val="000000"/>
                <w:sz w:val="20"/>
                <w:szCs w:val="20"/>
              </w:rPr>
            </w:pPr>
            <w:r>
              <w:rPr>
                <w:b/>
                <w:color w:val="000000"/>
              </w:rPr>
              <w:t>ARR</w:t>
            </w:r>
          </w:p>
        </w:tc>
        <w:tc>
          <w:tcPr>
            <w:tcW w:w="2115"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39.06%</w:t>
            </w:r>
          </w:p>
        </w:tc>
        <w:tc>
          <w:tcPr>
            <w:tcW w:w="174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rsidR="00CA60CC" w:rsidRDefault="005B412D">
            <w:pPr>
              <w:widowControl w:val="0"/>
              <w:pBdr>
                <w:top w:val="nil"/>
                <w:left w:val="nil"/>
                <w:bottom w:val="nil"/>
                <w:right w:val="nil"/>
                <w:between w:val="nil"/>
              </w:pBdr>
              <w:jc w:val="right"/>
              <w:rPr>
                <w:color w:val="000000"/>
                <w:sz w:val="20"/>
                <w:szCs w:val="20"/>
              </w:rPr>
            </w:pPr>
            <w:r>
              <w:rPr>
                <w:b/>
                <w:color w:val="000000"/>
              </w:rPr>
              <w:t>36.67%</w:t>
            </w:r>
          </w:p>
        </w:tc>
      </w:tr>
    </w:tbl>
    <w:p w:rsidR="00CA60CC" w:rsidRDefault="005B412D" w:rsidP="007A5696">
      <w:pPr>
        <w:pBdr>
          <w:top w:val="nil"/>
          <w:left w:val="nil"/>
          <w:bottom w:val="nil"/>
          <w:right w:val="nil"/>
          <w:between w:val="nil"/>
        </w:pBdr>
        <w:jc w:val="center"/>
        <w:rPr>
          <w:b/>
          <w:color w:val="000000"/>
        </w:rPr>
      </w:pPr>
      <w:r>
        <w:rPr>
          <w:b/>
          <w:color w:val="000000"/>
        </w:rPr>
        <w:t>Table 8: Accounting Rate of Return</w:t>
      </w:r>
    </w:p>
    <w:p w:rsidR="00CA60CC" w:rsidRDefault="005B412D" w:rsidP="007A5696">
      <w:pPr>
        <w:pBdr>
          <w:top w:val="nil"/>
          <w:left w:val="nil"/>
          <w:bottom w:val="nil"/>
          <w:right w:val="nil"/>
          <w:between w:val="nil"/>
        </w:pBdr>
        <w:jc w:val="center"/>
        <w:rPr>
          <w:color w:val="000000"/>
        </w:rPr>
      </w:pPr>
      <w:r>
        <w:rPr>
          <w:color w:val="000000"/>
        </w:rPr>
        <w:t>(Source: Prepared by self)</w:t>
      </w:r>
    </w:p>
    <w:p w:rsidR="00CA60CC" w:rsidRDefault="005B412D" w:rsidP="007A5696">
      <w:pPr>
        <w:pBdr>
          <w:top w:val="nil"/>
          <w:left w:val="nil"/>
          <w:bottom w:val="nil"/>
          <w:right w:val="nil"/>
          <w:between w:val="nil"/>
        </w:pBdr>
        <w:rPr>
          <w:color w:val="000000"/>
        </w:rPr>
      </w:pPr>
      <w:r>
        <w:rPr>
          <w:color w:val="000000"/>
        </w:rPr>
        <w:t xml:space="preserve">The main function of the accounting rate of return (ARR) is the evaluation of the aggregate return that a </w:t>
      </w:r>
      <w:r>
        <w:rPr>
          <w:color w:val="000000"/>
        </w:rPr>
        <w:t>certain investment is able to generate against a certain accounting period (</w:t>
      </w:r>
      <w:r>
        <w:rPr>
          <w:color w:val="222222"/>
          <w:highlight w:val="white"/>
        </w:rPr>
        <w:t>Penman,2021</w:t>
      </w:r>
      <w:r>
        <w:rPr>
          <w:color w:val="000000"/>
        </w:rPr>
        <w:t>). Based on this, the table presented above compares the ARR of both investments. It can be certainly observed that investment “A” will generate an ARR of 39.06% for the</w:t>
      </w:r>
      <w:r>
        <w:rPr>
          <w:color w:val="000000"/>
        </w:rPr>
        <w:t xml:space="preserve"> future four financial years. At the same time the investment “B” is observed to have an ARR of about 36.67% against the same financial years. Based on the comparison of ARR, option A is observed to have a better percentage in the future course of action. </w:t>
      </w:r>
    </w:p>
    <w:p w:rsidR="00CA60CC" w:rsidRDefault="005B412D">
      <w:pPr>
        <w:pStyle w:val="Heading2"/>
        <w:rPr>
          <w:i/>
          <w:u w:val="single"/>
        </w:rPr>
      </w:pPr>
      <w:bookmarkStart w:id="15" w:name="_Toc173258895"/>
      <w:r>
        <w:t>Critical discussion over the advantages and shortcomings</w:t>
      </w:r>
      <w:bookmarkEnd w:id="15"/>
    </w:p>
    <w:sdt>
      <w:sdtPr>
        <w:tag w:val="goog_rdk_0"/>
        <w:id w:val="619034912"/>
        <w:lock w:val="contentLocked"/>
      </w:sdtPr>
      <w:sdtContent>
        <w:tbl>
          <w:tblPr>
            <w:tblStyle w:val="a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865"/>
            <w:gridCol w:w="3120"/>
            <w:gridCol w:w="3375"/>
          </w:tblGrid>
          <w:tr w:rsidR="00CA60CC">
            <w:tc>
              <w:tcPr>
                <w:tcW w:w="2865" w:type="dxa"/>
                <w:shd w:val="clear" w:color="auto" w:fill="auto"/>
                <w:tcMar>
                  <w:top w:w="100" w:type="dxa"/>
                  <w:left w:w="100" w:type="dxa"/>
                  <w:bottom w:w="100" w:type="dxa"/>
                  <w:right w:w="100" w:type="dxa"/>
                </w:tcMar>
              </w:tcPr>
              <w:p w:rsidR="00CA60CC" w:rsidRDefault="005B412D">
                <w:pPr>
                  <w:widowControl w:val="0"/>
                  <w:pBdr>
                    <w:top w:val="nil"/>
                    <w:left w:val="nil"/>
                    <w:bottom w:val="nil"/>
                    <w:right w:val="nil"/>
                    <w:between w:val="nil"/>
                  </w:pBdr>
                  <w:spacing w:line="240" w:lineRule="auto"/>
                  <w:jc w:val="left"/>
                  <w:rPr>
                    <w:b/>
                    <w:i/>
                    <w:color w:val="000000"/>
                    <w:u w:val="single"/>
                  </w:rPr>
                </w:pPr>
                <w:r>
                  <w:rPr>
                    <w:b/>
                    <w:i/>
                    <w:color w:val="000000"/>
                    <w:u w:val="single"/>
                  </w:rPr>
                  <w:t>Investment appraisal techniques</w:t>
                </w:r>
              </w:p>
            </w:tc>
            <w:tc>
              <w:tcPr>
                <w:tcW w:w="3120" w:type="dxa"/>
                <w:shd w:val="clear" w:color="auto" w:fill="auto"/>
                <w:tcMar>
                  <w:top w:w="100" w:type="dxa"/>
                  <w:left w:w="100" w:type="dxa"/>
                  <w:bottom w:w="100" w:type="dxa"/>
                  <w:right w:w="100" w:type="dxa"/>
                </w:tcMar>
              </w:tcPr>
              <w:p w:rsidR="00CA60CC" w:rsidRDefault="005B412D">
                <w:pPr>
                  <w:widowControl w:val="0"/>
                  <w:pBdr>
                    <w:top w:val="nil"/>
                    <w:left w:val="nil"/>
                    <w:bottom w:val="nil"/>
                    <w:right w:val="nil"/>
                    <w:between w:val="nil"/>
                  </w:pBdr>
                  <w:spacing w:line="240" w:lineRule="auto"/>
                  <w:jc w:val="left"/>
                  <w:rPr>
                    <w:b/>
                    <w:i/>
                    <w:color w:val="000000"/>
                    <w:u w:val="single"/>
                  </w:rPr>
                </w:pPr>
                <w:r>
                  <w:rPr>
                    <w:b/>
                    <w:i/>
                    <w:color w:val="000000"/>
                    <w:u w:val="single"/>
                  </w:rPr>
                  <w:t>Advantages</w:t>
                </w:r>
              </w:p>
            </w:tc>
            <w:tc>
              <w:tcPr>
                <w:tcW w:w="3375" w:type="dxa"/>
                <w:shd w:val="clear" w:color="auto" w:fill="auto"/>
                <w:tcMar>
                  <w:top w:w="100" w:type="dxa"/>
                  <w:left w:w="100" w:type="dxa"/>
                  <w:bottom w:w="100" w:type="dxa"/>
                  <w:right w:w="100" w:type="dxa"/>
                </w:tcMar>
              </w:tcPr>
              <w:p w:rsidR="00CA60CC" w:rsidRDefault="005B412D">
                <w:pPr>
                  <w:widowControl w:val="0"/>
                  <w:pBdr>
                    <w:top w:val="nil"/>
                    <w:left w:val="nil"/>
                    <w:bottom w:val="nil"/>
                    <w:right w:val="nil"/>
                    <w:between w:val="nil"/>
                  </w:pBdr>
                  <w:spacing w:line="240" w:lineRule="auto"/>
                  <w:jc w:val="left"/>
                  <w:rPr>
                    <w:b/>
                    <w:i/>
                    <w:color w:val="000000"/>
                    <w:u w:val="single"/>
                  </w:rPr>
                </w:pPr>
                <w:r>
                  <w:rPr>
                    <w:b/>
                    <w:i/>
                    <w:color w:val="000000"/>
                    <w:u w:val="single"/>
                  </w:rPr>
                  <w:t>Shortcomings</w:t>
                </w:r>
              </w:p>
            </w:tc>
          </w:tr>
          <w:tr w:rsidR="00CA60CC">
            <w:tc>
              <w:tcPr>
                <w:tcW w:w="2865" w:type="dxa"/>
                <w:shd w:val="clear" w:color="auto" w:fill="auto"/>
                <w:tcMar>
                  <w:top w:w="100" w:type="dxa"/>
                  <w:left w:w="100" w:type="dxa"/>
                  <w:bottom w:w="100" w:type="dxa"/>
                  <w:right w:w="100" w:type="dxa"/>
                </w:tcMar>
              </w:tcPr>
              <w:p w:rsidR="00CA60CC" w:rsidRDefault="005B412D">
                <w:pPr>
                  <w:widowControl w:val="0"/>
                  <w:pBdr>
                    <w:top w:val="nil"/>
                    <w:left w:val="nil"/>
                    <w:bottom w:val="nil"/>
                    <w:right w:val="nil"/>
                    <w:between w:val="nil"/>
                  </w:pBdr>
                  <w:spacing w:line="240" w:lineRule="auto"/>
                  <w:jc w:val="left"/>
                  <w:rPr>
                    <w:color w:val="000000"/>
                  </w:rPr>
                </w:pPr>
                <w:r>
                  <w:rPr>
                    <w:color w:val="000000"/>
                  </w:rPr>
                  <w:t>Net Present Value (NPV)</w:t>
                </w:r>
              </w:p>
            </w:tc>
            <w:tc>
              <w:tcPr>
                <w:tcW w:w="3120" w:type="dxa"/>
                <w:shd w:val="clear" w:color="auto" w:fill="auto"/>
                <w:tcMar>
                  <w:top w:w="100" w:type="dxa"/>
                  <w:left w:w="100" w:type="dxa"/>
                  <w:bottom w:w="100" w:type="dxa"/>
                  <w:right w:w="100" w:type="dxa"/>
                </w:tcMar>
              </w:tcPr>
              <w:p w:rsidR="00CA60CC" w:rsidRDefault="005B412D">
                <w:pPr>
                  <w:widowControl w:val="0"/>
                  <w:numPr>
                    <w:ilvl w:val="0"/>
                    <w:numId w:val="4"/>
                  </w:numPr>
                  <w:pBdr>
                    <w:top w:val="nil"/>
                    <w:left w:val="nil"/>
                    <w:bottom w:val="nil"/>
                    <w:right w:val="nil"/>
                    <w:between w:val="nil"/>
                  </w:pBdr>
                  <w:spacing w:line="240" w:lineRule="auto"/>
                </w:pPr>
                <w:r>
                  <w:rPr>
                    <w:color w:val="000000"/>
                  </w:rPr>
                  <w:t>The NPV focuses on the time value of money (</w:t>
                </w:r>
                <w:r>
                  <w:rPr>
                    <w:color w:val="222222"/>
                    <w:highlight w:val="white"/>
                  </w:rPr>
                  <w:t>Weber, 2021</w:t>
                </w:r>
                <w:r>
                  <w:rPr>
                    <w:color w:val="000000"/>
                  </w:rPr>
                  <w:t xml:space="preserve">). As a result of this, the future return of a certain some of money can be easily computed in a systematic manner. </w:t>
                </w:r>
              </w:p>
              <w:p w:rsidR="00CA60CC" w:rsidRDefault="005B412D">
                <w:pPr>
                  <w:widowControl w:val="0"/>
                  <w:numPr>
                    <w:ilvl w:val="0"/>
                    <w:numId w:val="4"/>
                  </w:numPr>
                  <w:pBdr>
                    <w:top w:val="nil"/>
                    <w:left w:val="nil"/>
                    <w:bottom w:val="nil"/>
                    <w:right w:val="nil"/>
                    <w:between w:val="nil"/>
                  </w:pBdr>
                  <w:spacing w:line="240" w:lineRule="auto"/>
                </w:pPr>
                <w:r>
                  <w:rPr>
                    <w:color w:val="000000"/>
                  </w:rPr>
                  <w:t>The NPV of a certain investment is also integrated with the profitability prospectus that can be acquired in the future course of action (</w:t>
                </w:r>
                <w:r>
                  <w:rPr>
                    <w:color w:val="222222"/>
                    <w:highlight w:val="white"/>
                  </w:rPr>
                  <w:t>Repalli, 2024</w:t>
                </w:r>
                <w:r>
                  <w:rPr>
                    <w:color w:val="000000"/>
                  </w:rPr>
                  <w:t xml:space="preserve">). </w:t>
                </w:r>
              </w:p>
            </w:tc>
            <w:tc>
              <w:tcPr>
                <w:tcW w:w="3375" w:type="dxa"/>
                <w:shd w:val="clear" w:color="auto" w:fill="auto"/>
                <w:tcMar>
                  <w:top w:w="100" w:type="dxa"/>
                  <w:left w:w="100" w:type="dxa"/>
                  <w:bottom w:w="100" w:type="dxa"/>
                  <w:right w:w="100" w:type="dxa"/>
                </w:tcMar>
              </w:tcPr>
              <w:p w:rsidR="00CA60CC" w:rsidRDefault="005B412D">
                <w:pPr>
                  <w:widowControl w:val="0"/>
                  <w:numPr>
                    <w:ilvl w:val="0"/>
                    <w:numId w:val="4"/>
                  </w:numPr>
                  <w:pBdr>
                    <w:top w:val="nil"/>
                    <w:left w:val="nil"/>
                    <w:bottom w:val="nil"/>
                    <w:right w:val="nil"/>
                    <w:between w:val="nil"/>
                  </w:pBdr>
                  <w:spacing w:line="240" w:lineRule="auto"/>
                </w:pPr>
                <w:r>
                  <w:rPr>
                    <w:color w:val="000000"/>
                  </w:rPr>
                  <w:t xml:space="preserve">The NPV is based on the estimated cash flows that may affect the future outcome of investment in case there is any change within the financial prospectus. </w:t>
                </w:r>
              </w:p>
              <w:p w:rsidR="00CA60CC" w:rsidRDefault="005B412D">
                <w:pPr>
                  <w:widowControl w:val="0"/>
                  <w:numPr>
                    <w:ilvl w:val="0"/>
                    <w:numId w:val="4"/>
                  </w:numPr>
                  <w:pBdr>
                    <w:top w:val="nil"/>
                    <w:left w:val="nil"/>
                    <w:bottom w:val="nil"/>
                    <w:right w:val="nil"/>
                    <w:between w:val="nil"/>
                  </w:pBdr>
                  <w:spacing w:line="240" w:lineRule="auto"/>
                </w:pPr>
                <w:r>
                  <w:rPr>
                    <w:color w:val="000000"/>
                  </w:rPr>
                  <w:t>The NPV is also complicated to compute as compared to the other investment appraisa</w:t>
                </w:r>
                <w:r>
                  <w:rPr>
                    <w:color w:val="000000"/>
                  </w:rPr>
                  <w:t>l techniques (</w:t>
                </w:r>
                <w:r>
                  <w:rPr>
                    <w:color w:val="222222"/>
                    <w:highlight w:val="white"/>
                  </w:rPr>
                  <w:t>Magni, 2020</w:t>
                </w:r>
                <w:r>
                  <w:rPr>
                    <w:color w:val="000000"/>
                  </w:rPr>
                  <w:t xml:space="preserve">). </w:t>
                </w:r>
              </w:p>
            </w:tc>
          </w:tr>
          <w:tr w:rsidR="00CA60CC">
            <w:tc>
              <w:tcPr>
                <w:tcW w:w="2865" w:type="dxa"/>
                <w:shd w:val="clear" w:color="auto" w:fill="auto"/>
                <w:tcMar>
                  <w:top w:w="100" w:type="dxa"/>
                  <w:left w:w="100" w:type="dxa"/>
                  <w:bottom w:w="100" w:type="dxa"/>
                  <w:right w:w="100" w:type="dxa"/>
                </w:tcMar>
              </w:tcPr>
              <w:p w:rsidR="00CA60CC" w:rsidRDefault="005B412D">
                <w:pPr>
                  <w:widowControl w:val="0"/>
                  <w:pBdr>
                    <w:top w:val="nil"/>
                    <w:left w:val="nil"/>
                    <w:bottom w:val="nil"/>
                    <w:right w:val="nil"/>
                    <w:between w:val="nil"/>
                  </w:pBdr>
                  <w:spacing w:line="240" w:lineRule="auto"/>
                  <w:jc w:val="left"/>
                  <w:rPr>
                    <w:color w:val="000000"/>
                  </w:rPr>
                </w:pPr>
                <w:r>
                  <w:rPr>
                    <w:color w:val="000000"/>
                  </w:rPr>
                  <w:t>Payback Period (PBP)</w:t>
                </w:r>
              </w:p>
            </w:tc>
            <w:tc>
              <w:tcPr>
                <w:tcW w:w="3120" w:type="dxa"/>
                <w:shd w:val="clear" w:color="auto" w:fill="auto"/>
                <w:tcMar>
                  <w:top w:w="100" w:type="dxa"/>
                  <w:left w:w="100" w:type="dxa"/>
                  <w:bottom w:w="100" w:type="dxa"/>
                  <w:right w:w="100" w:type="dxa"/>
                </w:tcMar>
              </w:tcPr>
              <w:p w:rsidR="00CA60CC" w:rsidRDefault="005B412D">
                <w:pPr>
                  <w:widowControl w:val="0"/>
                  <w:numPr>
                    <w:ilvl w:val="0"/>
                    <w:numId w:val="3"/>
                  </w:numPr>
                  <w:pBdr>
                    <w:top w:val="nil"/>
                    <w:left w:val="nil"/>
                    <w:bottom w:val="nil"/>
                    <w:right w:val="nil"/>
                    <w:between w:val="nil"/>
                  </w:pBdr>
                  <w:spacing w:line="240" w:lineRule="auto"/>
                </w:pPr>
                <w:r>
                  <w:rPr>
                    <w:color w:val="000000"/>
                  </w:rPr>
                  <w:t xml:space="preserve">The major advancement involved within the PBP is just that it helps towards the evaluation of the </w:t>
                </w:r>
                <w:r>
                  <w:rPr>
                    <w:color w:val="000000"/>
                  </w:rPr>
                  <w:lastRenderedPageBreak/>
                  <w:t>time after which a certain investment can generate income (</w:t>
                </w:r>
                <w:r>
                  <w:rPr>
                    <w:color w:val="222222"/>
                    <w:highlight w:val="white"/>
                  </w:rPr>
                  <w:t>Bai,  2021</w:t>
                </w:r>
                <w:r>
                  <w:rPr>
                    <w:color w:val="000000"/>
                  </w:rPr>
                  <w:t>).</w:t>
                </w:r>
              </w:p>
              <w:p w:rsidR="00CA60CC" w:rsidRDefault="005B412D">
                <w:pPr>
                  <w:widowControl w:val="0"/>
                  <w:numPr>
                    <w:ilvl w:val="0"/>
                    <w:numId w:val="3"/>
                  </w:numPr>
                  <w:pBdr>
                    <w:top w:val="nil"/>
                    <w:left w:val="nil"/>
                    <w:bottom w:val="nil"/>
                    <w:right w:val="nil"/>
                    <w:between w:val="nil"/>
                  </w:pBdr>
                  <w:spacing w:line="240" w:lineRule="auto"/>
                </w:pPr>
                <w:r>
                  <w:rPr>
                    <w:color w:val="000000"/>
                  </w:rPr>
                  <w:t xml:space="preserve">The PBP also formulates a relevant and systematic evaluation of the time that is required to cover the overall cost of the expense involved with the same.  </w:t>
                </w:r>
              </w:p>
            </w:tc>
            <w:tc>
              <w:tcPr>
                <w:tcW w:w="3375" w:type="dxa"/>
                <w:shd w:val="clear" w:color="auto" w:fill="auto"/>
                <w:tcMar>
                  <w:top w:w="100" w:type="dxa"/>
                  <w:left w:w="100" w:type="dxa"/>
                  <w:bottom w:w="100" w:type="dxa"/>
                  <w:right w:w="100" w:type="dxa"/>
                </w:tcMar>
              </w:tcPr>
              <w:p w:rsidR="00CA60CC" w:rsidRDefault="005B412D">
                <w:pPr>
                  <w:widowControl w:val="0"/>
                  <w:numPr>
                    <w:ilvl w:val="0"/>
                    <w:numId w:val="3"/>
                  </w:numPr>
                  <w:pBdr>
                    <w:top w:val="nil"/>
                    <w:left w:val="nil"/>
                    <w:bottom w:val="nil"/>
                    <w:right w:val="nil"/>
                    <w:between w:val="nil"/>
                  </w:pBdr>
                  <w:spacing w:line="240" w:lineRule="auto"/>
                </w:pPr>
                <w:r>
                  <w:rPr>
                    <w:color w:val="000000"/>
                  </w:rPr>
                  <w:lastRenderedPageBreak/>
                  <w:t xml:space="preserve">The payback period does not consider the time value of money as a result of which the future value </w:t>
                </w:r>
                <w:r>
                  <w:rPr>
                    <w:color w:val="000000"/>
                  </w:rPr>
                  <w:t xml:space="preserve">of the investment </w:t>
                </w:r>
                <w:r>
                  <w:rPr>
                    <w:color w:val="000000"/>
                  </w:rPr>
                  <w:lastRenderedPageBreak/>
                  <w:t>is ot possible to be evaluated (</w:t>
                </w:r>
                <w:r>
                  <w:rPr>
                    <w:color w:val="222222"/>
                    <w:highlight w:val="white"/>
                  </w:rPr>
                  <w:t>Dai, 2021</w:t>
                </w:r>
                <w:r>
                  <w:rPr>
                    <w:color w:val="000000"/>
                  </w:rPr>
                  <w:t xml:space="preserve">). </w:t>
                </w:r>
              </w:p>
              <w:p w:rsidR="00CA60CC" w:rsidRDefault="005B412D">
                <w:pPr>
                  <w:widowControl w:val="0"/>
                  <w:numPr>
                    <w:ilvl w:val="0"/>
                    <w:numId w:val="3"/>
                  </w:numPr>
                  <w:pBdr>
                    <w:top w:val="nil"/>
                    <w:left w:val="nil"/>
                    <w:bottom w:val="nil"/>
                    <w:right w:val="nil"/>
                    <w:between w:val="nil"/>
                  </w:pBdr>
                  <w:spacing w:line="240" w:lineRule="auto"/>
                </w:pPr>
                <w:r>
                  <w:rPr>
                    <w:color w:val="000000"/>
                  </w:rPr>
                  <w:t xml:space="preserve">The payback period is also based on the estimated cash flows of the investment and is integrated with having a short-term approach. </w:t>
                </w:r>
              </w:p>
            </w:tc>
          </w:tr>
          <w:tr w:rsidR="00CA60CC">
            <w:tc>
              <w:tcPr>
                <w:tcW w:w="2865" w:type="dxa"/>
                <w:shd w:val="clear" w:color="auto" w:fill="auto"/>
                <w:tcMar>
                  <w:top w:w="100" w:type="dxa"/>
                  <w:left w:w="100" w:type="dxa"/>
                  <w:bottom w:w="100" w:type="dxa"/>
                  <w:right w:w="100" w:type="dxa"/>
                </w:tcMar>
              </w:tcPr>
              <w:p w:rsidR="00CA60CC" w:rsidRDefault="005B412D">
                <w:pPr>
                  <w:widowControl w:val="0"/>
                  <w:pBdr>
                    <w:top w:val="nil"/>
                    <w:left w:val="nil"/>
                    <w:bottom w:val="nil"/>
                    <w:right w:val="nil"/>
                    <w:between w:val="nil"/>
                  </w:pBdr>
                  <w:spacing w:line="240" w:lineRule="auto"/>
                  <w:jc w:val="left"/>
                  <w:rPr>
                    <w:color w:val="000000"/>
                  </w:rPr>
                </w:pPr>
                <w:r>
                  <w:rPr>
                    <w:color w:val="000000"/>
                  </w:rPr>
                  <w:lastRenderedPageBreak/>
                  <w:t>Accounting Rate of Return (ARR)</w:t>
                </w:r>
              </w:p>
            </w:tc>
            <w:tc>
              <w:tcPr>
                <w:tcW w:w="3120" w:type="dxa"/>
                <w:shd w:val="clear" w:color="auto" w:fill="auto"/>
                <w:tcMar>
                  <w:top w:w="100" w:type="dxa"/>
                  <w:left w:w="100" w:type="dxa"/>
                  <w:bottom w:w="100" w:type="dxa"/>
                  <w:right w:w="100" w:type="dxa"/>
                </w:tcMar>
              </w:tcPr>
              <w:p w:rsidR="00CA60CC" w:rsidRDefault="005B412D">
                <w:pPr>
                  <w:widowControl w:val="0"/>
                  <w:numPr>
                    <w:ilvl w:val="0"/>
                    <w:numId w:val="1"/>
                  </w:numPr>
                  <w:pBdr>
                    <w:top w:val="nil"/>
                    <w:left w:val="nil"/>
                    <w:bottom w:val="nil"/>
                    <w:right w:val="nil"/>
                    <w:between w:val="nil"/>
                  </w:pBdr>
                  <w:spacing w:line="240" w:lineRule="auto"/>
                </w:pPr>
                <w:r>
                  <w:rPr>
                    <w:color w:val="000000"/>
                  </w:rPr>
                  <w:t>The ARR measures the growth</w:t>
                </w:r>
                <w:r>
                  <w:rPr>
                    <w:color w:val="000000"/>
                  </w:rPr>
                  <w:t xml:space="preserve"> rate of a certain investment (</w:t>
                </w:r>
                <w:r>
                  <w:rPr>
                    <w:color w:val="222222"/>
                    <w:highlight w:val="white"/>
                  </w:rPr>
                  <w:t>Anwar, 2022</w:t>
                </w:r>
                <w:r>
                  <w:rPr>
                    <w:color w:val="000000"/>
                  </w:rPr>
                  <w:t xml:space="preserve">). As a result of this, it becomes easier to measure the aggregate growth and development that a certain investment has observed over the period. </w:t>
                </w:r>
              </w:p>
              <w:p w:rsidR="00CA60CC" w:rsidRDefault="005B412D">
                <w:pPr>
                  <w:widowControl w:val="0"/>
                  <w:numPr>
                    <w:ilvl w:val="0"/>
                    <w:numId w:val="1"/>
                  </w:numPr>
                  <w:pBdr>
                    <w:top w:val="nil"/>
                    <w:left w:val="nil"/>
                    <w:bottom w:val="nil"/>
                    <w:right w:val="nil"/>
                    <w:between w:val="nil"/>
                  </w:pBdr>
                  <w:spacing w:line="240" w:lineRule="auto"/>
                </w:pPr>
                <w:r>
                  <w:rPr>
                    <w:color w:val="000000"/>
                  </w:rPr>
                  <w:t xml:space="preserve">ARR also considers the time value of money in terms of relating the future prospectus of a certain investment. </w:t>
                </w:r>
              </w:p>
            </w:tc>
            <w:tc>
              <w:tcPr>
                <w:tcW w:w="3375" w:type="dxa"/>
                <w:shd w:val="clear" w:color="auto" w:fill="auto"/>
                <w:tcMar>
                  <w:top w:w="100" w:type="dxa"/>
                  <w:left w:w="100" w:type="dxa"/>
                  <w:bottom w:w="100" w:type="dxa"/>
                  <w:right w:w="100" w:type="dxa"/>
                </w:tcMar>
              </w:tcPr>
              <w:p w:rsidR="00CA60CC" w:rsidRDefault="005B412D">
                <w:pPr>
                  <w:widowControl w:val="0"/>
                  <w:numPr>
                    <w:ilvl w:val="0"/>
                    <w:numId w:val="1"/>
                  </w:numPr>
                  <w:pBdr>
                    <w:top w:val="nil"/>
                    <w:left w:val="nil"/>
                    <w:bottom w:val="nil"/>
                    <w:right w:val="nil"/>
                    <w:between w:val="nil"/>
                  </w:pBdr>
                  <w:spacing w:line="240" w:lineRule="auto"/>
                </w:pPr>
                <w:r>
                  <w:rPr>
                    <w:color w:val="000000"/>
                  </w:rPr>
                  <w:t xml:space="preserve">The calculation of ARR is also quiet complicated that consists of different stages. </w:t>
                </w:r>
              </w:p>
              <w:p w:rsidR="00CA60CC" w:rsidRDefault="005B412D">
                <w:pPr>
                  <w:widowControl w:val="0"/>
                  <w:numPr>
                    <w:ilvl w:val="0"/>
                    <w:numId w:val="1"/>
                  </w:numPr>
                  <w:pBdr>
                    <w:top w:val="nil"/>
                    <w:left w:val="nil"/>
                    <w:bottom w:val="nil"/>
                    <w:right w:val="nil"/>
                    <w:between w:val="nil"/>
                  </w:pBdr>
                  <w:spacing w:line="240" w:lineRule="auto"/>
                </w:pPr>
                <w:r>
                  <w:rPr>
                    <w:color w:val="000000"/>
                  </w:rPr>
                  <w:t>Unlike all the other techniques, ARR is also integrated wit</w:t>
                </w:r>
                <w:r>
                  <w:rPr>
                    <w:color w:val="000000"/>
                  </w:rPr>
                  <w:t xml:space="preserve">h the use of estimated cash flows of an investment. </w:t>
                </w:r>
              </w:p>
            </w:tc>
          </w:tr>
        </w:tbl>
      </w:sdtContent>
    </w:sdt>
    <w:p w:rsidR="00CA60CC" w:rsidRDefault="005B412D">
      <w:pPr>
        <w:pBdr>
          <w:top w:val="nil"/>
          <w:left w:val="nil"/>
          <w:bottom w:val="nil"/>
          <w:right w:val="nil"/>
          <w:between w:val="nil"/>
        </w:pBdr>
        <w:spacing w:line="276" w:lineRule="auto"/>
        <w:jc w:val="center"/>
        <w:rPr>
          <w:b/>
          <w:color w:val="000000"/>
        </w:rPr>
      </w:pPr>
      <w:r>
        <w:rPr>
          <w:b/>
          <w:color w:val="000000"/>
        </w:rPr>
        <w:t>Table 9: Advantages and Shortcomings of the different investment appraisal techniques</w:t>
      </w:r>
    </w:p>
    <w:p w:rsidR="00CA60CC" w:rsidRDefault="005B412D">
      <w:pPr>
        <w:pBdr>
          <w:top w:val="nil"/>
          <w:left w:val="nil"/>
          <w:bottom w:val="nil"/>
          <w:right w:val="nil"/>
          <w:between w:val="nil"/>
        </w:pBdr>
        <w:spacing w:line="276" w:lineRule="auto"/>
        <w:jc w:val="center"/>
        <w:rPr>
          <w:color w:val="000000"/>
        </w:rPr>
      </w:pPr>
      <w:r>
        <w:rPr>
          <w:color w:val="000000"/>
        </w:rPr>
        <w:t>(Source: Prepared by self)</w:t>
      </w:r>
    </w:p>
    <w:p w:rsidR="00CA60CC" w:rsidRDefault="005B412D">
      <w:pPr>
        <w:pBdr>
          <w:top w:val="nil"/>
          <w:left w:val="nil"/>
          <w:bottom w:val="nil"/>
          <w:right w:val="nil"/>
          <w:between w:val="nil"/>
        </w:pBdr>
        <w:rPr>
          <w:b/>
          <w:i/>
          <w:color w:val="000000"/>
          <w:u w:val="single"/>
        </w:rPr>
      </w:pPr>
      <w:r>
        <w:rPr>
          <w:b/>
          <w:i/>
          <w:color w:val="000000"/>
          <w:u w:val="single"/>
        </w:rPr>
        <w:t>Non-financial factors</w:t>
      </w:r>
    </w:p>
    <w:p w:rsidR="00CA60CC" w:rsidRDefault="005B412D">
      <w:pPr>
        <w:pBdr>
          <w:top w:val="nil"/>
          <w:left w:val="nil"/>
          <w:bottom w:val="nil"/>
          <w:right w:val="nil"/>
          <w:between w:val="nil"/>
        </w:pBdr>
        <w:rPr>
          <w:color w:val="000000"/>
        </w:rPr>
      </w:pPr>
      <w:r>
        <w:rPr>
          <w:color w:val="000000"/>
        </w:rPr>
        <w:t xml:space="preserve">There is a wide range of non-financial factors that must be </w:t>
      </w:r>
      <w:r>
        <w:rPr>
          <w:color w:val="000000"/>
        </w:rPr>
        <w:t>considered when making a choice for investment. In this respect, a brief explanation of these non-financial factors is discussed below:</w:t>
      </w:r>
    </w:p>
    <w:p w:rsidR="00CA60CC" w:rsidRDefault="005B412D">
      <w:pPr>
        <w:numPr>
          <w:ilvl w:val="0"/>
          <w:numId w:val="5"/>
        </w:numPr>
        <w:pBdr>
          <w:top w:val="nil"/>
          <w:left w:val="nil"/>
          <w:bottom w:val="nil"/>
          <w:right w:val="nil"/>
          <w:between w:val="nil"/>
        </w:pBdr>
        <w:rPr>
          <w:color w:val="000000"/>
        </w:rPr>
      </w:pPr>
      <w:r>
        <w:rPr>
          <w:color w:val="000000"/>
        </w:rPr>
        <w:t>Economic condition- The economic condition of a certain country acts as a prominent non-financial factor in terms of aff</w:t>
      </w:r>
      <w:r>
        <w:rPr>
          <w:color w:val="000000"/>
        </w:rPr>
        <w:t>ecting the decisions of investment (</w:t>
      </w:r>
      <w:r>
        <w:rPr>
          <w:color w:val="222222"/>
          <w:highlight w:val="white"/>
        </w:rPr>
        <w:t>Sukharev, 2020</w:t>
      </w:r>
      <w:r>
        <w:rPr>
          <w:color w:val="000000"/>
        </w:rPr>
        <w:t xml:space="preserve">). In case the economic condition of a country is not favourable, then there is a higher chance that the investment that is made will not be fruitful in nature. Certainly, it is necessary for </w:t>
      </w:r>
      <w:r>
        <w:rPr>
          <w:color w:val="000000"/>
        </w:rPr>
        <w:lastRenderedPageBreak/>
        <w:t xml:space="preserve">an individual </w:t>
      </w:r>
      <w:r>
        <w:rPr>
          <w:color w:val="000000"/>
        </w:rPr>
        <w:t xml:space="preserve">to consider the economic condition of the countries before making the choice of investment. </w:t>
      </w:r>
    </w:p>
    <w:p w:rsidR="00CA60CC" w:rsidRDefault="005B412D">
      <w:pPr>
        <w:numPr>
          <w:ilvl w:val="0"/>
          <w:numId w:val="5"/>
        </w:numPr>
        <w:pBdr>
          <w:top w:val="nil"/>
          <w:left w:val="nil"/>
          <w:bottom w:val="nil"/>
          <w:right w:val="nil"/>
          <w:between w:val="nil"/>
        </w:pBdr>
        <w:rPr>
          <w:color w:val="000000"/>
        </w:rPr>
      </w:pPr>
      <w:r>
        <w:rPr>
          <w:color w:val="000000"/>
        </w:rPr>
        <w:t>Need of the consumers- There is a constant change in the preferences of the consumers (</w:t>
      </w:r>
      <w:r>
        <w:rPr>
          <w:color w:val="222222"/>
          <w:highlight w:val="white"/>
        </w:rPr>
        <w:t>Thiele, 2021</w:t>
      </w:r>
      <w:r>
        <w:rPr>
          <w:color w:val="000000"/>
        </w:rPr>
        <w:t xml:space="preserve">). In this aspect, it becomes quite difficult for the companies </w:t>
      </w:r>
      <w:r>
        <w:rPr>
          <w:color w:val="000000"/>
        </w:rPr>
        <w:t xml:space="preserve">to understand the market requirements in an adequate manner. However, without having an adequate understanding of the market requirements, it is difficult to formulate the decisions of investment. On the basis of this, it can be ascertained that the needs </w:t>
      </w:r>
      <w:r>
        <w:rPr>
          <w:color w:val="000000"/>
        </w:rPr>
        <w:t xml:space="preserve">of the consumers are also an active non-financial factor that can affect the decisions of investment. </w:t>
      </w:r>
    </w:p>
    <w:p w:rsidR="00CA60CC" w:rsidRDefault="005B412D">
      <w:pPr>
        <w:numPr>
          <w:ilvl w:val="0"/>
          <w:numId w:val="5"/>
        </w:numPr>
        <w:pBdr>
          <w:top w:val="nil"/>
          <w:left w:val="nil"/>
          <w:bottom w:val="nil"/>
          <w:right w:val="nil"/>
          <w:between w:val="nil"/>
        </w:pBdr>
        <w:rPr>
          <w:color w:val="000000"/>
        </w:rPr>
      </w:pPr>
      <w:r>
        <w:rPr>
          <w:color w:val="000000"/>
        </w:rPr>
        <w:t>Risk factors- The evaluation of the risk is quite necessary for any investment in a very initial stage (</w:t>
      </w:r>
      <w:r>
        <w:rPr>
          <w:color w:val="222222"/>
          <w:highlight w:val="white"/>
        </w:rPr>
        <w:t>Gompers, 2022</w:t>
      </w:r>
      <w:r>
        <w:rPr>
          <w:color w:val="000000"/>
        </w:rPr>
        <w:t>). The key reason behind this aspect</w:t>
      </w:r>
      <w:r>
        <w:rPr>
          <w:color w:val="000000"/>
        </w:rPr>
        <w:t xml:space="preserve"> is just that an investment generally comes with a wide range of risks involved with the same that can further affect a project. These risks can also formulate a broader negative impact on the different projects. Thus, on the basis of this, it can be ascer</w:t>
      </w:r>
      <w:r>
        <w:rPr>
          <w:color w:val="000000"/>
        </w:rPr>
        <w:t xml:space="preserve">tained that the risk factors are one of the most important non-financial prospectuses of an investment that is required to be considered by an individual before making the decision of investment. </w:t>
      </w:r>
    </w:p>
    <w:p w:rsidR="00CA60CC" w:rsidRDefault="005B412D">
      <w:pPr>
        <w:numPr>
          <w:ilvl w:val="0"/>
          <w:numId w:val="5"/>
        </w:numPr>
        <w:pBdr>
          <w:top w:val="nil"/>
          <w:left w:val="nil"/>
          <w:bottom w:val="nil"/>
          <w:right w:val="nil"/>
          <w:between w:val="nil"/>
        </w:pBdr>
        <w:rPr>
          <w:color w:val="000000"/>
        </w:rPr>
      </w:pPr>
      <w:r>
        <w:rPr>
          <w:color w:val="000000"/>
        </w:rPr>
        <w:t xml:space="preserve">Technological prospectus- The technological involvement of </w:t>
      </w:r>
      <w:r>
        <w:rPr>
          <w:color w:val="000000"/>
        </w:rPr>
        <w:t>an investment is generally considered to have a broader positive attribute in the future course of action. The key reason behind this aspect is just that the use of technological appliances can diversify the overall productive segment. In this context, the</w:t>
      </w:r>
      <w:r>
        <w:rPr>
          <w:color w:val="000000"/>
        </w:rPr>
        <w:t xml:space="preserve"> technological prospectus or the technological involvement of a project also acts as a major non-financial factor before making the decision to invest. </w:t>
      </w:r>
    </w:p>
    <w:p w:rsidR="00CA60CC" w:rsidRDefault="005B412D">
      <w:pPr>
        <w:numPr>
          <w:ilvl w:val="0"/>
          <w:numId w:val="5"/>
        </w:numPr>
        <w:pBdr>
          <w:top w:val="nil"/>
          <w:left w:val="nil"/>
          <w:bottom w:val="nil"/>
          <w:right w:val="nil"/>
          <w:between w:val="nil"/>
        </w:pBdr>
      </w:pPr>
      <w:r>
        <w:rPr>
          <w:color w:val="000000"/>
        </w:rPr>
        <w:t>Legal and regulatory compliance- The legal and regulatory compliance involved with a certain investment</w:t>
      </w:r>
      <w:r>
        <w:rPr>
          <w:color w:val="000000"/>
        </w:rPr>
        <w:t xml:space="preserve"> is necessary to be considered before associating with a certain investment (</w:t>
      </w:r>
      <w:r>
        <w:rPr>
          <w:color w:val="222222"/>
          <w:highlight w:val="white"/>
        </w:rPr>
        <w:t>Laplane, 2023</w:t>
      </w:r>
      <w:r>
        <w:rPr>
          <w:color w:val="000000"/>
        </w:rPr>
        <w:t>). The main reason behind this aspect is just that legal compliance focuses towards the maintenance of a systematic balance within the different rules and regulations</w:t>
      </w:r>
      <w:r>
        <w:rPr>
          <w:color w:val="000000"/>
        </w:rPr>
        <w:t xml:space="preserve">. Certainly, it can be ascertained that the legal and regulatory compliance of an investment is also necessary to be considered before associating with a certain investment. </w:t>
      </w:r>
      <w:r>
        <w:br w:type="page"/>
      </w:r>
    </w:p>
    <w:p w:rsidR="00CA60CC" w:rsidRDefault="005B412D">
      <w:pPr>
        <w:pStyle w:val="Heading1"/>
      </w:pPr>
      <w:bookmarkStart w:id="16" w:name="_Toc173258896"/>
      <w:r>
        <w:lastRenderedPageBreak/>
        <w:t>Reference List</w:t>
      </w:r>
      <w:bookmarkEnd w:id="16"/>
    </w:p>
    <w:p w:rsidR="00CA60CC" w:rsidRDefault="005B412D">
      <w:pPr>
        <w:pBdr>
          <w:top w:val="nil"/>
          <w:left w:val="nil"/>
          <w:bottom w:val="nil"/>
          <w:right w:val="nil"/>
          <w:between w:val="nil"/>
        </w:pBdr>
        <w:rPr>
          <w:color w:val="000000"/>
        </w:rPr>
      </w:pPr>
      <w:r>
        <w:rPr>
          <w:color w:val="000000"/>
        </w:rPr>
        <w:t>Amanda, R.I., 2019. The impact of cash turnover, receivable turno</w:t>
      </w:r>
      <w:r>
        <w:rPr>
          <w:color w:val="000000"/>
        </w:rPr>
        <w:t>ver, inventory turnover, current ratio and debt to equity ratio on profitability. Journal of research in management, 2(2), pp.14-22.</w:t>
      </w:r>
    </w:p>
    <w:p w:rsidR="00CA60CC" w:rsidRDefault="005B412D">
      <w:pPr>
        <w:pBdr>
          <w:top w:val="nil"/>
          <w:left w:val="nil"/>
          <w:bottom w:val="nil"/>
          <w:right w:val="nil"/>
          <w:between w:val="nil"/>
        </w:pBdr>
        <w:rPr>
          <w:color w:val="222222"/>
          <w:highlight w:val="white"/>
        </w:rPr>
      </w:pPr>
      <w:r>
        <w:rPr>
          <w:color w:val="222222"/>
          <w:highlight w:val="white"/>
        </w:rPr>
        <w:t>Anwar, M.B., Stephen, G., Dalvi, S., Frew, B., Ericson, S., Brown, M. and O’Malley, M., 2022. Modeling investment decisions</w:t>
      </w:r>
      <w:r>
        <w:rPr>
          <w:color w:val="222222"/>
          <w:highlight w:val="white"/>
        </w:rPr>
        <w:t xml:space="preserve"> from heterogeneous firms under imperfect information and risk in wholesale electricity markets. Applied Energy, 306, p.117908.</w:t>
      </w:r>
    </w:p>
    <w:p w:rsidR="00CA60CC" w:rsidRDefault="005B412D">
      <w:pPr>
        <w:pBdr>
          <w:top w:val="nil"/>
          <w:left w:val="nil"/>
          <w:bottom w:val="nil"/>
          <w:right w:val="nil"/>
          <w:between w:val="nil"/>
        </w:pBdr>
        <w:rPr>
          <w:color w:val="000000"/>
        </w:rPr>
      </w:pPr>
      <w:r>
        <w:rPr>
          <w:color w:val="000000"/>
        </w:rPr>
        <w:t xml:space="preserve">Azevedo, B.A.M. and Olschewski, M.P., 2020. Equity Research in the Automotive Industry: Valuation of BMW (Master's thesis, </w:t>
      </w:r>
      <w:r>
        <w:rPr>
          <w:color w:val="000000"/>
        </w:rPr>
        <w:t>Universidade NOVA de Lisboa (Portugal)).</w:t>
      </w:r>
    </w:p>
    <w:p w:rsidR="00CA60CC" w:rsidRDefault="005B412D">
      <w:pPr>
        <w:pBdr>
          <w:top w:val="nil"/>
          <w:left w:val="nil"/>
          <w:bottom w:val="nil"/>
          <w:right w:val="nil"/>
          <w:between w:val="nil"/>
        </w:pBdr>
        <w:rPr>
          <w:color w:val="222222"/>
          <w:highlight w:val="white"/>
        </w:rPr>
      </w:pPr>
      <w:r>
        <w:rPr>
          <w:color w:val="222222"/>
          <w:highlight w:val="white"/>
        </w:rPr>
        <w:t>Bai, B., Xiong, S., Ma, X. and Tian, Y., 2021. Effectiveness evaluation of photovoltaic poverty alleviation project in China: From a capital perspective. Journal of Cleaner Production, 284, p.124684.</w:t>
      </w:r>
    </w:p>
    <w:p w:rsidR="00CA60CC" w:rsidRDefault="005B412D">
      <w:pPr>
        <w:pBdr>
          <w:top w:val="nil"/>
          <w:left w:val="nil"/>
          <w:bottom w:val="nil"/>
          <w:right w:val="nil"/>
          <w:between w:val="nil"/>
        </w:pBdr>
        <w:rPr>
          <w:color w:val="000000"/>
        </w:rPr>
      </w:pPr>
      <w:r>
        <w:rPr>
          <w:color w:val="000000"/>
        </w:rPr>
        <w:t xml:space="preserve">Brutailer 2018 </w:t>
      </w:r>
      <w:r>
        <w:rPr>
          <w:color w:val="000000"/>
        </w:rPr>
        <w:t xml:space="preserve">The Ultimate Luxury Car Battle - Rolls Royce vs Bentley vs Maybach. </w:t>
      </w:r>
      <w:hyperlink r:id="rId10">
        <w:r>
          <w:rPr>
            <w:color w:val="1155CC"/>
            <w:u w:val="single"/>
          </w:rPr>
          <w:t>https://www.team-bhp.com/forum/super-cars-</w:t>
        </w:r>
        <w:r>
          <w:rPr>
            <w:color w:val="1155CC"/>
            <w:u w:val="single"/>
          </w:rPr>
          <w:t>imports-india/194215-ultimate-luxury-car-battle-rolls-royce-vs-bentley-vs-maybach.html</w:t>
        </w:r>
      </w:hyperlink>
      <w:r>
        <w:rPr>
          <w:color w:val="000000"/>
        </w:rPr>
        <w:t>.</w:t>
      </w:r>
    </w:p>
    <w:p w:rsidR="00CA60CC" w:rsidRDefault="005B412D">
      <w:pPr>
        <w:pBdr>
          <w:top w:val="nil"/>
          <w:left w:val="nil"/>
          <w:bottom w:val="nil"/>
          <w:right w:val="nil"/>
          <w:between w:val="nil"/>
        </w:pBdr>
        <w:rPr>
          <w:color w:val="222222"/>
          <w:highlight w:val="white"/>
        </w:rPr>
      </w:pPr>
      <w:r>
        <w:rPr>
          <w:color w:val="222222"/>
          <w:highlight w:val="white"/>
        </w:rPr>
        <w:t>Dai, H., Li, N., Wang, Y. and Zhao, X., 2022, March. The analysis of three main investment criteria: NPV IRR and payback period. In 2022 7th International Conference on</w:t>
      </w:r>
      <w:r>
        <w:rPr>
          <w:color w:val="222222"/>
          <w:highlight w:val="white"/>
        </w:rPr>
        <w:t xml:space="preserve"> Financial Innovation and Economic Development (ICFIED 2022) (pp. 185-189). Atlantis Press.</w:t>
      </w:r>
    </w:p>
    <w:p w:rsidR="00CA60CC" w:rsidRDefault="005B412D">
      <w:pPr>
        <w:pBdr>
          <w:top w:val="nil"/>
          <w:left w:val="nil"/>
          <w:bottom w:val="nil"/>
          <w:right w:val="nil"/>
          <w:between w:val="nil"/>
        </w:pBdr>
        <w:rPr>
          <w:color w:val="000000"/>
        </w:rPr>
      </w:pPr>
      <w:r>
        <w:rPr>
          <w:color w:val="000000"/>
        </w:rPr>
        <w:t>Eryatna, E.N., Eltivia, N. and Handayawati, K.U., 2021, July. The effect of cash turnover, receivable turnover, and inventory turnover towards profitability of cons</w:t>
      </w:r>
      <w:r>
        <w:rPr>
          <w:color w:val="000000"/>
        </w:rPr>
        <w:t>umer goods companies in Indonesia. In the 2nd Annual Management, Business and Economic Conference (AMBEC 2020) (pp. 191-197). Atlantis Press.</w:t>
      </w:r>
    </w:p>
    <w:p w:rsidR="00CA60CC" w:rsidRDefault="005B412D">
      <w:pPr>
        <w:pBdr>
          <w:top w:val="nil"/>
          <w:left w:val="nil"/>
          <w:bottom w:val="nil"/>
          <w:right w:val="nil"/>
          <w:between w:val="nil"/>
        </w:pBdr>
        <w:rPr>
          <w:color w:val="222222"/>
          <w:highlight w:val="white"/>
        </w:rPr>
      </w:pPr>
      <w:r>
        <w:rPr>
          <w:color w:val="222222"/>
          <w:highlight w:val="white"/>
        </w:rPr>
        <w:t>Fitzgerald, K.C., 2022. The application of real options as an enhancement to the net present value technique: a ca</w:t>
      </w:r>
      <w:r>
        <w:rPr>
          <w:color w:val="222222"/>
          <w:highlight w:val="white"/>
        </w:rPr>
        <w:t>se of the financial services sector (Doctoral dissertation).</w:t>
      </w:r>
    </w:p>
    <w:p w:rsidR="00CA60CC" w:rsidRDefault="005B412D">
      <w:pPr>
        <w:pBdr>
          <w:top w:val="nil"/>
          <w:left w:val="nil"/>
          <w:bottom w:val="nil"/>
          <w:right w:val="nil"/>
          <w:between w:val="nil"/>
        </w:pBdr>
        <w:rPr>
          <w:color w:val="222222"/>
          <w:highlight w:val="white"/>
        </w:rPr>
      </w:pPr>
      <w:r>
        <w:rPr>
          <w:color w:val="222222"/>
          <w:highlight w:val="white"/>
        </w:rPr>
        <w:t>Gompers, P.A., 2022. Optimal investment, monitoring, and the staging of venture capital. In Venture Capital (pp. 285-313). Routledge.</w:t>
      </w:r>
    </w:p>
    <w:p w:rsidR="00CA60CC" w:rsidRDefault="005B412D">
      <w:pPr>
        <w:pBdr>
          <w:top w:val="nil"/>
          <w:left w:val="nil"/>
          <w:bottom w:val="nil"/>
          <w:right w:val="nil"/>
          <w:between w:val="nil"/>
        </w:pBdr>
        <w:rPr>
          <w:color w:val="222222"/>
          <w:highlight w:val="white"/>
        </w:rPr>
      </w:pPr>
      <w:r>
        <w:rPr>
          <w:color w:val="222222"/>
          <w:highlight w:val="white"/>
        </w:rPr>
        <w:t>Laplane, A. and Mazzucato, M., 2020. Socializing the risks an</w:t>
      </w:r>
      <w:r>
        <w:rPr>
          <w:color w:val="222222"/>
          <w:highlight w:val="white"/>
        </w:rPr>
        <w:t>d rewards of public investments: Economic, policy, and legal issues. Research Policy, 49, p.100008.</w:t>
      </w:r>
    </w:p>
    <w:p w:rsidR="00CA60CC" w:rsidRDefault="005B412D">
      <w:pPr>
        <w:pBdr>
          <w:top w:val="nil"/>
          <w:left w:val="nil"/>
          <w:bottom w:val="nil"/>
          <w:right w:val="nil"/>
          <w:between w:val="nil"/>
        </w:pBdr>
        <w:rPr>
          <w:color w:val="222222"/>
          <w:highlight w:val="white"/>
        </w:rPr>
      </w:pPr>
      <w:r>
        <w:rPr>
          <w:color w:val="222222"/>
          <w:highlight w:val="white"/>
        </w:rPr>
        <w:t>Lowe, A., Nama, Y., Bryer, A., Chabrak, N., Dambrin, C., Jeacle, I., Lind, J., Lorino, P., Robson, K., Bottausci, C. and Spence, C., 2020. Problematizing pr</w:t>
      </w:r>
      <w:r>
        <w:rPr>
          <w:color w:val="222222"/>
          <w:highlight w:val="white"/>
        </w:rPr>
        <w:t xml:space="preserve">ofit and profitability: discussions. </w:t>
      </w:r>
      <w:r>
        <w:rPr>
          <w:i/>
          <w:color w:val="222222"/>
          <w:highlight w:val="white"/>
        </w:rPr>
        <w:t>Accounting, Auditing &amp; Accountability Journal</w:t>
      </w:r>
      <w:r>
        <w:rPr>
          <w:color w:val="222222"/>
          <w:highlight w:val="white"/>
        </w:rPr>
        <w:t xml:space="preserve">, </w:t>
      </w:r>
      <w:r>
        <w:rPr>
          <w:i/>
          <w:color w:val="222222"/>
          <w:highlight w:val="white"/>
        </w:rPr>
        <w:t>1233</w:t>
      </w:r>
      <w:r>
        <w:rPr>
          <w:color w:val="222222"/>
          <w:highlight w:val="white"/>
        </w:rPr>
        <w:t>(4), pp.753-793.</w:t>
      </w:r>
    </w:p>
    <w:p w:rsidR="00CA60CC" w:rsidRDefault="005B412D">
      <w:pPr>
        <w:pBdr>
          <w:top w:val="nil"/>
          <w:left w:val="nil"/>
          <w:bottom w:val="nil"/>
          <w:right w:val="nil"/>
          <w:between w:val="nil"/>
        </w:pBdr>
        <w:rPr>
          <w:color w:val="222222"/>
          <w:highlight w:val="white"/>
        </w:rPr>
      </w:pPr>
      <w:r>
        <w:rPr>
          <w:color w:val="222222"/>
          <w:highlight w:val="white"/>
        </w:rPr>
        <w:lastRenderedPageBreak/>
        <w:t xml:space="preserve">Magni, C.A. and Marchioni, A., 2020. Average rates of return, working capital, and NPV-consistency in project appraisal: A sensitivity analysis </w:t>
      </w:r>
      <w:r>
        <w:rPr>
          <w:color w:val="222222"/>
          <w:highlight w:val="white"/>
        </w:rPr>
        <w:t>approach. International Journal of Production Economics, 229, p.107769.</w:t>
      </w:r>
    </w:p>
    <w:p w:rsidR="00CA60CC" w:rsidRDefault="005B412D">
      <w:pPr>
        <w:pBdr>
          <w:top w:val="nil"/>
          <w:left w:val="nil"/>
          <w:bottom w:val="nil"/>
          <w:right w:val="nil"/>
          <w:between w:val="nil"/>
        </w:pBdr>
        <w:rPr>
          <w:color w:val="222222"/>
          <w:highlight w:val="white"/>
        </w:rPr>
      </w:pPr>
      <w:r>
        <w:rPr>
          <w:color w:val="222222"/>
          <w:highlight w:val="white"/>
        </w:rPr>
        <w:t>Mulyadi, D. and Sinaga, O., 2020. Analysis of Current Ratio, Net Profit Margin, and Good Corporate Governance against Company Value. Systematic Reviews in Pharmacy, 11(1).</w:t>
      </w:r>
    </w:p>
    <w:p w:rsidR="00CA60CC" w:rsidRDefault="005B412D">
      <w:pPr>
        <w:pBdr>
          <w:top w:val="nil"/>
          <w:left w:val="nil"/>
          <w:bottom w:val="nil"/>
          <w:right w:val="nil"/>
          <w:between w:val="nil"/>
        </w:pBdr>
        <w:rPr>
          <w:color w:val="000000"/>
        </w:rPr>
      </w:pPr>
      <w:r>
        <w:rPr>
          <w:color w:val="000000"/>
        </w:rPr>
        <w:t xml:space="preserve">Nuryani, Y. </w:t>
      </w:r>
      <w:r>
        <w:rPr>
          <w:color w:val="000000"/>
        </w:rPr>
        <w:t>and Sunarsi, D., 2020. The Effect of Current Ratio and Debt to Equity Ratio on Deviding Growth. JASa (JurnalAkuntansi, Audit dan SistemInformasiAkuntansi), 4(2), pp.304-312.</w:t>
      </w:r>
    </w:p>
    <w:p w:rsidR="00CA60CC" w:rsidRDefault="005B412D">
      <w:pPr>
        <w:pBdr>
          <w:top w:val="nil"/>
          <w:left w:val="nil"/>
          <w:bottom w:val="nil"/>
          <w:right w:val="nil"/>
          <w:between w:val="nil"/>
        </w:pBdr>
        <w:rPr>
          <w:color w:val="222222"/>
          <w:highlight w:val="white"/>
        </w:rPr>
      </w:pPr>
      <w:r>
        <w:rPr>
          <w:color w:val="222222"/>
          <w:highlight w:val="white"/>
        </w:rPr>
        <w:t>Olayinka, A.A., 2022. Financial statement analysis as a tool for investment decisi</w:t>
      </w:r>
      <w:r>
        <w:rPr>
          <w:color w:val="222222"/>
          <w:highlight w:val="white"/>
        </w:rPr>
        <w:t>ons and assessment of companies’ performance. International Journal of Financial, Accounting, and Management, 4(1), pp.49-66.</w:t>
      </w:r>
    </w:p>
    <w:p w:rsidR="00CA60CC" w:rsidRDefault="005B412D">
      <w:pPr>
        <w:pBdr>
          <w:top w:val="nil"/>
          <w:left w:val="nil"/>
          <w:bottom w:val="nil"/>
          <w:right w:val="nil"/>
          <w:between w:val="nil"/>
        </w:pBdr>
        <w:rPr>
          <w:color w:val="222222"/>
          <w:highlight w:val="white"/>
        </w:rPr>
      </w:pPr>
      <w:r>
        <w:rPr>
          <w:color w:val="222222"/>
          <w:highlight w:val="white"/>
        </w:rPr>
        <w:t>Penman, S.H. and Zhang, X.J., 2021. Connecting book rate of return to risk and return: The information conveyed by conservative ac</w:t>
      </w:r>
      <w:r>
        <w:rPr>
          <w:color w:val="222222"/>
          <w:highlight w:val="white"/>
        </w:rPr>
        <w:t>counting. Review of Accounting Studies, 26(1), pp.391-423.</w:t>
      </w:r>
    </w:p>
    <w:p w:rsidR="00CA60CC" w:rsidRDefault="005B412D">
      <w:pPr>
        <w:pBdr>
          <w:top w:val="nil"/>
          <w:left w:val="nil"/>
          <w:bottom w:val="nil"/>
          <w:right w:val="nil"/>
          <w:between w:val="nil"/>
        </w:pBdr>
        <w:rPr>
          <w:color w:val="222222"/>
          <w:highlight w:val="white"/>
        </w:rPr>
      </w:pPr>
      <w:r>
        <w:rPr>
          <w:color w:val="222222"/>
          <w:highlight w:val="white"/>
        </w:rPr>
        <w:t>Repalli, M.V., Hashmi, S.Z., Mubeen, S.A. and Sultana, K., 2024. Basic Concepts Of Financial Management. Academic Guru Publishing House.</w:t>
      </w:r>
    </w:p>
    <w:p w:rsidR="00CA60CC" w:rsidRDefault="005B412D">
      <w:pPr>
        <w:pBdr>
          <w:top w:val="nil"/>
          <w:left w:val="nil"/>
          <w:bottom w:val="nil"/>
          <w:right w:val="nil"/>
          <w:between w:val="nil"/>
        </w:pBdr>
        <w:rPr>
          <w:color w:val="222222"/>
          <w:highlight w:val="white"/>
        </w:rPr>
      </w:pPr>
      <w:r>
        <w:rPr>
          <w:color w:val="222222"/>
          <w:highlight w:val="white"/>
        </w:rPr>
        <w:t>Rolls-Royce Motor Cars celebrates UK dealer premiere of Spec</w:t>
      </w:r>
      <w:r>
        <w:rPr>
          <w:color w:val="222222"/>
          <w:highlight w:val="white"/>
        </w:rPr>
        <w:t xml:space="preserve">tre. 2024 BMW Group PressClub. Available at: https://www.press.rolls-roycemotorcars.com/rolls-royce-motor-cars-pressclub/article/detail/T0420140EN/rolls-royce-motor-cars-celebrates-uk-dealer-premiere-of-spectre?language=en (Accessed: 30 July 2024). </w:t>
      </w:r>
    </w:p>
    <w:p w:rsidR="00CA60CC" w:rsidRDefault="005B412D">
      <w:pPr>
        <w:pBdr>
          <w:top w:val="nil"/>
          <w:left w:val="nil"/>
          <w:bottom w:val="nil"/>
          <w:right w:val="nil"/>
          <w:between w:val="nil"/>
        </w:pBdr>
        <w:rPr>
          <w:color w:val="222222"/>
          <w:highlight w:val="white"/>
        </w:rPr>
      </w:pPr>
      <w:r>
        <w:rPr>
          <w:color w:val="222222"/>
          <w:highlight w:val="white"/>
        </w:rPr>
        <w:t>Štango</w:t>
      </w:r>
      <w:r>
        <w:rPr>
          <w:color w:val="222222"/>
          <w:highlight w:val="white"/>
        </w:rPr>
        <w:t>vá, N. and Víghová, A., 2021. Company liquidity as a reflection of receivables and payables management. Entrepreneurship and sustainability issues, 9(2), p.238.</w:t>
      </w:r>
    </w:p>
    <w:p w:rsidR="00CA60CC" w:rsidRDefault="005B412D">
      <w:pPr>
        <w:pBdr>
          <w:top w:val="nil"/>
          <w:left w:val="nil"/>
          <w:bottom w:val="nil"/>
          <w:right w:val="nil"/>
          <w:between w:val="nil"/>
        </w:pBdr>
        <w:rPr>
          <w:color w:val="000000"/>
        </w:rPr>
      </w:pPr>
      <w:r>
        <w:rPr>
          <w:color w:val="000000"/>
        </w:rPr>
        <w:t>Statista (2024). Rolls-Royce: global car deliveries 2023 |</w:t>
      </w:r>
      <w:hyperlink r:id="rId11" w:anchor=":~:text=The%20United%20States%20and%20China,and%20has%20been%20growing%20considerably">
        <w:r>
          <w:rPr>
            <w:color w:val="1155CC"/>
            <w:u w:val="single"/>
          </w:rPr>
          <w:t>https://www.statista.com/statistics/267243/worldwide-sales-volume-of-rolls-royce-automobile</w:t>
        </w:r>
        <w:r>
          <w:rPr>
            <w:color w:val="1155CC"/>
            <w:u w:val="single"/>
          </w:rPr>
          <w:t>s/#:~:text=The%20United%20States%20 and%20 China,and%20has%20been%20 growing%20 considerably</w:t>
        </w:r>
      </w:hyperlink>
      <w:r>
        <w:rPr>
          <w:color w:val="000000"/>
        </w:rPr>
        <w:t>.</w:t>
      </w:r>
    </w:p>
    <w:p w:rsidR="00CA60CC" w:rsidRDefault="005B412D">
      <w:pPr>
        <w:pBdr>
          <w:top w:val="nil"/>
          <w:left w:val="nil"/>
          <w:bottom w:val="nil"/>
          <w:right w:val="nil"/>
          <w:between w:val="nil"/>
        </w:pBdr>
        <w:rPr>
          <w:color w:val="222222"/>
          <w:highlight w:val="white"/>
        </w:rPr>
      </w:pPr>
      <w:r>
        <w:rPr>
          <w:color w:val="222222"/>
          <w:highlight w:val="white"/>
        </w:rPr>
        <w:t>Sukharev, O. and Voronchikhina, E., 2020. Financial and non-financial investments: Comparative econometric analysis of the impact on economic dynamics. Quantitati</w:t>
      </w:r>
      <w:r>
        <w:rPr>
          <w:color w:val="222222"/>
          <w:highlight w:val="white"/>
        </w:rPr>
        <w:t>ve Finance and Economics, 4(3), pp.382-411.</w:t>
      </w:r>
    </w:p>
    <w:p w:rsidR="00CA60CC" w:rsidRDefault="005B412D">
      <w:pPr>
        <w:pBdr>
          <w:top w:val="nil"/>
          <w:left w:val="nil"/>
          <w:bottom w:val="nil"/>
          <w:right w:val="nil"/>
          <w:between w:val="nil"/>
        </w:pBdr>
        <w:rPr>
          <w:color w:val="000000"/>
        </w:rPr>
      </w:pPr>
      <w:r>
        <w:rPr>
          <w:color w:val="000000"/>
        </w:rPr>
        <w:t>Syahfira, D. and Hasanuh, N., 2021. The Influence of Company Size and Debt to Asset Ratio on Return On Assets. JurnalKhatulistiwaInformatika, 8(1), pp.9-13.</w:t>
      </w:r>
    </w:p>
    <w:p w:rsidR="00CA60CC" w:rsidRDefault="005B412D">
      <w:pPr>
        <w:pBdr>
          <w:top w:val="nil"/>
          <w:left w:val="nil"/>
          <w:bottom w:val="nil"/>
          <w:right w:val="nil"/>
          <w:between w:val="nil"/>
        </w:pBdr>
        <w:rPr>
          <w:color w:val="222222"/>
          <w:highlight w:val="white"/>
        </w:rPr>
      </w:pPr>
      <w:r>
        <w:rPr>
          <w:color w:val="222222"/>
          <w:highlight w:val="white"/>
        </w:rPr>
        <w:lastRenderedPageBreak/>
        <w:t>Thiele, G., Dufour, D., Vernier, P., Mwanga, R.O., Park</w:t>
      </w:r>
      <w:r>
        <w:rPr>
          <w:color w:val="222222"/>
          <w:highlight w:val="white"/>
        </w:rPr>
        <w:t xml:space="preserve">er, M.L., Schulte Geldermann, E., Teeken, B., Wossen, T., Gotor, E., Kikulwe, E. and Tufan, H., 2021. A review of varietal change in roots, tubers and bananas: consumer preferences and other drivers of adoption and implications for breeding. International </w:t>
      </w:r>
      <w:r>
        <w:rPr>
          <w:color w:val="222222"/>
          <w:highlight w:val="white"/>
        </w:rPr>
        <w:t>Journal of Food Science &amp; Technology, 56(3), pp.1076-1092.</w:t>
      </w:r>
    </w:p>
    <w:p w:rsidR="00CA60CC" w:rsidRDefault="005B412D">
      <w:pPr>
        <w:pBdr>
          <w:top w:val="nil"/>
          <w:left w:val="nil"/>
          <w:bottom w:val="nil"/>
          <w:right w:val="nil"/>
          <w:between w:val="nil"/>
        </w:pBdr>
        <w:rPr>
          <w:color w:val="222222"/>
          <w:highlight w:val="white"/>
        </w:rPr>
      </w:pPr>
      <w:r>
        <w:rPr>
          <w:color w:val="222222"/>
          <w:highlight w:val="white"/>
        </w:rPr>
        <w:t>Weber, R., 2021. Embedding futurity in urban governance: Redevelopment schemes and the time value of money. Environment and Planning A: Economy and Space, 53(3), pp.503-524.</w:t>
      </w:r>
      <w:r>
        <w:br w:type="page"/>
      </w:r>
    </w:p>
    <w:p w:rsidR="00CA60CC" w:rsidRDefault="005B412D">
      <w:pPr>
        <w:pStyle w:val="Heading1"/>
      </w:pPr>
      <w:bookmarkStart w:id="17" w:name="_heading=h.86ktndaj32ul" w:colFirst="0" w:colLast="0"/>
      <w:bookmarkStart w:id="18" w:name="_Toc173258897"/>
      <w:bookmarkEnd w:id="17"/>
      <w:r>
        <w:lastRenderedPageBreak/>
        <w:t>Appendices</w:t>
      </w:r>
      <w:bookmarkEnd w:id="18"/>
    </w:p>
    <w:p w:rsidR="00CA60CC" w:rsidRDefault="005B412D">
      <w:pPr>
        <w:pStyle w:val="Heading2"/>
      </w:pPr>
      <w:bookmarkStart w:id="19" w:name="_heading=h.c7set8enjr82" w:colFirst="0" w:colLast="0"/>
      <w:bookmarkStart w:id="20" w:name="_Toc173258898"/>
      <w:bookmarkEnd w:id="19"/>
      <w:r>
        <w:t>Appendix 1:</w:t>
      </w:r>
      <w:r>
        <w:t xml:space="preserve"> Financial Statements for the past five years of Rolls Royce</w:t>
      </w:r>
      <w:bookmarkEnd w:id="20"/>
    </w:p>
    <w:p w:rsidR="00CA60CC" w:rsidRDefault="005B412D">
      <w:r>
        <w:rPr>
          <w:noProof/>
          <w:lang w:val="en-US" w:eastAsia="en-US" w:bidi="gu-IN"/>
        </w:rPr>
        <w:drawing>
          <wp:inline distT="114300" distB="114300" distL="114300" distR="114300">
            <wp:extent cx="5943600" cy="33782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3782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64135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64135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4216400"/>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42164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70612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70612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406400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943600" cy="40640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6870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943600" cy="6870700"/>
                    </a:xfrm>
                    <a:prstGeom prst="rect">
                      <a:avLst/>
                    </a:prstGeom>
                    <a:ln/>
                  </pic:spPr>
                </pic:pic>
              </a:graphicData>
            </a:graphic>
          </wp:inline>
        </w:drawing>
      </w:r>
    </w:p>
    <w:p w:rsidR="00CA60CC" w:rsidRDefault="005B412D">
      <w:pPr>
        <w:pStyle w:val="Heading2"/>
      </w:pPr>
      <w:bookmarkStart w:id="21" w:name="_heading=h.jg64phwg4qa7" w:colFirst="0" w:colLast="0"/>
      <w:bookmarkStart w:id="22" w:name="_Toc173258899"/>
      <w:bookmarkEnd w:id="21"/>
      <w:r>
        <w:lastRenderedPageBreak/>
        <w:t>Appendix 2: Financial Statements for the past five years of Bae Systems</w:t>
      </w:r>
      <w:bookmarkEnd w:id="22"/>
    </w:p>
    <w:p w:rsidR="00CA60CC" w:rsidRDefault="005B412D">
      <w:r>
        <w:rPr>
          <w:noProof/>
          <w:lang w:val="en-US" w:eastAsia="en-US" w:bidi="gu-IN"/>
        </w:rPr>
        <w:drawing>
          <wp:inline distT="114300" distB="114300" distL="114300" distR="114300">
            <wp:extent cx="5943600" cy="4711700"/>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943600" cy="47117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66294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943600" cy="66294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2667000"/>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5943600" cy="26670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68961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943600" cy="68961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26924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5943600" cy="2692400"/>
                    </a:xfrm>
                    <a:prstGeom prst="rect">
                      <a:avLst/>
                    </a:prstGeom>
                    <a:ln/>
                  </pic:spPr>
                </pic:pic>
              </a:graphicData>
            </a:graphic>
          </wp:inline>
        </w:drawing>
      </w:r>
    </w:p>
    <w:p w:rsidR="00CA60CC" w:rsidRDefault="005B412D">
      <w:r>
        <w:rPr>
          <w:noProof/>
          <w:lang w:val="en-US" w:eastAsia="en-US" w:bidi="gu-IN"/>
        </w:rPr>
        <w:lastRenderedPageBreak/>
        <w:drawing>
          <wp:inline distT="114300" distB="114300" distL="114300" distR="114300">
            <wp:extent cx="5943600" cy="69723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3"/>
                    <a:srcRect/>
                    <a:stretch>
                      <a:fillRect/>
                    </a:stretch>
                  </pic:blipFill>
                  <pic:spPr>
                    <a:xfrm>
                      <a:off x="0" y="0"/>
                      <a:ext cx="5943600" cy="6972300"/>
                    </a:xfrm>
                    <a:prstGeom prst="rect">
                      <a:avLst/>
                    </a:prstGeom>
                    <a:ln/>
                  </pic:spPr>
                </pic:pic>
              </a:graphicData>
            </a:graphic>
          </wp:inline>
        </w:drawing>
      </w:r>
    </w:p>
    <w:sectPr w:rsidR="00CA60CC" w:rsidSect="00A807A8">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12D" w:rsidRDefault="005B412D">
      <w:pPr>
        <w:spacing w:line="240" w:lineRule="auto"/>
      </w:pPr>
      <w:r>
        <w:separator/>
      </w:r>
    </w:p>
  </w:endnote>
  <w:endnote w:type="continuationSeparator" w:id="1">
    <w:p w:rsidR="005B412D" w:rsidRDefault="005B412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0CC" w:rsidRDefault="005B412D">
    <w:pPr>
      <w:pBdr>
        <w:top w:val="nil"/>
        <w:left w:val="nil"/>
        <w:bottom w:val="nil"/>
        <w:right w:val="nil"/>
        <w:between w:val="nil"/>
      </w:pBdr>
      <w:tabs>
        <w:tab w:val="center" w:pos="4513"/>
        <w:tab w:val="right" w:pos="9026"/>
      </w:tabs>
      <w:spacing w:line="240" w:lineRule="auto"/>
      <w:jc w:val="right"/>
      <w:rPr>
        <w:color w:val="000000"/>
        <w:sz w:val="22"/>
        <w:szCs w:val="22"/>
      </w:rPr>
    </w:pPr>
    <w:r>
      <w:rPr>
        <w:color w:val="000000"/>
        <w:sz w:val="22"/>
        <w:szCs w:val="22"/>
      </w:rPr>
      <w:t xml:space="preserve">Page </w:t>
    </w:r>
    <w:r w:rsidR="00D139BE">
      <w:rPr>
        <w:color w:val="000000"/>
        <w:sz w:val="22"/>
        <w:szCs w:val="22"/>
      </w:rPr>
      <w:fldChar w:fldCharType="begin"/>
    </w:r>
    <w:r>
      <w:rPr>
        <w:color w:val="000000"/>
        <w:sz w:val="22"/>
        <w:szCs w:val="22"/>
      </w:rPr>
      <w:instrText>PAGE</w:instrText>
    </w:r>
    <w:r w:rsidR="00D139BE">
      <w:rPr>
        <w:color w:val="000000"/>
        <w:sz w:val="22"/>
        <w:szCs w:val="22"/>
      </w:rPr>
      <w:fldChar w:fldCharType="separate"/>
    </w:r>
    <w:r w:rsidR="007B0E04">
      <w:rPr>
        <w:noProof/>
        <w:color w:val="000000"/>
        <w:sz w:val="22"/>
        <w:szCs w:val="22"/>
      </w:rPr>
      <w:t>1</w:t>
    </w:r>
    <w:r w:rsidR="00D139BE">
      <w:rPr>
        <w:color w:val="000000"/>
        <w:sz w:val="22"/>
        <w:szCs w:val="22"/>
      </w:rPr>
      <w:fldChar w:fldCharType="end"/>
    </w:r>
    <w:r>
      <w:rPr>
        <w:color w:val="000000"/>
        <w:sz w:val="22"/>
        <w:szCs w:val="22"/>
      </w:rPr>
      <w:t xml:space="preserve"> of </w:t>
    </w:r>
    <w:r w:rsidR="00D139BE">
      <w:rPr>
        <w:color w:val="000000"/>
        <w:sz w:val="22"/>
        <w:szCs w:val="22"/>
      </w:rPr>
      <w:fldChar w:fldCharType="begin"/>
    </w:r>
    <w:r>
      <w:rPr>
        <w:color w:val="000000"/>
        <w:sz w:val="22"/>
        <w:szCs w:val="22"/>
      </w:rPr>
      <w:instrText>NUMPAGES</w:instrText>
    </w:r>
    <w:r w:rsidR="00D139BE">
      <w:rPr>
        <w:color w:val="000000"/>
        <w:sz w:val="22"/>
        <w:szCs w:val="22"/>
      </w:rPr>
      <w:fldChar w:fldCharType="separate"/>
    </w:r>
    <w:r w:rsidR="007B0E04">
      <w:rPr>
        <w:noProof/>
        <w:color w:val="000000"/>
        <w:sz w:val="22"/>
        <w:szCs w:val="22"/>
      </w:rPr>
      <w:t>33</w:t>
    </w:r>
    <w:r w:rsidR="00D139BE">
      <w:rPr>
        <w:color w:val="000000"/>
        <w:sz w:val="22"/>
        <w:szCs w:val="22"/>
      </w:rPr>
      <w:fldChar w:fldCharType="end"/>
    </w:r>
  </w:p>
  <w:p w:rsidR="00CA60CC" w:rsidRDefault="00CA60CC">
    <w:pPr>
      <w:pBdr>
        <w:top w:val="nil"/>
        <w:left w:val="nil"/>
        <w:bottom w:val="nil"/>
        <w:right w:val="nil"/>
        <w:between w:val="nil"/>
      </w:pBdr>
      <w:tabs>
        <w:tab w:val="center" w:pos="4513"/>
        <w:tab w:val="right" w:pos="9026"/>
      </w:tabs>
      <w:spacing w:line="240" w:lineRule="auto"/>
      <w:rPr>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12D" w:rsidRDefault="005B412D">
      <w:pPr>
        <w:spacing w:line="240" w:lineRule="auto"/>
      </w:pPr>
      <w:r>
        <w:separator/>
      </w:r>
    </w:p>
  </w:footnote>
  <w:footnote w:type="continuationSeparator" w:id="1">
    <w:p w:rsidR="005B412D" w:rsidRDefault="005B412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5E39"/>
    <w:multiLevelType w:val="multilevel"/>
    <w:tmpl w:val="FF200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07616DA"/>
    <w:multiLevelType w:val="multilevel"/>
    <w:tmpl w:val="9F1EC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8DB04BE"/>
    <w:multiLevelType w:val="multilevel"/>
    <w:tmpl w:val="2B024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38A53F6"/>
    <w:multiLevelType w:val="multilevel"/>
    <w:tmpl w:val="B874D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EE43316"/>
    <w:multiLevelType w:val="multilevel"/>
    <w:tmpl w:val="2506A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A60CC"/>
    <w:rsid w:val="00003E82"/>
    <w:rsid w:val="000A1315"/>
    <w:rsid w:val="00156762"/>
    <w:rsid w:val="00184A8A"/>
    <w:rsid w:val="00230903"/>
    <w:rsid w:val="00301AE8"/>
    <w:rsid w:val="00435FD1"/>
    <w:rsid w:val="00585CD2"/>
    <w:rsid w:val="00585E97"/>
    <w:rsid w:val="005B412D"/>
    <w:rsid w:val="007037D1"/>
    <w:rsid w:val="007545C8"/>
    <w:rsid w:val="0076512E"/>
    <w:rsid w:val="007A5696"/>
    <w:rsid w:val="007B0E04"/>
    <w:rsid w:val="007B6087"/>
    <w:rsid w:val="007D65FA"/>
    <w:rsid w:val="00886885"/>
    <w:rsid w:val="008E5348"/>
    <w:rsid w:val="009C3704"/>
    <w:rsid w:val="00A733E4"/>
    <w:rsid w:val="00A807A8"/>
    <w:rsid w:val="00C42C09"/>
    <w:rsid w:val="00CA60CC"/>
    <w:rsid w:val="00CF3C15"/>
    <w:rsid w:val="00D04681"/>
    <w:rsid w:val="00D139BE"/>
    <w:rsid w:val="00D51B80"/>
    <w:rsid w:val="00F02BBC"/>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0"/>
    <w:next w:val="normal0"/>
    <w:uiPriority w:val="9"/>
    <w:qFormat/>
    <w:rsid w:val="00D139BE"/>
    <w:pPr>
      <w:keepNext/>
      <w:keepLines/>
      <w:outlineLvl w:val="0"/>
    </w:pPr>
    <w:rPr>
      <w:b/>
      <w:sz w:val="28"/>
      <w:szCs w:val="28"/>
    </w:rPr>
  </w:style>
  <w:style w:type="paragraph" w:styleId="Heading2">
    <w:name w:val="heading 2"/>
    <w:basedOn w:val="normal0"/>
    <w:next w:val="normal0"/>
    <w:uiPriority w:val="9"/>
    <w:unhideWhenUsed/>
    <w:qFormat/>
    <w:rsid w:val="00D139BE"/>
    <w:pPr>
      <w:keepNext/>
      <w:keepLines/>
      <w:outlineLvl w:val="1"/>
    </w:pPr>
    <w:rPr>
      <w:b/>
    </w:rPr>
  </w:style>
  <w:style w:type="paragraph" w:styleId="Heading3">
    <w:name w:val="heading 3"/>
    <w:basedOn w:val="normal0"/>
    <w:next w:val="normal0"/>
    <w:uiPriority w:val="9"/>
    <w:semiHidden/>
    <w:unhideWhenUsed/>
    <w:qFormat/>
    <w:rsid w:val="00D139BE"/>
    <w:pPr>
      <w:keepNext/>
      <w:keepLines/>
      <w:spacing w:before="320" w:after="80"/>
      <w:outlineLvl w:val="2"/>
    </w:pPr>
    <w:rPr>
      <w:color w:val="434343"/>
      <w:sz w:val="28"/>
      <w:szCs w:val="28"/>
    </w:rPr>
  </w:style>
  <w:style w:type="paragraph" w:styleId="Heading4">
    <w:name w:val="heading 4"/>
    <w:basedOn w:val="normal0"/>
    <w:next w:val="normal0"/>
    <w:uiPriority w:val="9"/>
    <w:semiHidden/>
    <w:unhideWhenUsed/>
    <w:qFormat/>
    <w:rsid w:val="00D139BE"/>
    <w:pPr>
      <w:keepNext/>
      <w:keepLines/>
      <w:spacing w:before="280" w:after="80"/>
      <w:outlineLvl w:val="3"/>
    </w:pPr>
    <w:rPr>
      <w:color w:val="666666"/>
    </w:rPr>
  </w:style>
  <w:style w:type="paragraph" w:styleId="Heading5">
    <w:name w:val="heading 5"/>
    <w:basedOn w:val="normal0"/>
    <w:next w:val="normal0"/>
    <w:uiPriority w:val="9"/>
    <w:semiHidden/>
    <w:unhideWhenUsed/>
    <w:qFormat/>
    <w:rsid w:val="00D139BE"/>
    <w:pPr>
      <w:keepNext/>
      <w:keepLines/>
      <w:spacing w:before="240" w:after="80"/>
      <w:outlineLvl w:val="4"/>
    </w:pPr>
    <w:rPr>
      <w:color w:val="666666"/>
      <w:sz w:val="22"/>
      <w:szCs w:val="22"/>
    </w:rPr>
  </w:style>
  <w:style w:type="paragraph" w:styleId="Heading6">
    <w:name w:val="heading 6"/>
    <w:basedOn w:val="normal0"/>
    <w:next w:val="normal0"/>
    <w:uiPriority w:val="9"/>
    <w:semiHidden/>
    <w:unhideWhenUsed/>
    <w:qFormat/>
    <w:rsid w:val="00D139B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uiPriority w:val="10"/>
    <w:qFormat/>
    <w:rsid w:val="00D139BE"/>
    <w:pPr>
      <w:keepNext/>
      <w:keepLines/>
      <w:spacing w:after="60"/>
    </w:pPr>
    <w:rPr>
      <w:sz w:val="52"/>
      <w:szCs w:val="52"/>
    </w:rPr>
  </w:style>
  <w:style w:type="paragraph" w:customStyle="1" w:styleId="Normal1">
    <w:name w:val="Normal1"/>
    <w:rsid w:val="00D139BE"/>
  </w:style>
  <w:style w:type="table" w:customStyle="1" w:styleId="TableNormal1">
    <w:name w:val="Table Normal1"/>
    <w:rsid w:val="00D139BE"/>
    <w:tblPr>
      <w:tblCellMar>
        <w:top w:w="0" w:type="dxa"/>
        <w:left w:w="0" w:type="dxa"/>
        <w:bottom w:w="0" w:type="dxa"/>
        <w:right w:w="0" w:type="dxa"/>
      </w:tblCellMar>
    </w:tblPr>
  </w:style>
  <w:style w:type="paragraph" w:customStyle="1" w:styleId="normal0">
    <w:name w:val="normal_0"/>
    <w:rsid w:val="00D139BE"/>
  </w:style>
  <w:style w:type="table" w:customStyle="1" w:styleId="TableNormal0">
    <w:name w:val="Table Normal_0"/>
    <w:rsid w:val="00D139BE"/>
    <w:tblPr>
      <w:tblCellMar>
        <w:top w:w="0" w:type="dxa"/>
        <w:left w:w="0" w:type="dxa"/>
        <w:bottom w:w="0" w:type="dxa"/>
        <w:right w:w="0" w:type="dxa"/>
      </w:tblCellMar>
    </w:tblPr>
  </w:style>
  <w:style w:type="table" w:customStyle="1" w:styleId="Table1">
    <w:name w:val="Table1"/>
    <w:basedOn w:val="TableNormal0"/>
    <w:rsid w:val="00D139BE"/>
    <w:tblPr>
      <w:tblStyleRowBandSize w:val="1"/>
      <w:tblStyleColBandSize w:val="1"/>
      <w:tblCellMar>
        <w:top w:w="100" w:type="dxa"/>
        <w:left w:w="100" w:type="dxa"/>
        <w:bottom w:w="100" w:type="dxa"/>
        <w:right w:w="100" w:type="dxa"/>
      </w:tblCellMar>
    </w:tblPr>
  </w:style>
  <w:style w:type="table" w:customStyle="1" w:styleId="Table2">
    <w:name w:val="Table2"/>
    <w:basedOn w:val="TableNormal0"/>
    <w:rsid w:val="00D139BE"/>
    <w:tblPr>
      <w:tblStyleRowBandSize w:val="1"/>
      <w:tblStyleColBandSize w:val="1"/>
      <w:tblCellMar>
        <w:top w:w="100" w:type="dxa"/>
        <w:left w:w="100" w:type="dxa"/>
        <w:bottom w:w="100" w:type="dxa"/>
        <w:right w:w="100" w:type="dxa"/>
      </w:tblCellMar>
    </w:tblPr>
  </w:style>
  <w:style w:type="table" w:customStyle="1" w:styleId="Table3">
    <w:name w:val="Table3"/>
    <w:basedOn w:val="TableNormal0"/>
    <w:rsid w:val="00D139BE"/>
    <w:tblPr>
      <w:tblStyleRowBandSize w:val="1"/>
      <w:tblStyleColBandSize w:val="1"/>
      <w:tblCellMar>
        <w:top w:w="100" w:type="dxa"/>
        <w:left w:w="100" w:type="dxa"/>
        <w:bottom w:w="100" w:type="dxa"/>
        <w:right w:w="100" w:type="dxa"/>
      </w:tblCellMar>
    </w:tblPr>
  </w:style>
  <w:style w:type="table" w:customStyle="1" w:styleId="Table4">
    <w:name w:val="Table4"/>
    <w:basedOn w:val="TableNormal0"/>
    <w:rsid w:val="00D139BE"/>
    <w:tblPr>
      <w:tblStyleRowBandSize w:val="1"/>
      <w:tblStyleColBandSize w:val="1"/>
      <w:tblCellMar>
        <w:top w:w="100" w:type="dxa"/>
        <w:left w:w="100" w:type="dxa"/>
        <w:bottom w:w="100" w:type="dxa"/>
        <w:right w:w="100" w:type="dxa"/>
      </w:tblCellMar>
    </w:tblPr>
  </w:style>
  <w:style w:type="table" w:customStyle="1" w:styleId="Table5">
    <w:name w:val="Table5"/>
    <w:basedOn w:val="TableNormal0"/>
    <w:rsid w:val="00D139BE"/>
    <w:tblPr>
      <w:tblStyleRowBandSize w:val="1"/>
      <w:tblStyleColBandSize w:val="1"/>
      <w:tblCellMar>
        <w:top w:w="100" w:type="dxa"/>
        <w:left w:w="100" w:type="dxa"/>
        <w:bottom w:w="100" w:type="dxa"/>
        <w:right w:w="100" w:type="dxa"/>
      </w:tblCellMar>
    </w:tblPr>
  </w:style>
  <w:style w:type="table" w:customStyle="1" w:styleId="Table6">
    <w:name w:val="Table6"/>
    <w:basedOn w:val="TableNormal0"/>
    <w:rsid w:val="00D139BE"/>
    <w:tblPr>
      <w:tblStyleRowBandSize w:val="1"/>
      <w:tblStyleColBandSize w:val="1"/>
      <w:tblCellMar>
        <w:top w:w="100" w:type="dxa"/>
        <w:left w:w="100" w:type="dxa"/>
        <w:bottom w:w="100" w:type="dxa"/>
        <w:right w:w="100" w:type="dxa"/>
      </w:tblCellMar>
    </w:tblPr>
  </w:style>
  <w:style w:type="table" w:customStyle="1" w:styleId="Table7">
    <w:name w:val="Table7"/>
    <w:basedOn w:val="TableNormal0"/>
    <w:rsid w:val="00D139BE"/>
    <w:tblPr>
      <w:tblStyleRowBandSize w:val="1"/>
      <w:tblStyleColBandSize w:val="1"/>
      <w:tblCellMar>
        <w:top w:w="100" w:type="dxa"/>
        <w:left w:w="100" w:type="dxa"/>
        <w:bottom w:w="100" w:type="dxa"/>
        <w:right w:w="100" w:type="dxa"/>
      </w:tblCellMar>
    </w:tblPr>
  </w:style>
  <w:style w:type="table" w:customStyle="1" w:styleId="Table8">
    <w:name w:val="Table8"/>
    <w:basedOn w:val="TableNormal0"/>
    <w:rsid w:val="00D139BE"/>
    <w:tblPr>
      <w:tblStyleRowBandSize w:val="1"/>
      <w:tblStyleColBandSize w:val="1"/>
      <w:tblCellMar>
        <w:top w:w="100" w:type="dxa"/>
        <w:left w:w="100" w:type="dxa"/>
        <w:bottom w:w="100" w:type="dxa"/>
        <w:right w:w="100" w:type="dxa"/>
      </w:tblCellMar>
    </w:tblPr>
  </w:style>
  <w:style w:type="table" w:customStyle="1" w:styleId="Table9">
    <w:name w:val="Table9"/>
    <w:basedOn w:val="TableNormal0"/>
    <w:rsid w:val="00D139BE"/>
    <w:tblPr>
      <w:tblStyleRowBandSize w:val="1"/>
      <w:tblStyleColBandSize w:val="1"/>
      <w:tblCellMar>
        <w:top w:w="100" w:type="dxa"/>
        <w:left w:w="100" w:type="dxa"/>
        <w:bottom w:w="100" w:type="dxa"/>
        <w:right w:w="100" w:type="dxa"/>
      </w:tblCellMar>
    </w:tblPr>
  </w:style>
  <w:style w:type="table" w:customStyle="1" w:styleId="Table10">
    <w:name w:val="Table10"/>
    <w:basedOn w:val="TableNormal0"/>
    <w:rsid w:val="00D139BE"/>
    <w:tblPr>
      <w:tblStyleRowBandSize w:val="1"/>
      <w:tblStyleColBandSize w:val="1"/>
      <w:tblCellMar>
        <w:top w:w="100" w:type="dxa"/>
        <w:left w:w="100" w:type="dxa"/>
        <w:bottom w:w="100" w:type="dxa"/>
        <w:right w:w="100" w:type="dxa"/>
      </w:tblCellMar>
    </w:tblPr>
  </w:style>
  <w:style w:type="table" w:customStyle="1" w:styleId="Table11">
    <w:name w:val="Table11"/>
    <w:basedOn w:val="TableNormal0"/>
    <w:rsid w:val="00D139BE"/>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rsid w:val="00D139BE"/>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Table100">
    <w:name w:val="Table1_0"/>
    <w:basedOn w:val="TableNormal0"/>
    <w:rsid w:val="00D139BE"/>
    <w:tblPr>
      <w:tblStyleRowBandSize w:val="1"/>
      <w:tblStyleColBandSize w:val="1"/>
      <w:tblCellMar>
        <w:top w:w="100" w:type="dxa"/>
        <w:left w:w="100" w:type="dxa"/>
        <w:bottom w:w="100" w:type="dxa"/>
        <w:right w:w="100" w:type="dxa"/>
      </w:tblCellMar>
    </w:tblPr>
  </w:style>
  <w:style w:type="table" w:customStyle="1" w:styleId="Table20">
    <w:name w:val="Table2_0"/>
    <w:basedOn w:val="TableNormal0"/>
    <w:rsid w:val="00D139BE"/>
    <w:tblPr>
      <w:tblStyleRowBandSize w:val="1"/>
      <w:tblStyleColBandSize w:val="1"/>
      <w:tblCellMar>
        <w:top w:w="100" w:type="dxa"/>
        <w:left w:w="100" w:type="dxa"/>
        <w:bottom w:w="100" w:type="dxa"/>
        <w:right w:w="100" w:type="dxa"/>
      </w:tblCellMar>
    </w:tblPr>
  </w:style>
  <w:style w:type="table" w:customStyle="1" w:styleId="Table30">
    <w:name w:val="Table3_0"/>
    <w:basedOn w:val="TableNormal0"/>
    <w:rsid w:val="00D139BE"/>
    <w:tblPr>
      <w:tblStyleRowBandSize w:val="1"/>
      <w:tblStyleColBandSize w:val="1"/>
      <w:tblCellMar>
        <w:top w:w="100" w:type="dxa"/>
        <w:left w:w="100" w:type="dxa"/>
        <w:bottom w:w="100" w:type="dxa"/>
        <w:right w:w="100" w:type="dxa"/>
      </w:tblCellMar>
    </w:tblPr>
  </w:style>
  <w:style w:type="table" w:customStyle="1" w:styleId="Table40">
    <w:name w:val="Table4_0"/>
    <w:basedOn w:val="TableNormal0"/>
    <w:rsid w:val="00D139BE"/>
    <w:tblPr>
      <w:tblStyleRowBandSize w:val="1"/>
      <w:tblStyleColBandSize w:val="1"/>
      <w:tblCellMar>
        <w:top w:w="100" w:type="dxa"/>
        <w:left w:w="100" w:type="dxa"/>
        <w:bottom w:w="100" w:type="dxa"/>
        <w:right w:w="100" w:type="dxa"/>
      </w:tblCellMar>
    </w:tblPr>
  </w:style>
  <w:style w:type="table" w:customStyle="1" w:styleId="Table50">
    <w:name w:val="Table5_0"/>
    <w:basedOn w:val="TableNormal0"/>
    <w:rsid w:val="00D139BE"/>
    <w:tblPr>
      <w:tblStyleRowBandSize w:val="1"/>
      <w:tblStyleColBandSize w:val="1"/>
      <w:tblCellMar>
        <w:top w:w="100" w:type="dxa"/>
        <w:left w:w="100" w:type="dxa"/>
        <w:bottom w:w="100" w:type="dxa"/>
        <w:right w:w="100" w:type="dxa"/>
      </w:tblCellMar>
    </w:tblPr>
  </w:style>
  <w:style w:type="table" w:customStyle="1" w:styleId="Table60">
    <w:name w:val="Table6_0"/>
    <w:basedOn w:val="TableNormal0"/>
    <w:rsid w:val="00D139BE"/>
    <w:tblPr>
      <w:tblStyleRowBandSize w:val="1"/>
      <w:tblStyleColBandSize w:val="1"/>
      <w:tblCellMar>
        <w:top w:w="100" w:type="dxa"/>
        <w:left w:w="100" w:type="dxa"/>
        <w:bottom w:w="100" w:type="dxa"/>
        <w:right w:w="100" w:type="dxa"/>
      </w:tblCellMar>
    </w:tblPr>
  </w:style>
  <w:style w:type="table" w:customStyle="1" w:styleId="Table70">
    <w:name w:val="Table7_0"/>
    <w:basedOn w:val="TableNormal0"/>
    <w:rsid w:val="00D139BE"/>
    <w:tblPr>
      <w:tblStyleRowBandSize w:val="1"/>
      <w:tblStyleColBandSize w:val="1"/>
      <w:tblCellMar>
        <w:top w:w="100" w:type="dxa"/>
        <w:left w:w="100" w:type="dxa"/>
        <w:bottom w:w="100" w:type="dxa"/>
        <w:right w:w="100" w:type="dxa"/>
      </w:tblCellMar>
    </w:tblPr>
  </w:style>
  <w:style w:type="table" w:customStyle="1" w:styleId="Table80">
    <w:name w:val="Table8_0"/>
    <w:basedOn w:val="TableNormal0"/>
    <w:rsid w:val="00D139BE"/>
    <w:tblPr>
      <w:tblStyleRowBandSize w:val="1"/>
      <w:tblStyleColBandSize w:val="1"/>
      <w:tblCellMar>
        <w:top w:w="100" w:type="dxa"/>
        <w:left w:w="100" w:type="dxa"/>
        <w:bottom w:w="100" w:type="dxa"/>
        <w:right w:w="100" w:type="dxa"/>
      </w:tblCellMar>
    </w:tblPr>
  </w:style>
  <w:style w:type="table" w:customStyle="1" w:styleId="Table90">
    <w:name w:val="Table9_0"/>
    <w:basedOn w:val="TableNormal0"/>
    <w:rsid w:val="00D139BE"/>
    <w:tblPr>
      <w:tblStyleRowBandSize w:val="1"/>
      <w:tblStyleColBandSize w:val="1"/>
      <w:tblCellMar>
        <w:top w:w="100" w:type="dxa"/>
        <w:left w:w="100" w:type="dxa"/>
        <w:bottom w:w="100" w:type="dxa"/>
        <w:right w:w="100" w:type="dxa"/>
      </w:tblCellMar>
    </w:tblPr>
  </w:style>
  <w:style w:type="table" w:customStyle="1" w:styleId="Table1000">
    <w:name w:val="Table10_0"/>
    <w:basedOn w:val="TableNormal0"/>
    <w:rsid w:val="00D139BE"/>
    <w:tblPr>
      <w:tblStyleRowBandSize w:val="1"/>
      <w:tblStyleColBandSize w:val="1"/>
      <w:tblCellMar>
        <w:top w:w="100" w:type="dxa"/>
        <w:left w:w="100" w:type="dxa"/>
        <w:bottom w:w="100" w:type="dxa"/>
        <w:right w:w="100" w:type="dxa"/>
      </w:tblCellMar>
    </w:tblPr>
  </w:style>
  <w:style w:type="table" w:customStyle="1" w:styleId="Table110">
    <w:name w:val="Table11_0"/>
    <w:basedOn w:val="TableNormal0"/>
    <w:rsid w:val="00D139BE"/>
    <w:tblPr>
      <w:tblStyleRowBandSize w:val="1"/>
      <w:tblStyleColBandSize w:val="1"/>
      <w:tblCellMar>
        <w:top w:w="100" w:type="dxa"/>
        <w:left w:w="100" w:type="dxa"/>
        <w:bottom w:w="100" w:type="dxa"/>
        <w:right w:w="100" w:type="dxa"/>
      </w:tblCellMar>
    </w:tblPr>
  </w:style>
  <w:style w:type="table" w:customStyle="1" w:styleId="Table12">
    <w:name w:val="Table12"/>
    <w:basedOn w:val="TableNormal0"/>
    <w:rsid w:val="00D139BE"/>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65A84"/>
    <w:pPr>
      <w:tabs>
        <w:tab w:val="center" w:pos="4513"/>
        <w:tab w:val="right" w:pos="9026"/>
      </w:tabs>
      <w:spacing w:line="240" w:lineRule="auto"/>
    </w:pPr>
  </w:style>
  <w:style w:type="character" w:customStyle="1" w:styleId="HeaderChar">
    <w:name w:val="Header Char"/>
    <w:basedOn w:val="DefaultParagraphFont"/>
    <w:link w:val="Header"/>
    <w:uiPriority w:val="99"/>
    <w:rsid w:val="00165A84"/>
  </w:style>
  <w:style w:type="paragraph" w:styleId="Footer">
    <w:name w:val="footer"/>
    <w:basedOn w:val="Normal"/>
    <w:link w:val="FooterChar"/>
    <w:uiPriority w:val="99"/>
    <w:unhideWhenUsed/>
    <w:rsid w:val="00165A84"/>
    <w:pPr>
      <w:tabs>
        <w:tab w:val="center" w:pos="4513"/>
        <w:tab w:val="right" w:pos="9026"/>
      </w:tabs>
      <w:spacing w:line="240" w:lineRule="auto"/>
    </w:pPr>
  </w:style>
  <w:style w:type="character" w:customStyle="1" w:styleId="FooterChar">
    <w:name w:val="Footer Char"/>
    <w:basedOn w:val="DefaultParagraphFont"/>
    <w:link w:val="Footer"/>
    <w:uiPriority w:val="99"/>
    <w:rsid w:val="00165A84"/>
  </w:style>
  <w:style w:type="paragraph" w:styleId="TOCHeading">
    <w:name w:val="TOC Heading"/>
    <w:basedOn w:val="Heading1"/>
    <w:next w:val="Normal"/>
    <w:uiPriority w:val="39"/>
    <w:unhideWhenUsed/>
    <w:qFormat/>
    <w:rsid w:val="00165A8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65A84"/>
    <w:pPr>
      <w:spacing w:after="100"/>
    </w:pPr>
  </w:style>
  <w:style w:type="paragraph" w:styleId="TOC2">
    <w:name w:val="toc 2"/>
    <w:basedOn w:val="Normal"/>
    <w:next w:val="Normal"/>
    <w:autoRedefine/>
    <w:uiPriority w:val="39"/>
    <w:unhideWhenUsed/>
    <w:rsid w:val="00165A84"/>
    <w:pPr>
      <w:spacing w:after="100"/>
      <w:ind w:left="240"/>
    </w:pPr>
  </w:style>
  <w:style w:type="character" w:styleId="Hyperlink">
    <w:name w:val="Hyperlink"/>
    <w:basedOn w:val="DefaultParagraphFont"/>
    <w:uiPriority w:val="99"/>
    <w:unhideWhenUsed/>
    <w:rsid w:val="00165A84"/>
    <w:rPr>
      <w:color w:val="0000FF" w:themeColor="hyperlink"/>
      <w:u w:val="single"/>
    </w:rPr>
  </w:style>
  <w:style w:type="table" w:customStyle="1" w:styleId="a">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7">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8">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9">
    <w:basedOn w:val="TableNormal"/>
    <w:rsid w:val="00D139BE"/>
    <w:tblPr>
      <w:tblStyleRowBandSize w:val="1"/>
      <w:tblStyleColBandSize w:val="1"/>
      <w:tblInd w:w="0" w:type="dxa"/>
      <w:tblCellMar>
        <w:top w:w="100" w:type="dxa"/>
        <w:left w:w="100" w:type="dxa"/>
        <w:bottom w:w="100" w:type="dxa"/>
        <w:right w:w="100" w:type="dxa"/>
      </w:tblCellMar>
    </w:tblPr>
  </w:style>
  <w:style w:type="table" w:customStyle="1" w:styleId="aa">
    <w:basedOn w:val="TableNormal"/>
    <w:rsid w:val="00D139BE"/>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B0E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E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67243/worldwide-sales-volume-of-rolls-royce-automobil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hyperlink" Target="https://www.team-bhp.com/forum/super-cars-imports-india/194215-ultimate-luxury-car-battle-rolls-royce-vs-bentley-vs-maybach.html"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Qj+Yo3QGM1cV6VW8iBMen7sKrQ==">CgMxLjAaHwoBMBIaChgICVIUChJ0YWJsZS5yc3NrN2RjY3VyNHgyCGguZ2pkZ3hzMgloLjMwajB6bGwyCWguMWZvYjl0ZTIJaC4zem55c2g3MgloLjJldDkycDAyDmguNHo0ZHoxcmh3ejB4MgloLjNkeTZ2a20yCWguMXQzaDVzZjIJaC40ZDM0b2c4MgloLjJzOGV5bzEyCWguMTdkcDh2dTIJaC4zcmRjcmpuMgloLjI2aW4xcmcyCGgubG54Yno5MgloLjM1bmt1bjIyCWguMWtzdjR1djIJaC4yanhzeHFoMg5oLjg2a3RuZGFqMzJ1bDIOaC5jN3NldDhlbmpyODIyDmguamc2NHBod2c0cWE3OAByITFvMkdCRzByaXRFQWZTakZYbTFvX3pHTGpjUk9iSUVq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33</Pages>
  <Words>5545</Words>
  <Characters>31611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Soham</cp:lastModifiedBy>
  <cp:revision>2</cp:revision>
  <dcterms:created xsi:type="dcterms:W3CDTF">2024-07-30T12:44:00Z</dcterms:created>
  <dcterms:modified xsi:type="dcterms:W3CDTF">2024-08-19T22:02:00Z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570d726076fa6836af32eba15dbbf026123541ad59731079733ce28dfe10f89e</vt:lpwstr>
  </property>
</Properties>
</file>