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p w14:paraId="11D8DD91" w14:textId="77777777" w:rsidR="007D7C13" w:rsidRPr="00A930CB" w:rsidRDefault="007D7C13" w:rsidP="00A930CB">
          <w:pPr>
            <w:spacing w:after="165"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A6AA9B5" w:rsidR="00A930CB" w:rsidRPr="00A930CB" w:rsidRDefault="00815C5B" w:rsidP="00A930CB">
                <w:pPr>
                  <w:spacing w:before="120" w:after="120" w:line="360" w:lineRule="auto"/>
                  <w:rPr>
                    <w:rFonts w:ascii="Tahoma" w:hAnsi="Tahoma" w:cs="Tahoma"/>
                    <w:sz w:val="32"/>
                    <w:szCs w:val="32"/>
                  </w:rPr>
                </w:pPr>
                <w:r>
                  <w:rPr>
                    <w:rFonts w:ascii="Tahoma" w:hAnsi="Tahoma" w:cs="Tahoma"/>
                    <w:sz w:val="32"/>
                    <w:szCs w:val="32"/>
                  </w:rPr>
                  <w:t>Renee</w:t>
                </w:r>
                <w:r w:rsidR="00ED0042">
                  <w:rPr>
                    <w:rFonts w:ascii="Tahoma" w:hAnsi="Tahoma" w:cs="Tahoma"/>
                    <w:sz w:val="32"/>
                    <w:szCs w:val="32"/>
                  </w:rPr>
                  <w:t xml:space="preserve"> Kennedy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CB6C941" w:rsidR="00A930CB" w:rsidRPr="00A930CB" w:rsidRDefault="00ED0042" w:rsidP="00A930CB">
                <w:pPr>
                  <w:spacing w:before="120" w:after="120" w:line="360" w:lineRule="auto"/>
                  <w:rPr>
                    <w:rFonts w:ascii="Tahoma" w:hAnsi="Tahoma" w:cs="Tahoma"/>
                    <w:sz w:val="32"/>
                    <w:szCs w:val="32"/>
                  </w:rPr>
                </w:pPr>
                <w:r>
                  <w:rPr>
                    <w:rFonts w:ascii="Tahoma" w:hAnsi="Tahoma" w:cs="Tahoma"/>
                    <w:sz w:val="32"/>
                    <w:szCs w:val="32"/>
                  </w:rPr>
                  <w:t>20109</w:t>
                </w:r>
                <w:r w:rsidR="00815C5B">
                  <w:rPr>
                    <w:rFonts w:ascii="Tahoma" w:hAnsi="Tahoma" w:cs="Tahoma"/>
                    <w:sz w:val="32"/>
                    <w:szCs w:val="32"/>
                  </w:rPr>
                  <w:t>89</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3E875889" w:rsidR="00A930CB" w:rsidRPr="00A930CB" w:rsidRDefault="004E7F4C" w:rsidP="00A930CB">
                <w:pPr>
                  <w:spacing w:before="120" w:after="120" w:line="360" w:lineRule="auto"/>
                  <w:rPr>
                    <w:rFonts w:ascii="Tahoma" w:hAnsi="Tahoma" w:cs="Tahoma"/>
                    <w:color w:val="FF0000"/>
                    <w:sz w:val="32"/>
                    <w:szCs w:val="32"/>
                  </w:rPr>
                </w:pPr>
                <w:r w:rsidRPr="008A42CC">
                  <w:rPr>
                    <w:rFonts w:ascii="Tahoma" w:hAnsi="Tahoma" w:cs="Tahoma"/>
                    <w:sz w:val="32"/>
                    <w:szCs w:val="32"/>
                  </w:rPr>
                  <w:t>BMSK6011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6322A42" w:rsidR="000011BB" w:rsidRPr="00A930CB" w:rsidRDefault="004E7F4C" w:rsidP="00A930CB">
                <w:pPr>
                  <w:spacing w:before="120" w:after="120" w:line="360" w:lineRule="auto"/>
                  <w:rPr>
                    <w:rFonts w:ascii="Tahoma" w:hAnsi="Tahoma" w:cs="Tahoma"/>
                    <w:color w:val="FF0000"/>
                    <w:sz w:val="32"/>
                    <w:szCs w:val="32"/>
                  </w:rPr>
                </w:pPr>
                <w:r w:rsidRPr="008A42CC">
                  <w:rPr>
                    <w:rFonts w:ascii="Tahoma" w:hAnsi="Tahoma" w:cs="Tahoma"/>
                    <w:sz w:val="32"/>
                    <w:szCs w:val="32"/>
                  </w:rPr>
                  <w:t>Leading and Implementing Workplace Chan</w:t>
                </w:r>
                <w:r w:rsidR="00E5343E">
                  <w:rPr>
                    <w:rFonts w:ascii="Tahoma" w:hAnsi="Tahoma" w:cs="Tahoma"/>
                    <w:sz w:val="32"/>
                    <w:szCs w:val="32"/>
                  </w:rPr>
                  <w:t>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24B4A491" w14:textId="100AE04D" w:rsidR="00A10890" w:rsidRDefault="00885114">
              <w:pPr>
                <w:pStyle w:val="TOC2"/>
                <w:tabs>
                  <w:tab w:val="right" w:leader="dot" w:pos="9350"/>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42640008" w:history="1">
                <w:r w:rsidR="00A10890" w:rsidRPr="00995D85">
                  <w:rPr>
                    <w:rStyle w:val="Hyperlink"/>
                    <w:rFonts w:ascii="Arial" w:hAnsi="Arial" w:cs="Arial"/>
                    <w:noProof/>
                  </w:rPr>
                  <w:t>Introduction</w:t>
                </w:r>
                <w:r w:rsidR="00A10890">
                  <w:rPr>
                    <w:noProof/>
                    <w:webHidden/>
                  </w:rPr>
                  <w:tab/>
                </w:r>
                <w:r w:rsidR="00A10890">
                  <w:rPr>
                    <w:noProof/>
                    <w:webHidden/>
                  </w:rPr>
                  <w:fldChar w:fldCharType="begin"/>
                </w:r>
                <w:r w:rsidR="00A10890">
                  <w:rPr>
                    <w:noProof/>
                    <w:webHidden/>
                  </w:rPr>
                  <w:instrText xml:space="preserve"> PAGEREF _Toc242640008 \h </w:instrText>
                </w:r>
                <w:r w:rsidR="00A10890">
                  <w:rPr>
                    <w:noProof/>
                    <w:webHidden/>
                  </w:rPr>
                </w:r>
                <w:r w:rsidR="00A10890">
                  <w:rPr>
                    <w:noProof/>
                    <w:webHidden/>
                  </w:rPr>
                  <w:fldChar w:fldCharType="separate"/>
                </w:r>
                <w:r w:rsidR="00A10890">
                  <w:rPr>
                    <w:noProof/>
                    <w:webHidden/>
                  </w:rPr>
                  <w:t>2</w:t>
                </w:r>
                <w:r w:rsidR="00A10890">
                  <w:rPr>
                    <w:noProof/>
                    <w:webHidden/>
                  </w:rPr>
                  <w:fldChar w:fldCharType="end"/>
                </w:r>
              </w:hyperlink>
            </w:p>
            <w:p w14:paraId="411A1B7A" w14:textId="3D0D7E2D"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09" w:history="1">
                <w:r w:rsidRPr="00995D85">
                  <w:rPr>
                    <w:rStyle w:val="Hyperlink"/>
                    <w:noProof/>
                  </w:rPr>
                  <w:t xml:space="preserve">Section 1. </w:t>
                </w:r>
                <w:r w:rsidRPr="00995D85">
                  <w:rPr>
                    <w:rStyle w:val="Hyperlink"/>
                    <w:rFonts w:ascii="Arial" w:hAnsi="Arial" w:cs="Arial"/>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_Toc242640009 \h </w:instrText>
                </w:r>
                <w:r>
                  <w:rPr>
                    <w:noProof/>
                    <w:webHidden/>
                  </w:rPr>
                </w:r>
                <w:r>
                  <w:rPr>
                    <w:noProof/>
                    <w:webHidden/>
                  </w:rPr>
                  <w:fldChar w:fldCharType="separate"/>
                </w:r>
                <w:r>
                  <w:rPr>
                    <w:noProof/>
                    <w:webHidden/>
                  </w:rPr>
                  <w:t>2</w:t>
                </w:r>
                <w:r>
                  <w:rPr>
                    <w:noProof/>
                    <w:webHidden/>
                  </w:rPr>
                  <w:fldChar w:fldCharType="end"/>
                </w:r>
              </w:hyperlink>
            </w:p>
            <w:p w14:paraId="219CF821" w14:textId="4AD95A81"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10" w:history="1">
                <w:r w:rsidRPr="00995D85">
                  <w:rPr>
                    <w:rStyle w:val="Hyperlink"/>
                    <w:noProof/>
                  </w:rPr>
                  <w:t xml:space="preserve">Section 2. </w:t>
                </w:r>
                <w:r w:rsidRPr="00995D85">
                  <w:rPr>
                    <w:rStyle w:val="Hyperlink"/>
                    <w:rFonts w:ascii="Arial" w:hAnsi="Arial" w:cs="Arial"/>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_Toc242640010 \h </w:instrText>
                </w:r>
                <w:r>
                  <w:rPr>
                    <w:noProof/>
                    <w:webHidden/>
                  </w:rPr>
                </w:r>
                <w:r>
                  <w:rPr>
                    <w:noProof/>
                    <w:webHidden/>
                  </w:rPr>
                  <w:fldChar w:fldCharType="separate"/>
                </w:r>
                <w:r>
                  <w:rPr>
                    <w:noProof/>
                    <w:webHidden/>
                  </w:rPr>
                  <w:t>14</w:t>
                </w:r>
                <w:r>
                  <w:rPr>
                    <w:noProof/>
                    <w:webHidden/>
                  </w:rPr>
                  <w:fldChar w:fldCharType="end"/>
                </w:r>
              </w:hyperlink>
            </w:p>
            <w:p w14:paraId="1DE7D78B" w14:textId="66192AEE"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11" w:history="1">
                <w:r w:rsidRPr="00995D85">
                  <w:rPr>
                    <w:rStyle w:val="Hyperlink"/>
                    <w:noProof/>
                  </w:rPr>
                  <w:t>Conclusion</w:t>
                </w:r>
                <w:r>
                  <w:rPr>
                    <w:noProof/>
                    <w:webHidden/>
                  </w:rPr>
                  <w:tab/>
                </w:r>
                <w:r>
                  <w:rPr>
                    <w:noProof/>
                    <w:webHidden/>
                  </w:rPr>
                  <w:fldChar w:fldCharType="begin"/>
                </w:r>
                <w:r>
                  <w:rPr>
                    <w:noProof/>
                    <w:webHidden/>
                  </w:rPr>
                  <w:instrText xml:space="preserve"> PAGEREF _Toc242640011 \h </w:instrText>
                </w:r>
                <w:r>
                  <w:rPr>
                    <w:noProof/>
                    <w:webHidden/>
                  </w:rPr>
                </w:r>
                <w:r>
                  <w:rPr>
                    <w:noProof/>
                    <w:webHidden/>
                  </w:rPr>
                  <w:fldChar w:fldCharType="separate"/>
                </w:r>
                <w:r>
                  <w:rPr>
                    <w:noProof/>
                    <w:webHidden/>
                  </w:rPr>
                  <w:t>22</w:t>
                </w:r>
                <w:r>
                  <w:rPr>
                    <w:noProof/>
                    <w:webHidden/>
                  </w:rPr>
                  <w:fldChar w:fldCharType="end"/>
                </w:r>
              </w:hyperlink>
            </w:p>
            <w:p w14:paraId="6244A2E5" w14:textId="1B63EAF7"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12" w:history="1">
                <w:r w:rsidRPr="00995D8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_Toc242640012 \h </w:instrText>
                </w:r>
                <w:r>
                  <w:rPr>
                    <w:noProof/>
                    <w:webHidden/>
                  </w:rPr>
                </w:r>
                <w:r>
                  <w:rPr>
                    <w:noProof/>
                    <w:webHidden/>
                  </w:rPr>
                  <w:fldChar w:fldCharType="separate"/>
                </w:r>
                <w:r>
                  <w:rPr>
                    <w:noProof/>
                    <w:webHidden/>
                  </w:rPr>
                  <w:t>23</w:t>
                </w:r>
                <w:r>
                  <w:rPr>
                    <w:noProof/>
                    <w:webHidden/>
                  </w:rPr>
                  <w:fldChar w:fldCharType="end"/>
                </w:r>
              </w:hyperlink>
            </w:p>
            <w:p w14:paraId="7E2A1C41" w14:textId="5FEA0002"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13" w:history="1">
                <w:r w:rsidRPr="00995D85">
                  <w:rPr>
                    <w:rStyle w:val="Hyperlink"/>
                    <w:noProof/>
                  </w:rPr>
                  <w:t>Appendix A. Pestle Analysis</w:t>
                </w:r>
                <w:r>
                  <w:rPr>
                    <w:noProof/>
                    <w:webHidden/>
                  </w:rPr>
                  <w:tab/>
                </w:r>
                <w:r>
                  <w:rPr>
                    <w:noProof/>
                    <w:webHidden/>
                  </w:rPr>
                  <w:fldChar w:fldCharType="begin"/>
                </w:r>
                <w:r>
                  <w:rPr>
                    <w:noProof/>
                    <w:webHidden/>
                  </w:rPr>
                  <w:instrText xml:space="preserve"> PAGEREF _Toc242640013 \h </w:instrText>
                </w:r>
                <w:r>
                  <w:rPr>
                    <w:noProof/>
                    <w:webHidden/>
                  </w:rPr>
                </w:r>
                <w:r>
                  <w:rPr>
                    <w:noProof/>
                    <w:webHidden/>
                  </w:rPr>
                  <w:fldChar w:fldCharType="separate"/>
                </w:r>
                <w:r>
                  <w:rPr>
                    <w:noProof/>
                    <w:webHidden/>
                  </w:rPr>
                  <w:t>26</w:t>
                </w:r>
                <w:r>
                  <w:rPr>
                    <w:noProof/>
                    <w:webHidden/>
                  </w:rPr>
                  <w:fldChar w:fldCharType="end"/>
                </w:r>
              </w:hyperlink>
            </w:p>
            <w:p w14:paraId="308AED7D" w14:textId="40578243"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14" w:history="1">
                <w:r w:rsidRPr="00995D85">
                  <w:rPr>
                    <w:rStyle w:val="Hyperlink"/>
                    <w:noProof/>
                  </w:rPr>
                  <w:t>Appendix B. SWOT Analysis</w:t>
                </w:r>
                <w:r>
                  <w:rPr>
                    <w:noProof/>
                    <w:webHidden/>
                  </w:rPr>
                  <w:tab/>
                </w:r>
                <w:r>
                  <w:rPr>
                    <w:noProof/>
                    <w:webHidden/>
                  </w:rPr>
                  <w:fldChar w:fldCharType="begin"/>
                </w:r>
                <w:r>
                  <w:rPr>
                    <w:noProof/>
                    <w:webHidden/>
                  </w:rPr>
                  <w:instrText xml:space="preserve"> PAGEREF _Toc242640014 \h </w:instrText>
                </w:r>
                <w:r>
                  <w:rPr>
                    <w:noProof/>
                    <w:webHidden/>
                  </w:rPr>
                </w:r>
                <w:r>
                  <w:rPr>
                    <w:noProof/>
                    <w:webHidden/>
                  </w:rPr>
                  <w:fldChar w:fldCharType="separate"/>
                </w:r>
                <w:r>
                  <w:rPr>
                    <w:noProof/>
                    <w:webHidden/>
                  </w:rPr>
                  <w:t>27</w:t>
                </w:r>
                <w:r>
                  <w:rPr>
                    <w:noProof/>
                    <w:webHidden/>
                  </w:rPr>
                  <w:fldChar w:fldCharType="end"/>
                </w:r>
              </w:hyperlink>
            </w:p>
            <w:p w14:paraId="5CC5A242" w14:textId="5BA414A1" w:rsidR="00A10890" w:rsidRDefault="00A10890">
              <w:pPr>
                <w:pStyle w:val="TOC1"/>
                <w:tabs>
                  <w:tab w:val="right" w:leader="dot" w:pos="9350"/>
                </w:tabs>
                <w:rPr>
                  <w:rFonts w:eastAsiaTheme="minorEastAsia"/>
                  <w:noProof/>
                  <w:kern w:val="2"/>
                  <w:sz w:val="24"/>
                  <w:szCs w:val="24"/>
                  <w:lang w:eastAsia="en-GB"/>
                  <w14:ligatures w14:val="standardContextual"/>
                </w:rPr>
              </w:pPr>
              <w:hyperlink w:anchor="_Toc242640015" w:history="1">
                <w:r w:rsidRPr="00995D85">
                  <w:rPr>
                    <w:rStyle w:val="Hyperlink"/>
                    <w:rFonts w:ascii="Calibri" w:eastAsia="MS Gothic" w:hAnsi="Calibri" w:cs="Times New Roman"/>
                    <w:b/>
                    <w:bCs/>
                    <w:noProof/>
                    <w:lang w:val="en-US"/>
                  </w:rPr>
                  <w:t>Strengths</w:t>
                </w:r>
                <w:r>
                  <w:rPr>
                    <w:noProof/>
                    <w:webHidden/>
                  </w:rPr>
                  <w:tab/>
                </w:r>
                <w:r>
                  <w:rPr>
                    <w:noProof/>
                    <w:webHidden/>
                  </w:rPr>
                  <w:fldChar w:fldCharType="begin"/>
                </w:r>
                <w:r>
                  <w:rPr>
                    <w:noProof/>
                    <w:webHidden/>
                  </w:rPr>
                  <w:instrText xml:space="preserve"> PAGEREF _Toc242640015 \h </w:instrText>
                </w:r>
                <w:r>
                  <w:rPr>
                    <w:noProof/>
                    <w:webHidden/>
                  </w:rPr>
                </w:r>
                <w:r>
                  <w:rPr>
                    <w:noProof/>
                    <w:webHidden/>
                  </w:rPr>
                  <w:fldChar w:fldCharType="separate"/>
                </w:r>
                <w:r>
                  <w:rPr>
                    <w:noProof/>
                    <w:webHidden/>
                  </w:rPr>
                  <w:t>27</w:t>
                </w:r>
                <w:r>
                  <w:rPr>
                    <w:noProof/>
                    <w:webHidden/>
                  </w:rPr>
                  <w:fldChar w:fldCharType="end"/>
                </w:r>
              </w:hyperlink>
            </w:p>
            <w:p w14:paraId="24EEB39E" w14:textId="746272D4" w:rsidR="00A10890" w:rsidRDefault="00A10890">
              <w:pPr>
                <w:pStyle w:val="TOC1"/>
                <w:tabs>
                  <w:tab w:val="right" w:leader="dot" w:pos="9350"/>
                </w:tabs>
                <w:rPr>
                  <w:rFonts w:eastAsiaTheme="minorEastAsia"/>
                  <w:noProof/>
                  <w:kern w:val="2"/>
                  <w:sz w:val="24"/>
                  <w:szCs w:val="24"/>
                  <w:lang w:eastAsia="en-GB"/>
                  <w14:ligatures w14:val="standardContextual"/>
                </w:rPr>
              </w:pPr>
              <w:hyperlink w:anchor="_Toc242640016" w:history="1">
                <w:r w:rsidRPr="00995D85">
                  <w:rPr>
                    <w:rStyle w:val="Hyperlink"/>
                    <w:rFonts w:ascii="Calibri" w:eastAsia="MS Gothic" w:hAnsi="Calibri" w:cs="Times New Roman"/>
                    <w:b/>
                    <w:bCs/>
                    <w:noProof/>
                    <w:lang w:val="en-US"/>
                  </w:rPr>
                  <w:t>Weaknesses</w:t>
                </w:r>
                <w:r>
                  <w:rPr>
                    <w:noProof/>
                    <w:webHidden/>
                  </w:rPr>
                  <w:tab/>
                </w:r>
                <w:r>
                  <w:rPr>
                    <w:noProof/>
                    <w:webHidden/>
                  </w:rPr>
                  <w:fldChar w:fldCharType="begin"/>
                </w:r>
                <w:r>
                  <w:rPr>
                    <w:noProof/>
                    <w:webHidden/>
                  </w:rPr>
                  <w:instrText xml:space="preserve"> PAGEREF _Toc242640016 \h </w:instrText>
                </w:r>
                <w:r>
                  <w:rPr>
                    <w:noProof/>
                    <w:webHidden/>
                  </w:rPr>
                </w:r>
                <w:r>
                  <w:rPr>
                    <w:noProof/>
                    <w:webHidden/>
                  </w:rPr>
                  <w:fldChar w:fldCharType="separate"/>
                </w:r>
                <w:r>
                  <w:rPr>
                    <w:noProof/>
                    <w:webHidden/>
                  </w:rPr>
                  <w:t>29</w:t>
                </w:r>
                <w:r>
                  <w:rPr>
                    <w:noProof/>
                    <w:webHidden/>
                  </w:rPr>
                  <w:fldChar w:fldCharType="end"/>
                </w:r>
              </w:hyperlink>
            </w:p>
            <w:p w14:paraId="746D6E9D" w14:textId="683616A1" w:rsidR="00A10890" w:rsidRDefault="00A10890">
              <w:pPr>
                <w:pStyle w:val="TOC1"/>
                <w:tabs>
                  <w:tab w:val="right" w:leader="dot" w:pos="9350"/>
                </w:tabs>
                <w:rPr>
                  <w:rFonts w:eastAsiaTheme="minorEastAsia"/>
                  <w:noProof/>
                  <w:kern w:val="2"/>
                  <w:sz w:val="24"/>
                  <w:szCs w:val="24"/>
                  <w:lang w:eastAsia="en-GB"/>
                  <w14:ligatures w14:val="standardContextual"/>
                </w:rPr>
              </w:pPr>
              <w:hyperlink w:anchor="_Toc242640017" w:history="1">
                <w:r w:rsidRPr="00995D85">
                  <w:rPr>
                    <w:rStyle w:val="Hyperlink"/>
                    <w:rFonts w:ascii="Calibri" w:eastAsia="MS Gothic" w:hAnsi="Calibri" w:cs="Times New Roman"/>
                    <w:b/>
                    <w:bCs/>
                    <w:noProof/>
                    <w:lang w:val="en-US"/>
                  </w:rPr>
                  <w:t>Opportunities</w:t>
                </w:r>
                <w:r>
                  <w:rPr>
                    <w:noProof/>
                    <w:webHidden/>
                  </w:rPr>
                  <w:tab/>
                </w:r>
                <w:r>
                  <w:rPr>
                    <w:noProof/>
                    <w:webHidden/>
                  </w:rPr>
                  <w:fldChar w:fldCharType="begin"/>
                </w:r>
                <w:r>
                  <w:rPr>
                    <w:noProof/>
                    <w:webHidden/>
                  </w:rPr>
                  <w:instrText xml:space="preserve"> PAGEREF _Toc242640017 \h </w:instrText>
                </w:r>
                <w:r>
                  <w:rPr>
                    <w:noProof/>
                    <w:webHidden/>
                  </w:rPr>
                </w:r>
                <w:r>
                  <w:rPr>
                    <w:noProof/>
                    <w:webHidden/>
                  </w:rPr>
                  <w:fldChar w:fldCharType="separate"/>
                </w:r>
                <w:r>
                  <w:rPr>
                    <w:noProof/>
                    <w:webHidden/>
                  </w:rPr>
                  <w:t>32</w:t>
                </w:r>
                <w:r>
                  <w:rPr>
                    <w:noProof/>
                    <w:webHidden/>
                  </w:rPr>
                  <w:fldChar w:fldCharType="end"/>
                </w:r>
              </w:hyperlink>
            </w:p>
            <w:p w14:paraId="25398269" w14:textId="6E7B27ED" w:rsidR="00A10890" w:rsidRDefault="00A10890">
              <w:pPr>
                <w:pStyle w:val="TOC1"/>
                <w:tabs>
                  <w:tab w:val="right" w:leader="dot" w:pos="9350"/>
                </w:tabs>
                <w:rPr>
                  <w:rFonts w:eastAsiaTheme="minorEastAsia"/>
                  <w:noProof/>
                  <w:kern w:val="2"/>
                  <w:sz w:val="24"/>
                  <w:szCs w:val="24"/>
                  <w:lang w:eastAsia="en-GB"/>
                  <w14:ligatures w14:val="standardContextual"/>
                </w:rPr>
              </w:pPr>
              <w:hyperlink w:anchor="_Toc242640018" w:history="1">
                <w:r w:rsidRPr="00995D85">
                  <w:rPr>
                    <w:rStyle w:val="Hyperlink"/>
                    <w:rFonts w:ascii="Calibri" w:eastAsia="MS Gothic" w:hAnsi="Calibri" w:cs="Times New Roman"/>
                    <w:b/>
                    <w:bCs/>
                    <w:noProof/>
                    <w:lang w:val="en-US"/>
                  </w:rPr>
                  <w:t>Threats</w:t>
                </w:r>
                <w:r>
                  <w:rPr>
                    <w:noProof/>
                    <w:webHidden/>
                  </w:rPr>
                  <w:tab/>
                </w:r>
                <w:r>
                  <w:rPr>
                    <w:noProof/>
                    <w:webHidden/>
                  </w:rPr>
                  <w:fldChar w:fldCharType="begin"/>
                </w:r>
                <w:r>
                  <w:rPr>
                    <w:noProof/>
                    <w:webHidden/>
                  </w:rPr>
                  <w:instrText xml:space="preserve"> PAGEREF _Toc242640018 \h </w:instrText>
                </w:r>
                <w:r>
                  <w:rPr>
                    <w:noProof/>
                    <w:webHidden/>
                  </w:rPr>
                </w:r>
                <w:r>
                  <w:rPr>
                    <w:noProof/>
                    <w:webHidden/>
                  </w:rPr>
                  <w:fldChar w:fldCharType="separate"/>
                </w:r>
                <w:r>
                  <w:rPr>
                    <w:noProof/>
                    <w:webHidden/>
                  </w:rPr>
                  <w:t>34</w:t>
                </w:r>
                <w:r>
                  <w:rPr>
                    <w:noProof/>
                    <w:webHidden/>
                  </w:rPr>
                  <w:fldChar w:fldCharType="end"/>
                </w:r>
              </w:hyperlink>
            </w:p>
            <w:p w14:paraId="2A4CB5E9" w14:textId="21DADCEC"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19" w:history="1">
                <w:r w:rsidRPr="00995D85">
                  <w:rPr>
                    <w:rStyle w:val="Hyperlink"/>
                    <w:noProof/>
                  </w:rPr>
                  <w:t>Appendix C. Kotter’s 8 Step Change Model</w:t>
                </w:r>
                <w:r>
                  <w:rPr>
                    <w:noProof/>
                    <w:webHidden/>
                  </w:rPr>
                  <w:tab/>
                </w:r>
                <w:r>
                  <w:rPr>
                    <w:noProof/>
                    <w:webHidden/>
                  </w:rPr>
                  <w:fldChar w:fldCharType="begin"/>
                </w:r>
                <w:r>
                  <w:rPr>
                    <w:noProof/>
                    <w:webHidden/>
                  </w:rPr>
                  <w:instrText xml:space="preserve"> PAGEREF _Toc242640019 \h </w:instrText>
                </w:r>
                <w:r>
                  <w:rPr>
                    <w:noProof/>
                    <w:webHidden/>
                  </w:rPr>
                </w:r>
                <w:r>
                  <w:rPr>
                    <w:noProof/>
                    <w:webHidden/>
                  </w:rPr>
                  <w:fldChar w:fldCharType="separate"/>
                </w:r>
                <w:r>
                  <w:rPr>
                    <w:noProof/>
                    <w:webHidden/>
                  </w:rPr>
                  <w:t>37</w:t>
                </w:r>
                <w:r>
                  <w:rPr>
                    <w:noProof/>
                    <w:webHidden/>
                  </w:rPr>
                  <w:fldChar w:fldCharType="end"/>
                </w:r>
              </w:hyperlink>
            </w:p>
            <w:p w14:paraId="5BEB7539" w14:textId="753CF459"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20" w:history="1">
                <w:r w:rsidRPr="00995D85">
                  <w:rPr>
                    <w:rStyle w:val="Hyperlink"/>
                    <w:noProof/>
                  </w:rPr>
                  <w:t>Appendix D. Lewin’s Change Model</w:t>
                </w:r>
                <w:r>
                  <w:rPr>
                    <w:noProof/>
                    <w:webHidden/>
                  </w:rPr>
                  <w:tab/>
                </w:r>
                <w:r>
                  <w:rPr>
                    <w:noProof/>
                    <w:webHidden/>
                  </w:rPr>
                  <w:fldChar w:fldCharType="begin"/>
                </w:r>
                <w:r>
                  <w:rPr>
                    <w:noProof/>
                    <w:webHidden/>
                  </w:rPr>
                  <w:instrText xml:space="preserve"> PAGEREF _Toc242640020 \h </w:instrText>
                </w:r>
                <w:r>
                  <w:rPr>
                    <w:noProof/>
                    <w:webHidden/>
                  </w:rPr>
                </w:r>
                <w:r>
                  <w:rPr>
                    <w:noProof/>
                    <w:webHidden/>
                  </w:rPr>
                  <w:fldChar w:fldCharType="separate"/>
                </w:r>
                <w:r>
                  <w:rPr>
                    <w:noProof/>
                    <w:webHidden/>
                  </w:rPr>
                  <w:t>38</w:t>
                </w:r>
                <w:r>
                  <w:rPr>
                    <w:noProof/>
                    <w:webHidden/>
                  </w:rPr>
                  <w:fldChar w:fldCharType="end"/>
                </w:r>
              </w:hyperlink>
            </w:p>
            <w:p w14:paraId="72FCF3C8" w14:textId="61621676" w:rsidR="00A10890" w:rsidRDefault="00A10890">
              <w:pPr>
                <w:pStyle w:val="TOC2"/>
                <w:tabs>
                  <w:tab w:val="right" w:leader="dot" w:pos="9350"/>
                </w:tabs>
                <w:rPr>
                  <w:rFonts w:eastAsiaTheme="minorEastAsia"/>
                  <w:noProof/>
                  <w:kern w:val="2"/>
                  <w:sz w:val="24"/>
                  <w:szCs w:val="24"/>
                  <w:lang w:eastAsia="en-GB"/>
                  <w14:ligatures w14:val="standardContextual"/>
                </w:rPr>
              </w:pPr>
              <w:hyperlink w:anchor="_Toc242640021" w:history="1">
                <w:r w:rsidRPr="00995D85">
                  <w:rPr>
                    <w:rStyle w:val="Hyperlink"/>
                    <w:rFonts w:ascii="Arial" w:hAnsi="Arial" w:cs="Arial"/>
                    <w:noProof/>
                  </w:rPr>
                  <w:t>Appendix E - Stakeholders Analysis</w:t>
                </w:r>
                <w:r>
                  <w:rPr>
                    <w:noProof/>
                    <w:webHidden/>
                  </w:rPr>
                  <w:tab/>
                </w:r>
                <w:r>
                  <w:rPr>
                    <w:noProof/>
                    <w:webHidden/>
                  </w:rPr>
                  <w:fldChar w:fldCharType="begin"/>
                </w:r>
                <w:r>
                  <w:rPr>
                    <w:noProof/>
                    <w:webHidden/>
                  </w:rPr>
                  <w:instrText xml:space="preserve"> PAGEREF _Toc242640021 \h </w:instrText>
                </w:r>
                <w:r>
                  <w:rPr>
                    <w:noProof/>
                    <w:webHidden/>
                  </w:rPr>
                </w:r>
                <w:r>
                  <w:rPr>
                    <w:noProof/>
                    <w:webHidden/>
                  </w:rPr>
                  <w:fldChar w:fldCharType="separate"/>
                </w:r>
                <w:r>
                  <w:rPr>
                    <w:noProof/>
                    <w:webHidden/>
                  </w:rPr>
                  <w:t>39</w:t>
                </w:r>
                <w:r>
                  <w:rPr>
                    <w:noProof/>
                    <w:webHidden/>
                  </w:rPr>
                  <w:fldChar w:fldCharType="end"/>
                </w:r>
              </w:hyperlink>
            </w:p>
            <w:p w14:paraId="42394321" w14:textId="6D2124F5" w:rsidR="00885114" w:rsidRDefault="00885114">
              <w:r>
                <w:rPr>
                  <w:b/>
                  <w:bCs/>
                  <w:noProof/>
                </w:rPr>
                <w:fldChar w:fldCharType="end"/>
              </w:r>
            </w:p>
          </w:sdtContent>
        </w:sdt>
        <w:p w14:paraId="7991B651" w14:textId="77777777" w:rsidR="00773524" w:rsidRDefault="00773524" w:rsidP="00773524">
          <w:pPr>
            <w:spacing w:before="120" w:after="120" w:line="360" w:lineRule="auto"/>
            <w:rPr>
              <w:rFonts w:ascii="Tahoma" w:hAnsi="Tahoma" w:cs="Tahoma"/>
              <w:color w:val="000000"/>
              <w:sz w:val="24"/>
              <w:szCs w:val="24"/>
            </w:rPr>
          </w:pPr>
        </w:p>
        <w:p w14:paraId="00949FED" w14:textId="77777777" w:rsidR="00773524" w:rsidRDefault="00773524" w:rsidP="00773524">
          <w:pPr>
            <w:spacing w:before="120" w:after="120" w:line="360" w:lineRule="auto"/>
            <w:rPr>
              <w:rFonts w:ascii="Tahoma" w:hAnsi="Tahoma" w:cs="Tahoma"/>
              <w:color w:val="000000"/>
              <w:sz w:val="24"/>
              <w:szCs w:val="24"/>
            </w:rPr>
          </w:pPr>
        </w:p>
        <w:p w14:paraId="706967A7" w14:textId="77777777" w:rsidR="00773524" w:rsidRDefault="00773524" w:rsidP="00773524">
          <w:pPr>
            <w:spacing w:before="120" w:after="120" w:line="360" w:lineRule="auto"/>
            <w:rPr>
              <w:rFonts w:ascii="Tahoma" w:hAnsi="Tahoma" w:cs="Tahoma"/>
              <w:color w:val="000000"/>
              <w:sz w:val="24"/>
              <w:szCs w:val="24"/>
            </w:rPr>
          </w:pPr>
        </w:p>
        <w:p w14:paraId="09D787F4" w14:textId="77777777" w:rsidR="00773524" w:rsidRDefault="00773524" w:rsidP="00773524">
          <w:pPr>
            <w:spacing w:before="120" w:after="120" w:line="360" w:lineRule="auto"/>
            <w:rPr>
              <w:rFonts w:ascii="Tahoma" w:hAnsi="Tahoma" w:cs="Tahoma"/>
              <w:color w:val="000000"/>
              <w:sz w:val="24"/>
              <w:szCs w:val="24"/>
            </w:rPr>
          </w:pPr>
        </w:p>
        <w:p w14:paraId="5C0779AF" w14:textId="77777777" w:rsidR="00773524" w:rsidRDefault="00773524" w:rsidP="00773524">
          <w:pPr>
            <w:spacing w:before="120" w:after="120" w:line="360" w:lineRule="auto"/>
            <w:rPr>
              <w:rFonts w:ascii="Tahoma" w:hAnsi="Tahoma" w:cs="Tahoma"/>
              <w:color w:val="000000"/>
              <w:sz w:val="24"/>
              <w:szCs w:val="24"/>
            </w:rPr>
          </w:pPr>
        </w:p>
        <w:p w14:paraId="5461A483" w14:textId="77777777" w:rsidR="00773524" w:rsidRDefault="00773524" w:rsidP="00773524">
          <w:pPr>
            <w:spacing w:before="120" w:after="120" w:line="360" w:lineRule="auto"/>
            <w:rPr>
              <w:rFonts w:ascii="Tahoma" w:hAnsi="Tahoma" w:cs="Tahoma"/>
              <w:color w:val="000000"/>
              <w:sz w:val="24"/>
              <w:szCs w:val="24"/>
            </w:rPr>
          </w:pPr>
        </w:p>
        <w:p w14:paraId="08025B9C" w14:textId="25D41621" w:rsidR="00E27209" w:rsidRPr="00773524" w:rsidRDefault="00000000" w:rsidP="00773524">
          <w:pPr>
            <w:spacing w:before="120" w:after="120" w:line="360" w:lineRule="auto"/>
            <w:rPr>
              <w:rFonts w:ascii="Tahoma" w:hAnsi="Tahoma" w:cs="Tahoma"/>
              <w:color w:val="000000"/>
              <w:sz w:val="24"/>
              <w:szCs w:val="24"/>
            </w:rPr>
          </w:pPr>
        </w:p>
      </w:sdtContent>
    </w:sdt>
    <w:p w14:paraId="3ED55503" w14:textId="08939E71" w:rsidR="00D2291D" w:rsidRDefault="0006008A" w:rsidP="0030173B">
      <w:pPr>
        <w:pStyle w:val="Heading2"/>
        <w:rPr>
          <w:rFonts w:ascii="Arial" w:hAnsi="Arial" w:cs="Arial"/>
        </w:rPr>
      </w:pPr>
      <w:bookmarkStart w:id="0" w:name="_Toc456901515"/>
      <w:bookmarkStart w:id="1" w:name="_Toc242640008"/>
      <w:r w:rsidRPr="00756BD9">
        <w:rPr>
          <w:rFonts w:ascii="Arial" w:hAnsi="Arial" w:cs="Arial"/>
        </w:rPr>
        <w:t>Introductio</w:t>
      </w:r>
      <w:bookmarkEnd w:id="0"/>
      <w:r w:rsidR="00EE560A" w:rsidRPr="00756BD9">
        <w:rPr>
          <w:rFonts w:ascii="Arial" w:hAnsi="Arial" w:cs="Arial"/>
        </w:rPr>
        <w:t>n</w:t>
      </w:r>
      <w:bookmarkEnd w:id="1"/>
      <w:r w:rsidR="00EE560A" w:rsidRPr="00756BD9">
        <w:rPr>
          <w:rFonts w:ascii="Arial" w:hAnsi="Arial" w:cs="Arial"/>
        </w:rPr>
        <w:t xml:space="preserve"> </w:t>
      </w:r>
    </w:p>
    <w:p w14:paraId="0684442B" w14:textId="77777777" w:rsidR="00843EC1" w:rsidRDefault="00843EC1" w:rsidP="00843EC1"/>
    <w:p w14:paraId="0FDDC0C8" w14:textId="7704E38D" w:rsidR="00155CAE" w:rsidRPr="00155CAE" w:rsidRDefault="003138F4" w:rsidP="00155CAE">
      <w:pPr>
        <w:tabs>
          <w:tab w:val="left" w:pos="1440"/>
        </w:tabs>
        <w:spacing w:line="360" w:lineRule="auto"/>
        <w:rPr>
          <w:rFonts w:ascii="Arial" w:eastAsia="Times New Roman" w:hAnsi="Arial" w:cs="Arial"/>
          <w:color w:val="FF0000"/>
          <w:sz w:val="24"/>
          <w:szCs w:val="24"/>
          <w:lang w:eastAsia="en-GB"/>
        </w:rPr>
      </w:pPr>
      <w:r w:rsidRPr="003138F4">
        <w:rPr>
          <w:rFonts w:ascii="Arial" w:eastAsia="Times New Roman" w:hAnsi="Arial" w:cs="Arial"/>
          <w:sz w:val="24"/>
          <w:szCs w:val="24"/>
          <w:lang w:eastAsia="en-GB"/>
        </w:rPr>
        <w:t xml:space="preserve">This report critically examines the forces influencing organisational change at Starling Bank and evaluates how stakeholders can be led through its implementation. Starling is a UK digital bank providing personal and business banking services, including accounts that enable customers to spend, save and manage their money </w:t>
      </w:r>
      <w:r w:rsidR="00155CAE" w:rsidRPr="00155CAE">
        <w:rPr>
          <w:rFonts w:ascii="Arial" w:eastAsia="Times New Roman" w:hAnsi="Arial" w:cs="Arial"/>
          <w:sz w:val="24"/>
          <w:szCs w:val="24"/>
          <w:lang w:eastAsia="en-GB"/>
        </w:rPr>
        <w:t>(Starling Bank, 2019)</w:t>
      </w:r>
    </w:p>
    <w:p w14:paraId="47199162" w14:textId="339AE3A9" w:rsidR="003138F4" w:rsidRPr="003138F4" w:rsidRDefault="0081616B" w:rsidP="00707C0B">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authors </w:t>
      </w:r>
      <w:r w:rsidR="003138F4" w:rsidRPr="003138F4">
        <w:rPr>
          <w:rFonts w:ascii="Arial" w:eastAsia="Times New Roman" w:hAnsi="Arial" w:cs="Arial"/>
          <w:sz w:val="24"/>
          <w:szCs w:val="24"/>
          <w:lang w:eastAsia="en-GB"/>
        </w:rPr>
        <w:t>role as an Onboarding Specialist</w:t>
      </w:r>
      <w:r w:rsidR="00476E72">
        <w:rPr>
          <w:rFonts w:ascii="Arial" w:eastAsia="Times New Roman" w:hAnsi="Arial" w:cs="Arial"/>
          <w:sz w:val="24"/>
          <w:szCs w:val="24"/>
          <w:lang w:eastAsia="en-GB"/>
        </w:rPr>
        <w:t xml:space="preserve">, </w:t>
      </w:r>
      <w:r w:rsidR="003138F4" w:rsidRPr="003138F4">
        <w:rPr>
          <w:rFonts w:ascii="Arial" w:eastAsia="Times New Roman" w:hAnsi="Arial" w:cs="Arial"/>
          <w:sz w:val="24"/>
          <w:szCs w:val="24"/>
          <w:lang w:eastAsia="en-GB"/>
        </w:rPr>
        <w:t>examin</w:t>
      </w:r>
      <w:r w:rsidR="00476E72">
        <w:rPr>
          <w:rFonts w:ascii="Arial" w:eastAsia="Times New Roman" w:hAnsi="Arial" w:cs="Arial"/>
          <w:sz w:val="24"/>
          <w:szCs w:val="24"/>
          <w:lang w:eastAsia="en-GB"/>
        </w:rPr>
        <w:t>es</w:t>
      </w:r>
      <w:r w:rsidR="003138F4" w:rsidRPr="003138F4">
        <w:rPr>
          <w:rFonts w:ascii="Arial" w:eastAsia="Times New Roman" w:hAnsi="Arial" w:cs="Arial"/>
          <w:sz w:val="24"/>
          <w:szCs w:val="24"/>
          <w:lang w:eastAsia="en-GB"/>
        </w:rPr>
        <w:t xml:space="preserve"> changes to customer verification and employee responsibilities.</w:t>
      </w:r>
    </w:p>
    <w:p w14:paraId="3DA8FA2E" w14:textId="15E9BC20" w:rsidR="00867452" w:rsidRDefault="00155CAE" w:rsidP="00867452">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867452" w:rsidRPr="003138F4">
        <w:rPr>
          <w:rFonts w:ascii="Arial" w:eastAsia="Times New Roman" w:hAnsi="Arial" w:cs="Arial"/>
          <w:sz w:val="24"/>
          <w:szCs w:val="24"/>
          <w:lang w:eastAsia="en-GB"/>
        </w:rPr>
        <w:t>Conceptualise</w:t>
      </w:r>
      <w:r w:rsidR="003138F4" w:rsidRPr="003138F4">
        <w:rPr>
          <w:rFonts w:ascii="Arial" w:eastAsia="Times New Roman" w:hAnsi="Arial" w:cs="Arial"/>
          <w:sz w:val="24"/>
          <w:szCs w:val="24"/>
          <w:lang w:eastAsia="en-GB"/>
        </w:rPr>
        <w:t xml:space="preserve"> organisational change as an observable difference in an organisational entity’s form, quality or state over time. This definition encompasses changes to technology, working practices, capabilities and organisational structures</w:t>
      </w:r>
      <w:r w:rsidR="00867452">
        <w:rPr>
          <w:rFonts w:ascii="Arial" w:eastAsia="Times New Roman" w:hAnsi="Arial" w:cs="Arial"/>
          <w:sz w:val="24"/>
          <w:szCs w:val="24"/>
          <w:lang w:eastAsia="en-GB"/>
        </w:rPr>
        <w:t>”</w:t>
      </w:r>
      <w:r w:rsidR="003138F4" w:rsidRPr="003138F4">
        <w:rPr>
          <w:rFonts w:ascii="Arial" w:eastAsia="Times New Roman" w:hAnsi="Arial" w:cs="Arial"/>
          <w:sz w:val="24"/>
          <w:szCs w:val="24"/>
          <w:lang w:eastAsia="en-GB"/>
        </w:rPr>
        <w:t>.</w:t>
      </w:r>
      <w:r w:rsidR="00C657A5" w:rsidRPr="00C657A5">
        <w:rPr>
          <w:rFonts w:ascii="Arial" w:eastAsia="Times New Roman" w:hAnsi="Arial" w:cs="Arial"/>
          <w:sz w:val="24"/>
          <w:szCs w:val="24"/>
          <w:lang w:eastAsia="en-GB"/>
        </w:rPr>
        <w:t xml:space="preserve"> </w:t>
      </w:r>
      <w:r w:rsidR="00867452" w:rsidRPr="00867452">
        <w:rPr>
          <w:rFonts w:ascii="Arial" w:eastAsia="Times New Roman" w:hAnsi="Arial" w:cs="Arial"/>
          <w:sz w:val="24"/>
          <w:szCs w:val="24"/>
          <w:lang w:eastAsia="en-GB"/>
        </w:rPr>
        <w:t>(Van de Ven &amp; Poole, 1995)</w:t>
      </w:r>
    </w:p>
    <w:p w14:paraId="6A135B8F" w14:textId="2F5A9FB7" w:rsidR="003138F4" w:rsidRPr="003138F4" w:rsidRDefault="003138F4" w:rsidP="00707C0B">
      <w:pPr>
        <w:spacing w:line="360" w:lineRule="auto"/>
        <w:rPr>
          <w:rFonts w:ascii="Arial" w:eastAsia="Times New Roman" w:hAnsi="Arial" w:cs="Arial"/>
          <w:sz w:val="24"/>
          <w:szCs w:val="24"/>
          <w:lang w:eastAsia="en-GB"/>
        </w:rPr>
      </w:pPr>
      <w:r w:rsidRPr="003138F4">
        <w:rPr>
          <w:rFonts w:ascii="Arial" w:eastAsia="Times New Roman" w:hAnsi="Arial" w:cs="Arial"/>
          <w:sz w:val="24"/>
          <w:szCs w:val="24"/>
          <w:lang w:eastAsia="en-GB"/>
        </w:rPr>
        <w:t xml:space="preserve">Recent </w:t>
      </w:r>
      <w:r w:rsidR="00476E72">
        <w:rPr>
          <w:rFonts w:ascii="Arial" w:eastAsia="Times New Roman" w:hAnsi="Arial" w:cs="Arial"/>
          <w:sz w:val="24"/>
          <w:szCs w:val="24"/>
          <w:lang w:eastAsia="en-GB"/>
        </w:rPr>
        <w:t xml:space="preserve">procedural </w:t>
      </w:r>
      <w:r w:rsidRPr="003138F4">
        <w:rPr>
          <w:rFonts w:ascii="Arial" w:eastAsia="Times New Roman" w:hAnsi="Arial" w:cs="Arial"/>
          <w:sz w:val="24"/>
          <w:szCs w:val="24"/>
          <w:lang w:eastAsia="en-GB"/>
        </w:rPr>
        <w:t xml:space="preserve">changes </w:t>
      </w:r>
      <w:r w:rsidR="00476E72">
        <w:rPr>
          <w:rFonts w:ascii="Arial" w:eastAsia="Times New Roman" w:hAnsi="Arial" w:cs="Arial"/>
          <w:sz w:val="24"/>
          <w:szCs w:val="24"/>
          <w:lang w:eastAsia="en-GB"/>
        </w:rPr>
        <w:t xml:space="preserve">have been implemented, which </w:t>
      </w:r>
      <w:r w:rsidRPr="003138F4">
        <w:rPr>
          <w:rFonts w:ascii="Arial" w:eastAsia="Times New Roman" w:hAnsi="Arial" w:cs="Arial"/>
          <w:sz w:val="24"/>
          <w:szCs w:val="24"/>
          <w:lang w:eastAsia="en-GB"/>
        </w:rPr>
        <w:t xml:space="preserve">include the introduction of AI-driven customer identity verification and dual training across personal and business banking. </w:t>
      </w:r>
      <w:r w:rsidR="00590E5D">
        <w:rPr>
          <w:rFonts w:ascii="Arial" w:eastAsia="Times New Roman" w:hAnsi="Arial" w:cs="Arial"/>
          <w:sz w:val="24"/>
          <w:szCs w:val="24"/>
          <w:lang w:eastAsia="en-GB"/>
        </w:rPr>
        <w:t>With AI replacing manual checks, the decision to dual train employees with a view to increase productivity</w:t>
      </w:r>
      <w:r w:rsidRPr="003138F4">
        <w:rPr>
          <w:rFonts w:ascii="Arial" w:eastAsia="Times New Roman" w:hAnsi="Arial" w:cs="Arial"/>
          <w:sz w:val="24"/>
          <w:szCs w:val="24"/>
          <w:lang w:eastAsia="en-GB"/>
        </w:rPr>
        <w:t>. The report focuses on AI-driven identity verification, which</w:t>
      </w:r>
      <w:r w:rsidR="00590E5D">
        <w:rPr>
          <w:rFonts w:ascii="Arial" w:eastAsia="Times New Roman" w:hAnsi="Arial" w:cs="Arial"/>
          <w:sz w:val="24"/>
          <w:szCs w:val="24"/>
          <w:lang w:eastAsia="en-GB"/>
        </w:rPr>
        <w:t xml:space="preserve"> is </w:t>
      </w:r>
      <w:r w:rsidRPr="003138F4">
        <w:rPr>
          <w:rFonts w:ascii="Arial" w:eastAsia="Times New Roman" w:hAnsi="Arial" w:cs="Arial"/>
          <w:sz w:val="24"/>
          <w:szCs w:val="24"/>
          <w:lang w:eastAsia="en-GB"/>
        </w:rPr>
        <w:t>based on</w:t>
      </w:r>
      <w:r w:rsidR="00590E5D">
        <w:rPr>
          <w:rFonts w:ascii="Arial" w:eastAsia="Times New Roman" w:hAnsi="Arial" w:cs="Arial"/>
          <w:sz w:val="24"/>
          <w:szCs w:val="24"/>
          <w:lang w:eastAsia="en-GB"/>
        </w:rPr>
        <w:t xml:space="preserve"> the student’s </w:t>
      </w:r>
      <w:r w:rsidRPr="003138F4">
        <w:rPr>
          <w:rFonts w:ascii="Arial" w:eastAsia="Times New Roman" w:hAnsi="Arial" w:cs="Arial"/>
          <w:sz w:val="24"/>
          <w:szCs w:val="24"/>
          <w:lang w:eastAsia="en-GB"/>
        </w:rPr>
        <w:t>workplace experience</w:t>
      </w:r>
      <w:r w:rsidR="00590E5D">
        <w:rPr>
          <w:rFonts w:ascii="Arial" w:eastAsia="Times New Roman" w:hAnsi="Arial" w:cs="Arial"/>
          <w:sz w:val="24"/>
          <w:szCs w:val="24"/>
          <w:lang w:eastAsia="en-GB"/>
        </w:rPr>
        <w:t>.</w:t>
      </w:r>
      <w:r w:rsidRPr="003138F4">
        <w:rPr>
          <w:rFonts w:ascii="Arial" w:eastAsia="Times New Roman" w:hAnsi="Arial" w:cs="Arial"/>
          <w:sz w:val="24"/>
          <w:szCs w:val="24"/>
          <w:lang w:eastAsia="en-GB"/>
        </w:rPr>
        <w:t xml:space="preserve"> </w:t>
      </w:r>
    </w:p>
    <w:p w14:paraId="2A232360" w14:textId="7EBB7334" w:rsidR="00E45DB7" w:rsidRDefault="006F5B3D" w:rsidP="00707C0B">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Section </w:t>
      </w:r>
      <w:r w:rsidR="003138F4" w:rsidRPr="003138F4">
        <w:rPr>
          <w:rFonts w:ascii="Arial" w:eastAsia="Times New Roman" w:hAnsi="Arial" w:cs="Arial"/>
          <w:sz w:val="24"/>
          <w:szCs w:val="24"/>
          <w:lang w:eastAsia="en-GB"/>
        </w:rPr>
        <w:t xml:space="preserve">1 </w:t>
      </w:r>
      <w:r>
        <w:rPr>
          <w:rFonts w:ascii="Arial" w:eastAsia="Times New Roman" w:hAnsi="Arial" w:cs="Arial"/>
          <w:sz w:val="24"/>
          <w:szCs w:val="24"/>
          <w:lang w:eastAsia="en-GB"/>
        </w:rPr>
        <w:t xml:space="preserve">of this report analyses a </w:t>
      </w:r>
      <w:r w:rsidR="003138F4" w:rsidRPr="003138F4">
        <w:rPr>
          <w:rFonts w:ascii="Arial" w:eastAsia="Times New Roman" w:hAnsi="Arial" w:cs="Arial"/>
          <w:sz w:val="24"/>
          <w:szCs w:val="24"/>
          <w:lang w:eastAsia="en-GB"/>
        </w:rPr>
        <w:t xml:space="preserve">PESTLE and SWOT to critically analyse macro and micro forces for change, considering their implications for workplace culture and capability. </w:t>
      </w:r>
    </w:p>
    <w:p w14:paraId="2DB199FB" w14:textId="19D0BD44" w:rsidR="00734764" w:rsidRDefault="00734764" w:rsidP="00707C0B">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For section 2, the author evaluates how organisational stakeholders can be efficiently led through complex workplace change</w:t>
      </w:r>
      <w:r w:rsidR="00381CE4">
        <w:rPr>
          <w:rFonts w:ascii="Arial" w:eastAsia="Times New Roman" w:hAnsi="Arial" w:cs="Arial"/>
          <w:sz w:val="24"/>
          <w:szCs w:val="24"/>
          <w:lang w:eastAsia="en-GB"/>
        </w:rPr>
        <w:t xml:space="preserve">. Kotter’s and Lewin’s models are also evaluated with a focus on their approach to leading the change. </w:t>
      </w:r>
    </w:p>
    <w:p w14:paraId="7F668520" w14:textId="77777777" w:rsidR="0030700A" w:rsidRDefault="0030700A" w:rsidP="0030173B">
      <w:pPr>
        <w:rPr>
          <w:rFonts w:ascii="Arial" w:eastAsia="Times New Roman" w:hAnsi="Arial" w:cs="Arial"/>
          <w:sz w:val="24"/>
          <w:szCs w:val="24"/>
          <w:lang w:eastAsia="en-GB"/>
        </w:rPr>
      </w:pPr>
    </w:p>
    <w:p w14:paraId="2C7F35A6" w14:textId="77777777" w:rsidR="00381CE4" w:rsidRDefault="00381CE4" w:rsidP="0030173B"/>
    <w:p w14:paraId="06366632" w14:textId="77777777" w:rsidR="0030173B" w:rsidRPr="00D2291D" w:rsidRDefault="0030173B" w:rsidP="00D2291D">
      <w:pPr>
        <w:spacing w:line="360" w:lineRule="auto"/>
        <w:rPr>
          <w:rFonts w:ascii="Arial" w:hAnsi="Arial" w:cs="Arial"/>
          <w:sz w:val="24"/>
          <w:szCs w:val="24"/>
        </w:rPr>
      </w:pPr>
    </w:p>
    <w:p w14:paraId="745EFE00" w14:textId="214D48AF" w:rsidR="00700022" w:rsidRPr="00700022" w:rsidRDefault="002049FE" w:rsidP="00A31DB1">
      <w:pPr>
        <w:pStyle w:val="Heading2"/>
      </w:pPr>
      <w:bookmarkStart w:id="2" w:name="_Toc242640009"/>
      <w:r w:rsidRPr="002049FE">
        <w:lastRenderedPageBreak/>
        <w:t>Section 1</w:t>
      </w:r>
      <w:r w:rsidR="004F5CA5">
        <w:t xml:space="preserve">. </w:t>
      </w:r>
      <w:r w:rsidR="00700022" w:rsidRPr="00700022">
        <w:rPr>
          <w:rFonts w:ascii="Arial" w:hAnsi="Arial" w:cs="Arial"/>
          <w:sz w:val="24"/>
          <w:szCs w:val="24"/>
        </w:rPr>
        <w:t>Critically analyse the current forces for change in the organisations micro and macro environment that can impact workplace culture and capability</w:t>
      </w:r>
      <w:r w:rsidR="004F5CA5">
        <w:rPr>
          <w:rFonts w:ascii="Arial" w:hAnsi="Arial" w:cs="Arial"/>
          <w:sz w:val="24"/>
          <w:szCs w:val="24"/>
        </w:rPr>
        <w:t>.</w:t>
      </w:r>
      <w:bookmarkEnd w:id="2"/>
      <w:r w:rsidR="00700022" w:rsidRPr="00700022">
        <w:rPr>
          <w:rFonts w:ascii="Arial" w:hAnsi="Arial" w:cs="Arial"/>
          <w:sz w:val="24"/>
          <w:szCs w:val="24"/>
        </w:rPr>
        <w:t xml:space="preserve">   </w:t>
      </w:r>
    </w:p>
    <w:p w14:paraId="06BCEE02" w14:textId="59F5B8D6" w:rsidR="002627DF" w:rsidRDefault="00700022" w:rsidP="00B158FC">
      <w:pPr>
        <w:spacing w:line="360" w:lineRule="auto"/>
        <w:rPr>
          <w:rFonts w:ascii="Arial" w:hAnsi="Arial" w:cs="Arial"/>
          <w:sz w:val="24"/>
          <w:szCs w:val="24"/>
        </w:rPr>
      </w:pPr>
      <w:r w:rsidRPr="00700022">
        <w:rPr>
          <w:rFonts w:ascii="Arial" w:hAnsi="Arial" w:cs="Arial"/>
          <w:sz w:val="24"/>
          <w:szCs w:val="24"/>
        </w:rPr>
        <w:t xml:space="preserve">                   </w:t>
      </w:r>
    </w:p>
    <w:p w14:paraId="5B6F1D22" w14:textId="47B44659" w:rsidR="00016C81" w:rsidRDefault="0055482E" w:rsidP="0055482E">
      <w:pPr>
        <w:spacing w:line="360" w:lineRule="auto"/>
        <w:rPr>
          <w:rFonts w:ascii="Arial" w:hAnsi="Arial" w:cs="Arial"/>
          <w:sz w:val="24"/>
          <w:szCs w:val="24"/>
        </w:rPr>
      </w:pPr>
      <w:r w:rsidRPr="0055482E">
        <w:rPr>
          <w:rFonts w:ascii="Arial" w:hAnsi="Arial" w:cs="Arial"/>
          <w:sz w:val="24"/>
          <w:szCs w:val="24"/>
        </w:rPr>
        <w:t xml:space="preserve">The </w:t>
      </w:r>
      <w:r w:rsidR="003E22A3">
        <w:rPr>
          <w:rFonts w:ascii="Arial" w:hAnsi="Arial" w:cs="Arial"/>
          <w:sz w:val="24"/>
          <w:szCs w:val="24"/>
        </w:rPr>
        <w:t xml:space="preserve">student compiled a </w:t>
      </w:r>
      <w:r w:rsidRPr="0055482E">
        <w:rPr>
          <w:rFonts w:ascii="Arial" w:hAnsi="Arial" w:cs="Arial"/>
          <w:sz w:val="24"/>
          <w:szCs w:val="24"/>
        </w:rPr>
        <w:t>PESTLE analysis</w:t>
      </w:r>
      <w:r w:rsidR="003E22A3">
        <w:rPr>
          <w:rFonts w:ascii="Arial" w:hAnsi="Arial" w:cs="Arial"/>
          <w:sz w:val="24"/>
          <w:szCs w:val="24"/>
        </w:rPr>
        <w:t xml:space="preserve"> – see </w:t>
      </w:r>
      <w:r w:rsidRPr="0055482E">
        <w:rPr>
          <w:rFonts w:ascii="Arial" w:hAnsi="Arial" w:cs="Arial"/>
          <w:sz w:val="24"/>
          <w:szCs w:val="24"/>
        </w:rPr>
        <w:t>Appendix A</w:t>
      </w:r>
      <w:r w:rsidR="003E22A3">
        <w:rPr>
          <w:rFonts w:ascii="Arial" w:hAnsi="Arial" w:cs="Arial"/>
          <w:sz w:val="24"/>
          <w:szCs w:val="24"/>
        </w:rPr>
        <w:t xml:space="preserve">, which </w:t>
      </w:r>
      <w:r w:rsidRPr="0055482E">
        <w:rPr>
          <w:rFonts w:ascii="Arial" w:hAnsi="Arial" w:cs="Arial"/>
          <w:sz w:val="24"/>
          <w:szCs w:val="24"/>
        </w:rPr>
        <w:t xml:space="preserve">identifies external forces influencing the introduction of AI-driven identity verification at Starling Bank. </w:t>
      </w:r>
      <w:r w:rsidR="00067CB7">
        <w:rPr>
          <w:rFonts w:ascii="Arial" w:hAnsi="Arial" w:cs="Arial"/>
          <w:sz w:val="24"/>
          <w:szCs w:val="24"/>
        </w:rPr>
        <w:t>Whilst researching each area it is notable that p</w:t>
      </w:r>
      <w:r w:rsidRPr="0055482E">
        <w:rPr>
          <w:rFonts w:ascii="Arial" w:hAnsi="Arial" w:cs="Arial"/>
          <w:sz w:val="24"/>
          <w:szCs w:val="24"/>
        </w:rPr>
        <w:t xml:space="preserve">olitical, economic, social, technological, legal and environmental pressures create opportunities for more efficient </w:t>
      </w:r>
      <w:r w:rsidR="00067CB7">
        <w:rPr>
          <w:rFonts w:ascii="Arial" w:hAnsi="Arial" w:cs="Arial"/>
          <w:sz w:val="24"/>
          <w:szCs w:val="24"/>
        </w:rPr>
        <w:t>processes, which can create challenges for workplace culture and organisational capability. It is important to acknowledge that each area does not operate independently</w:t>
      </w:r>
      <w:r w:rsidR="00990386">
        <w:rPr>
          <w:rFonts w:ascii="Arial" w:hAnsi="Arial" w:cs="Arial"/>
          <w:sz w:val="24"/>
          <w:szCs w:val="24"/>
        </w:rPr>
        <w:t xml:space="preserve"> and all forces should be considered when implementing change. The central focus is how Starling Bank responds to these interacting pressures, whilst maintaining customer protection, which would also include maintaining a high level of customer satisfaction. </w:t>
      </w:r>
      <w:r w:rsidR="009E7C46">
        <w:rPr>
          <w:rFonts w:ascii="Arial" w:hAnsi="Arial" w:cs="Arial"/>
          <w:sz w:val="24"/>
          <w:szCs w:val="24"/>
        </w:rPr>
        <w:t>Additionally,</w:t>
      </w:r>
      <w:r w:rsidR="00990386">
        <w:rPr>
          <w:rFonts w:ascii="Arial" w:hAnsi="Arial" w:cs="Arial"/>
          <w:sz w:val="24"/>
          <w:szCs w:val="24"/>
        </w:rPr>
        <w:t xml:space="preserve"> </w:t>
      </w:r>
      <w:r w:rsidR="00016C81">
        <w:rPr>
          <w:rFonts w:ascii="Arial" w:hAnsi="Arial" w:cs="Arial"/>
          <w:sz w:val="24"/>
          <w:szCs w:val="24"/>
        </w:rPr>
        <w:t xml:space="preserve">a strong workplace culture and high emotional intelligence amongst senior personnel, has a huge influence on </w:t>
      </w:r>
      <w:r w:rsidR="00300F3D">
        <w:rPr>
          <w:rFonts w:ascii="Arial" w:hAnsi="Arial" w:cs="Arial"/>
          <w:sz w:val="24"/>
          <w:szCs w:val="24"/>
        </w:rPr>
        <w:t xml:space="preserve">effective change. </w:t>
      </w:r>
      <w:r w:rsidR="00016C81">
        <w:rPr>
          <w:rFonts w:ascii="Arial" w:hAnsi="Arial" w:cs="Arial"/>
          <w:sz w:val="24"/>
          <w:szCs w:val="24"/>
        </w:rPr>
        <w:t xml:space="preserve"> </w:t>
      </w:r>
    </w:p>
    <w:p w14:paraId="72E4A731" w14:textId="604263C6" w:rsidR="009E7C46" w:rsidRDefault="009E7C46" w:rsidP="0055482E">
      <w:pPr>
        <w:spacing w:line="360" w:lineRule="auto"/>
        <w:rPr>
          <w:rFonts w:ascii="Arial" w:hAnsi="Arial" w:cs="Arial"/>
          <w:sz w:val="24"/>
          <w:szCs w:val="24"/>
        </w:rPr>
      </w:pPr>
      <w:r>
        <w:rPr>
          <w:rFonts w:ascii="Arial" w:hAnsi="Arial" w:cs="Arial"/>
          <w:sz w:val="24"/>
          <w:szCs w:val="24"/>
        </w:rPr>
        <w:t xml:space="preserve">The student notes, that the implementation of AI verification should be assessed as a change to improve duties, employee skillset, duties and customer experience, opposed to a technical improvement. </w:t>
      </w:r>
    </w:p>
    <w:p w14:paraId="3AF58BAC" w14:textId="77777777" w:rsidR="00326588" w:rsidRDefault="00326588" w:rsidP="0055482E">
      <w:pPr>
        <w:spacing w:line="360" w:lineRule="auto"/>
        <w:rPr>
          <w:rFonts w:ascii="Arial" w:hAnsi="Arial" w:cs="Arial"/>
          <w:sz w:val="24"/>
          <w:szCs w:val="24"/>
        </w:rPr>
      </w:pPr>
    </w:p>
    <w:p w14:paraId="7D0DD084" w14:textId="77777777" w:rsidR="00326588" w:rsidRDefault="00326588" w:rsidP="0055482E">
      <w:pPr>
        <w:spacing w:line="360" w:lineRule="auto"/>
        <w:rPr>
          <w:rFonts w:ascii="Arial" w:hAnsi="Arial" w:cs="Arial"/>
          <w:sz w:val="24"/>
          <w:szCs w:val="24"/>
        </w:rPr>
      </w:pPr>
    </w:p>
    <w:p w14:paraId="66CBC000" w14:textId="77777777" w:rsidR="00326588" w:rsidRDefault="00326588" w:rsidP="0055482E">
      <w:pPr>
        <w:spacing w:line="360" w:lineRule="auto"/>
        <w:rPr>
          <w:rFonts w:ascii="Arial" w:hAnsi="Arial" w:cs="Arial"/>
          <w:sz w:val="24"/>
          <w:szCs w:val="24"/>
        </w:rPr>
      </w:pPr>
    </w:p>
    <w:p w14:paraId="3B79AB40" w14:textId="77777777" w:rsidR="00326588" w:rsidRDefault="00326588" w:rsidP="0055482E">
      <w:pPr>
        <w:spacing w:line="360" w:lineRule="auto"/>
        <w:rPr>
          <w:rFonts w:ascii="Arial" w:hAnsi="Arial" w:cs="Arial"/>
          <w:sz w:val="24"/>
          <w:szCs w:val="24"/>
        </w:rPr>
      </w:pPr>
    </w:p>
    <w:p w14:paraId="606D836A" w14:textId="77777777" w:rsidR="00326588" w:rsidRDefault="00326588" w:rsidP="0055482E">
      <w:pPr>
        <w:spacing w:line="360" w:lineRule="auto"/>
        <w:rPr>
          <w:rFonts w:ascii="Arial" w:hAnsi="Arial" w:cs="Arial"/>
          <w:sz w:val="24"/>
          <w:szCs w:val="24"/>
        </w:rPr>
      </w:pPr>
    </w:p>
    <w:p w14:paraId="41BB3888" w14:textId="77777777" w:rsidR="00B10148" w:rsidRDefault="00B10148" w:rsidP="0055482E">
      <w:pPr>
        <w:spacing w:line="360" w:lineRule="auto"/>
        <w:rPr>
          <w:rFonts w:ascii="Arial" w:hAnsi="Arial" w:cs="Arial"/>
          <w:sz w:val="24"/>
          <w:szCs w:val="24"/>
        </w:rPr>
      </w:pPr>
    </w:p>
    <w:p w14:paraId="7F44E072" w14:textId="77777777" w:rsidR="00B10148" w:rsidRDefault="00B10148" w:rsidP="0055482E">
      <w:pPr>
        <w:spacing w:line="360" w:lineRule="auto"/>
        <w:rPr>
          <w:rFonts w:ascii="Arial" w:hAnsi="Arial" w:cs="Arial"/>
          <w:sz w:val="24"/>
          <w:szCs w:val="24"/>
        </w:rPr>
      </w:pPr>
    </w:p>
    <w:p w14:paraId="52A6DFF1" w14:textId="77777777" w:rsidR="00B10148" w:rsidRDefault="00B10148" w:rsidP="0055482E">
      <w:pPr>
        <w:spacing w:line="360" w:lineRule="auto"/>
        <w:rPr>
          <w:rFonts w:ascii="Arial" w:hAnsi="Arial" w:cs="Arial"/>
          <w:sz w:val="24"/>
          <w:szCs w:val="24"/>
        </w:rPr>
      </w:pPr>
    </w:p>
    <w:p w14:paraId="4FCEC295" w14:textId="77777777" w:rsidR="00BD66D1" w:rsidRDefault="00BD66D1" w:rsidP="0055482E">
      <w:pPr>
        <w:spacing w:line="360" w:lineRule="auto"/>
        <w:rPr>
          <w:rFonts w:ascii="Arial" w:hAnsi="Arial" w:cs="Arial"/>
          <w:sz w:val="24"/>
          <w:szCs w:val="24"/>
        </w:rPr>
      </w:pPr>
    </w:p>
    <w:p w14:paraId="0994BBEC" w14:textId="77777777" w:rsidR="00326588" w:rsidRPr="0055482E" w:rsidRDefault="00326588" w:rsidP="0055482E">
      <w:pPr>
        <w:spacing w:line="360" w:lineRule="auto"/>
        <w:rPr>
          <w:rFonts w:ascii="Arial" w:hAnsi="Arial" w:cs="Arial"/>
          <w:sz w:val="24"/>
          <w:szCs w:val="24"/>
        </w:rPr>
      </w:pPr>
    </w:p>
    <w:p w14:paraId="08B9B806" w14:textId="77777777" w:rsidR="0055482E" w:rsidRDefault="0055482E" w:rsidP="0055482E">
      <w:pPr>
        <w:spacing w:line="360" w:lineRule="auto"/>
        <w:rPr>
          <w:rFonts w:ascii="Arial" w:hAnsi="Arial" w:cs="Arial"/>
          <w:b/>
          <w:bCs/>
          <w:sz w:val="24"/>
          <w:szCs w:val="24"/>
        </w:rPr>
      </w:pPr>
      <w:r w:rsidRPr="0055482E">
        <w:rPr>
          <w:rFonts w:ascii="Arial" w:hAnsi="Arial" w:cs="Arial"/>
          <w:b/>
          <w:bCs/>
          <w:sz w:val="24"/>
          <w:szCs w:val="24"/>
        </w:rPr>
        <w:lastRenderedPageBreak/>
        <w:t>Political factors</w:t>
      </w:r>
    </w:p>
    <w:p w14:paraId="57D56FEE" w14:textId="253493EE" w:rsidR="0055482E" w:rsidRDefault="00835B04" w:rsidP="0055482E">
      <w:pPr>
        <w:spacing w:line="360" w:lineRule="auto"/>
        <w:rPr>
          <w:rFonts w:ascii="Arial" w:hAnsi="Arial" w:cs="Arial"/>
          <w:sz w:val="24"/>
          <w:szCs w:val="24"/>
        </w:rPr>
      </w:pPr>
      <w:r>
        <w:rPr>
          <w:rFonts w:ascii="Arial" w:hAnsi="Arial" w:cs="Arial"/>
          <w:sz w:val="24"/>
          <w:szCs w:val="24"/>
        </w:rPr>
        <w:t xml:space="preserve">According to the research of </w:t>
      </w:r>
      <w:r w:rsidRPr="00835B04">
        <w:rPr>
          <w:rFonts w:ascii="Arial" w:hAnsi="Arial" w:cs="Arial"/>
          <w:sz w:val="24"/>
          <w:szCs w:val="24"/>
        </w:rPr>
        <w:t>(</w:t>
      </w:r>
      <w:proofErr w:type="spellStart"/>
      <w:r w:rsidRPr="00835B04">
        <w:rPr>
          <w:rFonts w:ascii="Arial" w:hAnsi="Arial" w:cs="Arial"/>
          <w:sz w:val="24"/>
          <w:szCs w:val="24"/>
        </w:rPr>
        <w:t>Hackenburg</w:t>
      </w:r>
      <w:proofErr w:type="spellEnd"/>
      <w:r w:rsidRPr="00835B04">
        <w:rPr>
          <w:rFonts w:ascii="Arial" w:hAnsi="Arial" w:cs="Arial"/>
          <w:sz w:val="24"/>
          <w:szCs w:val="24"/>
        </w:rPr>
        <w:t xml:space="preserve"> et al., 2025)</w:t>
      </w:r>
      <w:r>
        <w:rPr>
          <w:rFonts w:ascii="Arial" w:hAnsi="Arial" w:cs="Arial"/>
          <w:sz w:val="24"/>
          <w:szCs w:val="24"/>
        </w:rPr>
        <w:t>, “</w:t>
      </w:r>
      <w:r w:rsidR="0055482E" w:rsidRPr="0055482E">
        <w:rPr>
          <w:rFonts w:ascii="Arial" w:hAnsi="Arial" w:cs="Arial"/>
          <w:sz w:val="24"/>
          <w:szCs w:val="24"/>
        </w:rPr>
        <w:t xml:space="preserve">Government support for AI adoption creates a favourable policy environment for technological change. The UK Government’s </w:t>
      </w:r>
      <w:r w:rsidR="0055482E" w:rsidRPr="0055482E">
        <w:rPr>
          <w:rFonts w:ascii="Arial" w:hAnsi="Arial" w:cs="Arial"/>
          <w:i/>
          <w:iCs/>
          <w:sz w:val="24"/>
          <w:szCs w:val="24"/>
        </w:rPr>
        <w:t>AI Opportunities Action Plan</w:t>
      </w:r>
      <w:r w:rsidR="0055482E" w:rsidRPr="0055482E">
        <w:rPr>
          <w:rFonts w:ascii="Arial" w:hAnsi="Arial" w:cs="Arial"/>
          <w:sz w:val="24"/>
          <w:szCs w:val="24"/>
        </w:rPr>
        <w:t xml:space="preserve"> promotes AI as a means of improving productivity and economic growth. Its subsequent progress report demonstrates continuing policy attention to adoption and capability developmen</w:t>
      </w:r>
      <w:r w:rsidR="000B789A">
        <w:rPr>
          <w:rFonts w:ascii="Arial" w:hAnsi="Arial" w:cs="Arial"/>
          <w:sz w:val="24"/>
          <w:szCs w:val="24"/>
        </w:rPr>
        <w:t>t</w:t>
      </w:r>
      <w:r w:rsidR="00AA6F1B">
        <w:rPr>
          <w:rFonts w:ascii="Arial" w:hAnsi="Arial" w:cs="Arial"/>
          <w:sz w:val="24"/>
          <w:szCs w:val="24"/>
        </w:rPr>
        <w:t>”</w:t>
      </w:r>
      <w:r w:rsidR="000B789A">
        <w:rPr>
          <w:rFonts w:ascii="Arial" w:hAnsi="Arial" w:cs="Arial"/>
          <w:sz w:val="24"/>
          <w:szCs w:val="24"/>
        </w:rPr>
        <w:t>.</w:t>
      </w:r>
      <w:r w:rsidR="0055482E" w:rsidRPr="0055482E">
        <w:rPr>
          <w:rFonts w:ascii="Arial" w:hAnsi="Arial" w:cs="Arial"/>
          <w:sz w:val="24"/>
          <w:szCs w:val="24"/>
        </w:rPr>
        <w:t xml:space="preserve"> This creates a wider context in which organisations may regard investment in AI as strategically important. </w:t>
      </w:r>
    </w:p>
    <w:p w14:paraId="3233EEAE" w14:textId="37FCB131" w:rsidR="0055482E" w:rsidRPr="0055482E" w:rsidRDefault="0055482E" w:rsidP="0055482E">
      <w:pPr>
        <w:spacing w:line="360" w:lineRule="auto"/>
        <w:rPr>
          <w:rFonts w:ascii="Arial" w:hAnsi="Arial" w:cs="Arial"/>
          <w:sz w:val="24"/>
          <w:szCs w:val="24"/>
        </w:rPr>
      </w:pPr>
      <w:r w:rsidRPr="0055482E">
        <w:rPr>
          <w:rFonts w:ascii="Arial" w:hAnsi="Arial" w:cs="Arial"/>
          <w:sz w:val="24"/>
          <w:szCs w:val="24"/>
        </w:rPr>
        <w:t>For Starling</w:t>
      </w:r>
      <w:r w:rsidR="00AA6F1B">
        <w:rPr>
          <w:rFonts w:ascii="Arial" w:hAnsi="Arial" w:cs="Arial"/>
          <w:sz w:val="24"/>
          <w:szCs w:val="24"/>
        </w:rPr>
        <w:t xml:space="preserve"> Bank</w:t>
      </w:r>
      <w:r w:rsidRPr="0055482E">
        <w:rPr>
          <w:rFonts w:ascii="Arial" w:hAnsi="Arial" w:cs="Arial"/>
          <w:sz w:val="24"/>
          <w:szCs w:val="24"/>
        </w:rPr>
        <w:t xml:space="preserve">, </w:t>
      </w:r>
      <w:r w:rsidR="00D34B56">
        <w:rPr>
          <w:rFonts w:ascii="Arial" w:hAnsi="Arial" w:cs="Arial"/>
          <w:sz w:val="24"/>
          <w:szCs w:val="24"/>
        </w:rPr>
        <w:t xml:space="preserve">AI verification has been live for a few months and is still unclear if this is an efficient, cost-effective change. Whilst it may be deemed as developing digital processes, it could also be challenged if its benefit outweighs implementation costs. </w:t>
      </w:r>
      <w:r w:rsidRPr="0055482E">
        <w:rPr>
          <w:rFonts w:ascii="Arial" w:hAnsi="Arial" w:cs="Arial"/>
          <w:sz w:val="24"/>
          <w:szCs w:val="24"/>
        </w:rPr>
        <w:t>Political support should therefore be interpreted as an enabling influence rather than a sufficient justification for change.</w:t>
      </w:r>
    </w:p>
    <w:p w14:paraId="0D584E4C" w14:textId="1FAF4B65" w:rsidR="0055482E" w:rsidRDefault="003C40DF" w:rsidP="0055482E">
      <w:pPr>
        <w:spacing w:line="360" w:lineRule="auto"/>
        <w:rPr>
          <w:rFonts w:ascii="Arial" w:hAnsi="Arial" w:cs="Arial"/>
          <w:sz w:val="24"/>
          <w:szCs w:val="24"/>
        </w:rPr>
      </w:pPr>
      <w:r>
        <w:rPr>
          <w:rFonts w:ascii="Arial" w:hAnsi="Arial" w:cs="Arial"/>
          <w:sz w:val="24"/>
          <w:szCs w:val="24"/>
        </w:rPr>
        <w:t xml:space="preserve">As mentioned above, the </w:t>
      </w:r>
      <w:r w:rsidR="0055482E" w:rsidRPr="0055482E">
        <w:rPr>
          <w:rFonts w:ascii="Arial" w:hAnsi="Arial" w:cs="Arial"/>
          <w:sz w:val="24"/>
          <w:szCs w:val="24"/>
        </w:rPr>
        <w:t xml:space="preserve">cultural implications </w:t>
      </w:r>
      <w:r>
        <w:rPr>
          <w:rFonts w:ascii="Arial" w:hAnsi="Arial" w:cs="Arial"/>
          <w:sz w:val="24"/>
          <w:szCs w:val="24"/>
        </w:rPr>
        <w:t xml:space="preserve">and </w:t>
      </w:r>
      <w:r w:rsidR="0055482E" w:rsidRPr="0055482E">
        <w:rPr>
          <w:rFonts w:ascii="Arial" w:hAnsi="Arial" w:cs="Arial"/>
          <w:sz w:val="24"/>
          <w:szCs w:val="24"/>
        </w:rPr>
        <w:t>how leaders communicate the adoption</w:t>
      </w:r>
      <w:r>
        <w:rPr>
          <w:rFonts w:ascii="Arial" w:hAnsi="Arial" w:cs="Arial"/>
          <w:sz w:val="24"/>
          <w:szCs w:val="24"/>
        </w:rPr>
        <w:t xml:space="preserve"> of change, is an important element. The initial proposal was presented as a way of </w:t>
      </w:r>
      <w:r w:rsidRPr="0055482E">
        <w:rPr>
          <w:rFonts w:ascii="Arial" w:hAnsi="Arial" w:cs="Arial"/>
          <w:sz w:val="24"/>
          <w:szCs w:val="24"/>
        </w:rPr>
        <w:t xml:space="preserve">improving </w:t>
      </w:r>
      <w:r>
        <w:rPr>
          <w:rFonts w:ascii="Arial" w:hAnsi="Arial" w:cs="Arial"/>
          <w:sz w:val="24"/>
          <w:szCs w:val="24"/>
        </w:rPr>
        <w:t xml:space="preserve">customer </w:t>
      </w:r>
      <w:r w:rsidRPr="0055482E">
        <w:rPr>
          <w:rFonts w:ascii="Arial" w:hAnsi="Arial" w:cs="Arial"/>
          <w:sz w:val="24"/>
          <w:szCs w:val="24"/>
        </w:rPr>
        <w:t xml:space="preserve">service and </w:t>
      </w:r>
      <w:r>
        <w:rPr>
          <w:rFonts w:ascii="Arial" w:hAnsi="Arial" w:cs="Arial"/>
          <w:sz w:val="24"/>
          <w:szCs w:val="24"/>
        </w:rPr>
        <w:t xml:space="preserve">enhancing employee capability </w:t>
      </w:r>
      <w:r w:rsidR="0040530C">
        <w:rPr>
          <w:rFonts w:ascii="Arial" w:hAnsi="Arial" w:cs="Arial"/>
          <w:sz w:val="24"/>
          <w:szCs w:val="24"/>
        </w:rPr>
        <w:t xml:space="preserve">in form of cross training personnel. However, this left people unsettled of their job security. Which in turn deflated morale and pushed against the change. </w:t>
      </w:r>
      <w:r w:rsidR="00657742">
        <w:rPr>
          <w:rFonts w:ascii="Arial" w:hAnsi="Arial" w:cs="Arial"/>
          <w:sz w:val="24"/>
          <w:szCs w:val="24"/>
        </w:rPr>
        <w:t>C</w:t>
      </w:r>
      <w:r w:rsidR="0055482E" w:rsidRPr="0055482E">
        <w:rPr>
          <w:rFonts w:ascii="Arial" w:hAnsi="Arial" w:cs="Arial"/>
          <w:sz w:val="24"/>
          <w:szCs w:val="24"/>
        </w:rPr>
        <w:t>ommunication must reflect actual decisions</w:t>
      </w:r>
      <w:r w:rsidR="00657742">
        <w:rPr>
          <w:rFonts w:ascii="Arial" w:hAnsi="Arial" w:cs="Arial"/>
          <w:sz w:val="24"/>
          <w:szCs w:val="24"/>
        </w:rPr>
        <w:t xml:space="preserve">, as refraining from doing so has a negative effect and ultimately looses trust. In this situation, a few weeks post launch, redundancies were conducted. </w:t>
      </w:r>
      <w:r w:rsidR="0055482E" w:rsidRPr="0055482E">
        <w:rPr>
          <w:rFonts w:ascii="Arial" w:hAnsi="Arial" w:cs="Arial"/>
          <w:sz w:val="24"/>
          <w:szCs w:val="24"/>
        </w:rPr>
        <w:t xml:space="preserve">Organisational </w:t>
      </w:r>
      <w:r w:rsidR="000F0ECE">
        <w:rPr>
          <w:rFonts w:ascii="Arial" w:hAnsi="Arial" w:cs="Arial"/>
          <w:sz w:val="24"/>
          <w:szCs w:val="24"/>
        </w:rPr>
        <w:t xml:space="preserve">have the </w:t>
      </w:r>
      <w:r w:rsidR="0055482E" w:rsidRPr="0055482E">
        <w:rPr>
          <w:rFonts w:ascii="Arial" w:hAnsi="Arial" w:cs="Arial"/>
          <w:sz w:val="24"/>
          <w:szCs w:val="24"/>
        </w:rPr>
        <w:t>ability to translate policy opportunities into appropriate investment, cross-functional coordination</w:t>
      </w:r>
      <w:r w:rsidR="000F0ECE">
        <w:rPr>
          <w:rFonts w:ascii="Arial" w:hAnsi="Arial" w:cs="Arial"/>
          <w:sz w:val="24"/>
          <w:szCs w:val="24"/>
        </w:rPr>
        <w:t xml:space="preserve"> if </w:t>
      </w:r>
      <w:r w:rsidR="0055482E" w:rsidRPr="0055482E">
        <w:rPr>
          <w:rFonts w:ascii="Arial" w:hAnsi="Arial" w:cs="Arial"/>
          <w:sz w:val="24"/>
          <w:szCs w:val="24"/>
        </w:rPr>
        <w:t>realistic implementation plans</w:t>
      </w:r>
      <w:r w:rsidR="000F0ECE">
        <w:rPr>
          <w:rFonts w:ascii="Arial" w:hAnsi="Arial" w:cs="Arial"/>
          <w:sz w:val="24"/>
          <w:szCs w:val="24"/>
        </w:rPr>
        <w:t xml:space="preserve"> are carried out. </w:t>
      </w:r>
    </w:p>
    <w:p w14:paraId="28D61160" w14:textId="77777777" w:rsidR="00B04525" w:rsidRDefault="00B04525" w:rsidP="0055482E">
      <w:pPr>
        <w:spacing w:line="360" w:lineRule="auto"/>
        <w:rPr>
          <w:rFonts w:ascii="Arial" w:hAnsi="Arial" w:cs="Arial"/>
          <w:sz w:val="24"/>
          <w:szCs w:val="24"/>
        </w:rPr>
      </w:pPr>
    </w:p>
    <w:p w14:paraId="43541FAD" w14:textId="77777777" w:rsidR="00B04525" w:rsidRDefault="00B04525" w:rsidP="0055482E">
      <w:pPr>
        <w:spacing w:line="360" w:lineRule="auto"/>
        <w:rPr>
          <w:rFonts w:ascii="Arial" w:hAnsi="Arial" w:cs="Arial"/>
          <w:sz w:val="24"/>
          <w:szCs w:val="24"/>
        </w:rPr>
      </w:pPr>
    </w:p>
    <w:p w14:paraId="5411A547" w14:textId="77777777" w:rsidR="00B04525" w:rsidRDefault="00B04525" w:rsidP="0055482E">
      <w:pPr>
        <w:spacing w:line="360" w:lineRule="auto"/>
        <w:rPr>
          <w:rFonts w:ascii="Arial" w:hAnsi="Arial" w:cs="Arial"/>
          <w:sz w:val="24"/>
          <w:szCs w:val="24"/>
        </w:rPr>
      </w:pPr>
    </w:p>
    <w:p w14:paraId="1650E736" w14:textId="77777777" w:rsidR="00B04525" w:rsidRDefault="00B04525" w:rsidP="0055482E">
      <w:pPr>
        <w:spacing w:line="360" w:lineRule="auto"/>
        <w:rPr>
          <w:rFonts w:ascii="Arial" w:hAnsi="Arial" w:cs="Arial"/>
          <w:sz w:val="24"/>
          <w:szCs w:val="24"/>
        </w:rPr>
      </w:pPr>
    </w:p>
    <w:p w14:paraId="22B93268" w14:textId="77777777" w:rsidR="00B04525" w:rsidRDefault="00B04525" w:rsidP="0055482E">
      <w:pPr>
        <w:spacing w:line="360" w:lineRule="auto"/>
        <w:rPr>
          <w:rFonts w:ascii="Arial" w:hAnsi="Arial" w:cs="Arial"/>
          <w:sz w:val="24"/>
          <w:szCs w:val="24"/>
        </w:rPr>
      </w:pPr>
    </w:p>
    <w:p w14:paraId="76B2CC89" w14:textId="77777777" w:rsidR="00B04525" w:rsidRDefault="00B04525" w:rsidP="0055482E">
      <w:pPr>
        <w:spacing w:line="360" w:lineRule="auto"/>
        <w:rPr>
          <w:rFonts w:ascii="Arial" w:hAnsi="Arial" w:cs="Arial"/>
          <w:sz w:val="24"/>
          <w:szCs w:val="24"/>
        </w:rPr>
      </w:pPr>
    </w:p>
    <w:p w14:paraId="57909764" w14:textId="77777777" w:rsidR="00B04525" w:rsidRPr="0055482E" w:rsidRDefault="00B04525" w:rsidP="0055482E">
      <w:pPr>
        <w:spacing w:line="360" w:lineRule="auto"/>
        <w:rPr>
          <w:rFonts w:ascii="Arial" w:hAnsi="Arial" w:cs="Arial"/>
          <w:sz w:val="24"/>
          <w:szCs w:val="24"/>
        </w:rPr>
      </w:pPr>
    </w:p>
    <w:p w14:paraId="0FC07F39" w14:textId="77777777" w:rsidR="0055482E" w:rsidRDefault="0055482E" w:rsidP="0055482E">
      <w:pPr>
        <w:spacing w:line="360" w:lineRule="auto"/>
        <w:rPr>
          <w:rFonts w:ascii="Arial" w:hAnsi="Arial" w:cs="Arial"/>
          <w:b/>
          <w:bCs/>
          <w:sz w:val="24"/>
          <w:szCs w:val="24"/>
        </w:rPr>
      </w:pPr>
      <w:r w:rsidRPr="0055482E">
        <w:rPr>
          <w:rFonts w:ascii="Arial" w:hAnsi="Arial" w:cs="Arial"/>
          <w:b/>
          <w:bCs/>
          <w:sz w:val="24"/>
          <w:szCs w:val="24"/>
        </w:rPr>
        <w:t>Economic factors</w:t>
      </w:r>
    </w:p>
    <w:p w14:paraId="66DD575D" w14:textId="07AE9827" w:rsidR="0055482E" w:rsidRDefault="003D1E98" w:rsidP="0055482E">
      <w:pPr>
        <w:spacing w:line="360" w:lineRule="auto"/>
        <w:rPr>
          <w:rFonts w:ascii="Arial" w:hAnsi="Arial" w:cs="Arial"/>
          <w:sz w:val="24"/>
          <w:szCs w:val="24"/>
        </w:rPr>
      </w:pPr>
      <w:r w:rsidRPr="003D1E98">
        <w:rPr>
          <w:rFonts w:ascii="Arial" w:hAnsi="Arial" w:cs="Arial"/>
          <w:sz w:val="24"/>
          <w:szCs w:val="24"/>
        </w:rPr>
        <w:t>According to the research (Consumer Price Inflation team, 2026) we can determine that</w:t>
      </w:r>
      <w:r>
        <w:rPr>
          <w:rFonts w:ascii="Arial" w:hAnsi="Arial" w:cs="Arial"/>
          <w:sz w:val="24"/>
          <w:szCs w:val="24"/>
        </w:rPr>
        <w:t xml:space="preserve">, </w:t>
      </w:r>
      <w:r w:rsidR="00BC30BF">
        <w:rPr>
          <w:rFonts w:ascii="Arial" w:hAnsi="Arial" w:cs="Arial"/>
          <w:sz w:val="24"/>
          <w:szCs w:val="24"/>
        </w:rPr>
        <w:t>“</w:t>
      </w:r>
      <w:r w:rsidR="0055482E" w:rsidRPr="0055482E">
        <w:rPr>
          <w:rFonts w:ascii="Arial" w:hAnsi="Arial" w:cs="Arial"/>
          <w:sz w:val="24"/>
          <w:szCs w:val="24"/>
        </w:rPr>
        <w:t>Economic conditions can increase pressure to improve productivity and control expenditure. ONS reported annual Consumer Prices Index inflation of 3.1% in August</w:t>
      </w:r>
      <w:r w:rsidR="0055482E" w:rsidRPr="0055482E">
        <w:rPr>
          <w:rFonts w:ascii="Arial" w:hAnsi="Arial" w:cs="Arial"/>
          <w:b/>
          <w:bCs/>
          <w:sz w:val="24"/>
          <w:szCs w:val="24"/>
        </w:rPr>
        <w:t xml:space="preserve"> </w:t>
      </w:r>
      <w:r w:rsidR="0055482E" w:rsidRPr="0055482E">
        <w:rPr>
          <w:rFonts w:ascii="Arial" w:hAnsi="Arial" w:cs="Arial"/>
          <w:sz w:val="24"/>
          <w:szCs w:val="24"/>
        </w:rPr>
        <w:t>2026</w:t>
      </w:r>
      <w:r w:rsidR="004268AD">
        <w:rPr>
          <w:rFonts w:ascii="Arial" w:hAnsi="Arial" w:cs="Arial"/>
          <w:sz w:val="24"/>
          <w:szCs w:val="24"/>
        </w:rPr>
        <w:t>.</w:t>
      </w:r>
      <w:r w:rsidR="00BC30BF">
        <w:rPr>
          <w:rFonts w:ascii="Arial" w:hAnsi="Arial" w:cs="Arial"/>
          <w:sz w:val="24"/>
          <w:szCs w:val="24"/>
        </w:rPr>
        <w:t xml:space="preserve">” </w:t>
      </w:r>
      <w:r w:rsidR="0055482E" w:rsidRPr="0055482E">
        <w:rPr>
          <w:rFonts w:ascii="Arial" w:hAnsi="Arial" w:cs="Arial"/>
          <w:sz w:val="24"/>
          <w:szCs w:val="24"/>
        </w:rPr>
        <w:t>This provides evidence of the wider price environment, although consumer inflation is not a direct</w:t>
      </w:r>
      <w:r w:rsidR="008D5858">
        <w:rPr>
          <w:rFonts w:ascii="Arial" w:hAnsi="Arial" w:cs="Arial"/>
          <w:sz w:val="24"/>
          <w:szCs w:val="24"/>
        </w:rPr>
        <w:t xml:space="preserve"> reflection </w:t>
      </w:r>
      <w:r w:rsidR="0055482E" w:rsidRPr="0055482E">
        <w:rPr>
          <w:rFonts w:ascii="Arial" w:hAnsi="Arial" w:cs="Arial"/>
          <w:sz w:val="24"/>
          <w:szCs w:val="24"/>
        </w:rPr>
        <w:t xml:space="preserve">of Starling’s operating costs and cannot establish why the bank introduced automation. </w:t>
      </w:r>
    </w:p>
    <w:p w14:paraId="546D8AB0" w14:textId="37569441" w:rsidR="0055482E" w:rsidRPr="0055482E" w:rsidRDefault="008D5858" w:rsidP="0055482E">
      <w:pPr>
        <w:spacing w:line="360" w:lineRule="auto"/>
        <w:rPr>
          <w:rFonts w:ascii="Arial" w:hAnsi="Arial" w:cs="Arial"/>
          <w:sz w:val="24"/>
          <w:szCs w:val="24"/>
        </w:rPr>
      </w:pPr>
      <w:r>
        <w:rPr>
          <w:rFonts w:ascii="Arial" w:hAnsi="Arial" w:cs="Arial"/>
          <w:sz w:val="24"/>
          <w:szCs w:val="24"/>
        </w:rPr>
        <w:t xml:space="preserve">AI may reduce time in manual checks and allow this time to be utilised in other areas of the business, which this technological change alters the demand for a particular task.  </w:t>
      </w:r>
      <w:r w:rsidR="0055482E" w:rsidRPr="0055482E">
        <w:rPr>
          <w:rFonts w:ascii="Arial" w:hAnsi="Arial" w:cs="Arial"/>
          <w:sz w:val="24"/>
          <w:szCs w:val="24"/>
        </w:rPr>
        <w:t>However, assessment</w:t>
      </w:r>
      <w:r>
        <w:rPr>
          <w:rFonts w:ascii="Arial" w:hAnsi="Arial" w:cs="Arial"/>
          <w:sz w:val="24"/>
          <w:szCs w:val="24"/>
        </w:rPr>
        <w:t xml:space="preserve">s </w:t>
      </w:r>
      <w:r w:rsidR="0055482E" w:rsidRPr="0055482E">
        <w:rPr>
          <w:rFonts w:ascii="Arial" w:hAnsi="Arial" w:cs="Arial"/>
          <w:sz w:val="24"/>
          <w:szCs w:val="24"/>
        </w:rPr>
        <w:t xml:space="preserve">must </w:t>
      </w:r>
      <w:r>
        <w:rPr>
          <w:rFonts w:ascii="Arial" w:hAnsi="Arial" w:cs="Arial"/>
          <w:sz w:val="24"/>
          <w:szCs w:val="24"/>
        </w:rPr>
        <w:t xml:space="preserve">also </w:t>
      </w:r>
      <w:r w:rsidR="0055482E" w:rsidRPr="0055482E">
        <w:rPr>
          <w:rFonts w:ascii="Arial" w:hAnsi="Arial" w:cs="Arial"/>
          <w:sz w:val="24"/>
          <w:szCs w:val="24"/>
        </w:rPr>
        <w:t xml:space="preserve">consider licensing, integration, monitoring, training alongside potential labour savings. A reduction in manual </w:t>
      </w:r>
      <w:r w:rsidR="00BC30BF">
        <w:rPr>
          <w:rFonts w:ascii="Arial" w:hAnsi="Arial" w:cs="Arial"/>
          <w:sz w:val="24"/>
          <w:szCs w:val="24"/>
        </w:rPr>
        <w:t xml:space="preserve">tasks </w:t>
      </w:r>
      <w:r w:rsidR="0055482E" w:rsidRPr="0055482E">
        <w:rPr>
          <w:rFonts w:ascii="Arial" w:hAnsi="Arial" w:cs="Arial"/>
          <w:sz w:val="24"/>
          <w:szCs w:val="24"/>
        </w:rPr>
        <w:t>does not necessarily represen</w:t>
      </w:r>
      <w:r>
        <w:rPr>
          <w:rFonts w:ascii="Arial" w:hAnsi="Arial" w:cs="Arial"/>
          <w:sz w:val="24"/>
          <w:szCs w:val="24"/>
        </w:rPr>
        <w:t xml:space="preserve">t </w:t>
      </w:r>
      <w:r w:rsidR="00BC30BF">
        <w:rPr>
          <w:rFonts w:ascii="Arial" w:hAnsi="Arial" w:cs="Arial"/>
          <w:sz w:val="24"/>
          <w:szCs w:val="24"/>
        </w:rPr>
        <w:t>an overall savings of cost to the business.</w:t>
      </w:r>
    </w:p>
    <w:p w14:paraId="096E5E1A" w14:textId="71D301C6" w:rsidR="0055482E" w:rsidRPr="0055482E" w:rsidRDefault="0055482E" w:rsidP="0055482E">
      <w:pPr>
        <w:spacing w:line="360" w:lineRule="auto"/>
        <w:rPr>
          <w:rFonts w:ascii="Arial" w:hAnsi="Arial" w:cs="Arial"/>
          <w:sz w:val="24"/>
          <w:szCs w:val="24"/>
        </w:rPr>
      </w:pPr>
      <w:proofErr w:type="spellStart"/>
      <w:r w:rsidRPr="0055482E">
        <w:rPr>
          <w:rFonts w:ascii="Arial" w:hAnsi="Arial" w:cs="Arial"/>
          <w:sz w:val="24"/>
          <w:szCs w:val="24"/>
        </w:rPr>
        <w:t>Raisch</w:t>
      </w:r>
      <w:proofErr w:type="spellEnd"/>
      <w:r w:rsidRPr="0055482E">
        <w:rPr>
          <w:rFonts w:ascii="Arial" w:hAnsi="Arial" w:cs="Arial"/>
          <w:sz w:val="24"/>
          <w:szCs w:val="24"/>
        </w:rPr>
        <w:t xml:space="preserve"> and Krakowski (2021) explain </w:t>
      </w:r>
      <w:r w:rsidR="00BC30BF">
        <w:rPr>
          <w:rFonts w:ascii="Arial" w:hAnsi="Arial" w:cs="Arial"/>
          <w:sz w:val="24"/>
          <w:szCs w:val="24"/>
        </w:rPr>
        <w:t>“</w:t>
      </w:r>
      <w:r w:rsidRPr="0055482E">
        <w:rPr>
          <w:rFonts w:ascii="Arial" w:hAnsi="Arial" w:cs="Arial"/>
          <w:sz w:val="24"/>
          <w:szCs w:val="24"/>
        </w:rPr>
        <w:t>that automation and augmentation are interdependent</w:t>
      </w:r>
      <w:r w:rsidR="000578DB">
        <w:rPr>
          <w:rFonts w:ascii="Arial" w:hAnsi="Arial" w:cs="Arial"/>
          <w:sz w:val="24"/>
          <w:szCs w:val="24"/>
        </w:rPr>
        <w:t>,</w:t>
      </w:r>
      <w:r w:rsidRPr="0055482E">
        <w:rPr>
          <w:rFonts w:ascii="Arial" w:hAnsi="Arial" w:cs="Arial"/>
          <w:sz w:val="24"/>
          <w:szCs w:val="24"/>
        </w:rPr>
        <w:t xml:space="preserve"> technology can replace some activities while changing how people contribute to others. Applied to </w:t>
      </w:r>
      <w:r w:rsidR="00C35245">
        <w:rPr>
          <w:rFonts w:ascii="Arial" w:hAnsi="Arial" w:cs="Arial"/>
          <w:sz w:val="24"/>
          <w:szCs w:val="24"/>
        </w:rPr>
        <w:t>processes</w:t>
      </w:r>
      <w:r w:rsidRPr="0055482E">
        <w:rPr>
          <w:rFonts w:ascii="Arial" w:hAnsi="Arial" w:cs="Arial"/>
          <w:sz w:val="24"/>
          <w:szCs w:val="24"/>
        </w:rPr>
        <w:t>, routine checks may become automated while employees remain responsible for complex cases and unusual results</w:t>
      </w:r>
      <w:r w:rsidR="00C35245">
        <w:rPr>
          <w:rFonts w:ascii="Arial" w:hAnsi="Arial" w:cs="Arial"/>
          <w:sz w:val="24"/>
          <w:szCs w:val="24"/>
        </w:rPr>
        <w:t>”</w:t>
      </w:r>
      <w:r w:rsidRPr="0055482E">
        <w:rPr>
          <w:rFonts w:ascii="Arial" w:hAnsi="Arial" w:cs="Arial"/>
          <w:sz w:val="24"/>
          <w:szCs w:val="24"/>
        </w:rPr>
        <w:t xml:space="preserve">. </w:t>
      </w:r>
      <w:r w:rsidR="00F7296D">
        <w:rPr>
          <w:rFonts w:ascii="Arial" w:hAnsi="Arial" w:cs="Arial"/>
          <w:sz w:val="24"/>
          <w:szCs w:val="24"/>
        </w:rPr>
        <w:t xml:space="preserve">This suggests that effective internal processes depend partly on retaining employee’s expertise in more complex situations and/or where human contact is required to embrace customer service. For example, customer complaints. </w:t>
      </w:r>
    </w:p>
    <w:p w14:paraId="4A9E75AF" w14:textId="3760F282" w:rsidR="004862A2" w:rsidRDefault="0055482E" w:rsidP="0055482E">
      <w:pPr>
        <w:spacing w:line="360" w:lineRule="auto"/>
        <w:rPr>
          <w:rFonts w:ascii="Arial" w:hAnsi="Arial" w:cs="Arial"/>
          <w:sz w:val="24"/>
          <w:szCs w:val="24"/>
        </w:rPr>
      </w:pPr>
      <w:r w:rsidRPr="0055482E">
        <w:rPr>
          <w:rFonts w:ascii="Arial" w:hAnsi="Arial" w:cs="Arial"/>
          <w:sz w:val="24"/>
          <w:szCs w:val="24"/>
        </w:rPr>
        <w:t>Economic pressures also affect culture.</w:t>
      </w:r>
      <w:r w:rsidR="004862A2">
        <w:rPr>
          <w:rFonts w:ascii="Arial" w:hAnsi="Arial" w:cs="Arial"/>
          <w:sz w:val="24"/>
          <w:szCs w:val="24"/>
        </w:rPr>
        <w:t xml:space="preserve"> When highlighting </w:t>
      </w:r>
      <w:r w:rsidRPr="0055482E">
        <w:rPr>
          <w:rFonts w:ascii="Arial" w:hAnsi="Arial" w:cs="Arial"/>
          <w:sz w:val="24"/>
          <w:szCs w:val="24"/>
        </w:rPr>
        <w:t xml:space="preserve">redundancies, </w:t>
      </w:r>
      <w:r w:rsidR="004862A2">
        <w:rPr>
          <w:rFonts w:ascii="Arial" w:hAnsi="Arial" w:cs="Arial"/>
          <w:sz w:val="24"/>
          <w:szCs w:val="24"/>
        </w:rPr>
        <w:t xml:space="preserve">employees now associate AI and technology in general with job insecurity. </w:t>
      </w:r>
    </w:p>
    <w:p w14:paraId="7FD5FB56" w14:textId="32A35C51" w:rsidR="00F51D18" w:rsidRDefault="00F51D18" w:rsidP="0055482E">
      <w:pPr>
        <w:spacing w:line="360" w:lineRule="auto"/>
        <w:rPr>
          <w:rFonts w:ascii="Arial" w:hAnsi="Arial" w:cs="Arial"/>
          <w:sz w:val="24"/>
          <w:szCs w:val="24"/>
        </w:rPr>
      </w:pPr>
      <w:r>
        <w:rPr>
          <w:rFonts w:ascii="Arial" w:hAnsi="Arial" w:cs="Arial"/>
          <w:sz w:val="24"/>
          <w:szCs w:val="24"/>
        </w:rPr>
        <w:t xml:space="preserve">According to </w:t>
      </w:r>
      <w:r w:rsidR="00DA7A90" w:rsidRPr="00DA7A90">
        <w:rPr>
          <w:rFonts w:ascii="Arial" w:hAnsi="Arial" w:cs="Arial"/>
          <w:sz w:val="24"/>
          <w:szCs w:val="24"/>
        </w:rPr>
        <w:t>(Bordia et al., 2004)</w:t>
      </w:r>
      <w:r w:rsidR="0055482E" w:rsidRPr="0055482E">
        <w:rPr>
          <w:rFonts w:ascii="Arial" w:hAnsi="Arial" w:cs="Arial"/>
          <w:sz w:val="24"/>
          <w:szCs w:val="24"/>
        </w:rPr>
        <w:t xml:space="preserve"> </w:t>
      </w:r>
      <w:r>
        <w:rPr>
          <w:rFonts w:ascii="Arial" w:hAnsi="Arial" w:cs="Arial"/>
          <w:sz w:val="24"/>
          <w:szCs w:val="24"/>
        </w:rPr>
        <w:t xml:space="preserve">we can determine that </w:t>
      </w:r>
      <w:r w:rsidR="0055482E" w:rsidRPr="0055482E">
        <w:rPr>
          <w:rFonts w:ascii="Arial" w:hAnsi="Arial" w:cs="Arial"/>
          <w:sz w:val="24"/>
          <w:szCs w:val="24"/>
        </w:rPr>
        <w:t>relationships between uncertainty, perceived control and psychological strain during organisational change, with communication and participation addressing different forms of uncertainty.</w:t>
      </w:r>
      <w:r>
        <w:rPr>
          <w:rFonts w:ascii="Arial" w:hAnsi="Arial" w:cs="Arial"/>
          <w:sz w:val="24"/>
          <w:szCs w:val="24"/>
        </w:rPr>
        <w:t xml:space="preserve"> Whilst their study was based on a public-sector organisation it highlights internal personnel should be considered just as importantly as the overall objective. </w:t>
      </w:r>
    </w:p>
    <w:p w14:paraId="6A1CCEF4" w14:textId="3E5C17F3" w:rsidR="0055482E" w:rsidRDefault="0055482E" w:rsidP="0055482E">
      <w:pPr>
        <w:spacing w:line="360" w:lineRule="auto"/>
        <w:rPr>
          <w:rFonts w:ascii="Arial" w:hAnsi="Arial" w:cs="Arial"/>
          <w:sz w:val="24"/>
          <w:szCs w:val="24"/>
        </w:rPr>
      </w:pPr>
    </w:p>
    <w:p w14:paraId="6E3C59BA" w14:textId="77777777" w:rsidR="0055482E" w:rsidRDefault="0055482E" w:rsidP="0055482E">
      <w:pPr>
        <w:spacing w:line="360" w:lineRule="auto"/>
        <w:rPr>
          <w:rFonts w:ascii="Arial" w:hAnsi="Arial" w:cs="Arial"/>
          <w:b/>
          <w:bCs/>
          <w:sz w:val="24"/>
          <w:szCs w:val="24"/>
        </w:rPr>
      </w:pPr>
      <w:r w:rsidRPr="0055482E">
        <w:rPr>
          <w:rFonts w:ascii="Arial" w:hAnsi="Arial" w:cs="Arial"/>
          <w:b/>
          <w:bCs/>
          <w:sz w:val="24"/>
          <w:szCs w:val="24"/>
        </w:rPr>
        <w:lastRenderedPageBreak/>
        <w:t>Social factors</w:t>
      </w:r>
    </w:p>
    <w:p w14:paraId="337F0C2B" w14:textId="575B87EB" w:rsidR="00026E0D" w:rsidRDefault="0055482E" w:rsidP="0055482E">
      <w:pPr>
        <w:spacing w:line="360" w:lineRule="auto"/>
        <w:rPr>
          <w:rFonts w:ascii="Arial" w:hAnsi="Arial" w:cs="Arial"/>
          <w:sz w:val="24"/>
          <w:szCs w:val="24"/>
        </w:rPr>
      </w:pPr>
      <w:r w:rsidRPr="0055482E">
        <w:rPr>
          <w:rFonts w:ascii="Arial" w:hAnsi="Arial" w:cs="Arial"/>
          <w:sz w:val="24"/>
          <w:szCs w:val="24"/>
        </w:rPr>
        <w:t xml:space="preserve">Customer expectations create pressure for onboarding that is convenient, secure and accessible. However, digital access is uneven. The FCA’s Financial Lives research found that 2% of UK adults, approximately 1.2 million people, were digitally excluded in May 2024 </w:t>
      </w:r>
      <w:r w:rsidR="00951345" w:rsidRPr="00951345">
        <w:rPr>
          <w:rFonts w:ascii="Arial" w:hAnsi="Arial" w:cs="Arial"/>
          <w:sz w:val="24"/>
          <w:szCs w:val="24"/>
        </w:rPr>
        <w:t>(Financial Conduct Authority, 2025)</w:t>
      </w:r>
      <w:r w:rsidR="00026E0D">
        <w:rPr>
          <w:rFonts w:ascii="Arial" w:hAnsi="Arial" w:cs="Arial"/>
          <w:sz w:val="24"/>
          <w:szCs w:val="24"/>
        </w:rPr>
        <w:t xml:space="preserve"> This demonstrates that whilst technology is rapidly progressing, alternative support is still a requirement. </w:t>
      </w:r>
    </w:p>
    <w:p w14:paraId="08F1C5CA" w14:textId="4C07788B" w:rsidR="00AD64A7" w:rsidRDefault="00AD64A7" w:rsidP="0055482E">
      <w:pPr>
        <w:spacing w:line="360" w:lineRule="auto"/>
        <w:rPr>
          <w:rFonts w:ascii="Arial" w:hAnsi="Arial" w:cs="Arial"/>
          <w:sz w:val="24"/>
          <w:szCs w:val="24"/>
        </w:rPr>
      </w:pPr>
      <w:r>
        <w:rPr>
          <w:rFonts w:ascii="Arial" w:hAnsi="Arial" w:cs="Arial"/>
          <w:sz w:val="24"/>
          <w:szCs w:val="24"/>
        </w:rPr>
        <w:t xml:space="preserve">AI verification may improve the experience of customers that can be processed successfully. However, in the event of poor image quality, difficulties in using devices, would need manual checks. These are potential risks to consider and implement the appropriate labour to facilitate the request. </w:t>
      </w:r>
    </w:p>
    <w:p w14:paraId="52313DAF" w14:textId="2F7D84AF" w:rsidR="007D1BD1" w:rsidRDefault="0055482E" w:rsidP="0055482E">
      <w:pPr>
        <w:spacing w:line="360" w:lineRule="auto"/>
        <w:rPr>
          <w:rFonts w:ascii="Arial" w:hAnsi="Arial" w:cs="Arial"/>
          <w:sz w:val="24"/>
          <w:szCs w:val="24"/>
        </w:rPr>
      </w:pPr>
      <w:r w:rsidRPr="0055482E">
        <w:rPr>
          <w:rFonts w:ascii="Arial" w:hAnsi="Arial" w:cs="Arial"/>
          <w:sz w:val="24"/>
          <w:szCs w:val="24"/>
        </w:rPr>
        <w:t xml:space="preserve">This creates a connection between external expectations and internal culture. </w:t>
      </w:r>
      <w:r w:rsidR="007D1BD1">
        <w:rPr>
          <w:rFonts w:ascii="Arial" w:hAnsi="Arial" w:cs="Arial"/>
          <w:sz w:val="24"/>
          <w:szCs w:val="24"/>
        </w:rPr>
        <w:t xml:space="preserve">As mentioned above Starling’s, expectation to dual train all employees, which has ultimately moved tasks around, opposed to freeing up time. This has raised the question of what it is the priority and left employees de-motivated, as trying to balance efficiency with appropriate judgement. Clear and precise direction, including appropriate escalation process implemented in this area is highly important. </w:t>
      </w:r>
    </w:p>
    <w:p w14:paraId="434C7426" w14:textId="77777777" w:rsidR="007D1BD1" w:rsidRDefault="007D1BD1" w:rsidP="0055482E">
      <w:pPr>
        <w:spacing w:line="360" w:lineRule="auto"/>
        <w:rPr>
          <w:rFonts w:ascii="Arial" w:hAnsi="Arial" w:cs="Arial"/>
          <w:sz w:val="24"/>
          <w:szCs w:val="24"/>
        </w:rPr>
      </w:pPr>
    </w:p>
    <w:p w14:paraId="049CB0B9" w14:textId="77777777" w:rsidR="007D1BD1" w:rsidRDefault="007D1BD1" w:rsidP="0055482E">
      <w:pPr>
        <w:spacing w:line="360" w:lineRule="auto"/>
        <w:rPr>
          <w:rFonts w:ascii="Arial" w:hAnsi="Arial" w:cs="Arial"/>
          <w:sz w:val="24"/>
          <w:szCs w:val="24"/>
        </w:rPr>
      </w:pPr>
    </w:p>
    <w:p w14:paraId="15FCB570" w14:textId="77777777" w:rsidR="007D1BD1" w:rsidRDefault="007D1BD1" w:rsidP="0055482E">
      <w:pPr>
        <w:spacing w:line="360" w:lineRule="auto"/>
        <w:rPr>
          <w:rFonts w:ascii="Arial" w:hAnsi="Arial" w:cs="Arial"/>
          <w:sz w:val="24"/>
          <w:szCs w:val="24"/>
        </w:rPr>
      </w:pPr>
    </w:p>
    <w:p w14:paraId="380525DC" w14:textId="77777777" w:rsidR="007D1BD1" w:rsidRDefault="007D1BD1" w:rsidP="0055482E">
      <w:pPr>
        <w:spacing w:line="360" w:lineRule="auto"/>
        <w:rPr>
          <w:rFonts w:ascii="Arial" w:hAnsi="Arial" w:cs="Arial"/>
          <w:sz w:val="24"/>
          <w:szCs w:val="24"/>
        </w:rPr>
      </w:pPr>
    </w:p>
    <w:p w14:paraId="276FEFB5" w14:textId="77777777" w:rsidR="007D1BD1" w:rsidRDefault="007D1BD1" w:rsidP="0055482E">
      <w:pPr>
        <w:spacing w:line="360" w:lineRule="auto"/>
        <w:rPr>
          <w:rFonts w:ascii="Arial" w:hAnsi="Arial" w:cs="Arial"/>
          <w:sz w:val="24"/>
          <w:szCs w:val="24"/>
        </w:rPr>
      </w:pPr>
    </w:p>
    <w:p w14:paraId="21B63918" w14:textId="77777777" w:rsidR="00240C0F" w:rsidRDefault="00240C0F" w:rsidP="0055482E">
      <w:pPr>
        <w:spacing w:line="360" w:lineRule="auto"/>
        <w:rPr>
          <w:rFonts w:ascii="Arial" w:hAnsi="Arial" w:cs="Arial"/>
          <w:sz w:val="24"/>
          <w:szCs w:val="24"/>
        </w:rPr>
      </w:pPr>
    </w:p>
    <w:p w14:paraId="65B14754" w14:textId="77777777" w:rsidR="00240C0F" w:rsidRDefault="00240C0F" w:rsidP="0055482E">
      <w:pPr>
        <w:spacing w:line="360" w:lineRule="auto"/>
        <w:rPr>
          <w:rFonts w:ascii="Arial" w:hAnsi="Arial" w:cs="Arial"/>
          <w:sz w:val="24"/>
          <w:szCs w:val="24"/>
        </w:rPr>
      </w:pPr>
    </w:p>
    <w:p w14:paraId="7B2072C4" w14:textId="77777777" w:rsidR="00E32C3A" w:rsidRDefault="00E32C3A" w:rsidP="0055482E">
      <w:pPr>
        <w:spacing w:line="360" w:lineRule="auto"/>
        <w:rPr>
          <w:rFonts w:ascii="Arial" w:hAnsi="Arial" w:cs="Arial"/>
          <w:sz w:val="24"/>
          <w:szCs w:val="24"/>
        </w:rPr>
      </w:pPr>
    </w:p>
    <w:p w14:paraId="70F0FB87" w14:textId="77777777" w:rsidR="00E32C3A" w:rsidRDefault="00E32C3A" w:rsidP="0055482E">
      <w:pPr>
        <w:spacing w:line="360" w:lineRule="auto"/>
        <w:rPr>
          <w:rFonts w:ascii="Arial" w:hAnsi="Arial" w:cs="Arial"/>
          <w:sz w:val="24"/>
          <w:szCs w:val="24"/>
        </w:rPr>
      </w:pPr>
    </w:p>
    <w:p w14:paraId="71622C60" w14:textId="77777777" w:rsidR="00240C0F" w:rsidRPr="0055482E" w:rsidRDefault="00240C0F" w:rsidP="0055482E">
      <w:pPr>
        <w:spacing w:line="360" w:lineRule="auto"/>
        <w:rPr>
          <w:rFonts w:ascii="Arial" w:hAnsi="Arial" w:cs="Arial"/>
          <w:sz w:val="24"/>
          <w:szCs w:val="24"/>
        </w:rPr>
      </w:pPr>
    </w:p>
    <w:p w14:paraId="5A585D5B" w14:textId="77777777" w:rsidR="0055482E" w:rsidRPr="0055482E" w:rsidRDefault="0055482E" w:rsidP="0055482E">
      <w:pPr>
        <w:spacing w:line="360" w:lineRule="auto"/>
        <w:rPr>
          <w:rFonts w:ascii="Arial" w:hAnsi="Arial" w:cs="Arial"/>
          <w:sz w:val="24"/>
          <w:szCs w:val="24"/>
        </w:rPr>
      </w:pPr>
      <w:r w:rsidRPr="0055482E">
        <w:rPr>
          <w:rFonts w:ascii="Arial" w:hAnsi="Arial" w:cs="Arial"/>
          <w:b/>
          <w:bCs/>
          <w:sz w:val="24"/>
          <w:szCs w:val="24"/>
        </w:rPr>
        <w:lastRenderedPageBreak/>
        <w:t>Technological factors</w:t>
      </w:r>
    </w:p>
    <w:p w14:paraId="58BD9C3E" w14:textId="661B2B34" w:rsidR="00FF3674" w:rsidRDefault="0055482E" w:rsidP="005B48A8">
      <w:pPr>
        <w:spacing w:line="360" w:lineRule="auto"/>
        <w:rPr>
          <w:rFonts w:ascii="Arial" w:hAnsi="Arial" w:cs="Arial"/>
          <w:sz w:val="24"/>
          <w:szCs w:val="24"/>
        </w:rPr>
      </w:pPr>
      <w:r w:rsidRPr="0055482E">
        <w:rPr>
          <w:rFonts w:ascii="Arial" w:hAnsi="Arial" w:cs="Arial"/>
          <w:sz w:val="24"/>
          <w:szCs w:val="24"/>
        </w:rPr>
        <w:t>The increasing availability of AI is a major force for change. ONS reported that 30% of</w:t>
      </w:r>
      <w:r w:rsidRPr="0055482E">
        <w:rPr>
          <w:rFonts w:ascii="Arial" w:hAnsi="Arial" w:cs="Arial"/>
          <w:b/>
          <w:bCs/>
          <w:sz w:val="24"/>
          <w:szCs w:val="24"/>
        </w:rPr>
        <w:t xml:space="preserve"> </w:t>
      </w:r>
      <w:r w:rsidRPr="0055482E">
        <w:rPr>
          <w:rFonts w:ascii="Arial" w:hAnsi="Arial" w:cs="Arial"/>
          <w:sz w:val="24"/>
          <w:szCs w:val="24"/>
        </w:rPr>
        <w:t xml:space="preserve">businesses used at least one AI technology in September 2026, rising to 38% among businesses with ten or more employees </w:t>
      </w:r>
      <w:r w:rsidR="005B48A8" w:rsidRPr="005B48A8">
        <w:rPr>
          <w:rFonts w:ascii="Arial" w:hAnsi="Arial" w:cs="Arial"/>
          <w:sz w:val="24"/>
          <w:szCs w:val="24"/>
        </w:rPr>
        <w:t>(Business Insights and Conditions Survey (BICS) team, 2026)</w:t>
      </w:r>
      <w:r w:rsidR="00EE309D">
        <w:rPr>
          <w:rFonts w:ascii="Arial" w:hAnsi="Arial" w:cs="Arial"/>
          <w:sz w:val="24"/>
          <w:szCs w:val="24"/>
        </w:rPr>
        <w:t xml:space="preserve"> Whilst this data does not solely measure identity verification, but covers the wider scope of technology with multiple industries demonstrates just how technology is advancing in our day to day lives. </w:t>
      </w:r>
      <w:r w:rsidR="00FF3674">
        <w:rPr>
          <w:rFonts w:ascii="Arial" w:hAnsi="Arial" w:cs="Arial"/>
          <w:sz w:val="24"/>
          <w:szCs w:val="24"/>
        </w:rPr>
        <w:t>As with all technology, at times there are errors and/or breaks down and as society heavily relies on systems</w:t>
      </w:r>
      <w:r w:rsidR="00D72863">
        <w:rPr>
          <w:rFonts w:ascii="Arial" w:hAnsi="Arial" w:cs="Arial"/>
          <w:sz w:val="24"/>
          <w:szCs w:val="24"/>
        </w:rPr>
        <w:t xml:space="preserve">, which is not always positive. </w:t>
      </w:r>
    </w:p>
    <w:p w14:paraId="05AA4B82" w14:textId="182AEC47" w:rsidR="00FD596D" w:rsidRDefault="00FD596D" w:rsidP="0055482E">
      <w:pPr>
        <w:spacing w:line="360" w:lineRule="auto"/>
        <w:rPr>
          <w:rFonts w:ascii="Arial" w:hAnsi="Arial" w:cs="Arial"/>
          <w:sz w:val="24"/>
          <w:szCs w:val="24"/>
        </w:rPr>
      </w:pPr>
      <w:r w:rsidRPr="00FD596D">
        <w:rPr>
          <w:rFonts w:ascii="Arial" w:hAnsi="Arial" w:cs="Arial"/>
          <w:sz w:val="24"/>
          <w:szCs w:val="24"/>
        </w:rPr>
        <w:t>(Teece et al., 1997)</w:t>
      </w:r>
      <w:r>
        <w:rPr>
          <w:rFonts w:ascii="Arial" w:hAnsi="Arial" w:cs="Arial"/>
          <w:sz w:val="24"/>
          <w:szCs w:val="24"/>
        </w:rPr>
        <w:t xml:space="preserve"> </w:t>
      </w:r>
      <w:r w:rsidR="0055482E" w:rsidRPr="0055482E">
        <w:rPr>
          <w:rFonts w:ascii="Arial" w:hAnsi="Arial" w:cs="Arial"/>
          <w:sz w:val="24"/>
          <w:szCs w:val="24"/>
        </w:rPr>
        <w:t xml:space="preserve">dynamic capabilities framework emphasises the organisational ability to integrate, develop and reconfigure competences in response to changing conditions. </w:t>
      </w:r>
      <w:r w:rsidR="009F7FA7">
        <w:rPr>
          <w:rFonts w:ascii="Arial" w:hAnsi="Arial" w:cs="Arial"/>
          <w:sz w:val="24"/>
          <w:szCs w:val="24"/>
        </w:rPr>
        <w:t xml:space="preserve">Applied at Starling, involves more than installing software. As outlined above, all factors must be inline for the change to be effective long term.  </w:t>
      </w:r>
    </w:p>
    <w:p w14:paraId="048A4572" w14:textId="27343D17" w:rsidR="00CD115E" w:rsidRDefault="00CD115E" w:rsidP="0055482E">
      <w:pPr>
        <w:spacing w:line="360" w:lineRule="auto"/>
        <w:rPr>
          <w:rFonts w:ascii="Arial" w:hAnsi="Arial" w:cs="Arial"/>
          <w:sz w:val="24"/>
          <w:szCs w:val="24"/>
        </w:rPr>
      </w:pPr>
      <w:r>
        <w:rPr>
          <w:rFonts w:ascii="Arial" w:hAnsi="Arial" w:cs="Arial"/>
          <w:sz w:val="24"/>
          <w:szCs w:val="24"/>
        </w:rPr>
        <w:t>With this in mind t</w:t>
      </w:r>
      <w:r w:rsidR="0055482E" w:rsidRPr="0055482E">
        <w:rPr>
          <w:rFonts w:ascii="Arial" w:hAnsi="Arial" w:cs="Arial"/>
          <w:sz w:val="24"/>
          <w:szCs w:val="24"/>
        </w:rPr>
        <w:t xml:space="preserve">he cultural challenge is to develop informed trust. </w:t>
      </w:r>
      <w:r>
        <w:rPr>
          <w:rFonts w:ascii="Arial" w:hAnsi="Arial" w:cs="Arial"/>
          <w:sz w:val="24"/>
          <w:szCs w:val="24"/>
        </w:rPr>
        <w:t xml:space="preserve">Employees should be confident when to question the system, and how to escalate results. Being overly confident the system is always accurate could have huge negative impacts on the banks duty of care their customers. </w:t>
      </w:r>
    </w:p>
    <w:p w14:paraId="4EA08207" w14:textId="77777777" w:rsidR="00D41315" w:rsidRDefault="00D41315" w:rsidP="0055482E">
      <w:pPr>
        <w:spacing w:line="360" w:lineRule="auto"/>
        <w:rPr>
          <w:rFonts w:ascii="Arial" w:hAnsi="Arial" w:cs="Arial"/>
          <w:sz w:val="24"/>
          <w:szCs w:val="24"/>
        </w:rPr>
      </w:pPr>
    </w:p>
    <w:p w14:paraId="38A568C6" w14:textId="77777777" w:rsidR="00D41315" w:rsidRDefault="00D41315" w:rsidP="0055482E">
      <w:pPr>
        <w:spacing w:line="360" w:lineRule="auto"/>
        <w:rPr>
          <w:rFonts w:ascii="Arial" w:hAnsi="Arial" w:cs="Arial"/>
          <w:sz w:val="24"/>
          <w:szCs w:val="24"/>
        </w:rPr>
      </w:pPr>
    </w:p>
    <w:p w14:paraId="7A4341C0" w14:textId="77777777" w:rsidR="00D41315" w:rsidRDefault="00D41315" w:rsidP="0055482E">
      <w:pPr>
        <w:spacing w:line="360" w:lineRule="auto"/>
        <w:rPr>
          <w:rFonts w:ascii="Arial" w:hAnsi="Arial" w:cs="Arial"/>
          <w:sz w:val="24"/>
          <w:szCs w:val="24"/>
        </w:rPr>
      </w:pPr>
    </w:p>
    <w:p w14:paraId="5127BF3B" w14:textId="77777777" w:rsidR="00D41315" w:rsidRDefault="00D41315" w:rsidP="0055482E">
      <w:pPr>
        <w:spacing w:line="360" w:lineRule="auto"/>
        <w:rPr>
          <w:rFonts w:ascii="Arial" w:hAnsi="Arial" w:cs="Arial"/>
          <w:sz w:val="24"/>
          <w:szCs w:val="24"/>
        </w:rPr>
      </w:pPr>
    </w:p>
    <w:p w14:paraId="3E875B43" w14:textId="77777777" w:rsidR="00D41315" w:rsidRDefault="00D41315" w:rsidP="0055482E">
      <w:pPr>
        <w:spacing w:line="360" w:lineRule="auto"/>
        <w:rPr>
          <w:rFonts w:ascii="Arial" w:hAnsi="Arial" w:cs="Arial"/>
          <w:sz w:val="24"/>
          <w:szCs w:val="24"/>
        </w:rPr>
      </w:pPr>
    </w:p>
    <w:p w14:paraId="408D2198" w14:textId="77777777" w:rsidR="00D41315" w:rsidRDefault="00D41315" w:rsidP="0055482E">
      <w:pPr>
        <w:spacing w:line="360" w:lineRule="auto"/>
        <w:rPr>
          <w:rFonts w:ascii="Arial" w:hAnsi="Arial" w:cs="Arial"/>
          <w:sz w:val="24"/>
          <w:szCs w:val="24"/>
        </w:rPr>
      </w:pPr>
    </w:p>
    <w:p w14:paraId="407432B9" w14:textId="77777777" w:rsidR="00D41315" w:rsidRDefault="00D41315" w:rsidP="0055482E">
      <w:pPr>
        <w:spacing w:line="360" w:lineRule="auto"/>
        <w:rPr>
          <w:rFonts w:ascii="Arial" w:hAnsi="Arial" w:cs="Arial"/>
          <w:sz w:val="24"/>
          <w:szCs w:val="24"/>
        </w:rPr>
      </w:pPr>
    </w:p>
    <w:p w14:paraId="32B1BC41" w14:textId="77777777" w:rsidR="00D41315" w:rsidRDefault="00D41315" w:rsidP="0055482E">
      <w:pPr>
        <w:spacing w:line="360" w:lineRule="auto"/>
        <w:rPr>
          <w:rFonts w:ascii="Arial" w:hAnsi="Arial" w:cs="Arial"/>
          <w:sz w:val="24"/>
          <w:szCs w:val="24"/>
        </w:rPr>
      </w:pPr>
    </w:p>
    <w:p w14:paraId="121378FC" w14:textId="77777777" w:rsidR="00D41315" w:rsidRDefault="00D41315" w:rsidP="0055482E">
      <w:pPr>
        <w:spacing w:line="360" w:lineRule="auto"/>
        <w:rPr>
          <w:rFonts w:ascii="Arial" w:hAnsi="Arial" w:cs="Arial"/>
          <w:sz w:val="24"/>
          <w:szCs w:val="24"/>
        </w:rPr>
      </w:pPr>
    </w:p>
    <w:p w14:paraId="4BC9719D" w14:textId="77777777" w:rsidR="0055482E" w:rsidRPr="0055482E" w:rsidRDefault="0055482E" w:rsidP="0055482E">
      <w:pPr>
        <w:spacing w:line="360" w:lineRule="auto"/>
        <w:rPr>
          <w:rFonts w:ascii="Arial" w:hAnsi="Arial" w:cs="Arial"/>
          <w:sz w:val="24"/>
          <w:szCs w:val="24"/>
        </w:rPr>
      </w:pPr>
      <w:r w:rsidRPr="0055482E">
        <w:rPr>
          <w:rFonts w:ascii="Arial" w:hAnsi="Arial" w:cs="Arial"/>
          <w:b/>
          <w:bCs/>
          <w:sz w:val="24"/>
          <w:szCs w:val="24"/>
        </w:rPr>
        <w:lastRenderedPageBreak/>
        <w:t>Legal factors</w:t>
      </w:r>
    </w:p>
    <w:p w14:paraId="74C3E9FD" w14:textId="40D1832C" w:rsidR="005A2828" w:rsidRDefault="0055482E" w:rsidP="00ED20D2">
      <w:pPr>
        <w:spacing w:line="360" w:lineRule="auto"/>
        <w:rPr>
          <w:rFonts w:ascii="Arial" w:hAnsi="Arial" w:cs="Arial"/>
          <w:sz w:val="24"/>
          <w:szCs w:val="24"/>
        </w:rPr>
      </w:pPr>
      <w:r w:rsidRPr="0055482E">
        <w:rPr>
          <w:rFonts w:ascii="Arial" w:hAnsi="Arial" w:cs="Arial"/>
          <w:sz w:val="24"/>
          <w:szCs w:val="24"/>
        </w:rPr>
        <w:t>Legal requirements both motivate and constrain identity-verification change. Regulation 28 of the Money Laundering Regulations requires relevant organisations to identify and verify customers when customer due diligence applies. Automation changes how checks may be performed; it does not remove the underlying obligation</w:t>
      </w:r>
      <w:r w:rsidR="005A2828">
        <w:rPr>
          <w:rFonts w:ascii="Arial" w:hAnsi="Arial" w:cs="Arial"/>
          <w:sz w:val="24"/>
          <w:szCs w:val="24"/>
        </w:rPr>
        <w:t xml:space="preserve">. </w:t>
      </w:r>
      <w:proofErr w:type="gramStart"/>
      <w:r w:rsidR="005A2828" w:rsidRPr="005A2828">
        <w:rPr>
          <w:rFonts w:ascii="Arial" w:hAnsi="Arial" w:cs="Arial"/>
          <w:sz w:val="24"/>
          <w:szCs w:val="24"/>
        </w:rPr>
        <w:t>(</w:t>
      </w:r>
      <w:proofErr w:type="gramEnd"/>
      <w:r w:rsidR="005A2828" w:rsidRPr="005A2828">
        <w:rPr>
          <w:rFonts w:ascii="Arial" w:hAnsi="Arial" w:cs="Arial"/>
          <w:i/>
          <w:iCs/>
          <w:sz w:val="24"/>
          <w:szCs w:val="24"/>
        </w:rPr>
        <w:t>The Money Laundering, Terrorist Financing and Transfer of Funds (Information on the Payer) Regulations 2017</w:t>
      </w:r>
      <w:r w:rsidR="005A2828" w:rsidRPr="005A2828">
        <w:rPr>
          <w:rFonts w:ascii="Arial" w:hAnsi="Arial" w:cs="Arial"/>
          <w:sz w:val="24"/>
          <w:szCs w:val="24"/>
        </w:rPr>
        <w:t>, 2017)</w:t>
      </w:r>
    </w:p>
    <w:p w14:paraId="760874AF" w14:textId="77777777" w:rsidR="00E1341B" w:rsidRPr="00E1341B" w:rsidRDefault="0055482E" w:rsidP="00ED20D2">
      <w:pPr>
        <w:spacing w:line="360" w:lineRule="auto"/>
        <w:rPr>
          <w:rFonts w:ascii="Arial" w:hAnsi="Arial" w:cs="Arial"/>
          <w:sz w:val="24"/>
          <w:szCs w:val="24"/>
        </w:rPr>
      </w:pPr>
      <w:r w:rsidRPr="0055482E">
        <w:rPr>
          <w:rFonts w:ascii="Arial" w:hAnsi="Arial" w:cs="Arial"/>
          <w:sz w:val="24"/>
          <w:szCs w:val="24"/>
        </w:rPr>
        <w:t>Data protection is also relevant. Where a system uses biometric recognition for identification, the ICO explains that organisations must identify a lawful basis and a separate condition for processing special-category biometric data</w:t>
      </w:r>
      <w:r w:rsidR="00E1341B">
        <w:rPr>
          <w:rFonts w:ascii="Arial" w:hAnsi="Arial" w:cs="Arial"/>
          <w:sz w:val="24"/>
          <w:szCs w:val="24"/>
        </w:rPr>
        <w:t xml:space="preserve"> </w:t>
      </w:r>
      <w:r w:rsidR="00E1341B" w:rsidRPr="00E1341B">
        <w:rPr>
          <w:rFonts w:ascii="Arial" w:hAnsi="Arial" w:cs="Arial"/>
          <w:sz w:val="24"/>
          <w:szCs w:val="24"/>
        </w:rPr>
        <w:t>(ICO, 2024)</w:t>
      </w:r>
    </w:p>
    <w:p w14:paraId="1EA5A17F" w14:textId="530BC104" w:rsidR="0055482E" w:rsidRDefault="0055482E" w:rsidP="00ED20D2">
      <w:pPr>
        <w:spacing w:line="360" w:lineRule="auto"/>
        <w:rPr>
          <w:rFonts w:ascii="Arial" w:hAnsi="Arial" w:cs="Arial"/>
          <w:sz w:val="24"/>
          <w:szCs w:val="24"/>
        </w:rPr>
      </w:pPr>
      <w:r w:rsidRPr="0055482E">
        <w:rPr>
          <w:rFonts w:ascii="Arial" w:hAnsi="Arial" w:cs="Arial"/>
          <w:sz w:val="24"/>
          <w:szCs w:val="24"/>
        </w:rPr>
        <w:t>These requirements affect capability through training, documented procedures, access controls and assurance. They also influence culture</w:t>
      </w:r>
      <w:r w:rsidR="00E1341B">
        <w:rPr>
          <w:rFonts w:ascii="Arial" w:hAnsi="Arial" w:cs="Arial"/>
          <w:sz w:val="24"/>
          <w:szCs w:val="24"/>
        </w:rPr>
        <w:t>. E</w:t>
      </w:r>
      <w:r w:rsidRPr="0055482E">
        <w:rPr>
          <w:rFonts w:ascii="Arial" w:hAnsi="Arial" w:cs="Arial"/>
          <w:sz w:val="24"/>
          <w:szCs w:val="24"/>
        </w:rPr>
        <w:t>mployees need to understand why controls exist and feel able to escalate concerns. Governance may add time and cost, but treating it solely as a barrier overlooks its role in sustaining customer trust and responsible innovation. Evaluation should therefore balance processing efficiency with accurate checks, appropriate information handling and clear accountability.</w:t>
      </w:r>
    </w:p>
    <w:p w14:paraId="67205668" w14:textId="77777777" w:rsidR="00E1341B" w:rsidRDefault="00E1341B" w:rsidP="00ED20D2">
      <w:pPr>
        <w:spacing w:line="360" w:lineRule="auto"/>
        <w:rPr>
          <w:rFonts w:ascii="Arial" w:hAnsi="Arial" w:cs="Arial"/>
          <w:sz w:val="24"/>
          <w:szCs w:val="24"/>
        </w:rPr>
      </w:pPr>
    </w:p>
    <w:p w14:paraId="30C2E831" w14:textId="77777777" w:rsidR="00E1341B" w:rsidRDefault="00E1341B" w:rsidP="0055482E">
      <w:pPr>
        <w:spacing w:line="360" w:lineRule="auto"/>
        <w:rPr>
          <w:rFonts w:ascii="Arial" w:hAnsi="Arial" w:cs="Arial"/>
          <w:sz w:val="24"/>
          <w:szCs w:val="24"/>
        </w:rPr>
      </w:pPr>
    </w:p>
    <w:p w14:paraId="3442BA95" w14:textId="77777777" w:rsidR="00E1341B" w:rsidRDefault="00E1341B" w:rsidP="0055482E">
      <w:pPr>
        <w:spacing w:line="360" w:lineRule="auto"/>
        <w:rPr>
          <w:rFonts w:ascii="Arial" w:hAnsi="Arial" w:cs="Arial"/>
          <w:sz w:val="24"/>
          <w:szCs w:val="24"/>
        </w:rPr>
      </w:pPr>
    </w:p>
    <w:p w14:paraId="500EF00B" w14:textId="77777777" w:rsidR="00E1341B" w:rsidRDefault="00E1341B" w:rsidP="0055482E">
      <w:pPr>
        <w:spacing w:line="360" w:lineRule="auto"/>
        <w:rPr>
          <w:rFonts w:ascii="Arial" w:hAnsi="Arial" w:cs="Arial"/>
          <w:sz w:val="24"/>
          <w:szCs w:val="24"/>
        </w:rPr>
      </w:pPr>
    </w:p>
    <w:p w14:paraId="0CDBAC63" w14:textId="77777777" w:rsidR="00E1341B" w:rsidRDefault="00E1341B" w:rsidP="0055482E">
      <w:pPr>
        <w:spacing w:line="360" w:lineRule="auto"/>
        <w:rPr>
          <w:rFonts w:ascii="Arial" w:hAnsi="Arial" w:cs="Arial"/>
          <w:sz w:val="24"/>
          <w:szCs w:val="24"/>
        </w:rPr>
      </w:pPr>
    </w:p>
    <w:p w14:paraId="255AACAE" w14:textId="77777777" w:rsidR="00E1341B" w:rsidRDefault="00E1341B" w:rsidP="0055482E">
      <w:pPr>
        <w:spacing w:line="360" w:lineRule="auto"/>
        <w:rPr>
          <w:rFonts w:ascii="Arial" w:hAnsi="Arial" w:cs="Arial"/>
          <w:sz w:val="24"/>
          <w:szCs w:val="24"/>
        </w:rPr>
      </w:pPr>
    </w:p>
    <w:p w14:paraId="5765D6B7" w14:textId="77777777" w:rsidR="00E1341B" w:rsidRDefault="00E1341B" w:rsidP="0055482E">
      <w:pPr>
        <w:spacing w:line="360" w:lineRule="auto"/>
        <w:rPr>
          <w:rFonts w:ascii="Arial" w:hAnsi="Arial" w:cs="Arial"/>
          <w:sz w:val="24"/>
          <w:szCs w:val="24"/>
        </w:rPr>
      </w:pPr>
    </w:p>
    <w:p w14:paraId="4077691D" w14:textId="77777777" w:rsidR="00E1341B" w:rsidRDefault="00E1341B" w:rsidP="0055482E">
      <w:pPr>
        <w:spacing w:line="360" w:lineRule="auto"/>
        <w:rPr>
          <w:rFonts w:ascii="Arial" w:hAnsi="Arial" w:cs="Arial"/>
          <w:sz w:val="24"/>
          <w:szCs w:val="24"/>
        </w:rPr>
      </w:pPr>
    </w:p>
    <w:p w14:paraId="4701429A" w14:textId="77777777" w:rsidR="00B66225" w:rsidRDefault="00B66225" w:rsidP="0055482E">
      <w:pPr>
        <w:spacing w:line="360" w:lineRule="auto"/>
        <w:rPr>
          <w:rFonts w:ascii="Arial" w:hAnsi="Arial" w:cs="Arial"/>
          <w:sz w:val="24"/>
          <w:szCs w:val="24"/>
        </w:rPr>
      </w:pPr>
    </w:p>
    <w:p w14:paraId="18AB6AF7" w14:textId="77777777" w:rsidR="00E1341B" w:rsidRPr="0055482E" w:rsidRDefault="00E1341B" w:rsidP="0055482E">
      <w:pPr>
        <w:spacing w:line="360" w:lineRule="auto"/>
        <w:rPr>
          <w:rFonts w:ascii="Arial" w:hAnsi="Arial" w:cs="Arial"/>
          <w:sz w:val="24"/>
          <w:szCs w:val="24"/>
        </w:rPr>
      </w:pPr>
    </w:p>
    <w:p w14:paraId="533143C7" w14:textId="77777777" w:rsidR="0055482E" w:rsidRPr="0055482E" w:rsidRDefault="0055482E" w:rsidP="0055482E">
      <w:pPr>
        <w:spacing w:line="360" w:lineRule="auto"/>
        <w:rPr>
          <w:rFonts w:ascii="Arial" w:hAnsi="Arial" w:cs="Arial"/>
          <w:sz w:val="24"/>
          <w:szCs w:val="24"/>
        </w:rPr>
      </w:pPr>
      <w:r w:rsidRPr="0055482E">
        <w:rPr>
          <w:rFonts w:ascii="Arial" w:hAnsi="Arial" w:cs="Arial"/>
          <w:b/>
          <w:bCs/>
          <w:sz w:val="24"/>
          <w:szCs w:val="24"/>
        </w:rPr>
        <w:lastRenderedPageBreak/>
        <w:t>Environmental factors</w:t>
      </w:r>
    </w:p>
    <w:p w14:paraId="6EB8AEA2" w14:textId="77777777" w:rsidR="00E1341B" w:rsidRDefault="0055482E" w:rsidP="00E1341B">
      <w:pPr>
        <w:spacing w:line="360" w:lineRule="auto"/>
        <w:rPr>
          <w:rFonts w:ascii="Arial" w:hAnsi="Arial" w:cs="Arial"/>
          <w:sz w:val="24"/>
          <w:szCs w:val="24"/>
        </w:rPr>
      </w:pPr>
      <w:r w:rsidRPr="0055482E">
        <w:rPr>
          <w:rFonts w:ascii="Arial" w:hAnsi="Arial" w:cs="Arial"/>
          <w:sz w:val="24"/>
          <w:szCs w:val="24"/>
        </w:rPr>
        <w:t xml:space="preserve">Digital </w:t>
      </w:r>
      <w:r w:rsidR="00E1341B">
        <w:rPr>
          <w:rFonts w:ascii="Arial" w:hAnsi="Arial" w:cs="Arial"/>
          <w:sz w:val="24"/>
          <w:szCs w:val="24"/>
        </w:rPr>
        <w:t>processes</w:t>
      </w:r>
      <w:r w:rsidRPr="0055482E">
        <w:rPr>
          <w:rFonts w:ascii="Arial" w:hAnsi="Arial" w:cs="Arial"/>
          <w:sz w:val="24"/>
          <w:szCs w:val="24"/>
        </w:rPr>
        <w:t xml:space="preserve"> may reduce paper handling and physical document processing. However, AI and digital infrastructure also consume energy. The International Energy Agency estimated that data centres used approximately 415 terawatt-hours of</w:t>
      </w:r>
      <w:r w:rsidRPr="0055482E">
        <w:rPr>
          <w:rFonts w:ascii="Arial" w:hAnsi="Arial" w:cs="Arial"/>
          <w:b/>
          <w:bCs/>
          <w:sz w:val="24"/>
          <w:szCs w:val="24"/>
        </w:rPr>
        <w:t xml:space="preserve"> </w:t>
      </w:r>
      <w:r w:rsidRPr="0055482E">
        <w:rPr>
          <w:rFonts w:ascii="Arial" w:hAnsi="Arial" w:cs="Arial"/>
          <w:sz w:val="24"/>
          <w:szCs w:val="24"/>
        </w:rPr>
        <w:t xml:space="preserve">electricity globally in 2024, around 1.5% of global electricity consumption </w:t>
      </w:r>
      <w:r w:rsidR="00E1341B" w:rsidRPr="00E1341B">
        <w:rPr>
          <w:rFonts w:ascii="Arial" w:hAnsi="Arial" w:cs="Arial"/>
          <w:sz w:val="24"/>
          <w:szCs w:val="24"/>
        </w:rPr>
        <w:t>(IEA, 2025a)</w:t>
      </w:r>
    </w:p>
    <w:p w14:paraId="545A13AC" w14:textId="569112A7" w:rsidR="00056649" w:rsidRDefault="00056649" w:rsidP="00056649">
      <w:pPr>
        <w:spacing w:line="360" w:lineRule="auto"/>
        <w:rPr>
          <w:rFonts w:ascii="Arial" w:hAnsi="Arial" w:cs="Arial"/>
          <w:sz w:val="24"/>
          <w:szCs w:val="24"/>
        </w:rPr>
      </w:pPr>
      <w:r>
        <w:rPr>
          <w:rFonts w:ascii="Arial" w:hAnsi="Arial" w:cs="Arial"/>
          <w:sz w:val="24"/>
          <w:szCs w:val="24"/>
        </w:rPr>
        <w:t xml:space="preserve">This shows that paper reduction does not automatically mean it is better for the environment, as AI also uses electricity and digital equipment. Starling should compare the overall </w:t>
      </w:r>
      <w:r w:rsidR="0055359D">
        <w:rPr>
          <w:rFonts w:ascii="Arial" w:hAnsi="Arial" w:cs="Arial"/>
          <w:sz w:val="24"/>
          <w:szCs w:val="24"/>
        </w:rPr>
        <w:t>impacts, which would benefit from having the ability to measure these impacts through reliable data</w:t>
      </w:r>
      <w:r w:rsidR="0087113A">
        <w:rPr>
          <w:rFonts w:ascii="Arial" w:hAnsi="Arial" w:cs="Arial"/>
          <w:sz w:val="24"/>
          <w:szCs w:val="24"/>
        </w:rPr>
        <w:t xml:space="preserve">, opposed to describing digital processes as “greener”. </w:t>
      </w:r>
      <w:r w:rsidRPr="00056649">
        <w:rPr>
          <w:rFonts w:ascii="Arial" w:hAnsi="Arial" w:cs="Arial"/>
          <w:sz w:val="24"/>
          <w:szCs w:val="24"/>
        </w:rPr>
        <w:t>Environmental impacts still matter over time, particularly when choosing technology suppliers and reviewing whether the change is successful.</w:t>
      </w:r>
    </w:p>
    <w:p w14:paraId="04409F7D" w14:textId="6AE2DF78" w:rsidR="00B56C5B" w:rsidRDefault="00B56C5B" w:rsidP="0055482E">
      <w:pPr>
        <w:spacing w:line="360" w:lineRule="auto"/>
        <w:rPr>
          <w:rFonts w:ascii="Arial" w:hAnsi="Arial" w:cs="Arial"/>
          <w:sz w:val="24"/>
          <w:szCs w:val="24"/>
        </w:rPr>
      </w:pPr>
      <w:r w:rsidRPr="00B56C5B">
        <w:rPr>
          <w:rFonts w:ascii="Arial" w:hAnsi="Arial" w:cs="Arial"/>
          <w:sz w:val="24"/>
          <w:szCs w:val="24"/>
        </w:rPr>
        <w:t>T</w:t>
      </w:r>
      <w:r>
        <w:rPr>
          <w:rFonts w:ascii="Arial" w:hAnsi="Arial" w:cs="Arial"/>
          <w:sz w:val="24"/>
          <w:szCs w:val="24"/>
        </w:rPr>
        <w:t xml:space="preserve">o summarise the findings of the PESTLE analysis shows that external forces create competing </w:t>
      </w:r>
      <w:r w:rsidR="00AE32BE">
        <w:rPr>
          <w:rFonts w:ascii="Arial" w:hAnsi="Arial" w:cs="Arial"/>
          <w:sz w:val="24"/>
          <w:szCs w:val="24"/>
        </w:rPr>
        <w:t xml:space="preserve">demands. Political and technological advancement, inspire change, economic </w:t>
      </w:r>
      <w:r w:rsidR="001B26A8">
        <w:rPr>
          <w:rFonts w:ascii="Arial" w:hAnsi="Arial" w:cs="Arial"/>
          <w:sz w:val="24"/>
          <w:szCs w:val="24"/>
        </w:rPr>
        <w:t xml:space="preserve">pressures favour efficiency and social and legal expectations </w:t>
      </w:r>
      <w:r w:rsidR="006979D5">
        <w:rPr>
          <w:rFonts w:ascii="Arial" w:hAnsi="Arial" w:cs="Arial"/>
          <w:sz w:val="24"/>
          <w:szCs w:val="24"/>
        </w:rPr>
        <w:t xml:space="preserve">dictate accuracy, accessibility and safeguards. These factors become </w:t>
      </w:r>
      <w:r w:rsidR="00A91DC4">
        <w:rPr>
          <w:rFonts w:ascii="Arial" w:hAnsi="Arial" w:cs="Arial"/>
          <w:sz w:val="24"/>
          <w:szCs w:val="24"/>
        </w:rPr>
        <w:t xml:space="preserve">organisational pressures through decision making and performance measures. </w:t>
      </w:r>
    </w:p>
    <w:p w14:paraId="15AA86BE" w14:textId="6553C5A0" w:rsidR="00560A8C" w:rsidRDefault="00A2549A" w:rsidP="0055482E">
      <w:pPr>
        <w:spacing w:line="360" w:lineRule="auto"/>
        <w:rPr>
          <w:rFonts w:ascii="Arial" w:hAnsi="Arial" w:cs="Arial"/>
          <w:sz w:val="24"/>
          <w:szCs w:val="24"/>
        </w:rPr>
      </w:pPr>
      <w:r>
        <w:rPr>
          <w:rFonts w:ascii="Arial" w:hAnsi="Arial" w:cs="Arial"/>
          <w:sz w:val="24"/>
          <w:szCs w:val="24"/>
        </w:rPr>
        <w:t xml:space="preserve">The cultural concern is whether employees view the implementation of AI as a positive change, that will improve internal processes, which in turn provides a better experience for the customer. Although there </w:t>
      </w:r>
      <w:r w:rsidR="00560A8C">
        <w:rPr>
          <w:rFonts w:ascii="Arial" w:hAnsi="Arial" w:cs="Arial"/>
          <w:sz w:val="24"/>
          <w:szCs w:val="24"/>
        </w:rPr>
        <w:t>have</w:t>
      </w:r>
      <w:r>
        <w:rPr>
          <w:rFonts w:ascii="Arial" w:hAnsi="Arial" w:cs="Arial"/>
          <w:sz w:val="24"/>
          <w:szCs w:val="24"/>
        </w:rPr>
        <w:t xml:space="preserve"> been redundancies on the initial launch, which has demotivated personnel, will this increase productivity in time and in turn lift morale.</w:t>
      </w:r>
      <w:r w:rsidR="00560A8C">
        <w:rPr>
          <w:rFonts w:ascii="Arial" w:hAnsi="Arial" w:cs="Arial"/>
          <w:sz w:val="24"/>
          <w:szCs w:val="24"/>
        </w:rPr>
        <w:t xml:space="preserve"> </w:t>
      </w:r>
      <w:r w:rsidR="0055482E" w:rsidRPr="0055482E">
        <w:rPr>
          <w:rFonts w:ascii="Arial" w:hAnsi="Arial" w:cs="Arial"/>
          <w:sz w:val="24"/>
          <w:szCs w:val="24"/>
        </w:rPr>
        <w:t xml:space="preserve">The principal capability challenge is retaining sufficient expertise to supervise automated processes and resolve complex cases. </w:t>
      </w:r>
      <w:r w:rsidR="00560A8C">
        <w:rPr>
          <w:rFonts w:ascii="Arial" w:hAnsi="Arial" w:cs="Arial"/>
          <w:sz w:val="24"/>
          <w:szCs w:val="24"/>
        </w:rPr>
        <w:t xml:space="preserve">This should be assessed on efficiency, quality control, customer experience and employee adaptability, which will determine if the change has strengthened the organisation capabilities. </w:t>
      </w:r>
    </w:p>
    <w:p w14:paraId="1E93CF63" w14:textId="77777777" w:rsidR="0055482E" w:rsidRPr="0055482E" w:rsidRDefault="0055482E" w:rsidP="0055482E">
      <w:pPr>
        <w:spacing w:line="360" w:lineRule="auto"/>
        <w:rPr>
          <w:rFonts w:ascii="Arial" w:hAnsi="Arial" w:cs="Arial"/>
          <w:sz w:val="24"/>
          <w:szCs w:val="24"/>
        </w:rPr>
      </w:pPr>
    </w:p>
    <w:p w14:paraId="33E345B0" w14:textId="77777777" w:rsidR="002627DF" w:rsidRDefault="002627DF" w:rsidP="00B158FC">
      <w:pPr>
        <w:spacing w:line="360" w:lineRule="auto"/>
        <w:rPr>
          <w:rFonts w:ascii="Arial" w:hAnsi="Arial" w:cs="Arial"/>
          <w:sz w:val="24"/>
          <w:szCs w:val="24"/>
        </w:rPr>
      </w:pPr>
    </w:p>
    <w:p w14:paraId="602295C6" w14:textId="77777777" w:rsidR="00AA2162" w:rsidRDefault="00AA2162" w:rsidP="00B158FC">
      <w:pPr>
        <w:spacing w:line="360" w:lineRule="auto"/>
        <w:rPr>
          <w:rFonts w:ascii="Arial" w:hAnsi="Arial" w:cs="Arial"/>
          <w:sz w:val="24"/>
          <w:szCs w:val="24"/>
        </w:rPr>
      </w:pPr>
    </w:p>
    <w:p w14:paraId="7943110F" w14:textId="77777777" w:rsidR="00AA2162" w:rsidRDefault="00AA2162" w:rsidP="00B158FC">
      <w:pPr>
        <w:spacing w:line="360" w:lineRule="auto"/>
        <w:rPr>
          <w:rFonts w:ascii="Arial" w:hAnsi="Arial" w:cs="Arial"/>
          <w:sz w:val="24"/>
          <w:szCs w:val="24"/>
        </w:rPr>
      </w:pPr>
    </w:p>
    <w:p w14:paraId="615C9058" w14:textId="0A471B0D" w:rsidR="00344091" w:rsidRDefault="00D914E6" w:rsidP="00B158FC">
      <w:pPr>
        <w:spacing w:line="360" w:lineRule="auto"/>
        <w:rPr>
          <w:rFonts w:ascii="Arial" w:hAnsi="Arial" w:cs="Arial"/>
          <w:b/>
          <w:bCs/>
          <w:sz w:val="24"/>
          <w:szCs w:val="24"/>
        </w:rPr>
      </w:pPr>
      <w:r w:rsidRPr="003D0F72">
        <w:rPr>
          <w:rFonts w:ascii="Arial" w:hAnsi="Arial" w:cs="Arial"/>
          <w:b/>
          <w:bCs/>
          <w:sz w:val="24"/>
          <w:szCs w:val="24"/>
        </w:rPr>
        <w:lastRenderedPageBreak/>
        <w:t>SWOT</w:t>
      </w:r>
    </w:p>
    <w:p w14:paraId="16DECAD6" w14:textId="0F5B120B" w:rsidR="00C14F53" w:rsidRDefault="001E6122" w:rsidP="00C14F53">
      <w:pPr>
        <w:spacing w:line="360" w:lineRule="auto"/>
        <w:rPr>
          <w:rFonts w:ascii="Arial" w:hAnsi="Arial" w:cs="Arial"/>
          <w:sz w:val="24"/>
          <w:szCs w:val="24"/>
        </w:rPr>
      </w:pPr>
      <w:r w:rsidRPr="001E6122">
        <w:rPr>
          <w:rFonts w:ascii="Arial" w:hAnsi="Arial" w:cs="Arial"/>
          <w:sz w:val="24"/>
          <w:szCs w:val="24"/>
        </w:rPr>
        <w:t xml:space="preserve">The </w:t>
      </w:r>
      <w:r w:rsidR="00C14F53">
        <w:rPr>
          <w:rFonts w:ascii="Arial" w:hAnsi="Arial" w:cs="Arial"/>
          <w:sz w:val="24"/>
          <w:szCs w:val="24"/>
        </w:rPr>
        <w:t xml:space="preserve">author completed a </w:t>
      </w:r>
      <w:r w:rsidRPr="001E6122">
        <w:rPr>
          <w:rFonts w:ascii="Arial" w:hAnsi="Arial" w:cs="Arial"/>
          <w:sz w:val="24"/>
          <w:szCs w:val="24"/>
        </w:rPr>
        <w:t>SWOT analysis</w:t>
      </w:r>
      <w:r w:rsidR="00C14F53">
        <w:rPr>
          <w:rFonts w:ascii="Arial" w:hAnsi="Arial" w:cs="Arial"/>
          <w:sz w:val="24"/>
          <w:szCs w:val="24"/>
        </w:rPr>
        <w:t xml:space="preserve"> - see </w:t>
      </w:r>
      <w:r w:rsidRPr="001E6122">
        <w:rPr>
          <w:rFonts w:ascii="Arial" w:hAnsi="Arial" w:cs="Arial"/>
          <w:sz w:val="24"/>
          <w:szCs w:val="24"/>
        </w:rPr>
        <w:t xml:space="preserve">Appendix </w:t>
      </w:r>
      <w:r w:rsidR="00A017F8">
        <w:rPr>
          <w:rFonts w:ascii="Arial" w:hAnsi="Arial" w:cs="Arial"/>
          <w:sz w:val="24"/>
          <w:szCs w:val="24"/>
        </w:rPr>
        <w:t xml:space="preserve">B, </w:t>
      </w:r>
      <w:r w:rsidR="00C14F53">
        <w:rPr>
          <w:rFonts w:ascii="Arial" w:hAnsi="Arial" w:cs="Arial"/>
          <w:sz w:val="24"/>
          <w:szCs w:val="24"/>
        </w:rPr>
        <w:t>which evaluates</w:t>
      </w:r>
      <w:r w:rsidRPr="001E6122">
        <w:rPr>
          <w:rFonts w:ascii="Arial" w:hAnsi="Arial" w:cs="Arial"/>
          <w:sz w:val="24"/>
          <w:szCs w:val="24"/>
        </w:rPr>
        <w:t xml:space="preserve"> Starling Bank’s </w:t>
      </w:r>
      <w:r w:rsidR="00C14F53">
        <w:rPr>
          <w:rFonts w:ascii="Arial" w:hAnsi="Arial" w:cs="Arial"/>
          <w:sz w:val="24"/>
          <w:szCs w:val="24"/>
        </w:rPr>
        <w:t xml:space="preserve">ability to effectively implement AI </w:t>
      </w:r>
      <w:r w:rsidRPr="001E6122">
        <w:rPr>
          <w:rFonts w:ascii="Arial" w:hAnsi="Arial" w:cs="Arial"/>
          <w:sz w:val="24"/>
          <w:szCs w:val="24"/>
        </w:rPr>
        <w:t xml:space="preserve">within </w:t>
      </w:r>
      <w:r w:rsidR="00C14F53">
        <w:rPr>
          <w:rFonts w:ascii="Arial" w:hAnsi="Arial" w:cs="Arial"/>
          <w:sz w:val="24"/>
          <w:szCs w:val="24"/>
        </w:rPr>
        <w:t xml:space="preserve">the </w:t>
      </w:r>
      <w:r w:rsidRPr="001E6122">
        <w:rPr>
          <w:rFonts w:ascii="Arial" w:hAnsi="Arial" w:cs="Arial"/>
          <w:sz w:val="24"/>
          <w:szCs w:val="24"/>
        </w:rPr>
        <w:t xml:space="preserve">customer </w:t>
      </w:r>
      <w:r w:rsidR="00C14F53">
        <w:rPr>
          <w:rFonts w:ascii="Arial" w:hAnsi="Arial" w:cs="Arial"/>
          <w:sz w:val="24"/>
          <w:szCs w:val="24"/>
        </w:rPr>
        <w:t xml:space="preserve">processes for identify verification. </w:t>
      </w:r>
      <w:r w:rsidRPr="001E6122">
        <w:rPr>
          <w:rFonts w:ascii="Arial" w:hAnsi="Arial" w:cs="Arial"/>
          <w:sz w:val="24"/>
          <w:szCs w:val="24"/>
        </w:rPr>
        <w:t xml:space="preserve">It </w:t>
      </w:r>
      <w:r w:rsidR="00C14F53">
        <w:rPr>
          <w:rFonts w:ascii="Arial" w:hAnsi="Arial" w:cs="Arial"/>
          <w:sz w:val="24"/>
          <w:szCs w:val="24"/>
        </w:rPr>
        <w:t xml:space="preserve">explores </w:t>
      </w:r>
      <w:r w:rsidRPr="001E6122">
        <w:rPr>
          <w:rFonts w:ascii="Arial" w:hAnsi="Arial" w:cs="Arial"/>
          <w:sz w:val="24"/>
          <w:szCs w:val="24"/>
        </w:rPr>
        <w:t>how internal organisational</w:t>
      </w:r>
      <w:r w:rsidR="00C14F53">
        <w:rPr>
          <w:rFonts w:ascii="Arial" w:hAnsi="Arial" w:cs="Arial"/>
          <w:sz w:val="24"/>
          <w:szCs w:val="24"/>
        </w:rPr>
        <w:t xml:space="preserve"> influences </w:t>
      </w:r>
      <w:r w:rsidRPr="001E6122">
        <w:rPr>
          <w:rFonts w:ascii="Arial" w:hAnsi="Arial" w:cs="Arial"/>
          <w:sz w:val="24"/>
          <w:szCs w:val="24"/>
        </w:rPr>
        <w:t xml:space="preserve">interact with external pressures and opportunities, with attention to workplace culture and capability. </w:t>
      </w:r>
    </w:p>
    <w:p w14:paraId="1D43AC1A" w14:textId="7590B13A" w:rsidR="00482525" w:rsidRDefault="00482525" w:rsidP="00C14F53">
      <w:pPr>
        <w:spacing w:line="360" w:lineRule="auto"/>
        <w:rPr>
          <w:rFonts w:ascii="Arial" w:hAnsi="Arial" w:cs="Arial"/>
          <w:sz w:val="24"/>
          <w:szCs w:val="24"/>
        </w:rPr>
      </w:pPr>
      <w:r>
        <w:rPr>
          <w:rFonts w:ascii="Arial" w:hAnsi="Arial" w:cs="Arial"/>
          <w:sz w:val="24"/>
          <w:szCs w:val="24"/>
        </w:rPr>
        <w:t>The analysis suggests that whilst advancing the technological aspect is a useful foundation how it is implemented, has a huge impact on its success. It is apparent that workplace culture can directly influence positive results, as well as skillset and available resource to perform effectively</w:t>
      </w:r>
      <w:r w:rsidR="000E58C9">
        <w:rPr>
          <w:rFonts w:ascii="Arial" w:hAnsi="Arial" w:cs="Arial"/>
          <w:sz w:val="24"/>
          <w:szCs w:val="24"/>
        </w:rPr>
        <w:t xml:space="preserve">. There are various elements to consider as they </w:t>
      </w:r>
      <w:r>
        <w:rPr>
          <w:rFonts w:ascii="Arial" w:hAnsi="Arial" w:cs="Arial"/>
          <w:sz w:val="24"/>
          <w:szCs w:val="24"/>
        </w:rPr>
        <w:t>are all closely connected</w:t>
      </w:r>
      <w:r w:rsidR="000E58C9">
        <w:rPr>
          <w:rFonts w:ascii="Arial" w:hAnsi="Arial" w:cs="Arial"/>
          <w:sz w:val="24"/>
          <w:szCs w:val="24"/>
        </w:rPr>
        <w:t>.</w:t>
      </w:r>
      <w:r>
        <w:rPr>
          <w:rFonts w:ascii="Arial" w:hAnsi="Arial" w:cs="Arial"/>
          <w:sz w:val="24"/>
          <w:szCs w:val="24"/>
        </w:rPr>
        <w:t xml:space="preserve"> </w:t>
      </w:r>
    </w:p>
    <w:p w14:paraId="7317D728" w14:textId="77777777" w:rsidR="00F66CBD" w:rsidRDefault="00F66CBD" w:rsidP="001E6122">
      <w:pPr>
        <w:spacing w:line="360" w:lineRule="auto"/>
        <w:rPr>
          <w:rFonts w:ascii="Arial" w:hAnsi="Arial" w:cs="Arial"/>
          <w:sz w:val="24"/>
          <w:szCs w:val="24"/>
        </w:rPr>
      </w:pPr>
    </w:p>
    <w:p w14:paraId="095E7224" w14:textId="77777777" w:rsidR="00E846BB" w:rsidRDefault="00E846BB" w:rsidP="001E6122">
      <w:pPr>
        <w:spacing w:line="360" w:lineRule="auto"/>
        <w:rPr>
          <w:rFonts w:ascii="Arial" w:hAnsi="Arial" w:cs="Arial"/>
          <w:sz w:val="24"/>
          <w:szCs w:val="24"/>
        </w:rPr>
      </w:pPr>
    </w:p>
    <w:p w14:paraId="468A513F" w14:textId="77777777" w:rsidR="00E846BB" w:rsidRDefault="00E846BB" w:rsidP="001E6122">
      <w:pPr>
        <w:spacing w:line="360" w:lineRule="auto"/>
        <w:rPr>
          <w:rFonts w:ascii="Arial" w:hAnsi="Arial" w:cs="Arial"/>
          <w:sz w:val="24"/>
          <w:szCs w:val="24"/>
        </w:rPr>
      </w:pPr>
    </w:p>
    <w:p w14:paraId="64C02FAA" w14:textId="1244F570" w:rsidR="00E846BB" w:rsidRPr="006C203E" w:rsidRDefault="00E846BB" w:rsidP="00E846BB">
      <w:pPr>
        <w:spacing w:line="360" w:lineRule="auto"/>
        <w:rPr>
          <w:rFonts w:ascii="Arial" w:hAnsi="Arial" w:cs="Arial"/>
          <w:b/>
          <w:bCs/>
          <w:sz w:val="24"/>
          <w:szCs w:val="24"/>
        </w:rPr>
      </w:pPr>
    </w:p>
    <w:p w14:paraId="2F201DB4" w14:textId="77777777" w:rsidR="00E846BB" w:rsidRDefault="00E846BB" w:rsidP="001E6122">
      <w:pPr>
        <w:spacing w:line="360" w:lineRule="auto"/>
        <w:rPr>
          <w:rFonts w:ascii="Arial" w:hAnsi="Arial" w:cs="Arial"/>
          <w:sz w:val="24"/>
          <w:szCs w:val="24"/>
        </w:rPr>
      </w:pPr>
    </w:p>
    <w:p w14:paraId="7E236596" w14:textId="77777777" w:rsidR="00AF6B3E" w:rsidRDefault="00AF6B3E" w:rsidP="001E6122">
      <w:pPr>
        <w:spacing w:line="360" w:lineRule="auto"/>
        <w:rPr>
          <w:rFonts w:ascii="Arial" w:hAnsi="Arial" w:cs="Arial"/>
          <w:sz w:val="24"/>
          <w:szCs w:val="24"/>
        </w:rPr>
      </w:pPr>
    </w:p>
    <w:p w14:paraId="56671845" w14:textId="77777777" w:rsidR="00E846BB" w:rsidRDefault="00E846BB" w:rsidP="001E6122">
      <w:pPr>
        <w:spacing w:line="360" w:lineRule="auto"/>
        <w:rPr>
          <w:rFonts w:ascii="Arial" w:hAnsi="Arial" w:cs="Arial"/>
          <w:sz w:val="24"/>
          <w:szCs w:val="24"/>
        </w:rPr>
      </w:pPr>
    </w:p>
    <w:p w14:paraId="62DD12EB" w14:textId="77777777" w:rsidR="006C203E" w:rsidRDefault="006C203E" w:rsidP="001E6122">
      <w:pPr>
        <w:spacing w:line="360" w:lineRule="auto"/>
        <w:rPr>
          <w:rFonts w:ascii="Arial" w:hAnsi="Arial" w:cs="Arial"/>
          <w:sz w:val="24"/>
          <w:szCs w:val="24"/>
        </w:rPr>
      </w:pPr>
    </w:p>
    <w:p w14:paraId="2967870C" w14:textId="77777777" w:rsidR="004B20F4" w:rsidRDefault="004B20F4" w:rsidP="001E6122">
      <w:pPr>
        <w:spacing w:line="360" w:lineRule="auto"/>
        <w:rPr>
          <w:rFonts w:ascii="Arial" w:hAnsi="Arial" w:cs="Arial"/>
          <w:sz w:val="24"/>
          <w:szCs w:val="24"/>
        </w:rPr>
      </w:pPr>
    </w:p>
    <w:p w14:paraId="434162C1" w14:textId="77777777" w:rsidR="004B20F4" w:rsidRDefault="004B20F4" w:rsidP="001E6122">
      <w:pPr>
        <w:spacing w:line="360" w:lineRule="auto"/>
        <w:rPr>
          <w:rFonts w:ascii="Arial" w:hAnsi="Arial" w:cs="Arial"/>
          <w:sz w:val="24"/>
          <w:szCs w:val="24"/>
        </w:rPr>
      </w:pPr>
    </w:p>
    <w:p w14:paraId="5F71181F" w14:textId="77777777" w:rsidR="004B20F4" w:rsidRDefault="004B20F4" w:rsidP="001E6122">
      <w:pPr>
        <w:spacing w:line="360" w:lineRule="auto"/>
        <w:rPr>
          <w:rFonts w:ascii="Arial" w:hAnsi="Arial" w:cs="Arial"/>
          <w:sz w:val="24"/>
          <w:szCs w:val="24"/>
        </w:rPr>
      </w:pPr>
    </w:p>
    <w:p w14:paraId="5FF7B00C" w14:textId="77777777" w:rsidR="004B20F4" w:rsidRDefault="004B20F4" w:rsidP="001E6122">
      <w:pPr>
        <w:spacing w:line="360" w:lineRule="auto"/>
        <w:rPr>
          <w:rFonts w:ascii="Arial" w:hAnsi="Arial" w:cs="Arial"/>
          <w:sz w:val="24"/>
          <w:szCs w:val="24"/>
        </w:rPr>
      </w:pPr>
    </w:p>
    <w:p w14:paraId="2400A25B" w14:textId="77777777" w:rsidR="004B20F4" w:rsidRDefault="004B20F4" w:rsidP="001E6122">
      <w:pPr>
        <w:spacing w:line="360" w:lineRule="auto"/>
        <w:rPr>
          <w:rFonts w:ascii="Arial" w:hAnsi="Arial" w:cs="Arial"/>
          <w:sz w:val="24"/>
          <w:szCs w:val="24"/>
        </w:rPr>
      </w:pPr>
    </w:p>
    <w:p w14:paraId="77813E93" w14:textId="77777777" w:rsidR="004B20F4" w:rsidRDefault="004B20F4" w:rsidP="001E6122">
      <w:pPr>
        <w:spacing w:line="360" w:lineRule="auto"/>
        <w:rPr>
          <w:rFonts w:ascii="Arial" w:hAnsi="Arial" w:cs="Arial"/>
          <w:sz w:val="24"/>
          <w:szCs w:val="24"/>
        </w:rPr>
      </w:pPr>
    </w:p>
    <w:p w14:paraId="63136B19" w14:textId="77777777" w:rsidR="006C203E" w:rsidRPr="001E6122" w:rsidRDefault="006C203E" w:rsidP="001E6122">
      <w:pPr>
        <w:spacing w:line="360" w:lineRule="auto"/>
        <w:rPr>
          <w:rFonts w:ascii="Arial" w:hAnsi="Arial" w:cs="Arial"/>
          <w:sz w:val="24"/>
          <w:szCs w:val="24"/>
        </w:rPr>
      </w:pPr>
    </w:p>
    <w:p w14:paraId="47EAFF85" w14:textId="77777777" w:rsidR="001E6122" w:rsidRDefault="001E6122" w:rsidP="001E6122">
      <w:pPr>
        <w:spacing w:line="360" w:lineRule="auto"/>
        <w:rPr>
          <w:rFonts w:ascii="Arial" w:hAnsi="Arial" w:cs="Arial"/>
          <w:b/>
          <w:bCs/>
          <w:sz w:val="24"/>
          <w:szCs w:val="24"/>
        </w:rPr>
      </w:pPr>
      <w:r w:rsidRPr="001E6122">
        <w:rPr>
          <w:rFonts w:ascii="Arial" w:hAnsi="Arial" w:cs="Arial"/>
          <w:b/>
          <w:bCs/>
          <w:sz w:val="24"/>
          <w:szCs w:val="24"/>
        </w:rPr>
        <w:lastRenderedPageBreak/>
        <w:t>Strengths</w:t>
      </w:r>
    </w:p>
    <w:p w14:paraId="1D596923" w14:textId="57E6D40D" w:rsidR="001E6122" w:rsidRDefault="00AF6B3E" w:rsidP="001E6122">
      <w:pPr>
        <w:spacing w:line="360" w:lineRule="auto"/>
        <w:rPr>
          <w:rFonts w:ascii="Arial" w:hAnsi="Arial" w:cs="Arial"/>
          <w:sz w:val="24"/>
          <w:szCs w:val="24"/>
        </w:rPr>
      </w:pPr>
      <w:r w:rsidRPr="00AF6B3E">
        <w:rPr>
          <w:rFonts w:ascii="Arial" w:hAnsi="Arial" w:cs="Arial"/>
          <w:sz w:val="24"/>
          <w:szCs w:val="24"/>
        </w:rPr>
        <w:t xml:space="preserve">Starling Bank </w:t>
      </w:r>
      <w:r>
        <w:rPr>
          <w:rFonts w:ascii="Arial" w:hAnsi="Arial" w:cs="Arial"/>
          <w:sz w:val="24"/>
          <w:szCs w:val="24"/>
        </w:rPr>
        <w:t>is a digital</w:t>
      </w:r>
      <w:r w:rsidR="00514DE4">
        <w:rPr>
          <w:rFonts w:ascii="Arial" w:hAnsi="Arial" w:cs="Arial"/>
          <w:sz w:val="24"/>
          <w:szCs w:val="24"/>
        </w:rPr>
        <w:t xml:space="preserve"> only bank and does not have any high street branches. This provides the basis they are experienced in integrating new technological systems, which would include AI development. </w:t>
      </w:r>
      <w:r w:rsidR="001C46AD">
        <w:rPr>
          <w:rFonts w:ascii="Arial" w:hAnsi="Arial" w:cs="Arial"/>
          <w:sz w:val="24"/>
          <w:szCs w:val="24"/>
        </w:rPr>
        <w:t>However, process change, regardless of digital or face to face requires various elements to be considered to have a productive outcome.</w:t>
      </w:r>
    </w:p>
    <w:p w14:paraId="4B767D38" w14:textId="483A85EC" w:rsidR="00196FBC" w:rsidRDefault="00336771" w:rsidP="001E6122">
      <w:pPr>
        <w:spacing w:line="360" w:lineRule="auto"/>
        <w:rPr>
          <w:rFonts w:ascii="Arial" w:hAnsi="Arial" w:cs="Arial"/>
          <w:sz w:val="24"/>
          <w:szCs w:val="24"/>
        </w:rPr>
      </w:pPr>
      <w:r>
        <w:rPr>
          <w:rFonts w:ascii="Arial" w:hAnsi="Arial" w:cs="Arial"/>
          <w:sz w:val="24"/>
          <w:szCs w:val="24"/>
        </w:rPr>
        <w:t xml:space="preserve">Employees skillset is another strength. Whilst working at Starling’s, the student has trained for three different job roles, which has enhanced their skillet. Specialists in a particular are, can naturally be very productive to the business needs as they have the ability to work in different areas of the organisation, complexed cases and increased knowledge of procedures. </w:t>
      </w:r>
      <w:r w:rsidR="006879F8">
        <w:rPr>
          <w:rFonts w:ascii="Arial" w:hAnsi="Arial" w:cs="Arial"/>
          <w:sz w:val="24"/>
          <w:szCs w:val="24"/>
        </w:rPr>
        <w:t xml:space="preserve">Whilst the AI generation was first implemented the author did not particularly feel her job security was compromised, as she had the experience in </w:t>
      </w:r>
      <w:r w:rsidR="00043386">
        <w:rPr>
          <w:rFonts w:ascii="Arial" w:hAnsi="Arial" w:cs="Arial"/>
          <w:sz w:val="24"/>
          <w:szCs w:val="24"/>
        </w:rPr>
        <w:t xml:space="preserve">various departments. This would later be proven to be positive. </w:t>
      </w:r>
      <w:r w:rsidR="00196FBC">
        <w:rPr>
          <w:rFonts w:ascii="Arial" w:hAnsi="Arial" w:cs="Arial"/>
          <w:sz w:val="24"/>
          <w:szCs w:val="24"/>
        </w:rPr>
        <w:t>With dual training being at Starling’s focus, high knowledge of procedures across the board, supports the implementation of AI.</w:t>
      </w:r>
    </w:p>
    <w:p w14:paraId="5C001A57" w14:textId="67BE034F" w:rsidR="001E6122" w:rsidRDefault="00F66CBD" w:rsidP="001E6122">
      <w:pPr>
        <w:spacing w:line="360" w:lineRule="auto"/>
        <w:rPr>
          <w:rFonts w:ascii="Arial" w:hAnsi="Arial" w:cs="Arial"/>
          <w:sz w:val="24"/>
          <w:szCs w:val="24"/>
        </w:rPr>
      </w:pPr>
      <w:r w:rsidRPr="00F66CBD">
        <w:rPr>
          <w:rFonts w:ascii="Arial" w:hAnsi="Arial" w:cs="Arial"/>
          <w:sz w:val="24"/>
          <w:szCs w:val="24"/>
        </w:rPr>
        <w:t>(Barney, 1991)</w:t>
      </w:r>
      <w:r w:rsidR="001E6122" w:rsidRPr="001E6122">
        <w:rPr>
          <w:rFonts w:ascii="Arial" w:hAnsi="Arial" w:cs="Arial"/>
          <w:sz w:val="24"/>
          <w:szCs w:val="24"/>
        </w:rPr>
        <w:t xml:space="preserve"> </w:t>
      </w:r>
      <w:r w:rsidR="001C3161">
        <w:rPr>
          <w:rFonts w:ascii="Arial" w:hAnsi="Arial" w:cs="Arial"/>
          <w:sz w:val="24"/>
          <w:szCs w:val="24"/>
        </w:rPr>
        <w:t>argues, r</w:t>
      </w:r>
      <w:r w:rsidR="001E6122" w:rsidRPr="001E6122">
        <w:rPr>
          <w:rFonts w:ascii="Arial" w:hAnsi="Arial" w:cs="Arial"/>
          <w:sz w:val="24"/>
          <w:szCs w:val="24"/>
        </w:rPr>
        <w:t>esources offer the potential for sustained competitive advantage when they are valuable, rare, difficult to imitate and lack equivalent substitutes. Applied to Starling, access to a commercially available AI tool would not necessarily provide lasting differentiation. A stronger potential advantage would arise from combining technology with specialist knowledge, effective processes and organisational learning.</w:t>
      </w:r>
    </w:p>
    <w:p w14:paraId="499DD972" w14:textId="77777777" w:rsidR="00196FBC" w:rsidRDefault="00196FBC" w:rsidP="001E6122">
      <w:pPr>
        <w:spacing w:line="360" w:lineRule="auto"/>
        <w:rPr>
          <w:rFonts w:ascii="Arial" w:hAnsi="Arial" w:cs="Arial"/>
          <w:sz w:val="24"/>
          <w:szCs w:val="24"/>
        </w:rPr>
      </w:pPr>
    </w:p>
    <w:p w14:paraId="21923A70" w14:textId="77777777" w:rsidR="00196FBC" w:rsidRDefault="00196FBC" w:rsidP="001E6122">
      <w:pPr>
        <w:spacing w:line="360" w:lineRule="auto"/>
        <w:rPr>
          <w:rFonts w:ascii="Arial" w:hAnsi="Arial" w:cs="Arial"/>
          <w:sz w:val="24"/>
          <w:szCs w:val="24"/>
        </w:rPr>
      </w:pPr>
    </w:p>
    <w:p w14:paraId="6D11C492" w14:textId="77777777" w:rsidR="00196FBC" w:rsidRDefault="00196FBC" w:rsidP="001E6122">
      <w:pPr>
        <w:spacing w:line="360" w:lineRule="auto"/>
        <w:rPr>
          <w:rFonts w:ascii="Arial" w:hAnsi="Arial" w:cs="Arial"/>
          <w:sz w:val="24"/>
          <w:szCs w:val="24"/>
        </w:rPr>
      </w:pPr>
    </w:p>
    <w:p w14:paraId="1F9949FB" w14:textId="77777777" w:rsidR="00196FBC" w:rsidRDefault="00196FBC" w:rsidP="001E6122">
      <w:pPr>
        <w:spacing w:line="360" w:lineRule="auto"/>
        <w:rPr>
          <w:rFonts w:ascii="Arial" w:hAnsi="Arial" w:cs="Arial"/>
          <w:sz w:val="24"/>
          <w:szCs w:val="24"/>
        </w:rPr>
      </w:pPr>
    </w:p>
    <w:p w14:paraId="66755B97" w14:textId="77777777" w:rsidR="00196FBC" w:rsidRDefault="00196FBC" w:rsidP="001E6122">
      <w:pPr>
        <w:spacing w:line="360" w:lineRule="auto"/>
        <w:rPr>
          <w:rFonts w:ascii="Arial" w:hAnsi="Arial" w:cs="Arial"/>
          <w:sz w:val="24"/>
          <w:szCs w:val="24"/>
        </w:rPr>
      </w:pPr>
    </w:p>
    <w:p w14:paraId="3820D053" w14:textId="77777777" w:rsidR="00196FBC" w:rsidRDefault="00196FBC" w:rsidP="001E6122">
      <w:pPr>
        <w:spacing w:line="360" w:lineRule="auto"/>
        <w:rPr>
          <w:rFonts w:ascii="Arial" w:hAnsi="Arial" w:cs="Arial"/>
          <w:sz w:val="24"/>
          <w:szCs w:val="24"/>
        </w:rPr>
      </w:pPr>
    </w:p>
    <w:p w14:paraId="212DB002" w14:textId="77777777" w:rsidR="00196FBC" w:rsidRDefault="00196FBC" w:rsidP="001E6122">
      <w:pPr>
        <w:spacing w:line="360" w:lineRule="auto"/>
        <w:rPr>
          <w:rFonts w:ascii="Arial" w:hAnsi="Arial" w:cs="Arial"/>
          <w:sz w:val="24"/>
          <w:szCs w:val="24"/>
        </w:rPr>
      </w:pPr>
    </w:p>
    <w:p w14:paraId="0AFF59A5" w14:textId="77777777" w:rsidR="001E6122" w:rsidRDefault="001E6122" w:rsidP="001E6122">
      <w:pPr>
        <w:spacing w:line="360" w:lineRule="auto"/>
        <w:rPr>
          <w:rFonts w:ascii="Arial" w:hAnsi="Arial" w:cs="Arial"/>
          <w:b/>
          <w:bCs/>
          <w:sz w:val="24"/>
          <w:szCs w:val="24"/>
        </w:rPr>
      </w:pPr>
      <w:r w:rsidRPr="001E6122">
        <w:rPr>
          <w:rFonts w:ascii="Arial" w:hAnsi="Arial" w:cs="Arial"/>
          <w:b/>
          <w:bCs/>
          <w:sz w:val="24"/>
          <w:szCs w:val="24"/>
        </w:rPr>
        <w:lastRenderedPageBreak/>
        <w:t>Weaknesses</w:t>
      </w:r>
    </w:p>
    <w:p w14:paraId="0309FA4A" w14:textId="6E23770D" w:rsidR="004655E2" w:rsidRDefault="00196FBC" w:rsidP="001E6122">
      <w:pPr>
        <w:spacing w:line="360" w:lineRule="auto"/>
        <w:rPr>
          <w:rFonts w:ascii="Arial" w:hAnsi="Arial" w:cs="Arial"/>
          <w:sz w:val="24"/>
          <w:szCs w:val="24"/>
        </w:rPr>
      </w:pPr>
      <w:r w:rsidRPr="00196FBC">
        <w:rPr>
          <w:rFonts w:ascii="Arial" w:hAnsi="Arial" w:cs="Arial"/>
          <w:sz w:val="24"/>
          <w:szCs w:val="24"/>
        </w:rPr>
        <w:t xml:space="preserve">The SWOT </w:t>
      </w:r>
      <w:r>
        <w:rPr>
          <w:rFonts w:ascii="Arial" w:hAnsi="Arial" w:cs="Arial"/>
          <w:sz w:val="24"/>
          <w:szCs w:val="24"/>
        </w:rPr>
        <w:t xml:space="preserve">identifies the potential difference in employee compared to AI as a possible weakness. </w:t>
      </w:r>
      <w:r w:rsidR="004655E2">
        <w:rPr>
          <w:rFonts w:ascii="Arial" w:hAnsi="Arial" w:cs="Arial"/>
          <w:sz w:val="24"/>
          <w:szCs w:val="24"/>
        </w:rPr>
        <w:t xml:space="preserve">In the event, AI generates incorrect information and/or does not highlight error, it is important employees have the ability and confidence to manage. Such differences could create an inconsistency within the business and affect confidence in personnel. This shows how a potential strength can also become a weakness, if not implemented correctly. </w:t>
      </w:r>
    </w:p>
    <w:p w14:paraId="18A555C7" w14:textId="151AE14D" w:rsidR="004655E2" w:rsidRDefault="004655E2" w:rsidP="001E6122">
      <w:pPr>
        <w:spacing w:line="360" w:lineRule="auto"/>
        <w:rPr>
          <w:rFonts w:ascii="Arial" w:hAnsi="Arial" w:cs="Arial"/>
          <w:sz w:val="24"/>
          <w:szCs w:val="24"/>
        </w:rPr>
      </w:pPr>
      <w:r>
        <w:rPr>
          <w:rFonts w:ascii="Arial" w:hAnsi="Arial" w:cs="Arial"/>
          <w:sz w:val="24"/>
          <w:szCs w:val="24"/>
        </w:rPr>
        <w:t>Training is fundamental and should develop critical evaluation along with product knowledge and technical operations. The author acknowledges the gap in training requirements</w:t>
      </w:r>
      <w:r w:rsidR="00333A40">
        <w:rPr>
          <w:rFonts w:ascii="Arial" w:hAnsi="Arial" w:cs="Arial"/>
          <w:sz w:val="24"/>
          <w:szCs w:val="24"/>
        </w:rPr>
        <w:t xml:space="preserve">, within the company, </w:t>
      </w:r>
      <w:r>
        <w:rPr>
          <w:rFonts w:ascii="Arial" w:hAnsi="Arial" w:cs="Arial"/>
          <w:sz w:val="24"/>
          <w:szCs w:val="24"/>
        </w:rPr>
        <w:t xml:space="preserve">despite constant change </w:t>
      </w:r>
      <w:r w:rsidR="00333A40">
        <w:rPr>
          <w:rFonts w:ascii="Arial" w:hAnsi="Arial" w:cs="Arial"/>
          <w:sz w:val="24"/>
          <w:szCs w:val="24"/>
        </w:rPr>
        <w:t xml:space="preserve">internally. </w:t>
      </w:r>
    </w:p>
    <w:p w14:paraId="2DA9A0A5" w14:textId="30843571" w:rsidR="00516071" w:rsidRDefault="00516071" w:rsidP="001E6122">
      <w:pPr>
        <w:spacing w:line="360" w:lineRule="auto"/>
        <w:rPr>
          <w:rFonts w:ascii="Arial" w:hAnsi="Arial" w:cs="Arial"/>
          <w:sz w:val="24"/>
          <w:szCs w:val="24"/>
        </w:rPr>
      </w:pPr>
      <w:r>
        <w:rPr>
          <w:rFonts w:ascii="Arial" w:hAnsi="Arial" w:cs="Arial"/>
          <w:sz w:val="24"/>
          <w:szCs w:val="24"/>
        </w:rPr>
        <w:t xml:space="preserve">Although AI may reduce initial processing time, how effective the information obtained or further assistance required by the customer remains unclear if the overall process is more productive. A faster process does not necessarily mean a more effective one. </w:t>
      </w:r>
    </w:p>
    <w:p w14:paraId="1AC26DFE" w14:textId="390BDF01" w:rsidR="00516071" w:rsidRDefault="00516071" w:rsidP="001E6122">
      <w:pPr>
        <w:spacing w:line="360" w:lineRule="auto"/>
        <w:rPr>
          <w:rFonts w:ascii="Arial" w:hAnsi="Arial" w:cs="Arial"/>
          <w:sz w:val="24"/>
          <w:szCs w:val="24"/>
        </w:rPr>
      </w:pPr>
      <w:r>
        <w:rPr>
          <w:rFonts w:ascii="Arial" w:hAnsi="Arial" w:cs="Arial"/>
          <w:sz w:val="24"/>
          <w:szCs w:val="24"/>
        </w:rPr>
        <w:t xml:space="preserve">Being over reliant on any system may present potential weakness. Employees may accept the outcome of a result from the system, opposed to checking if it is accurate. This could potentially also weaken product knowledge of </w:t>
      </w:r>
      <w:r w:rsidR="00ED4120">
        <w:rPr>
          <w:rFonts w:ascii="Arial" w:hAnsi="Arial" w:cs="Arial"/>
          <w:sz w:val="24"/>
          <w:szCs w:val="24"/>
        </w:rPr>
        <w:t>employees</w:t>
      </w:r>
      <w:r>
        <w:rPr>
          <w:rFonts w:ascii="Arial" w:hAnsi="Arial" w:cs="Arial"/>
          <w:sz w:val="24"/>
          <w:szCs w:val="24"/>
        </w:rPr>
        <w:t xml:space="preserve"> over time. </w:t>
      </w:r>
      <w:r w:rsidR="00ED4120">
        <w:rPr>
          <w:rFonts w:ascii="Arial" w:hAnsi="Arial" w:cs="Arial"/>
          <w:sz w:val="24"/>
          <w:szCs w:val="24"/>
        </w:rPr>
        <w:t xml:space="preserve">This could be seen as counterproductive, in terms of cross training in a certain area, to </w:t>
      </w:r>
      <w:r w:rsidR="00D24419">
        <w:rPr>
          <w:rFonts w:ascii="Arial" w:hAnsi="Arial" w:cs="Arial"/>
          <w:sz w:val="24"/>
          <w:szCs w:val="24"/>
        </w:rPr>
        <w:t>lose</w:t>
      </w:r>
      <w:r w:rsidR="00ED4120">
        <w:rPr>
          <w:rFonts w:ascii="Arial" w:hAnsi="Arial" w:cs="Arial"/>
          <w:sz w:val="24"/>
          <w:szCs w:val="24"/>
        </w:rPr>
        <w:t xml:space="preserve"> knowledge in another. </w:t>
      </w:r>
    </w:p>
    <w:p w14:paraId="491F31F4" w14:textId="3999AC37" w:rsidR="00D24419" w:rsidRDefault="001E6122" w:rsidP="001E6122">
      <w:pPr>
        <w:spacing w:line="360" w:lineRule="auto"/>
        <w:rPr>
          <w:rFonts w:ascii="Arial" w:hAnsi="Arial" w:cs="Arial"/>
          <w:sz w:val="24"/>
          <w:szCs w:val="24"/>
        </w:rPr>
      </w:pPr>
      <w:r w:rsidRPr="001E6122">
        <w:rPr>
          <w:rFonts w:ascii="Arial" w:hAnsi="Arial" w:cs="Arial"/>
          <w:sz w:val="24"/>
          <w:szCs w:val="24"/>
        </w:rPr>
        <w:t xml:space="preserve">Uncertainty about responsibilities could </w:t>
      </w:r>
      <w:r w:rsidR="00D24419">
        <w:rPr>
          <w:rFonts w:ascii="Arial" w:hAnsi="Arial" w:cs="Arial"/>
          <w:sz w:val="24"/>
          <w:szCs w:val="24"/>
        </w:rPr>
        <w:t xml:space="preserve">also present challenges if senior personnel heavily support AI without clearly defining a process whereby employee input is required. Failing to do so would cause confusion amongst personnel and possibly affect customer service. </w:t>
      </w:r>
    </w:p>
    <w:p w14:paraId="4A48AABF" w14:textId="6E2E661A" w:rsidR="00D56E29" w:rsidRDefault="001E6122" w:rsidP="001E6122">
      <w:pPr>
        <w:spacing w:line="360" w:lineRule="auto"/>
        <w:rPr>
          <w:rFonts w:ascii="Arial" w:hAnsi="Arial" w:cs="Arial"/>
          <w:sz w:val="24"/>
          <w:szCs w:val="24"/>
        </w:rPr>
      </w:pPr>
      <w:r w:rsidRPr="001E6122">
        <w:rPr>
          <w:rFonts w:ascii="Arial" w:hAnsi="Arial" w:cs="Arial"/>
          <w:sz w:val="24"/>
          <w:szCs w:val="24"/>
        </w:rPr>
        <w:t xml:space="preserve">Edmondson (1999) found an association between team psychological safety and learning behaviour. Applied </w:t>
      </w:r>
      <w:r w:rsidR="00D56E29">
        <w:rPr>
          <w:rFonts w:ascii="Arial" w:hAnsi="Arial" w:cs="Arial"/>
          <w:sz w:val="24"/>
          <w:szCs w:val="24"/>
        </w:rPr>
        <w:t>at Starling</w:t>
      </w:r>
      <w:r w:rsidRPr="001E6122">
        <w:rPr>
          <w:rFonts w:ascii="Arial" w:hAnsi="Arial" w:cs="Arial"/>
          <w:sz w:val="24"/>
          <w:szCs w:val="24"/>
        </w:rPr>
        <w:t xml:space="preserve">, </w:t>
      </w:r>
      <w:r w:rsidR="00D56E29">
        <w:rPr>
          <w:rFonts w:ascii="Arial" w:hAnsi="Arial" w:cs="Arial"/>
          <w:sz w:val="24"/>
          <w:szCs w:val="24"/>
        </w:rPr>
        <w:t>employees should have the confidence and be given the opportunity to question AI responses and report any issues that may arise without any repercussion.</w:t>
      </w:r>
    </w:p>
    <w:p w14:paraId="4C2E61ED" w14:textId="77777777" w:rsidR="001A7744" w:rsidRDefault="001A7744" w:rsidP="001E6122">
      <w:pPr>
        <w:spacing w:line="360" w:lineRule="auto"/>
        <w:rPr>
          <w:rFonts w:ascii="Arial" w:hAnsi="Arial" w:cs="Arial"/>
          <w:sz w:val="24"/>
          <w:szCs w:val="24"/>
        </w:rPr>
      </w:pPr>
    </w:p>
    <w:p w14:paraId="14C8EFAF" w14:textId="77777777" w:rsidR="001A7744" w:rsidRDefault="001A7744" w:rsidP="001E6122">
      <w:pPr>
        <w:spacing w:line="360" w:lineRule="auto"/>
        <w:rPr>
          <w:rFonts w:ascii="Arial" w:hAnsi="Arial" w:cs="Arial"/>
          <w:sz w:val="24"/>
          <w:szCs w:val="24"/>
        </w:rPr>
      </w:pPr>
    </w:p>
    <w:p w14:paraId="5EF3ECB2" w14:textId="77777777" w:rsidR="001E6122" w:rsidRDefault="001E6122" w:rsidP="001E6122">
      <w:pPr>
        <w:spacing w:line="360" w:lineRule="auto"/>
        <w:rPr>
          <w:rFonts w:ascii="Arial" w:hAnsi="Arial" w:cs="Arial"/>
          <w:b/>
          <w:bCs/>
          <w:sz w:val="24"/>
          <w:szCs w:val="24"/>
        </w:rPr>
      </w:pPr>
      <w:r w:rsidRPr="001E6122">
        <w:rPr>
          <w:rFonts w:ascii="Arial" w:hAnsi="Arial" w:cs="Arial"/>
          <w:b/>
          <w:bCs/>
          <w:sz w:val="24"/>
          <w:szCs w:val="24"/>
        </w:rPr>
        <w:lastRenderedPageBreak/>
        <w:t>Opportunities</w:t>
      </w:r>
    </w:p>
    <w:p w14:paraId="3C3851A5" w14:textId="05DDC589" w:rsidR="001A7744" w:rsidRDefault="001A7744" w:rsidP="001E6122">
      <w:pPr>
        <w:spacing w:line="360" w:lineRule="auto"/>
        <w:rPr>
          <w:rFonts w:ascii="Arial" w:hAnsi="Arial" w:cs="Arial"/>
          <w:sz w:val="24"/>
          <w:szCs w:val="24"/>
        </w:rPr>
      </w:pPr>
      <w:r w:rsidRPr="001A7744">
        <w:rPr>
          <w:rFonts w:ascii="Arial" w:hAnsi="Arial" w:cs="Arial"/>
          <w:sz w:val="24"/>
          <w:szCs w:val="24"/>
        </w:rPr>
        <w:t xml:space="preserve">Developments </w:t>
      </w:r>
      <w:r>
        <w:rPr>
          <w:rFonts w:ascii="Arial" w:hAnsi="Arial" w:cs="Arial"/>
          <w:sz w:val="24"/>
          <w:szCs w:val="24"/>
        </w:rPr>
        <w:t xml:space="preserve">in AI </w:t>
      </w:r>
      <w:r w:rsidR="008A0D33">
        <w:rPr>
          <w:rFonts w:ascii="Arial" w:hAnsi="Arial" w:cs="Arial"/>
          <w:sz w:val="24"/>
          <w:szCs w:val="24"/>
        </w:rPr>
        <w:t xml:space="preserve">to verify documents creates an external opportunity for a quick process. Society is now fast paced and people want to undertake tasks quickly. The author would choose a process which is quick and effective over one with a longer turn around. With this particular function, documents are verified and the account is open ready to use immediately. This may possibly attract additional business. </w:t>
      </w:r>
    </w:p>
    <w:p w14:paraId="7B487709" w14:textId="79A7758E" w:rsidR="008A0D33" w:rsidRDefault="008A0D33" w:rsidP="001E6122">
      <w:pPr>
        <w:spacing w:line="360" w:lineRule="auto"/>
        <w:rPr>
          <w:rFonts w:ascii="Arial" w:hAnsi="Arial" w:cs="Arial"/>
          <w:sz w:val="24"/>
          <w:szCs w:val="24"/>
        </w:rPr>
      </w:pPr>
      <w:r>
        <w:rPr>
          <w:rFonts w:ascii="Arial" w:hAnsi="Arial" w:cs="Arial"/>
          <w:sz w:val="24"/>
          <w:szCs w:val="24"/>
        </w:rPr>
        <w:t xml:space="preserve">As outlined above, providing the processes is implemented efficiently, it allows internal staff to focus on other duties which can enhance the customer experience. </w:t>
      </w:r>
      <w:r w:rsidR="00917AD0">
        <w:rPr>
          <w:rFonts w:ascii="Arial" w:hAnsi="Arial" w:cs="Arial"/>
          <w:sz w:val="24"/>
          <w:szCs w:val="24"/>
        </w:rPr>
        <w:t xml:space="preserve">This would include sufficient ongoing training, which may also lead to </w:t>
      </w:r>
      <w:r w:rsidR="008C731F">
        <w:rPr>
          <w:rFonts w:ascii="Arial" w:hAnsi="Arial" w:cs="Arial"/>
          <w:sz w:val="24"/>
          <w:szCs w:val="24"/>
        </w:rPr>
        <w:t xml:space="preserve">internal promotions which create a positive work culture. </w:t>
      </w:r>
    </w:p>
    <w:p w14:paraId="4069BE5A" w14:textId="77777777" w:rsidR="001E6122" w:rsidRPr="001E6122" w:rsidRDefault="001E6122" w:rsidP="001E6122">
      <w:pPr>
        <w:spacing w:line="360" w:lineRule="auto"/>
        <w:rPr>
          <w:rFonts w:ascii="Arial" w:hAnsi="Arial" w:cs="Arial"/>
          <w:sz w:val="24"/>
          <w:szCs w:val="24"/>
        </w:rPr>
      </w:pPr>
      <w:r w:rsidRPr="001E6122">
        <w:rPr>
          <w:rFonts w:ascii="Arial" w:hAnsi="Arial" w:cs="Arial"/>
          <w:b/>
          <w:bCs/>
          <w:sz w:val="24"/>
          <w:szCs w:val="24"/>
        </w:rPr>
        <w:t>Threats</w:t>
      </w:r>
    </w:p>
    <w:p w14:paraId="0CC05BA8" w14:textId="7B0B7A88" w:rsidR="00DC7B9D" w:rsidRDefault="001E6122" w:rsidP="00DC7B9D">
      <w:pPr>
        <w:spacing w:line="360" w:lineRule="auto"/>
        <w:rPr>
          <w:rFonts w:ascii="Arial" w:hAnsi="Arial" w:cs="Arial"/>
          <w:sz w:val="24"/>
          <w:szCs w:val="24"/>
        </w:rPr>
      </w:pPr>
      <w:r w:rsidRPr="001E6122">
        <w:rPr>
          <w:rFonts w:ascii="Arial" w:hAnsi="Arial" w:cs="Arial"/>
          <w:sz w:val="24"/>
          <w:szCs w:val="24"/>
        </w:rPr>
        <w:t>Cybersecurity and dependence on external suppliers are significant external threats. The Bank of England and Financial Conduct Authority’s survey identifies cybersecurity, data-related issues and third-party dependencies as relevant sector concerns</w:t>
      </w:r>
      <w:r w:rsidR="00DC7B9D">
        <w:rPr>
          <w:rFonts w:ascii="Arial" w:hAnsi="Arial" w:cs="Arial"/>
          <w:sz w:val="24"/>
          <w:szCs w:val="24"/>
        </w:rPr>
        <w:t xml:space="preserve">. </w:t>
      </w:r>
      <w:r w:rsidR="00DC7B9D" w:rsidRPr="001E6122">
        <w:rPr>
          <w:rFonts w:ascii="Arial" w:hAnsi="Arial" w:cs="Arial"/>
          <w:sz w:val="24"/>
          <w:szCs w:val="24"/>
        </w:rPr>
        <w:t xml:space="preserve">For </w:t>
      </w:r>
      <w:r w:rsidR="00DC7B9D">
        <w:rPr>
          <w:rFonts w:ascii="Arial" w:hAnsi="Arial" w:cs="Arial"/>
          <w:sz w:val="24"/>
          <w:szCs w:val="24"/>
        </w:rPr>
        <w:t>processes</w:t>
      </w:r>
      <w:r w:rsidR="00DC7B9D" w:rsidRPr="001E6122">
        <w:rPr>
          <w:rFonts w:ascii="Arial" w:hAnsi="Arial" w:cs="Arial"/>
          <w:sz w:val="24"/>
          <w:szCs w:val="24"/>
        </w:rPr>
        <w:t>, a supplier outage or model change could affect access to guidance or alter output quality.</w:t>
      </w:r>
      <w:r w:rsidR="00DC7B9D">
        <w:rPr>
          <w:rFonts w:ascii="Arial" w:hAnsi="Arial" w:cs="Arial"/>
          <w:sz w:val="24"/>
          <w:szCs w:val="24"/>
        </w:rPr>
        <w:t xml:space="preserve"> </w:t>
      </w:r>
      <w:r w:rsidR="00DC7B9D" w:rsidRPr="00DC7B9D">
        <w:rPr>
          <w:rFonts w:ascii="Arial" w:hAnsi="Arial" w:cs="Arial"/>
          <w:sz w:val="24"/>
          <w:szCs w:val="24"/>
        </w:rPr>
        <w:t>(Bank of England, 2024)</w:t>
      </w:r>
    </w:p>
    <w:p w14:paraId="5E54A0E1" w14:textId="5EC94B0E" w:rsidR="00B4013C" w:rsidRDefault="001E6122" w:rsidP="001E6122">
      <w:pPr>
        <w:spacing w:line="360" w:lineRule="auto"/>
        <w:rPr>
          <w:rFonts w:ascii="Arial" w:hAnsi="Arial" w:cs="Arial"/>
          <w:sz w:val="24"/>
          <w:szCs w:val="24"/>
        </w:rPr>
      </w:pPr>
      <w:r w:rsidRPr="001E6122">
        <w:rPr>
          <w:rFonts w:ascii="Arial" w:hAnsi="Arial" w:cs="Arial"/>
          <w:sz w:val="24"/>
          <w:szCs w:val="24"/>
        </w:rPr>
        <w:t xml:space="preserve">These threats have direct implications for internal capability. </w:t>
      </w:r>
      <w:r w:rsidR="00B4013C">
        <w:rPr>
          <w:rFonts w:ascii="Arial" w:hAnsi="Arial" w:cs="Arial"/>
          <w:sz w:val="24"/>
          <w:szCs w:val="24"/>
        </w:rPr>
        <w:t xml:space="preserve">Employees require approved alternative routes and the necessary knowledge to continue operating when a system is unavailable. </w:t>
      </w:r>
      <w:r w:rsidR="004D4849">
        <w:rPr>
          <w:rFonts w:ascii="Arial" w:hAnsi="Arial" w:cs="Arial"/>
          <w:sz w:val="24"/>
          <w:szCs w:val="24"/>
        </w:rPr>
        <w:t xml:space="preserve">Additionally following regulations require various testing and intense knowledge and is imperative practise is followed at all times. </w:t>
      </w:r>
    </w:p>
    <w:p w14:paraId="51FCDEB0" w14:textId="71A11F99" w:rsidR="006A126D" w:rsidRDefault="00D50A33" w:rsidP="00D85E25">
      <w:pPr>
        <w:spacing w:line="360" w:lineRule="auto"/>
        <w:rPr>
          <w:rFonts w:ascii="Arial" w:hAnsi="Arial" w:cs="Arial"/>
          <w:sz w:val="24"/>
          <w:szCs w:val="24"/>
        </w:rPr>
      </w:pPr>
      <w:r>
        <w:rPr>
          <w:rFonts w:ascii="Arial" w:hAnsi="Arial" w:cs="Arial"/>
          <w:sz w:val="24"/>
          <w:szCs w:val="24"/>
        </w:rPr>
        <w:t xml:space="preserve">In summary, the analysis indicates that the most significant challenge is the link between the technological, employee judgement and organisation learning.  External pressures may </w:t>
      </w:r>
      <w:r w:rsidR="00136557">
        <w:rPr>
          <w:rFonts w:ascii="Arial" w:hAnsi="Arial" w:cs="Arial"/>
          <w:sz w:val="24"/>
          <w:szCs w:val="24"/>
        </w:rPr>
        <w:t>have encouraged the implementation of AI, however how this was initially put into practice by senior management, as outlined above, raises the question of how effective it is at present. The author notes, that ongoing assessments are now being undertaken with the view for all areas of the business to be productive.</w:t>
      </w:r>
    </w:p>
    <w:p w14:paraId="7D5EDACE" w14:textId="77777777" w:rsidR="006A126D" w:rsidRDefault="006A126D" w:rsidP="00D85E25">
      <w:pPr>
        <w:spacing w:line="360" w:lineRule="auto"/>
        <w:rPr>
          <w:rFonts w:ascii="Arial" w:hAnsi="Arial" w:cs="Arial"/>
          <w:sz w:val="24"/>
          <w:szCs w:val="24"/>
        </w:rPr>
      </w:pPr>
    </w:p>
    <w:p w14:paraId="0354B88A" w14:textId="77777777" w:rsidR="0030173B" w:rsidRPr="0030173B" w:rsidRDefault="0030173B" w:rsidP="0030173B">
      <w:bookmarkStart w:id="3" w:name="_Toc456901517"/>
    </w:p>
    <w:p w14:paraId="65C11E33" w14:textId="75FA604C" w:rsidR="00700022" w:rsidRDefault="002049FE" w:rsidP="004F5CA5">
      <w:pPr>
        <w:pStyle w:val="Heading2"/>
        <w:rPr>
          <w:rFonts w:ascii="Arial" w:hAnsi="Arial" w:cs="Arial"/>
          <w:sz w:val="24"/>
          <w:szCs w:val="24"/>
        </w:rPr>
      </w:pPr>
      <w:bookmarkStart w:id="4" w:name="_Toc242640010"/>
      <w:bookmarkEnd w:id="3"/>
      <w:r w:rsidRPr="002049FE">
        <w:lastRenderedPageBreak/>
        <w:t>Section 2</w:t>
      </w:r>
      <w:r w:rsidR="004F5CA5">
        <w:t xml:space="preserve">. </w:t>
      </w:r>
      <w:r w:rsidR="00700022" w:rsidRPr="00700022">
        <w:rPr>
          <w:rFonts w:ascii="Arial" w:hAnsi="Arial" w:cs="Arial"/>
          <w:sz w:val="24"/>
          <w:szCs w:val="24"/>
        </w:rPr>
        <w:t>Evaluate how organisational stakeholders can be efficiently led through complex workplace change</w:t>
      </w:r>
      <w:r w:rsidR="004F5CA5">
        <w:rPr>
          <w:rFonts w:ascii="Arial" w:hAnsi="Arial" w:cs="Arial"/>
          <w:sz w:val="24"/>
          <w:szCs w:val="24"/>
        </w:rPr>
        <w:t>.</w:t>
      </w:r>
      <w:bookmarkEnd w:id="4"/>
    </w:p>
    <w:p w14:paraId="41848FCD" w14:textId="77777777" w:rsidR="007016BD" w:rsidRDefault="007016BD" w:rsidP="007016BD"/>
    <w:p w14:paraId="003368BA" w14:textId="47B3AED0" w:rsidR="00E8674A" w:rsidRDefault="00B741B4" w:rsidP="00E8674A">
      <w:pPr>
        <w:spacing w:line="360" w:lineRule="auto"/>
        <w:rPr>
          <w:rFonts w:ascii="Arial" w:hAnsi="Arial" w:cs="Arial"/>
          <w:sz w:val="24"/>
          <w:szCs w:val="24"/>
        </w:rPr>
      </w:pPr>
      <w:r w:rsidRPr="00B741B4">
        <w:rPr>
          <w:rFonts w:ascii="Arial" w:hAnsi="Arial" w:cs="Arial"/>
          <w:sz w:val="24"/>
          <w:szCs w:val="24"/>
        </w:rPr>
        <w:t xml:space="preserve">The stakeholder analysis in Appendix </w:t>
      </w:r>
      <w:r w:rsidR="00046ED1">
        <w:rPr>
          <w:rFonts w:ascii="Arial" w:hAnsi="Arial" w:cs="Arial"/>
          <w:sz w:val="24"/>
          <w:szCs w:val="24"/>
        </w:rPr>
        <w:t>E</w:t>
      </w:r>
      <w:r w:rsidR="00FC2F5B">
        <w:rPr>
          <w:rFonts w:ascii="Arial" w:hAnsi="Arial" w:cs="Arial"/>
          <w:sz w:val="24"/>
          <w:szCs w:val="24"/>
        </w:rPr>
        <w:t xml:space="preserve">, </w:t>
      </w:r>
      <w:r w:rsidRPr="00B741B4">
        <w:rPr>
          <w:rFonts w:ascii="Arial" w:hAnsi="Arial" w:cs="Arial"/>
          <w:sz w:val="24"/>
          <w:szCs w:val="24"/>
        </w:rPr>
        <w:t>applies</w:t>
      </w:r>
      <w:r w:rsidR="00E8674A">
        <w:rPr>
          <w:rFonts w:ascii="Arial" w:hAnsi="Arial" w:cs="Arial"/>
          <w:sz w:val="24"/>
          <w:szCs w:val="24"/>
        </w:rPr>
        <w:t xml:space="preserve"> S</w:t>
      </w:r>
      <w:r w:rsidRPr="00B741B4">
        <w:rPr>
          <w:rFonts w:ascii="Arial" w:hAnsi="Arial" w:cs="Arial"/>
          <w:sz w:val="24"/>
          <w:szCs w:val="24"/>
        </w:rPr>
        <w:t xml:space="preserve">takeholder </w:t>
      </w:r>
      <w:r w:rsidR="00E8674A">
        <w:rPr>
          <w:rFonts w:ascii="Arial" w:hAnsi="Arial" w:cs="Arial"/>
          <w:sz w:val="24"/>
          <w:szCs w:val="24"/>
        </w:rPr>
        <w:t>S</w:t>
      </w:r>
      <w:r w:rsidRPr="00B741B4">
        <w:rPr>
          <w:rFonts w:ascii="Arial" w:hAnsi="Arial" w:cs="Arial"/>
          <w:sz w:val="24"/>
          <w:szCs w:val="24"/>
        </w:rPr>
        <w:t>alience model to AI-driven identity verification at Starling Bank. The model considers power, the ability to influence outcomes</w:t>
      </w:r>
      <w:r w:rsidR="00E8674A">
        <w:rPr>
          <w:rFonts w:ascii="Arial" w:hAnsi="Arial" w:cs="Arial"/>
          <w:sz w:val="24"/>
          <w:szCs w:val="24"/>
        </w:rPr>
        <w:t xml:space="preserve">, </w:t>
      </w:r>
      <w:r w:rsidRPr="00B741B4">
        <w:rPr>
          <w:rFonts w:ascii="Arial" w:hAnsi="Arial" w:cs="Arial"/>
          <w:sz w:val="24"/>
          <w:szCs w:val="24"/>
        </w:rPr>
        <w:t>legitimacy, the appropriateness of stakeholder claims</w:t>
      </w:r>
      <w:r w:rsidR="00E8674A">
        <w:rPr>
          <w:rFonts w:ascii="Arial" w:hAnsi="Arial" w:cs="Arial"/>
          <w:sz w:val="24"/>
          <w:szCs w:val="24"/>
        </w:rPr>
        <w:t xml:space="preserve">, </w:t>
      </w:r>
      <w:r w:rsidRPr="00B741B4">
        <w:rPr>
          <w:rFonts w:ascii="Arial" w:hAnsi="Arial" w:cs="Arial"/>
          <w:sz w:val="24"/>
          <w:szCs w:val="24"/>
        </w:rPr>
        <w:t xml:space="preserve">and urgency, their time sensitivity and criticality. It provides a useful framework for evaluating whose concerns receive managerial attention. However, the classifications are provisional interpretations requiring workplace evidence rather than fixed characteristics of each group. </w:t>
      </w:r>
      <w:r w:rsidR="00E8674A" w:rsidRPr="00E8674A">
        <w:rPr>
          <w:rFonts w:ascii="Arial" w:hAnsi="Arial" w:cs="Arial"/>
          <w:sz w:val="24"/>
          <w:szCs w:val="24"/>
        </w:rPr>
        <w:t>(Mitchell et al., 1997)</w:t>
      </w:r>
    </w:p>
    <w:p w14:paraId="33B56F11" w14:textId="4C8A01AA" w:rsidR="004A791B" w:rsidRDefault="00B741B4" w:rsidP="00B741B4">
      <w:pPr>
        <w:spacing w:line="360" w:lineRule="auto"/>
        <w:rPr>
          <w:rFonts w:ascii="Arial" w:hAnsi="Arial" w:cs="Arial"/>
          <w:sz w:val="24"/>
          <w:szCs w:val="24"/>
        </w:rPr>
      </w:pPr>
      <w:r w:rsidRPr="00B741B4">
        <w:rPr>
          <w:rFonts w:ascii="Arial" w:hAnsi="Arial" w:cs="Arial"/>
          <w:sz w:val="24"/>
          <w:szCs w:val="24"/>
        </w:rPr>
        <w:t>The analysis identifies a</w:t>
      </w:r>
      <w:r w:rsidR="004A791B">
        <w:rPr>
          <w:rFonts w:ascii="Arial" w:hAnsi="Arial" w:cs="Arial"/>
          <w:sz w:val="24"/>
          <w:szCs w:val="24"/>
        </w:rPr>
        <w:t xml:space="preserve">n </w:t>
      </w:r>
      <w:r w:rsidRPr="00B741B4">
        <w:rPr>
          <w:rFonts w:ascii="Arial" w:hAnsi="Arial" w:cs="Arial"/>
          <w:sz w:val="24"/>
          <w:szCs w:val="24"/>
        </w:rPr>
        <w:t xml:space="preserve">imbalance between stakeholder influence and the extent of impact. Based </w:t>
      </w:r>
      <w:r w:rsidR="004A791B">
        <w:rPr>
          <w:rFonts w:ascii="Arial" w:hAnsi="Arial" w:cs="Arial"/>
          <w:sz w:val="24"/>
          <w:szCs w:val="24"/>
        </w:rPr>
        <w:t xml:space="preserve">on the initial implementation, employees were affected by redundancies and therefore have concerns regarding their future in the business. </w:t>
      </w:r>
    </w:p>
    <w:p w14:paraId="74D29B6A" w14:textId="798365B9" w:rsidR="001B02CE" w:rsidRDefault="00B741B4" w:rsidP="001B02CE">
      <w:pPr>
        <w:spacing w:line="360" w:lineRule="auto"/>
        <w:rPr>
          <w:rFonts w:ascii="Arial" w:hAnsi="Arial" w:cs="Arial"/>
          <w:sz w:val="24"/>
          <w:szCs w:val="24"/>
        </w:rPr>
      </w:pPr>
      <w:r w:rsidRPr="00B741B4">
        <w:rPr>
          <w:rFonts w:ascii="Arial" w:hAnsi="Arial" w:cs="Arial"/>
          <w:sz w:val="24"/>
          <w:szCs w:val="24"/>
        </w:rPr>
        <w:t xml:space="preserve">Bordia et al. (2004) distinguish strategic, structural and job-related uncertainty, finding that communication and participation address different aspects of uncertainty. </w:t>
      </w:r>
      <w:r w:rsidR="001B02CE">
        <w:rPr>
          <w:rFonts w:ascii="Arial" w:hAnsi="Arial" w:cs="Arial"/>
          <w:sz w:val="24"/>
          <w:szCs w:val="24"/>
        </w:rPr>
        <w:t>When a</w:t>
      </w:r>
      <w:r w:rsidRPr="00B741B4">
        <w:rPr>
          <w:rFonts w:ascii="Arial" w:hAnsi="Arial" w:cs="Arial"/>
          <w:sz w:val="24"/>
          <w:szCs w:val="24"/>
        </w:rPr>
        <w:t xml:space="preserve">pplied to Starling, </w:t>
      </w:r>
      <w:r w:rsidR="001B02CE">
        <w:rPr>
          <w:rFonts w:ascii="Arial" w:hAnsi="Arial" w:cs="Arial"/>
          <w:sz w:val="24"/>
          <w:szCs w:val="24"/>
        </w:rPr>
        <w:t xml:space="preserve">giving a clear and precise objective of the organisation’s objectives, </w:t>
      </w:r>
      <w:r w:rsidR="001B02CE" w:rsidRPr="00B741B4">
        <w:rPr>
          <w:rFonts w:ascii="Arial" w:hAnsi="Arial" w:cs="Arial"/>
          <w:sz w:val="24"/>
          <w:szCs w:val="24"/>
        </w:rPr>
        <w:t>may</w:t>
      </w:r>
      <w:r w:rsidRPr="00B741B4">
        <w:rPr>
          <w:rFonts w:ascii="Arial" w:hAnsi="Arial" w:cs="Arial"/>
          <w:sz w:val="24"/>
          <w:szCs w:val="24"/>
        </w:rPr>
        <w:t xml:space="preserve"> clarify strategic intentions </w:t>
      </w:r>
      <w:r w:rsidR="001B02CE">
        <w:rPr>
          <w:rFonts w:ascii="Arial" w:hAnsi="Arial" w:cs="Arial"/>
          <w:sz w:val="24"/>
          <w:szCs w:val="24"/>
        </w:rPr>
        <w:t xml:space="preserve">without demotivating employees as they are concerned of their job security. </w:t>
      </w:r>
      <w:r w:rsidR="00443311">
        <w:rPr>
          <w:rFonts w:ascii="Arial" w:hAnsi="Arial" w:cs="Arial"/>
          <w:sz w:val="24"/>
          <w:szCs w:val="24"/>
        </w:rPr>
        <w:t>G</w:t>
      </w:r>
      <w:r w:rsidRPr="00B741B4">
        <w:rPr>
          <w:rFonts w:ascii="Arial" w:hAnsi="Arial" w:cs="Arial"/>
          <w:sz w:val="24"/>
          <w:szCs w:val="24"/>
        </w:rPr>
        <w:t xml:space="preserve">eneral announcements should be </w:t>
      </w:r>
      <w:r w:rsidR="00443311">
        <w:rPr>
          <w:rFonts w:ascii="Arial" w:hAnsi="Arial" w:cs="Arial"/>
          <w:sz w:val="24"/>
          <w:szCs w:val="24"/>
        </w:rPr>
        <w:t xml:space="preserve">followed </w:t>
      </w:r>
      <w:r w:rsidRPr="00B741B4">
        <w:rPr>
          <w:rFonts w:ascii="Arial" w:hAnsi="Arial" w:cs="Arial"/>
          <w:sz w:val="24"/>
          <w:szCs w:val="24"/>
        </w:rPr>
        <w:t>by opportunities to influence</w:t>
      </w:r>
      <w:r w:rsidR="00443311">
        <w:rPr>
          <w:rFonts w:ascii="Arial" w:hAnsi="Arial" w:cs="Arial"/>
          <w:sz w:val="24"/>
          <w:szCs w:val="24"/>
        </w:rPr>
        <w:t xml:space="preserve"> positive </w:t>
      </w:r>
      <w:r w:rsidRPr="00B741B4">
        <w:rPr>
          <w:rFonts w:ascii="Arial" w:hAnsi="Arial" w:cs="Arial"/>
          <w:sz w:val="24"/>
          <w:szCs w:val="24"/>
        </w:rPr>
        <w:t xml:space="preserve">working </w:t>
      </w:r>
      <w:r w:rsidR="00443311">
        <w:rPr>
          <w:rFonts w:ascii="Arial" w:hAnsi="Arial" w:cs="Arial"/>
          <w:sz w:val="24"/>
          <w:szCs w:val="24"/>
        </w:rPr>
        <w:t>environments</w:t>
      </w:r>
      <w:r w:rsidRPr="00B741B4">
        <w:rPr>
          <w:rFonts w:ascii="Arial" w:hAnsi="Arial" w:cs="Arial"/>
          <w:sz w:val="24"/>
          <w:szCs w:val="24"/>
        </w:rPr>
        <w:t xml:space="preserve"> and discuss personal implications</w:t>
      </w:r>
      <w:r w:rsidR="00443311">
        <w:rPr>
          <w:rFonts w:ascii="Arial" w:hAnsi="Arial" w:cs="Arial"/>
          <w:sz w:val="24"/>
          <w:szCs w:val="24"/>
        </w:rPr>
        <w:t xml:space="preserve"> if necessary.</w:t>
      </w:r>
    </w:p>
    <w:p w14:paraId="01682381" w14:textId="4B48A81F" w:rsidR="00221255" w:rsidRDefault="00B741B4" w:rsidP="00221255">
      <w:pPr>
        <w:spacing w:line="360" w:lineRule="auto"/>
        <w:rPr>
          <w:rFonts w:ascii="Arial" w:hAnsi="Arial" w:cs="Arial"/>
          <w:sz w:val="24"/>
          <w:szCs w:val="24"/>
        </w:rPr>
      </w:pPr>
      <w:r w:rsidRPr="00B741B4">
        <w:rPr>
          <w:rFonts w:ascii="Arial" w:hAnsi="Arial" w:cs="Arial"/>
          <w:sz w:val="24"/>
          <w:szCs w:val="24"/>
        </w:rPr>
        <w:t xml:space="preserve">Mitchell’s model </w:t>
      </w:r>
      <w:r w:rsidR="00221255">
        <w:rPr>
          <w:rFonts w:ascii="Arial" w:hAnsi="Arial" w:cs="Arial"/>
          <w:sz w:val="24"/>
          <w:szCs w:val="24"/>
        </w:rPr>
        <w:t xml:space="preserve">does have </w:t>
      </w:r>
      <w:r w:rsidRPr="00B741B4">
        <w:rPr>
          <w:rFonts w:ascii="Arial" w:hAnsi="Arial" w:cs="Arial"/>
          <w:sz w:val="24"/>
          <w:szCs w:val="24"/>
        </w:rPr>
        <w:t xml:space="preserve">limitations. </w:t>
      </w:r>
      <w:r w:rsidR="00221255">
        <w:rPr>
          <w:rFonts w:ascii="Arial" w:hAnsi="Arial" w:cs="Arial"/>
          <w:sz w:val="24"/>
          <w:szCs w:val="24"/>
        </w:rPr>
        <w:t xml:space="preserve">It is the </w:t>
      </w:r>
      <w:r w:rsidR="000D5B66">
        <w:rPr>
          <w:rFonts w:ascii="Arial" w:hAnsi="Arial" w:cs="Arial"/>
          <w:sz w:val="24"/>
          <w:szCs w:val="24"/>
        </w:rPr>
        <w:t>student’s</w:t>
      </w:r>
      <w:r w:rsidR="00221255">
        <w:rPr>
          <w:rFonts w:ascii="Arial" w:hAnsi="Arial" w:cs="Arial"/>
          <w:sz w:val="24"/>
          <w:szCs w:val="24"/>
        </w:rPr>
        <w:t xml:space="preserve"> opinion that </w:t>
      </w:r>
      <w:r w:rsidRPr="00B741B4">
        <w:rPr>
          <w:rFonts w:ascii="Arial" w:hAnsi="Arial" w:cs="Arial"/>
          <w:sz w:val="24"/>
          <w:szCs w:val="24"/>
        </w:rPr>
        <w:t xml:space="preserve">Salience reflects </w:t>
      </w:r>
      <w:r w:rsidR="00221255">
        <w:rPr>
          <w:rFonts w:ascii="Arial" w:hAnsi="Arial" w:cs="Arial"/>
          <w:sz w:val="24"/>
          <w:szCs w:val="24"/>
        </w:rPr>
        <w:t xml:space="preserve">from a </w:t>
      </w:r>
      <w:r w:rsidR="000D5B66" w:rsidRPr="00B741B4">
        <w:rPr>
          <w:rFonts w:ascii="Arial" w:hAnsi="Arial" w:cs="Arial"/>
          <w:sz w:val="24"/>
          <w:szCs w:val="24"/>
        </w:rPr>
        <w:t>managerial perception</w:t>
      </w:r>
      <w:r w:rsidR="00221255">
        <w:rPr>
          <w:rFonts w:ascii="Arial" w:hAnsi="Arial" w:cs="Arial"/>
          <w:sz w:val="24"/>
          <w:szCs w:val="24"/>
        </w:rPr>
        <w:t xml:space="preserve">, which does not always </w:t>
      </w:r>
      <w:r w:rsidRPr="00B741B4">
        <w:rPr>
          <w:rFonts w:ascii="Arial" w:hAnsi="Arial" w:cs="Arial"/>
          <w:sz w:val="24"/>
          <w:szCs w:val="24"/>
        </w:rPr>
        <w:t xml:space="preserve">guarantee fair treatment or </w:t>
      </w:r>
      <w:r w:rsidR="00221255">
        <w:rPr>
          <w:rFonts w:ascii="Arial" w:hAnsi="Arial" w:cs="Arial"/>
          <w:sz w:val="24"/>
          <w:szCs w:val="24"/>
        </w:rPr>
        <w:t xml:space="preserve">assess any form of </w:t>
      </w:r>
      <w:r w:rsidRPr="00B741B4">
        <w:rPr>
          <w:rFonts w:ascii="Arial" w:hAnsi="Arial" w:cs="Arial"/>
          <w:sz w:val="24"/>
          <w:szCs w:val="24"/>
        </w:rPr>
        <w:t xml:space="preserve">emotional responses. </w:t>
      </w:r>
      <w:r w:rsidR="000D5B66">
        <w:rPr>
          <w:rFonts w:ascii="Arial" w:hAnsi="Arial" w:cs="Arial"/>
          <w:sz w:val="24"/>
          <w:szCs w:val="24"/>
        </w:rPr>
        <w:t xml:space="preserve">It is noted, that </w:t>
      </w:r>
      <w:r w:rsidRPr="00B741B4">
        <w:rPr>
          <w:rFonts w:ascii="Arial" w:hAnsi="Arial" w:cs="Arial"/>
          <w:sz w:val="24"/>
          <w:szCs w:val="24"/>
        </w:rPr>
        <w:t>Stakeholder</w:t>
      </w:r>
      <w:r w:rsidR="000D5B66">
        <w:rPr>
          <w:rFonts w:ascii="Arial" w:hAnsi="Arial" w:cs="Arial"/>
          <w:sz w:val="24"/>
          <w:szCs w:val="24"/>
        </w:rPr>
        <w:t>’s</w:t>
      </w:r>
      <w:r w:rsidRPr="00B741B4">
        <w:rPr>
          <w:rFonts w:ascii="Arial" w:hAnsi="Arial" w:cs="Arial"/>
          <w:sz w:val="24"/>
          <w:szCs w:val="24"/>
        </w:rPr>
        <w:t xml:space="preserve"> positions may change during</w:t>
      </w:r>
      <w:r w:rsidR="000D5B66">
        <w:rPr>
          <w:rFonts w:ascii="Arial" w:hAnsi="Arial" w:cs="Arial"/>
          <w:sz w:val="24"/>
          <w:szCs w:val="24"/>
        </w:rPr>
        <w:t xml:space="preserve"> the process. </w:t>
      </w:r>
    </w:p>
    <w:p w14:paraId="053CD337" w14:textId="2F7F52BF" w:rsidR="00221255" w:rsidRDefault="00221255" w:rsidP="00221255">
      <w:pPr>
        <w:spacing w:line="360" w:lineRule="auto"/>
        <w:rPr>
          <w:rFonts w:ascii="Arial" w:hAnsi="Arial" w:cs="Arial"/>
          <w:sz w:val="24"/>
          <w:szCs w:val="24"/>
        </w:rPr>
      </w:pPr>
      <w:r w:rsidRPr="00221255">
        <w:rPr>
          <w:rFonts w:ascii="Arial" w:hAnsi="Arial" w:cs="Arial"/>
          <w:sz w:val="24"/>
          <w:szCs w:val="24"/>
        </w:rPr>
        <w:t>(Edmondson, 1999)</w:t>
      </w:r>
      <w:r>
        <w:rPr>
          <w:rFonts w:ascii="Arial" w:hAnsi="Arial" w:cs="Arial"/>
          <w:sz w:val="24"/>
          <w:szCs w:val="24"/>
        </w:rPr>
        <w:t xml:space="preserve"> </w:t>
      </w:r>
      <w:r w:rsidR="00B741B4" w:rsidRPr="00B741B4">
        <w:rPr>
          <w:rFonts w:ascii="Arial" w:hAnsi="Arial" w:cs="Arial"/>
          <w:sz w:val="24"/>
          <w:szCs w:val="24"/>
        </w:rPr>
        <w:t xml:space="preserve">association between psychological safety and team learning offers </w:t>
      </w:r>
      <w:r w:rsidR="000D5B66">
        <w:rPr>
          <w:rFonts w:ascii="Arial" w:hAnsi="Arial" w:cs="Arial"/>
          <w:sz w:val="24"/>
          <w:szCs w:val="24"/>
        </w:rPr>
        <w:t xml:space="preserve">a </w:t>
      </w:r>
      <w:r w:rsidR="00B741B4" w:rsidRPr="00B741B4">
        <w:rPr>
          <w:rFonts w:ascii="Arial" w:hAnsi="Arial" w:cs="Arial"/>
          <w:sz w:val="24"/>
          <w:szCs w:val="24"/>
        </w:rPr>
        <w:t>complementary insight</w:t>
      </w:r>
      <w:r w:rsidR="000D5B66">
        <w:rPr>
          <w:rFonts w:ascii="Arial" w:hAnsi="Arial" w:cs="Arial"/>
          <w:sz w:val="24"/>
          <w:szCs w:val="24"/>
        </w:rPr>
        <w:t xml:space="preserve"> into how employees </w:t>
      </w:r>
      <w:r w:rsidR="00B741B4" w:rsidRPr="00B741B4">
        <w:rPr>
          <w:rFonts w:ascii="Arial" w:hAnsi="Arial" w:cs="Arial"/>
          <w:sz w:val="24"/>
          <w:szCs w:val="24"/>
        </w:rPr>
        <w:t>need confidence to question results and report problems</w:t>
      </w:r>
      <w:r w:rsidR="000D5B66">
        <w:rPr>
          <w:rFonts w:ascii="Arial" w:hAnsi="Arial" w:cs="Arial"/>
          <w:sz w:val="24"/>
          <w:szCs w:val="24"/>
        </w:rPr>
        <w:t>.</w:t>
      </w:r>
    </w:p>
    <w:p w14:paraId="19086078" w14:textId="77777777" w:rsidR="000D5B66" w:rsidRDefault="000D5B66" w:rsidP="00221255">
      <w:pPr>
        <w:spacing w:line="360" w:lineRule="auto"/>
        <w:rPr>
          <w:rFonts w:ascii="Arial" w:hAnsi="Arial" w:cs="Arial"/>
          <w:sz w:val="24"/>
          <w:szCs w:val="24"/>
        </w:rPr>
      </w:pPr>
    </w:p>
    <w:p w14:paraId="7CEF9130" w14:textId="77777777" w:rsidR="000D5B66" w:rsidRPr="00221255" w:rsidRDefault="000D5B66" w:rsidP="00221255">
      <w:pPr>
        <w:spacing w:line="360" w:lineRule="auto"/>
        <w:rPr>
          <w:rFonts w:ascii="Arial" w:hAnsi="Arial" w:cs="Arial"/>
          <w:sz w:val="24"/>
          <w:szCs w:val="24"/>
        </w:rPr>
      </w:pPr>
    </w:p>
    <w:p w14:paraId="20EC9C13" w14:textId="77777777" w:rsidR="00D62104" w:rsidRDefault="00D62104" w:rsidP="00B741B4">
      <w:pPr>
        <w:spacing w:line="360" w:lineRule="auto"/>
        <w:rPr>
          <w:rFonts w:ascii="Arial" w:hAnsi="Arial" w:cs="Arial"/>
          <w:sz w:val="24"/>
          <w:szCs w:val="24"/>
        </w:rPr>
      </w:pPr>
    </w:p>
    <w:p w14:paraId="5BE92837" w14:textId="369FDBD7" w:rsidR="001A364C" w:rsidRDefault="00D62104" w:rsidP="00B741B4">
      <w:pPr>
        <w:spacing w:line="360" w:lineRule="auto"/>
        <w:rPr>
          <w:rFonts w:ascii="Arial" w:hAnsi="Arial" w:cs="Arial"/>
          <w:sz w:val="24"/>
          <w:szCs w:val="24"/>
        </w:rPr>
      </w:pPr>
      <w:r>
        <w:rPr>
          <w:rFonts w:ascii="Arial" w:hAnsi="Arial" w:cs="Arial"/>
          <w:sz w:val="24"/>
          <w:szCs w:val="24"/>
        </w:rPr>
        <w:lastRenderedPageBreak/>
        <w:t xml:space="preserve">To summarise </w:t>
      </w:r>
      <w:r w:rsidR="00B741B4" w:rsidRPr="00B741B4">
        <w:rPr>
          <w:rFonts w:ascii="Arial" w:hAnsi="Arial" w:cs="Arial"/>
          <w:sz w:val="24"/>
          <w:szCs w:val="24"/>
        </w:rPr>
        <w:t>the analysis supports</w:t>
      </w:r>
      <w:r>
        <w:rPr>
          <w:rFonts w:ascii="Arial" w:hAnsi="Arial" w:cs="Arial"/>
          <w:sz w:val="24"/>
          <w:szCs w:val="24"/>
        </w:rPr>
        <w:t xml:space="preserve">, that a tailored approach to communicating proposals of change is not always effective. Individuals respond in different ways, therefore engaging in a way that everyone receives. Senior stakeholders have to make certain decisions within the organisation, which is generally prompted by some form of evidence from various aspects of the business, as outlined in the PESTLE and SWOT analysis. </w:t>
      </w:r>
      <w:r w:rsidR="001A364C">
        <w:rPr>
          <w:rFonts w:ascii="Arial" w:hAnsi="Arial" w:cs="Arial"/>
          <w:sz w:val="24"/>
          <w:szCs w:val="24"/>
        </w:rPr>
        <w:t>Employees need support and the customer require a service that is efficient. The author identifies t</w:t>
      </w:r>
      <w:r w:rsidR="00B741B4" w:rsidRPr="00B741B4">
        <w:rPr>
          <w:rFonts w:ascii="Arial" w:hAnsi="Arial" w:cs="Arial"/>
          <w:sz w:val="24"/>
          <w:szCs w:val="24"/>
        </w:rPr>
        <w:t xml:space="preserve">hese findings </w:t>
      </w:r>
      <w:r w:rsidR="001A364C">
        <w:rPr>
          <w:rFonts w:ascii="Arial" w:hAnsi="Arial" w:cs="Arial"/>
          <w:sz w:val="24"/>
          <w:szCs w:val="24"/>
        </w:rPr>
        <w:t xml:space="preserve">to be in line with </w:t>
      </w:r>
      <w:r w:rsidR="00B741B4" w:rsidRPr="00B741B4">
        <w:rPr>
          <w:rFonts w:ascii="Arial" w:hAnsi="Arial" w:cs="Arial"/>
          <w:sz w:val="24"/>
          <w:szCs w:val="24"/>
        </w:rPr>
        <w:t>Kotter’s change proces</w:t>
      </w:r>
      <w:r w:rsidR="001A364C">
        <w:rPr>
          <w:rFonts w:ascii="Arial" w:hAnsi="Arial" w:cs="Arial"/>
          <w:sz w:val="24"/>
          <w:szCs w:val="24"/>
        </w:rPr>
        <w:t>s, where we review</w:t>
      </w:r>
      <w:r w:rsidR="00B741B4" w:rsidRPr="00B741B4">
        <w:rPr>
          <w:rFonts w:ascii="Arial" w:hAnsi="Arial" w:cs="Arial"/>
          <w:sz w:val="24"/>
          <w:szCs w:val="24"/>
        </w:rPr>
        <w:t xml:space="preserve"> coalition membership, communication and barrier removal. Leadership effectiveness should be assessed through stakeholder understanding, </w:t>
      </w:r>
      <w:r w:rsidR="007175C3">
        <w:rPr>
          <w:rFonts w:ascii="Arial" w:hAnsi="Arial" w:cs="Arial"/>
          <w:sz w:val="24"/>
          <w:szCs w:val="24"/>
        </w:rPr>
        <w:t xml:space="preserve">involvement, ability and the outcome. </w:t>
      </w:r>
    </w:p>
    <w:p w14:paraId="055DFE87" w14:textId="634625DA" w:rsidR="00B741B4" w:rsidRDefault="00B741B4" w:rsidP="00B741B4">
      <w:pPr>
        <w:spacing w:line="360" w:lineRule="auto"/>
        <w:rPr>
          <w:rFonts w:ascii="Arial" w:hAnsi="Arial" w:cs="Arial"/>
          <w:sz w:val="24"/>
          <w:szCs w:val="24"/>
        </w:rPr>
      </w:pPr>
    </w:p>
    <w:p w14:paraId="13E57365" w14:textId="77777777" w:rsidR="00704657" w:rsidRDefault="00704657" w:rsidP="00B741B4">
      <w:pPr>
        <w:spacing w:line="360" w:lineRule="auto"/>
        <w:rPr>
          <w:rFonts w:ascii="Arial" w:hAnsi="Arial" w:cs="Arial"/>
          <w:sz w:val="24"/>
          <w:szCs w:val="24"/>
        </w:rPr>
      </w:pPr>
    </w:p>
    <w:p w14:paraId="67D72E3B" w14:textId="77777777" w:rsidR="00704657" w:rsidRDefault="00704657" w:rsidP="00B741B4">
      <w:pPr>
        <w:spacing w:line="360" w:lineRule="auto"/>
        <w:rPr>
          <w:rFonts w:ascii="Arial" w:hAnsi="Arial" w:cs="Arial"/>
          <w:sz w:val="24"/>
          <w:szCs w:val="24"/>
        </w:rPr>
      </w:pPr>
    </w:p>
    <w:p w14:paraId="40A0F4A5" w14:textId="77777777" w:rsidR="00D60D00" w:rsidRDefault="00D60D00" w:rsidP="00B741B4">
      <w:pPr>
        <w:spacing w:line="360" w:lineRule="auto"/>
        <w:rPr>
          <w:rFonts w:ascii="Arial" w:hAnsi="Arial" w:cs="Arial"/>
          <w:sz w:val="24"/>
          <w:szCs w:val="24"/>
        </w:rPr>
      </w:pPr>
    </w:p>
    <w:p w14:paraId="2B23B9F3" w14:textId="77777777" w:rsidR="00D60D00" w:rsidRDefault="00D60D00" w:rsidP="00B741B4">
      <w:pPr>
        <w:spacing w:line="360" w:lineRule="auto"/>
        <w:rPr>
          <w:rFonts w:ascii="Arial" w:hAnsi="Arial" w:cs="Arial"/>
          <w:sz w:val="24"/>
          <w:szCs w:val="24"/>
        </w:rPr>
      </w:pPr>
    </w:p>
    <w:p w14:paraId="0F09E418" w14:textId="77777777" w:rsidR="00D60D00" w:rsidRDefault="00D60D00" w:rsidP="00B741B4">
      <w:pPr>
        <w:spacing w:line="360" w:lineRule="auto"/>
        <w:rPr>
          <w:rFonts w:ascii="Arial" w:hAnsi="Arial" w:cs="Arial"/>
          <w:sz w:val="24"/>
          <w:szCs w:val="24"/>
        </w:rPr>
      </w:pPr>
    </w:p>
    <w:p w14:paraId="15541956" w14:textId="77777777" w:rsidR="00D60D00" w:rsidRDefault="00D60D00" w:rsidP="00B741B4">
      <w:pPr>
        <w:spacing w:line="360" w:lineRule="auto"/>
        <w:rPr>
          <w:rFonts w:ascii="Arial" w:hAnsi="Arial" w:cs="Arial"/>
          <w:sz w:val="24"/>
          <w:szCs w:val="24"/>
        </w:rPr>
      </w:pPr>
    </w:p>
    <w:p w14:paraId="3DE96FDC" w14:textId="77777777" w:rsidR="00D60D00" w:rsidRDefault="00D60D00" w:rsidP="00B741B4">
      <w:pPr>
        <w:spacing w:line="360" w:lineRule="auto"/>
        <w:rPr>
          <w:rFonts w:ascii="Arial" w:hAnsi="Arial" w:cs="Arial"/>
          <w:sz w:val="24"/>
          <w:szCs w:val="24"/>
        </w:rPr>
      </w:pPr>
    </w:p>
    <w:p w14:paraId="0A1BF505" w14:textId="77777777" w:rsidR="00D60D00" w:rsidRDefault="00D60D00" w:rsidP="00B741B4">
      <w:pPr>
        <w:spacing w:line="360" w:lineRule="auto"/>
        <w:rPr>
          <w:rFonts w:ascii="Arial" w:hAnsi="Arial" w:cs="Arial"/>
          <w:sz w:val="24"/>
          <w:szCs w:val="24"/>
        </w:rPr>
      </w:pPr>
    </w:p>
    <w:p w14:paraId="4B09C821" w14:textId="77777777" w:rsidR="00D60D00" w:rsidRDefault="00D60D00" w:rsidP="00B741B4">
      <w:pPr>
        <w:spacing w:line="360" w:lineRule="auto"/>
        <w:rPr>
          <w:rFonts w:ascii="Arial" w:hAnsi="Arial" w:cs="Arial"/>
          <w:sz w:val="24"/>
          <w:szCs w:val="24"/>
        </w:rPr>
      </w:pPr>
    </w:p>
    <w:p w14:paraId="6DDC778D" w14:textId="77777777" w:rsidR="00D60D00" w:rsidRDefault="00D60D00" w:rsidP="00B741B4">
      <w:pPr>
        <w:spacing w:line="360" w:lineRule="auto"/>
        <w:rPr>
          <w:rFonts w:ascii="Arial" w:hAnsi="Arial" w:cs="Arial"/>
          <w:sz w:val="24"/>
          <w:szCs w:val="24"/>
        </w:rPr>
      </w:pPr>
    </w:p>
    <w:p w14:paraId="53557643" w14:textId="77777777" w:rsidR="00D60D00" w:rsidRDefault="00D60D00" w:rsidP="00B741B4">
      <w:pPr>
        <w:spacing w:line="360" w:lineRule="auto"/>
        <w:rPr>
          <w:rFonts w:ascii="Arial" w:hAnsi="Arial" w:cs="Arial"/>
          <w:sz w:val="24"/>
          <w:szCs w:val="24"/>
        </w:rPr>
      </w:pPr>
    </w:p>
    <w:p w14:paraId="697404DF" w14:textId="77777777" w:rsidR="00D60D00" w:rsidRDefault="00D60D00" w:rsidP="00B741B4">
      <w:pPr>
        <w:spacing w:line="360" w:lineRule="auto"/>
        <w:rPr>
          <w:rFonts w:ascii="Arial" w:hAnsi="Arial" w:cs="Arial"/>
          <w:sz w:val="24"/>
          <w:szCs w:val="24"/>
        </w:rPr>
      </w:pPr>
    </w:p>
    <w:p w14:paraId="4A94D88B" w14:textId="77777777" w:rsidR="00D60D00" w:rsidRDefault="00D60D00" w:rsidP="00B741B4">
      <w:pPr>
        <w:spacing w:line="360" w:lineRule="auto"/>
        <w:rPr>
          <w:rFonts w:ascii="Arial" w:hAnsi="Arial" w:cs="Arial"/>
          <w:sz w:val="24"/>
          <w:szCs w:val="24"/>
        </w:rPr>
      </w:pPr>
    </w:p>
    <w:p w14:paraId="649A3266" w14:textId="77777777" w:rsidR="00704657" w:rsidRDefault="00704657" w:rsidP="00B741B4">
      <w:pPr>
        <w:spacing w:line="360" w:lineRule="auto"/>
        <w:rPr>
          <w:rFonts w:ascii="Arial" w:hAnsi="Arial" w:cs="Arial"/>
          <w:sz w:val="24"/>
          <w:szCs w:val="24"/>
        </w:rPr>
      </w:pPr>
    </w:p>
    <w:p w14:paraId="7A8C9C1F" w14:textId="0BBE4910" w:rsidR="00DA204F" w:rsidRPr="00DA204F" w:rsidRDefault="00DA204F" w:rsidP="00385796">
      <w:pPr>
        <w:spacing w:line="360" w:lineRule="auto"/>
        <w:rPr>
          <w:rFonts w:ascii="Arial" w:hAnsi="Arial" w:cs="Arial"/>
          <w:sz w:val="24"/>
          <w:szCs w:val="24"/>
        </w:rPr>
      </w:pPr>
      <w:r w:rsidRPr="00DA204F">
        <w:rPr>
          <w:rFonts w:ascii="Arial" w:hAnsi="Arial" w:cs="Arial"/>
          <w:sz w:val="24"/>
          <w:szCs w:val="24"/>
        </w:rPr>
        <w:lastRenderedPageBreak/>
        <w:t xml:space="preserve">Transferring to AI identity </w:t>
      </w:r>
      <w:r>
        <w:rPr>
          <w:rFonts w:ascii="Arial" w:hAnsi="Arial" w:cs="Arial"/>
          <w:sz w:val="24"/>
          <w:szCs w:val="24"/>
        </w:rPr>
        <w:t xml:space="preserve">verification at Starling is </w:t>
      </w:r>
      <w:r w:rsidR="007A125F">
        <w:rPr>
          <w:rFonts w:ascii="Arial" w:hAnsi="Arial" w:cs="Arial"/>
          <w:sz w:val="24"/>
          <w:szCs w:val="24"/>
        </w:rPr>
        <w:t xml:space="preserve">a </w:t>
      </w:r>
      <w:r>
        <w:rPr>
          <w:rFonts w:ascii="Arial" w:hAnsi="Arial" w:cs="Arial"/>
          <w:sz w:val="24"/>
          <w:szCs w:val="24"/>
        </w:rPr>
        <w:t xml:space="preserve">complex workplace change as it </w:t>
      </w:r>
      <w:r w:rsidR="007A125F">
        <w:rPr>
          <w:rFonts w:ascii="Arial" w:hAnsi="Arial" w:cs="Arial"/>
          <w:sz w:val="24"/>
          <w:szCs w:val="24"/>
        </w:rPr>
        <w:t xml:space="preserve">affects operational functions, employee responsibilities and customer experience. Reduced manual checks, cross training and redundancies saw a decline in staff morale and trust towards the company. </w:t>
      </w:r>
    </w:p>
    <w:p w14:paraId="2004F02E" w14:textId="5A8140B1" w:rsidR="00385796" w:rsidRPr="00385796" w:rsidRDefault="00385796" w:rsidP="00385796">
      <w:pPr>
        <w:spacing w:line="360" w:lineRule="auto"/>
        <w:rPr>
          <w:rFonts w:ascii="Arial" w:hAnsi="Arial" w:cs="Arial"/>
          <w:sz w:val="24"/>
          <w:szCs w:val="24"/>
        </w:rPr>
      </w:pPr>
      <w:r w:rsidRPr="00385796">
        <w:rPr>
          <w:rFonts w:ascii="Arial" w:hAnsi="Arial" w:cs="Arial"/>
          <w:sz w:val="24"/>
          <w:szCs w:val="24"/>
        </w:rPr>
        <w:t xml:space="preserve">Kotter’s eight-step model </w:t>
      </w:r>
      <w:r w:rsidR="007A125F">
        <w:rPr>
          <w:rFonts w:ascii="Arial" w:hAnsi="Arial" w:cs="Arial"/>
          <w:sz w:val="24"/>
          <w:szCs w:val="24"/>
        </w:rPr>
        <w:t>supports</w:t>
      </w:r>
      <w:r w:rsidRPr="00385796">
        <w:rPr>
          <w:rFonts w:ascii="Arial" w:hAnsi="Arial" w:cs="Arial"/>
          <w:sz w:val="24"/>
          <w:szCs w:val="24"/>
        </w:rPr>
        <w:t xml:space="preserve"> a detailed leadership framework, whil</w:t>
      </w:r>
      <w:r w:rsidR="007A125F">
        <w:rPr>
          <w:rFonts w:ascii="Arial" w:hAnsi="Arial" w:cs="Arial"/>
          <w:sz w:val="24"/>
          <w:szCs w:val="24"/>
        </w:rPr>
        <w:t xml:space="preserve">st </w:t>
      </w:r>
      <w:r w:rsidRPr="00385796">
        <w:rPr>
          <w:rFonts w:ascii="Arial" w:hAnsi="Arial" w:cs="Arial"/>
          <w:sz w:val="24"/>
          <w:szCs w:val="24"/>
        </w:rPr>
        <w:t xml:space="preserve">Lewin’s </w:t>
      </w:r>
      <w:r w:rsidR="007A125F">
        <w:rPr>
          <w:rFonts w:ascii="Arial" w:hAnsi="Arial" w:cs="Arial"/>
          <w:sz w:val="24"/>
          <w:szCs w:val="24"/>
        </w:rPr>
        <w:t xml:space="preserve">theory </w:t>
      </w:r>
      <w:r w:rsidRPr="00385796">
        <w:rPr>
          <w:rFonts w:ascii="Arial" w:hAnsi="Arial" w:cs="Arial"/>
          <w:sz w:val="24"/>
          <w:szCs w:val="24"/>
        </w:rPr>
        <w:t>helps examine readiness, transition and the establishment of new practices. Both are useful tools,</w:t>
      </w:r>
      <w:r w:rsidR="007A125F">
        <w:rPr>
          <w:rFonts w:ascii="Arial" w:hAnsi="Arial" w:cs="Arial"/>
          <w:sz w:val="24"/>
          <w:szCs w:val="24"/>
        </w:rPr>
        <w:t xml:space="preserve"> however depending on the objective one maybe more practical </w:t>
      </w:r>
    </w:p>
    <w:p w14:paraId="787ED7B2" w14:textId="77777777" w:rsidR="00385796" w:rsidRPr="00385796" w:rsidRDefault="00385796" w:rsidP="00385796">
      <w:pPr>
        <w:spacing w:line="360" w:lineRule="auto"/>
        <w:rPr>
          <w:rFonts w:ascii="Arial" w:hAnsi="Arial" w:cs="Arial"/>
          <w:sz w:val="24"/>
          <w:szCs w:val="24"/>
        </w:rPr>
      </w:pPr>
      <w:r w:rsidRPr="00385796">
        <w:rPr>
          <w:rFonts w:ascii="Arial" w:hAnsi="Arial" w:cs="Arial"/>
          <w:b/>
          <w:bCs/>
          <w:sz w:val="24"/>
          <w:szCs w:val="24"/>
        </w:rPr>
        <w:t>Kotter’s eight-step model</w:t>
      </w:r>
    </w:p>
    <w:p w14:paraId="6744AD74" w14:textId="7976C242" w:rsidR="00D60D00" w:rsidRPr="00D60D00" w:rsidRDefault="00385796" w:rsidP="00D60D00">
      <w:pPr>
        <w:spacing w:line="360" w:lineRule="auto"/>
        <w:rPr>
          <w:rFonts w:ascii="Arial" w:hAnsi="Arial" w:cs="Arial"/>
          <w:sz w:val="24"/>
          <w:szCs w:val="24"/>
        </w:rPr>
      </w:pPr>
      <w:r w:rsidRPr="00385796">
        <w:rPr>
          <w:rFonts w:ascii="Arial" w:hAnsi="Arial" w:cs="Arial"/>
          <w:sz w:val="24"/>
          <w:szCs w:val="24"/>
        </w:rPr>
        <w:t>Kotter’s (1996) model emphasises establishing urgency, building a guiding coalition, developing and communicating a vision, enabling action, generating short-term wins, consolidating improvements and embedding change. Its strength is that it directs attention beyond technical implementation towards leadership and sustained organisational commitment. However,</w:t>
      </w:r>
      <w:r w:rsidR="00D06218">
        <w:rPr>
          <w:rFonts w:ascii="Arial" w:hAnsi="Arial" w:cs="Arial"/>
          <w:sz w:val="24"/>
          <w:szCs w:val="24"/>
        </w:rPr>
        <w:t xml:space="preserve"> </w:t>
      </w:r>
      <w:r w:rsidRPr="00385796">
        <w:rPr>
          <w:rFonts w:ascii="Arial" w:hAnsi="Arial" w:cs="Arial"/>
          <w:sz w:val="24"/>
          <w:szCs w:val="24"/>
        </w:rPr>
        <w:t>questions</w:t>
      </w:r>
      <w:r w:rsidR="00D06218">
        <w:rPr>
          <w:rFonts w:ascii="Arial" w:hAnsi="Arial" w:cs="Arial"/>
          <w:sz w:val="24"/>
          <w:szCs w:val="24"/>
        </w:rPr>
        <w:t xml:space="preserve"> surrounding</w:t>
      </w:r>
      <w:r w:rsidRPr="00385796">
        <w:rPr>
          <w:rFonts w:ascii="Arial" w:hAnsi="Arial" w:cs="Arial"/>
          <w:sz w:val="24"/>
          <w:szCs w:val="24"/>
        </w:rPr>
        <w:t xml:space="preserve"> the foundations and continuing relevance of Kotter’s influential prescriptions. </w:t>
      </w:r>
      <w:r w:rsidR="00D60D00" w:rsidRPr="00D60D00">
        <w:rPr>
          <w:rFonts w:ascii="Arial" w:hAnsi="Arial" w:cs="Arial"/>
          <w:sz w:val="24"/>
          <w:szCs w:val="24"/>
        </w:rPr>
        <w:t>(Hughes, 2016)</w:t>
      </w:r>
    </w:p>
    <w:p w14:paraId="3C748E46" w14:textId="77777777" w:rsidR="00E840CF" w:rsidRDefault="00385796" w:rsidP="00385796">
      <w:pPr>
        <w:spacing w:line="360" w:lineRule="auto"/>
        <w:rPr>
          <w:rFonts w:ascii="Arial" w:hAnsi="Arial" w:cs="Arial"/>
          <w:b/>
          <w:bCs/>
          <w:sz w:val="24"/>
          <w:szCs w:val="24"/>
        </w:rPr>
      </w:pPr>
      <w:r w:rsidRPr="00385796">
        <w:rPr>
          <w:rFonts w:ascii="Arial" w:hAnsi="Arial" w:cs="Arial"/>
          <w:b/>
          <w:bCs/>
          <w:sz w:val="24"/>
          <w:szCs w:val="24"/>
        </w:rPr>
        <w:t>Establishing urgency</w:t>
      </w:r>
    </w:p>
    <w:p w14:paraId="5A6EBF75" w14:textId="3538C7CE" w:rsidR="00E840CF" w:rsidRPr="00E840CF" w:rsidRDefault="00E840CF" w:rsidP="00385796">
      <w:pPr>
        <w:spacing w:line="360" w:lineRule="auto"/>
        <w:rPr>
          <w:rFonts w:ascii="Arial" w:hAnsi="Arial" w:cs="Arial"/>
          <w:sz w:val="24"/>
          <w:szCs w:val="24"/>
        </w:rPr>
      </w:pPr>
      <w:r w:rsidRPr="00E840CF">
        <w:rPr>
          <w:rFonts w:ascii="Arial" w:hAnsi="Arial" w:cs="Arial"/>
          <w:sz w:val="24"/>
          <w:szCs w:val="24"/>
        </w:rPr>
        <w:t xml:space="preserve">This would </w:t>
      </w:r>
      <w:r>
        <w:rPr>
          <w:rFonts w:ascii="Arial" w:hAnsi="Arial" w:cs="Arial"/>
          <w:sz w:val="24"/>
          <w:szCs w:val="24"/>
        </w:rPr>
        <w:t xml:space="preserve">require an evidence-based proposal of why AI identity-verification should be replaced by manual checks. Such evidence may include, processing delays, cost, quality, external competition pressures. Senior managers are required to base their decisions on the overall organisational requirements. </w:t>
      </w:r>
    </w:p>
    <w:p w14:paraId="22B5AE18" w14:textId="77777777" w:rsidR="00E840CF" w:rsidRDefault="00385796" w:rsidP="00385796">
      <w:pPr>
        <w:spacing w:line="360" w:lineRule="auto"/>
        <w:rPr>
          <w:rFonts w:ascii="Arial" w:hAnsi="Arial" w:cs="Arial"/>
          <w:sz w:val="24"/>
          <w:szCs w:val="24"/>
        </w:rPr>
      </w:pPr>
      <w:r w:rsidRPr="00385796">
        <w:rPr>
          <w:rFonts w:ascii="Arial" w:hAnsi="Arial" w:cs="Arial"/>
          <w:b/>
          <w:bCs/>
          <w:sz w:val="24"/>
          <w:szCs w:val="24"/>
        </w:rPr>
        <w:t>Building a guiding coalition</w:t>
      </w:r>
      <w:r w:rsidRPr="00385796">
        <w:rPr>
          <w:rFonts w:ascii="Arial" w:hAnsi="Arial" w:cs="Arial"/>
          <w:sz w:val="24"/>
          <w:szCs w:val="24"/>
        </w:rPr>
        <w:t xml:space="preserve"> </w:t>
      </w:r>
    </w:p>
    <w:p w14:paraId="27545E62" w14:textId="75F40C74" w:rsidR="00385796" w:rsidRDefault="00E840CF" w:rsidP="00385796">
      <w:pPr>
        <w:spacing w:line="360" w:lineRule="auto"/>
        <w:rPr>
          <w:rFonts w:ascii="Arial" w:hAnsi="Arial" w:cs="Arial"/>
          <w:sz w:val="24"/>
          <w:szCs w:val="24"/>
        </w:rPr>
      </w:pPr>
      <w:r>
        <w:rPr>
          <w:rFonts w:ascii="Arial" w:hAnsi="Arial" w:cs="Arial"/>
          <w:sz w:val="24"/>
          <w:szCs w:val="24"/>
        </w:rPr>
        <w:t xml:space="preserve">Involves various personnel - </w:t>
      </w:r>
      <w:r w:rsidR="00385796" w:rsidRPr="00385796">
        <w:rPr>
          <w:rFonts w:ascii="Arial" w:hAnsi="Arial" w:cs="Arial"/>
          <w:sz w:val="24"/>
          <w:szCs w:val="24"/>
        </w:rPr>
        <w:t xml:space="preserve">operational managers, onboarding employees, technology specialists, relevant control functions and HR. The stakeholder analysis indicates that formal authority and direct exposure to change are distributed unevenly. Including employee expertise would strengthen practical understanding and legitimacy. </w:t>
      </w:r>
    </w:p>
    <w:p w14:paraId="32630796" w14:textId="77777777" w:rsidR="00E840CF" w:rsidRDefault="00E840CF" w:rsidP="00385796">
      <w:pPr>
        <w:spacing w:line="360" w:lineRule="auto"/>
        <w:rPr>
          <w:rFonts w:ascii="Arial" w:hAnsi="Arial" w:cs="Arial"/>
          <w:sz w:val="24"/>
          <w:szCs w:val="24"/>
        </w:rPr>
      </w:pPr>
    </w:p>
    <w:p w14:paraId="1792513D" w14:textId="77777777" w:rsidR="00E840CF" w:rsidRDefault="00E840CF" w:rsidP="00385796">
      <w:pPr>
        <w:spacing w:line="360" w:lineRule="auto"/>
        <w:rPr>
          <w:rFonts w:ascii="Arial" w:hAnsi="Arial" w:cs="Arial"/>
          <w:sz w:val="24"/>
          <w:szCs w:val="24"/>
        </w:rPr>
      </w:pPr>
    </w:p>
    <w:p w14:paraId="28703E96" w14:textId="77777777" w:rsidR="00E840CF" w:rsidRPr="00385796" w:rsidRDefault="00E840CF" w:rsidP="00385796">
      <w:pPr>
        <w:spacing w:line="360" w:lineRule="auto"/>
        <w:rPr>
          <w:rFonts w:ascii="Arial" w:hAnsi="Arial" w:cs="Arial"/>
          <w:sz w:val="24"/>
          <w:szCs w:val="24"/>
        </w:rPr>
      </w:pPr>
    </w:p>
    <w:p w14:paraId="1DDD1A90" w14:textId="77777777" w:rsidR="001A0DB4" w:rsidRDefault="00385796" w:rsidP="00385796">
      <w:pPr>
        <w:spacing w:line="360" w:lineRule="auto"/>
        <w:rPr>
          <w:rFonts w:ascii="Arial" w:hAnsi="Arial" w:cs="Arial"/>
          <w:sz w:val="24"/>
          <w:szCs w:val="24"/>
        </w:rPr>
      </w:pPr>
      <w:r w:rsidRPr="00385796">
        <w:rPr>
          <w:rFonts w:ascii="Arial" w:hAnsi="Arial" w:cs="Arial"/>
          <w:b/>
          <w:bCs/>
          <w:sz w:val="24"/>
          <w:szCs w:val="24"/>
        </w:rPr>
        <w:lastRenderedPageBreak/>
        <w:t>Developing a vision</w:t>
      </w:r>
      <w:r w:rsidRPr="00385796">
        <w:rPr>
          <w:rFonts w:ascii="Arial" w:hAnsi="Arial" w:cs="Arial"/>
          <w:sz w:val="24"/>
          <w:szCs w:val="24"/>
        </w:rPr>
        <w:t xml:space="preserve"> </w:t>
      </w:r>
    </w:p>
    <w:p w14:paraId="51EA22AA" w14:textId="1E40B458" w:rsidR="002717D7" w:rsidRPr="00385796" w:rsidRDefault="001A0DB4" w:rsidP="00385796">
      <w:pPr>
        <w:spacing w:line="360" w:lineRule="auto"/>
        <w:rPr>
          <w:rFonts w:ascii="Arial" w:hAnsi="Arial" w:cs="Arial"/>
          <w:sz w:val="24"/>
          <w:szCs w:val="24"/>
        </w:rPr>
      </w:pPr>
      <w:r>
        <w:rPr>
          <w:rFonts w:ascii="Arial" w:hAnsi="Arial" w:cs="Arial"/>
          <w:sz w:val="24"/>
          <w:szCs w:val="24"/>
        </w:rPr>
        <w:t>Clarity surrounding</w:t>
      </w:r>
      <w:r w:rsidR="00385796" w:rsidRPr="00385796">
        <w:rPr>
          <w:rFonts w:ascii="Arial" w:hAnsi="Arial" w:cs="Arial"/>
          <w:sz w:val="24"/>
          <w:szCs w:val="24"/>
        </w:rPr>
        <w:t xml:space="preserve"> the future relationship between automation and human judgement. For </w:t>
      </w:r>
      <w:r w:rsidR="002717D7" w:rsidRPr="00385796">
        <w:rPr>
          <w:rFonts w:ascii="Arial" w:hAnsi="Arial" w:cs="Arial"/>
          <w:sz w:val="24"/>
          <w:szCs w:val="24"/>
        </w:rPr>
        <w:t>Starling</w:t>
      </w:r>
      <w:r w:rsidR="002717D7">
        <w:rPr>
          <w:rFonts w:ascii="Arial" w:hAnsi="Arial" w:cs="Arial"/>
          <w:sz w:val="24"/>
          <w:szCs w:val="24"/>
        </w:rPr>
        <w:t xml:space="preserve">, </w:t>
      </w:r>
      <w:r w:rsidR="002717D7" w:rsidRPr="00385796">
        <w:rPr>
          <w:rFonts w:ascii="Arial" w:hAnsi="Arial" w:cs="Arial"/>
          <w:sz w:val="24"/>
          <w:szCs w:val="24"/>
        </w:rPr>
        <w:t>a</w:t>
      </w:r>
      <w:r w:rsidR="00385796" w:rsidRPr="00385796">
        <w:rPr>
          <w:rFonts w:ascii="Arial" w:hAnsi="Arial" w:cs="Arial"/>
          <w:sz w:val="24"/>
          <w:szCs w:val="24"/>
        </w:rPr>
        <w:t xml:space="preserve"> suitable vision would explain which checks become automated, which cases require employee intervention and how success will be assessed. A</w:t>
      </w:r>
      <w:r w:rsidR="002717D7">
        <w:rPr>
          <w:rFonts w:ascii="Arial" w:hAnsi="Arial" w:cs="Arial"/>
          <w:sz w:val="24"/>
          <w:szCs w:val="24"/>
        </w:rPr>
        <w:t>n objective solely focused</w:t>
      </w:r>
      <w:r w:rsidR="00385796" w:rsidRPr="00385796">
        <w:rPr>
          <w:rFonts w:ascii="Arial" w:hAnsi="Arial" w:cs="Arial"/>
          <w:sz w:val="24"/>
          <w:szCs w:val="24"/>
        </w:rPr>
        <w:t xml:space="preserve"> on faster processing</w:t>
      </w:r>
      <w:r w:rsidR="002717D7">
        <w:rPr>
          <w:rFonts w:ascii="Arial" w:hAnsi="Arial" w:cs="Arial"/>
          <w:sz w:val="24"/>
          <w:szCs w:val="24"/>
        </w:rPr>
        <w:t xml:space="preserve"> time</w:t>
      </w:r>
      <w:r w:rsidR="00385796" w:rsidRPr="00385796">
        <w:rPr>
          <w:rFonts w:ascii="Arial" w:hAnsi="Arial" w:cs="Arial"/>
          <w:sz w:val="24"/>
          <w:szCs w:val="24"/>
        </w:rPr>
        <w:t xml:space="preserve"> could </w:t>
      </w:r>
      <w:r w:rsidR="002717D7">
        <w:rPr>
          <w:rFonts w:ascii="Arial" w:hAnsi="Arial" w:cs="Arial"/>
          <w:sz w:val="24"/>
          <w:szCs w:val="24"/>
        </w:rPr>
        <w:t xml:space="preserve">negatively affect customer service. </w:t>
      </w:r>
    </w:p>
    <w:p w14:paraId="4238B258" w14:textId="77777777" w:rsidR="00EE312C" w:rsidRDefault="00385796" w:rsidP="00385796">
      <w:pPr>
        <w:spacing w:line="360" w:lineRule="auto"/>
        <w:rPr>
          <w:rFonts w:ascii="Arial" w:hAnsi="Arial" w:cs="Arial"/>
          <w:sz w:val="24"/>
          <w:szCs w:val="24"/>
        </w:rPr>
      </w:pPr>
      <w:r w:rsidRPr="00385796">
        <w:rPr>
          <w:rFonts w:ascii="Arial" w:hAnsi="Arial" w:cs="Arial"/>
          <w:b/>
          <w:bCs/>
          <w:sz w:val="24"/>
          <w:szCs w:val="24"/>
        </w:rPr>
        <w:t>Communicating the vision</w:t>
      </w:r>
      <w:r w:rsidRPr="00385796">
        <w:rPr>
          <w:rFonts w:ascii="Arial" w:hAnsi="Arial" w:cs="Arial"/>
          <w:sz w:val="24"/>
          <w:szCs w:val="24"/>
        </w:rPr>
        <w:t xml:space="preserve"> </w:t>
      </w:r>
    </w:p>
    <w:p w14:paraId="7D3016C1" w14:textId="15729D73" w:rsidR="00EE312C" w:rsidRDefault="00EE312C" w:rsidP="00385796">
      <w:pPr>
        <w:spacing w:line="360" w:lineRule="auto"/>
        <w:rPr>
          <w:rFonts w:ascii="Arial" w:hAnsi="Arial" w:cs="Arial"/>
          <w:sz w:val="24"/>
          <w:szCs w:val="24"/>
        </w:rPr>
      </w:pPr>
      <w:r>
        <w:rPr>
          <w:rFonts w:ascii="Arial" w:hAnsi="Arial" w:cs="Arial"/>
          <w:sz w:val="24"/>
          <w:szCs w:val="24"/>
        </w:rPr>
        <w:t xml:space="preserve">Translating </w:t>
      </w:r>
      <w:r w:rsidR="00385796" w:rsidRPr="00385796">
        <w:rPr>
          <w:rFonts w:ascii="Arial" w:hAnsi="Arial" w:cs="Arial"/>
          <w:sz w:val="24"/>
          <w:szCs w:val="24"/>
        </w:rPr>
        <w:t xml:space="preserve">strategic intentions </w:t>
      </w:r>
      <w:r>
        <w:rPr>
          <w:rFonts w:ascii="Arial" w:hAnsi="Arial" w:cs="Arial"/>
          <w:sz w:val="24"/>
          <w:szCs w:val="24"/>
        </w:rPr>
        <w:t>to the appropriate</w:t>
      </w:r>
      <w:r w:rsidR="00385796" w:rsidRPr="00385796">
        <w:rPr>
          <w:rFonts w:ascii="Arial" w:hAnsi="Arial" w:cs="Arial"/>
          <w:sz w:val="24"/>
          <w:szCs w:val="24"/>
        </w:rPr>
        <w:t xml:space="preserve"> stakeholders. </w:t>
      </w:r>
      <w:r>
        <w:rPr>
          <w:rFonts w:ascii="Arial" w:hAnsi="Arial" w:cs="Arial"/>
          <w:sz w:val="24"/>
          <w:szCs w:val="24"/>
        </w:rPr>
        <w:t xml:space="preserve">Employees need to be fully equipped for the change, including support through the process, including training and or job security, managers need operational direction and customers need an understanding of the external process. </w:t>
      </w:r>
    </w:p>
    <w:p w14:paraId="43FA757D" w14:textId="77777777" w:rsidR="00A71F26" w:rsidRDefault="00385796" w:rsidP="00385796">
      <w:pPr>
        <w:spacing w:line="360" w:lineRule="auto"/>
        <w:rPr>
          <w:rFonts w:ascii="Arial" w:hAnsi="Arial" w:cs="Arial"/>
          <w:sz w:val="24"/>
          <w:szCs w:val="24"/>
        </w:rPr>
      </w:pPr>
      <w:r w:rsidRPr="00385796">
        <w:rPr>
          <w:rFonts w:ascii="Arial" w:hAnsi="Arial" w:cs="Arial"/>
          <w:b/>
          <w:bCs/>
          <w:sz w:val="24"/>
          <w:szCs w:val="24"/>
        </w:rPr>
        <w:t>Enabling broad-based action</w:t>
      </w:r>
      <w:r w:rsidRPr="00385796">
        <w:rPr>
          <w:rFonts w:ascii="Arial" w:hAnsi="Arial" w:cs="Arial"/>
          <w:sz w:val="24"/>
          <w:szCs w:val="24"/>
        </w:rPr>
        <w:t xml:space="preserve"> </w:t>
      </w:r>
    </w:p>
    <w:p w14:paraId="43A64492" w14:textId="2B58CC50" w:rsidR="00385796" w:rsidRPr="00385796" w:rsidRDefault="00A71F26" w:rsidP="00385796">
      <w:pPr>
        <w:spacing w:line="360" w:lineRule="auto"/>
        <w:rPr>
          <w:rFonts w:ascii="Arial" w:hAnsi="Arial" w:cs="Arial"/>
          <w:sz w:val="24"/>
          <w:szCs w:val="24"/>
        </w:rPr>
      </w:pPr>
      <w:r>
        <w:rPr>
          <w:rFonts w:ascii="Arial" w:hAnsi="Arial" w:cs="Arial"/>
          <w:sz w:val="24"/>
          <w:szCs w:val="24"/>
        </w:rPr>
        <w:t>“R</w:t>
      </w:r>
      <w:r w:rsidR="00385796" w:rsidRPr="00385796">
        <w:rPr>
          <w:rFonts w:ascii="Arial" w:hAnsi="Arial" w:cs="Arial"/>
          <w:sz w:val="24"/>
          <w:szCs w:val="24"/>
        </w:rPr>
        <w:t>emoving obstacles such as insufficient training, unclear escalation routes and unrealistic workload expectations. Employees need competence and authority to challenge automated results. However, empowerment can conflict with tightly controlled banking procedures. Leaders should clarify where discretion is appropriate and where specialist approval is required. Training without protected time or adequate staffing may leave employees formally prepared but practically unable to apply their learning.</w:t>
      </w:r>
    </w:p>
    <w:p w14:paraId="0EBD3F28" w14:textId="77777777" w:rsidR="00A71F26" w:rsidRDefault="00385796" w:rsidP="00385796">
      <w:pPr>
        <w:spacing w:line="360" w:lineRule="auto"/>
        <w:rPr>
          <w:rFonts w:ascii="Arial" w:hAnsi="Arial" w:cs="Arial"/>
          <w:sz w:val="24"/>
          <w:szCs w:val="24"/>
        </w:rPr>
      </w:pPr>
      <w:r w:rsidRPr="00385796">
        <w:rPr>
          <w:rFonts w:ascii="Arial" w:hAnsi="Arial" w:cs="Arial"/>
          <w:b/>
          <w:bCs/>
          <w:sz w:val="24"/>
          <w:szCs w:val="24"/>
        </w:rPr>
        <w:t>Generating short-term wins</w:t>
      </w:r>
      <w:r w:rsidRPr="00385796">
        <w:rPr>
          <w:rFonts w:ascii="Arial" w:hAnsi="Arial" w:cs="Arial"/>
          <w:sz w:val="24"/>
          <w:szCs w:val="24"/>
        </w:rPr>
        <w:t xml:space="preserve"> </w:t>
      </w:r>
    </w:p>
    <w:p w14:paraId="5CA17BC4" w14:textId="07FDABAC" w:rsidR="00385796" w:rsidRDefault="00A71F26" w:rsidP="00385796">
      <w:pPr>
        <w:spacing w:line="360" w:lineRule="auto"/>
        <w:rPr>
          <w:rFonts w:ascii="Arial" w:hAnsi="Arial" w:cs="Arial"/>
          <w:sz w:val="24"/>
          <w:szCs w:val="24"/>
        </w:rPr>
      </w:pPr>
      <w:r>
        <w:rPr>
          <w:rFonts w:ascii="Arial" w:hAnsi="Arial" w:cs="Arial"/>
          <w:sz w:val="24"/>
          <w:szCs w:val="24"/>
        </w:rPr>
        <w:t>C</w:t>
      </w:r>
      <w:r w:rsidR="00385796" w:rsidRPr="00385796">
        <w:rPr>
          <w:rFonts w:ascii="Arial" w:hAnsi="Arial" w:cs="Arial"/>
          <w:sz w:val="24"/>
          <w:szCs w:val="24"/>
        </w:rPr>
        <w:t>ontrolled pilot demonstrating faster routine verification without increased errors, unresolved cases or customer difficulties. Such evidence may build confidence. However, selective reporting could exaggerate success if leaders highlight speed while overlooking rework or workforce concerns. Wins should therefore reflect balanced outcomes and include employee feedback. Early improvement is evidence for further assessment, not proof that wider implementation will succeed.</w:t>
      </w:r>
    </w:p>
    <w:p w14:paraId="4E41816C" w14:textId="77777777" w:rsidR="00A71F26" w:rsidRDefault="00A71F26" w:rsidP="00385796">
      <w:pPr>
        <w:spacing w:line="360" w:lineRule="auto"/>
        <w:rPr>
          <w:rFonts w:ascii="Arial" w:hAnsi="Arial" w:cs="Arial"/>
          <w:sz w:val="24"/>
          <w:szCs w:val="24"/>
        </w:rPr>
      </w:pPr>
    </w:p>
    <w:p w14:paraId="500D7F0A" w14:textId="77777777" w:rsidR="00A71F26" w:rsidRDefault="00A71F26" w:rsidP="00385796">
      <w:pPr>
        <w:spacing w:line="360" w:lineRule="auto"/>
        <w:rPr>
          <w:rFonts w:ascii="Arial" w:hAnsi="Arial" w:cs="Arial"/>
          <w:sz w:val="24"/>
          <w:szCs w:val="24"/>
        </w:rPr>
      </w:pPr>
    </w:p>
    <w:p w14:paraId="1A752E67" w14:textId="77777777" w:rsidR="00D868D3" w:rsidRPr="00385796" w:rsidRDefault="00D868D3" w:rsidP="00385796">
      <w:pPr>
        <w:spacing w:line="360" w:lineRule="auto"/>
        <w:rPr>
          <w:rFonts w:ascii="Arial" w:hAnsi="Arial" w:cs="Arial"/>
          <w:sz w:val="24"/>
          <w:szCs w:val="24"/>
        </w:rPr>
      </w:pPr>
    </w:p>
    <w:p w14:paraId="7B7E072D" w14:textId="77777777" w:rsidR="00D868D3" w:rsidRDefault="00385796" w:rsidP="007A7695">
      <w:pPr>
        <w:spacing w:line="360" w:lineRule="auto"/>
        <w:rPr>
          <w:rFonts w:ascii="Arial" w:hAnsi="Arial" w:cs="Arial"/>
          <w:sz w:val="24"/>
          <w:szCs w:val="24"/>
        </w:rPr>
      </w:pPr>
      <w:r w:rsidRPr="00385796">
        <w:rPr>
          <w:rFonts w:ascii="Arial" w:hAnsi="Arial" w:cs="Arial"/>
          <w:b/>
          <w:bCs/>
          <w:sz w:val="24"/>
          <w:szCs w:val="24"/>
        </w:rPr>
        <w:lastRenderedPageBreak/>
        <w:t>Consolidating improvements</w:t>
      </w:r>
      <w:r w:rsidRPr="00385796">
        <w:rPr>
          <w:rFonts w:ascii="Arial" w:hAnsi="Arial" w:cs="Arial"/>
          <w:sz w:val="24"/>
          <w:szCs w:val="24"/>
        </w:rPr>
        <w:t xml:space="preserve"> </w:t>
      </w:r>
    </w:p>
    <w:p w14:paraId="39520A3A" w14:textId="088B3725" w:rsidR="007A7695" w:rsidRPr="007A7695" w:rsidRDefault="00D868D3" w:rsidP="007A7695">
      <w:pPr>
        <w:spacing w:line="360" w:lineRule="auto"/>
        <w:rPr>
          <w:rFonts w:ascii="Arial" w:hAnsi="Arial" w:cs="Arial"/>
          <w:sz w:val="24"/>
          <w:szCs w:val="24"/>
        </w:rPr>
      </w:pPr>
      <w:r>
        <w:rPr>
          <w:rFonts w:ascii="Arial" w:hAnsi="Arial" w:cs="Arial"/>
          <w:sz w:val="24"/>
          <w:szCs w:val="24"/>
        </w:rPr>
        <w:t>A</w:t>
      </w:r>
      <w:r w:rsidR="00385796" w:rsidRPr="00385796">
        <w:rPr>
          <w:rFonts w:ascii="Arial" w:hAnsi="Arial" w:cs="Arial"/>
          <w:sz w:val="24"/>
          <w:szCs w:val="24"/>
        </w:rPr>
        <w:t xml:space="preserve">ddressing pilot findings and adapting workflows before expansion. A concern with applying the model rigidly is that activities may need to overlap or recur: new problems could require further communication, training or stakeholder consultation. Leaders should revisit earlier assumptions rather than regard completed steps as permanently resolved. Later versions of Kotter’s framework explicitly adopt a more dynamic approach, so criticism of linearity should be directed at rigid application of the original sequence. </w:t>
      </w:r>
      <w:r w:rsidR="004C3738">
        <w:rPr>
          <w:rFonts w:ascii="Arial" w:hAnsi="Arial" w:cs="Arial"/>
          <w:sz w:val="24"/>
          <w:szCs w:val="24"/>
        </w:rPr>
        <w:t>(</w:t>
      </w:r>
      <w:r w:rsidR="004C3738" w:rsidRPr="00FD2796">
        <w:rPr>
          <w:rFonts w:ascii="Arial" w:hAnsi="Arial" w:cs="Arial"/>
          <w:sz w:val="24"/>
          <w:szCs w:val="24"/>
        </w:rPr>
        <w:t>Kotter, 2025)</w:t>
      </w:r>
    </w:p>
    <w:p w14:paraId="31D94451" w14:textId="77777777" w:rsidR="00D868D3" w:rsidRDefault="00385796" w:rsidP="00385796">
      <w:pPr>
        <w:spacing w:line="360" w:lineRule="auto"/>
        <w:rPr>
          <w:rFonts w:ascii="Arial" w:hAnsi="Arial" w:cs="Arial"/>
          <w:sz w:val="24"/>
          <w:szCs w:val="24"/>
        </w:rPr>
      </w:pPr>
      <w:r w:rsidRPr="00385796">
        <w:rPr>
          <w:rFonts w:ascii="Arial" w:hAnsi="Arial" w:cs="Arial"/>
          <w:b/>
          <w:bCs/>
          <w:sz w:val="24"/>
          <w:szCs w:val="24"/>
        </w:rPr>
        <w:t>Embedding change</w:t>
      </w:r>
      <w:r w:rsidRPr="00385796">
        <w:rPr>
          <w:rFonts w:ascii="Arial" w:hAnsi="Arial" w:cs="Arial"/>
          <w:sz w:val="24"/>
          <w:szCs w:val="24"/>
        </w:rPr>
        <w:t xml:space="preserve"> </w:t>
      </w:r>
    </w:p>
    <w:p w14:paraId="05B02777" w14:textId="089D0B25" w:rsidR="002B426C" w:rsidRDefault="00D868D3" w:rsidP="00385796">
      <w:pPr>
        <w:spacing w:line="360" w:lineRule="auto"/>
        <w:rPr>
          <w:rFonts w:ascii="Arial" w:hAnsi="Arial" w:cs="Arial"/>
          <w:sz w:val="24"/>
          <w:szCs w:val="24"/>
        </w:rPr>
      </w:pPr>
      <w:r>
        <w:rPr>
          <w:rFonts w:ascii="Arial" w:hAnsi="Arial" w:cs="Arial"/>
          <w:sz w:val="24"/>
          <w:szCs w:val="24"/>
        </w:rPr>
        <w:t>I</w:t>
      </w:r>
      <w:r w:rsidR="00385796" w:rsidRPr="00385796">
        <w:rPr>
          <w:rFonts w:ascii="Arial" w:hAnsi="Arial" w:cs="Arial"/>
          <w:sz w:val="24"/>
          <w:szCs w:val="24"/>
        </w:rPr>
        <w:t xml:space="preserve">ncorporating effective practices into procedures, </w:t>
      </w:r>
      <w:r w:rsidR="00F7792C">
        <w:rPr>
          <w:rFonts w:ascii="Arial" w:hAnsi="Arial" w:cs="Arial"/>
          <w:sz w:val="24"/>
          <w:szCs w:val="24"/>
        </w:rPr>
        <w:t xml:space="preserve">under </w:t>
      </w:r>
      <w:r w:rsidR="00385796" w:rsidRPr="00385796">
        <w:rPr>
          <w:rFonts w:ascii="Arial" w:hAnsi="Arial" w:cs="Arial"/>
          <w:sz w:val="24"/>
          <w:szCs w:val="24"/>
        </w:rPr>
        <w:t xml:space="preserve">supervision and </w:t>
      </w:r>
      <w:r w:rsidR="00F7792C">
        <w:rPr>
          <w:rFonts w:ascii="Arial" w:hAnsi="Arial" w:cs="Arial"/>
          <w:sz w:val="24"/>
          <w:szCs w:val="24"/>
        </w:rPr>
        <w:t xml:space="preserve">conducting </w:t>
      </w:r>
      <w:r w:rsidR="00385796" w:rsidRPr="00385796">
        <w:rPr>
          <w:rFonts w:ascii="Arial" w:hAnsi="Arial" w:cs="Arial"/>
          <w:sz w:val="24"/>
          <w:szCs w:val="24"/>
        </w:rPr>
        <w:t xml:space="preserve">performance assessment. </w:t>
      </w:r>
      <w:r w:rsidR="002B426C">
        <w:rPr>
          <w:rFonts w:ascii="Arial" w:hAnsi="Arial" w:cs="Arial"/>
          <w:sz w:val="24"/>
          <w:szCs w:val="24"/>
        </w:rPr>
        <w:t xml:space="preserve">At Starling this should manage and ensure accurate verification, alongside an escalation process should the system fail. Managers should not underestimate that they have lost trust by employees at this stage and continue to support where appropriate. </w:t>
      </w:r>
    </w:p>
    <w:p w14:paraId="1C26E5CE" w14:textId="77777777" w:rsidR="002B426C" w:rsidRDefault="002B426C" w:rsidP="00385796">
      <w:pPr>
        <w:spacing w:line="360" w:lineRule="auto"/>
        <w:rPr>
          <w:rFonts w:ascii="Arial" w:hAnsi="Arial" w:cs="Arial"/>
          <w:sz w:val="24"/>
          <w:szCs w:val="24"/>
        </w:rPr>
      </w:pPr>
    </w:p>
    <w:p w14:paraId="425893FA" w14:textId="77777777" w:rsidR="00730ACF" w:rsidRDefault="00730ACF" w:rsidP="00385796">
      <w:pPr>
        <w:spacing w:line="360" w:lineRule="auto"/>
        <w:rPr>
          <w:rFonts w:ascii="Arial" w:hAnsi="Arial" w:cs="Arial"/>
          <w:sz w:val="24"/>
          <w:szCs w:val="24"/>
        </w:rPr>
      </w:pPr>
    </w:p>
    <w:p w14:paraId="1FA725D1" w14:textId="77777777" w:rsidR="00730ACF" w:rsidRDefault="00730ACF" w:rsidP="00385796">
      <w:pPr>
        <w:spacing w:line="360" w:lineRule="auto"/>
        <w:rPr>
          <w:rFonts w:ascii="Arial" w:hAnsi="Arial" w:cs="Arial"/>
          <w:sz w:val="24"/>
          <w:szCs w:val="24"/>
        </w:rPr>
      </w:pPr>
    </w:p>
    <w:p w14:paraId="5F707310" w14:textId="77777777" w:rsidR="00730ACF" w:rsidRDefault="00730ACF" w:rsidP="00385796">
      <w:pPr>
        <w:spacing w:line="360" w:lineRule="auto"/>
        <w:rPr>
          <w:rFonts w:ascii="Arial" w:hAnsi="Arial" w:cs="Arial"/>
          <w:sz w:val="24"/>
          <w:szCs w:val="24"/>
        </w:rPr>
      </w:pPr>
    </w:p>
    <w:p w14:paraId="74382677" w14:textId="77777777" w:rsidR="00730ACF" w:rsidRDefault="00730ACF" w:rsidP="00385796">
      <w:pPr>
        <w:spacing w:line="360" w:lineRule="auto"/>
        <w:rPr>
          <w:rFonts w:ascii="Arial" w:hAnsi="Arial" w:cs="Arial"/>
          <w:sz w:val="24"/>
          <w:szCs w:val="24"/>
        </w:rPr>
      </w:pPr>
    </w:p>
    <w:p w14:paraId="17A2649C" w14:textId="77777777" w:rsidR="00730ACF" w:rsidRDefault="00730ACF" w:rsidP="00385796">
      <w:pPr>
        <w:spacing w:line="360" w:lineRule="auto"/>
        <w:rPr>
          <w:rFonts w:ascii="Arial" w:hAnsi="Arial" w:cs="Arial"/>
          <w:sz w:val="24"/>
          <w:szCs w:val="24"/>
        </w:rPr>
      </w:pPr>
    </w:p>
    <w:p w14:paraId="5F5238CC" w14:textId="77777777" w:rsidR="00730ACF" w:rsidRDefault="00730ACF" w:rsidP="00385796">
      <w:pPr>
        <w:spacing w:line="360" w:lineRule="auto"/>
        <w:rPr>
          <w:rFonts w:ascii="Arial" w:hAnsi="Arial" w:cs="Arial"/>
          <w:sz w:val="24"/>
          <w:szCs w:val="24"/>
        </w:rPr>
      </w:pPr>
    </w:p>
    <w:p w14:paraId="3F0CAF75" w14:textId="77777777" w:rsidR="00730ACF" w:rsidRDefault="00730ACF" w:rsidP="00385796">
      <w:pPr>
        <w:spacing w:line="360" w:lineRule="auto"/>
        <w:rPr>
          <w:rFonts w:ascii="Arial" w:hAnsi="Arial" w:cs="Arial"/>
          <w:sz w:val="24"/>
          <w:szCs w:val="24"/>
        </w:rPr>
      </w:pPr>
    </w:p>
    <w:p w14:paraId="675C3CB1" w14:textId="77777777" w:rsidR="00730ACF" w:rsidRDefault="00730ACF" w:rsidP="00385796">
      <w:pPr>
        <w:spacing w:line="360" w:lineRule="auto"/>
        <w:rPr>
          <w:rFonts w:ascii="Arial" w:hAnsi="Arial" w:cs="Arial"/>
          <w:sz w:val="24"/>
          <w:szCs w:val="24"/>
        </w:rPr>
      </w:pPr>
    </w:p>
    <w:p w14:paraId="549C2FA5" w14:textId="77777777" w:rsidR="00730ACF" w:rsidRDefault="00730ACF" w:rsidP="00385796">
      <w:pPr>
        <w:spacing w:line="360" w:lineRule="auto"/>
        <w:rPr>
          <w:rFonts w:ascii="Arial" w:hAnsi="Arial" w:cs="Arial"/>
          <w:sz w:val="24"/>
          <w:szCs w:val="24"/>
        </w:rPr>
      </w:pPr>
    </w:p>
    <w:p w14:paraId="49F5DE41" w14:textId="77777777" w:rsidR="00730ACF" w:rsidRPr="00385796" w:rsidRDefault="00730ACF" w:rsidP="00385796">
      <w:pPr>
        <w:spacing w:line="360" w:lineRule="auto"/>
        <w:rPr>
          <w:rFonts w:ascii="Arial" w:hAnsi="Arial" w:cs="Arial"/>
          <w:sz w:val="24"/>
          <w:szCs w:val="24"/>
        </w:rPr>
      </w:pPr>
    </w:p>
    <w:p w14:paraId="6AAD10DE" w14:textId="77777777" w:rsidR="00385796" w:rsidRDefault="00385796" w:rsidP="00385796">
      <w:pPr>
        <w:spacing w:line="360" w:lineRule="auto"/>
        <w:rPr>
          <w:rFonts w:ascii="Arial" w:hAnsi="Arial" w:cs="Arial"/>
          <w:b/>
          <w:bCs/>
          <w:sz w:val="24"/>
          <w:szCs w:val="24"/>
        </w:rPr>
      </w:pPr>
      <w:r w:rsidRPr="00385796">
        <w:rPr>
          <w:rFonts w:ascii="Arial" w:hAnsi="Arial" w:cs="Arial"/>
          <w:b/>
          <w:bCs/>
          <w:sz w:val="24"/>
          <w:szCs w:val="24"/>
        </w:rPr>
        <w:lastRenderedPageBreak/>
        <w:t>Lewin’s approach</w:t>
      </w:r>
    </w:p>
    <w:p w14:paraId="0F40D679" w14:textId="0D483890" w:rsidR="009D4060" w:rsidRDefault="009D4060" w:rsidP="009D4060">
      <w:pPr>
        <w:spacing w:line="360" w:lineRule="auto"/>
        <w:rPr>
          <w:rFonts w:ascii="Arial" w:hAnsi="Arial" w:cs="Arial"/>
          <w:sz w:val="24"/>
          <w:szCs w:val="24"/>
        </w:rPr>
      </w:pPr>
      <w:r w:rsidRPr="009D4060">
        <w:rPr>
          <w:rFonts w:ascii="Arial" w:hAnsi="Arial" w:cs="Arial"/>
          <w:sz w:val="24"/>
          <w:szCs w:val="24"/>
        </w:rPr>
        <w:t>(Lewin, 1947)</w:t>
      </w:r>
      <w:r>
        <w:rPr>
          <w:rFonts w:ascii="Arial" w:hAnsi="Arial" w:cs="Arial"/>
          <w:sz w:val="24"/>
          <w:szCs w:val="24"/>
        </w:rPr>
        <w:t xml:space="preserve"> </w:t>
      </w:r>
      <w:r w:rsidR="00385796" w:rsidRPr="00385796">
        <w:rPr>
          <w:rFonts w:ascii="Arial" w:hAnsi="Arial" w:cs="Arial"/>
          <w:sz w:val="24"/>
          <w:szCs w:val="24"/>
        </w:rPr>
        <w:t xml:space="preserve">approach is commonly expressed as unfreezing, moving or changing, and refreezing. Its value lies in recognising that established behaviour must be understood before new practices can become sustainable. </w:t>
      </w:r>
      <w:r w:rsidR="00772EE4" w:rsidRPr="00772EE4">
        <w:rPr>
          <w:rFonts w:ascii="Arial" w:hAnsi="Arial" w:cs="Arial"/>
          <w:sz w:val="24"/>
          <w:szCs w:val="24"/>
        </w:rPr>
        <w:t>(Burnes, 2004b)</w:t>
      </w:r>
      <w:r w:rsidR="00772EE4">
        <w:rPr>
          <w:rFonts w:ascii="Arial" w:hAnsi="Arial" w:cs="Arial"/>
          <w:sz w:val="24"/>
          <w:szCs w:val="24"/>
        </w:rPr>
        <w:t xml:space="preserve"> </w:t>
      </w:r>
      <w:r w:rsidR="00385796" w:rsidRPr="00385796">
        <w:rPr>
          <w:rFonts w:ascii="Arial" w:hAnsi="Arial" w:cs="Arial"/>
          <w:sz w:val="24"/>
          <w:szCs w:val="24"/>
        </w:rPr>
        <w:t>argues that Lewin’s contribution should be considered through his wider work on group dynamics, participation and action research, rather than reduced to three isolated stages.</w:t>
      </w:r>
      <w:r w:rsidRPr="009D4060">
        <w:rPr>
          <w:rFonts w:ascii="Times New Roman" w:eastAsia="Times New Roman" w:hAnsi="Times New Roman" w:cs="Times New Roman"/>
          <w:sz w:val="24"/>
          <w:szCs w:val="24"/>
          <w:lang w:eastAsia="en-GB"/>
        </w:rPr>
        <w:t xml:space="preserve"> </w:t>
      </w:r>
    </w:p>
    <w:p w14:paraId="4EDFCB36" w14:textId="146B779A" w:rsidR="00385796" w:rsidRPr="00385796" w:rsidRDefault="00385796" w:rsidP="00385796">
      <w:pPr>
        <w:spacing w:line="360" w:lineRule="auto"/>
        <w:rPr>
          <w:rFonts w:ascii="Arial" w:hAnsi="Arial" w:cs="Arial"/>
          <w:sz w:val="24"/>
          <w:szCs w:val="24"/>
        </w:rPr>
      </w:pPr>
      <w:r w:rsidRPr="00385796">
        <w:rPr>
          <w:rFonts w:ascii="Arial" w:hAnsi="Arial" w:cs="Arial"/>
          <w:b/>
          <w:bCs/>
          <w:sz w:val="24"/>
          <w:szCs w:val="24"/>
        </w:rPr>
        <w:t>Unfreezing</w:t>
      </w:r>
      <w:r w:rsidRPr="00385796">
        <w:rPr>
          <w:rFonts w:ascii="Arial" w:hAnsi="Arial" w:cs="Arial"/>
          <w:sz w:val="24"/>
          <w:szCs w:val="24"/>
        </w:rPr>
        <w:t xml:space="preserve"> would involve examining why existing manual-verification practices were being reconsidered and how employees understood their value. Force-field analysis could identify driving forces, such as capacity and consistency, alongside restraining forces, including job insecurity, limited confidence and implementation workload. Importantly, these concerns should not automatically be labelled irrational resistance. Reducing restraining forces through involvement and support may be more constructive than increasing pressure to accept automation.</w:t>
      </w:r>
    </w:p>
    <w:p w14:paraId="7A83C6C8" w14:textId="77777777" w:rsidR="00385796" w:rsidRPr="00385796" w:rsidRDefault="00385796" w:rsidP="00385796">
      <w:pPr>
        <w:spacing w:line="360" w:lineRule="auto"/>
        <w:rPr>
          <w:rFonts w:ascii="Arial" w:hAnsi="Arial" w:cs="Arial"/>
          <w:sz w:val="24"/>
          <w:szCs w:val="24"/>
        </w:rPr>
      </w:pPr>
      <w:r w:rsidRPr="00385796">
        <w:rPr>
          <w:rFonts w:ascii="Arial" w:hAnsi="Arial" w:cs="Arial"/>
          <w:b/>
          <w:bCs/>
          <w:sz w:val="24"/>
          <w:szCs w:val="24"/>
        </w:rPr>
        <w:t>Changing</w:t>
      </w:r>
      <w:r w:rsidRPr="00385796">
        <w:rPr>
          <w:rFonts w:ascii="Arial" w:hAnsi="Arial" w:cs="Arial"/>
          <w:sz w:val="24"/>
          <w:szCs w:val="24"/>
        </w:rPr>
        <w:t xml:space="preserve"> would involve supported learning, testing and adaptation. Employees could help evaluate automated outcomes and develop effective exception-handling procedures. This participative approach could strengthen capability by combining technical development with operational experience. However, the model provides limited practical detail about managing competing interests, staffing reductions and decision authority. The stakeholder analysis is therefore needed to explain whose involvement matters and how influence should be exercised.</w:t>
      </w:r>
    </w:p>
    <w:p w14:paraId="30E7A19E" w14:textId="77777777" w:rsidR="005D05DF" w:rsidRPr="005D05DF" w:rsidRDefault="00385796" w:rsidP="005D05DF">
      <w:pPr>
        <w:spacing w:line="360" w:lineRule="auto"/>
        <w:rPr>
          <w:rFonts w:ascii="Arial" w:hAnsi="Arial" w:cs="Arial"/>
          <w:sz w:val="24"/>
          <w:szCs w:val="24"/>
        </w:rPr>
      </w:pPr>
      <w:r w:rsidRPr="00385796">
        <w:rPr>
          <w:rFonts w:ascii="Arial" w:hAnsi="Arial" w:cs="Arial"/>
          <w:b/>
          <w:bCs/>
          <w:sz w:val="24"/>
          <w:szCs w:val="24"/>
        </w:rPr>
        <w:t>Refreezing</w:t>
      </w:r>
      <w:r w:rsidRPr="00385796">
        <w:rPr>
          <w:rFonts w:ascii="Arial" w:hAnsi="Arial" w:cs="Arial"/>
          <w:sz w:val="24"/>
          <w:szCs w:val="24"/>
        </w:rPr>
        <w:t xml:space="preserve"> would establish dependable working arrangements through documented responsibilities, training and monitoring. A common criticism is that apparent stability conflicts with continuing technological and regulatory developments. Nevertheless, refreezing need not mean permanently fixing every process. </w:t>
      </w:r>
      <w:r w:rsidR="005D05DF" w:rsidRPr="005D05DF">
        <w:rPr>
          <w:rFonts w:ascii="Arial" w:hAnsi="Arial" w:cs="Arial"/>
          <w:sz w:val="24"/>
          <w:szCs w:val="24"/>
        </w:rPr>
        <w:t>(Journal of Management Studies, 2021)</w:t>
      </w:r>
    </w:p>
    <w:p w14:paraId="07036EA4" w14:textId="705AC949" w:rsidR="00B77680" w:rsidRPr="00B77680" w:rsidRDefault="00385796" w:rsidP="00B77680">
      <w:pPr>
        <w:spacing w:line="360" w:lineRule="auto"/>
        <w:rPr>
          <w:rFonts w:ascii="Arial" w:hAnsi="Arial" w:cs="Arial"/>
          <w:sz w:val="24"/>
          <w:szCs w:val="24"/>
        </w:rPr>
      </w:pPr>
      <w:r w:rsidRPr="00385796">
        <w:rPr>
          <w:rFonts w:ascii="Arial" w:hAnsi="Arial" w:cs="Arial"/>
          <w:sz w:val="24"/>
          <w:szCs w:val="24"/>
        </w:rPr>
        <w:t xml:space="preserve">Applied here, it can mean stabilising accountability and essential safeguards while retaining mechanisms for review. </w:t>
      </w:r>
      <w:r w:rsidR="00B77680" w:rsidRPr="00B77680">
        <w:rPr>
          <w:rFonts w:ascii="Arial" w:hAnsi="Arial" w:cs="Arial"/>
          <w:sz w:val="24"/>
          <w:szCs w:val="24"/>
        </w:rPr>
        <w:t>(Burnes, 2004)</w:t>
      </w:r>
      <w:r w:rsidR="00B77680">
        <w:rPr>
          <w:rFonts w:ascii="Arial" w:hAnsi="Arial" w:cs="Arial"/>
          <w:sz w:val="24"/>
          <w:szCs w:val="24"/>
        </w:rPr>
        <w:t xml:space="preserve"> </w:t>
      </w:r>
      <w:r w:rsidRPr="00385796">
        <w:rPr>
          <w:rFonts w:ascii="Arial" w:hAnsi="Arial" w:cs="Arial"/>
          <w:sz w:val="24"/>
          <w:szCs w:val="24"/>
        </w:rPr>
        <w:t>reappraisal cautions against dismissing Lewin as inherently inflexible or exclusively management</w:t>
      </w:r>
      <w:r w:rsidR="0093498F">
        <w:rPr>
          <w:rFonts w:ascii="Arial" w:hAnsi="Arial" w:cs="Arial"/>
          <w:sz w:val="24"/>
          <w:szCs w:val="24"/>
        </w:rPr>
        <w:t xml:space="preserve"> driven. </w:t>
      </w:r>
    </w:p>
    <w:p w14:paraId="2D3B228C" w14:textId="29B84EAA" w:rsidR="00B77680" w:rsidRDefault="00B77680" w:rsidP="00385796">
      <w:pPr>
        <w:spacing w:line="360" w:lineRule="auto"/>
        <w:rPr>
          <w:rFonts w:ascii="Arial" w:hAnsi="Arial" w:cs="Arial"/>
          <w:sz w:val="24"/>
          <w:szCs w:val="24"/>
        </w:rPr>
      </w:pPr>
    </w:p>
    <w:p w14:paraId="0EC2BD28" w14:textId="37409DB9" w:rsidR="00385796" w:rsidRPr="00385796" w:rsidRDefault="00385796" w:rsidP="00385796">
      <w:pPr>
        <w:spacing w:line="360" w:lineRule="auto"/>
        <w:rPr>
          <w:rFonts w:ascii="Arial" w:hAnsi="Arial" w:cs="Arial"/>
          <w:sz w:val="24"/>
          <w:szCs w:val="24"/>
        </w:rPr>
      </w:pPr>
      <w:r w:rsidRPr="00385796">
        <w:rPr>
          <w:rFonts w:ascii="Arial" w:hAnsi="Arial" w:cs="Arial"/>
          <w:b/>
          <w:bCs/>
          <w:sz w:val="24"/>
          <w:szCs w:val="24"/>
        </w:rPr>
        <w:lastRenderedPageBreak/>
        <w:t>Combined evaluation</w:t>
      </w:r>
    </w:p>
    <w:p w14:paraId="101FF82A" w14:textId="0DB9E489" w:rsidR="00970702" w:rsidRPr="00970702" w:rsidRDefault="009F6B40" w:rsidP="00970702">
      <w:pPr>
        <w:spacing w:line="360" w:lineRule="auto"/>
        <w:rPr>
          <w:rFonts w:ascii="Arial" w:hAnsi="Arial" w:cs="Arial"/>
          <w:sz w:val="24"/>
          <w:szCs w:val="24"/>
        </w:rPr>
      </w:pPr>
      <w:r>
        <w:rPr>
          <w:rFonts w:ascii="Arial" w:hAnsi="Arial" w:cs="Arial"/>
          <w:sz w:val="24"/>
          <w:szCs w:val="24"/>
        </w:rPr>
        <w:t xml:space="preserve">The author’s opinion is that </w:t>
      </w:r>
      <w:r w:rsidR="00385796" w:rsidRPr="00385796">
        <w:rPr>
          <w:rFonts w:ascii="Arial" w:hAnsi="Arial" w:cs="Arial"/>
          <w:sz w:val="24"/>
          <w:szCs w:val="24"/>
        </w:rPr>
        <w:t>Kotter</w:t>
      </w:r>
      <w:r>
        <w:rPr>
          <w:rFonts w:ascii="Arial" w:hAnsi="Arial" w:cs="Arial"/>
          <w:sz w:val="24"/>
          <w:szCs w:val="24"/>
        </w:rPr>
        <w:t xml:space="preserve"> model perhaps</w:t>
      </w:r>
      <w:r w:rsidR="00385796" w:rsidRPr="00385796">
        <w:rPr>
          <w:rFonts w:ascii="Arial" w:hAnsi="Arial" w:cs="Arial"/>
          <w:sz w:val="24"/>
          <w:szCs w:val="24"/>
        </w:rPr>
        <w:t xml:space="preserve"> offers greater </w:t>
      </w:r>
      <w:r>
        <w:rPr>
          <w:rFonts w:ascii="Arial" w:hAnsi="Arial" w:cs="Arial"/>
          <w:sz w:val="24"/>
          <w:szCs w:val="24"/>
        </w:rPr>
        <w:t>scope</w:t>
      </w:r>
      <w:r w:rsidR="00385796" w:rsidRPr="00385796">
        <w:rPr>
          <w:rFonts w:ascii="Arial" w:hAnsi="Arial" w:cs="Arial"/>
          <w:sz w:val="24"/>
          <w:szCs w:val="24"/>
        </w:rPr>
        <w:t xml:space="preserve"> for coordinating implementation</w:t>
      </w:r>
      <w:r>
        <w:rPr>
          <w:rFonts w:ascii="Arial" w:hAnsi="Arial" w:cs="Arial"/>
          <w:sz w:val="24"/>
          <w:szCs w:val="24"/>
        </w:rPr>
        <w:t xml:space="preserve">. Whilst </w:t>
      </w:r>
      <w:r w:rsidR="00385796" w:rsidRPr="00385796">
        <w:rPr>
          <w:rFonts w:ascii="Arial" w:hAnsi="Arial" w:cs="Arial"/>
          <w:sz w:val="24"/>
          <w:szCs w:val="24"/>
        </w:rPr>
        <w:t>Lewin</w:t>
      </w:r>
      <w:r>
        <w:rPr>
          <w:rFonts w:ascii="Arial" w:hAnsi="Arial" w:cs="Arial"/>
          <w:sz w:val="24"/>
          <w:szCs w:val="24"/>
        </w:rPr>
        <w:t>’s theory</w:t>
      </w:r>
      <w:r w:rsidR="00385796" w:rsidRPr="00385796">
        <w:rPr>
          <w:rFonts w:ascii="Arial" w:hAnsi="Arial" w:cs="Arial"/>
          <w:sz w:val="24"/>
          <w:szCs w:val="24"/>
        </w:rPr>
        <w:t xml:space="preserve"> highlights readiness, </w:t>
      </w:r>
      <w:r>
        <w:rPr>
          <w:rFonts w:ascii="Arial" w:hAnsi="Arial" w:cs="Arial"/>
          <w:sz w:val="24"/>
          <w:szCs w:val="24"/>
        </w:rPr>
        <w:t xml:space="preserve">captures </w:t>
      </w:r>
      <w:r w:rsidR="00385796" w:rsidRPr="00385796">
        <w:rPr>
          <w:rFonts w:ascii="Arial" w:hAnsi="Arial" w:cs="Arial"/>
          <w:sz w:val="24"/>
          <w:szCs w:val="24"/>
        </w:rPr>
        <w:t xml:space="preserve">group behaviour and sustainable practice. </w:t>
      </w:r>
      <w:r>
        <w:rPr>
          <w:rFonts w:ascii="Arial" w:hAnsi="Arial" w:cs="Arial"/>
          <w:sz w:val="24"/>
          <w:szCs w:val="24"/>
        </w:rPr>
        <w:t xml:space="preserve"> Both applications have its advantages, providing users are open to revise where applicable, opposed to staying rigid following each stage. </w:t>
      </w:r>
      <w:r w:rsidR="00385796" w:rsidRPr="00385796">
        <w:rPr>
          <w:rFonts w:ascii="Arial" w:hAnsi="Arial" w:cs="Arial"/>
          <w:sz w:val="24"/>
          <w:szCs w:val="24"/>
        </w:rPr>
        <w:t xml:space="preserve">Leadership effectiveness should therefore be evaluated through evidence of participation, employee capability, trust, operational quality and customer </w:t>
      </w:r>
      <w:r>
        <w:rPr>
          <w:rFonts w:ascii="Arial" w:hAnsi="Arial" w:cs="Arial"/>
          <w:sz w:val="24"/>
          <w:szCs w:val="24"/>
        </w:rPr>
        <w:t xml:space="preserve">experience. </w:t>
      </w:r>
    </w:p>
    <w:p w14:paraId="6528F805" w14:textId="77777777" w:rsidR="00EA7711" w:rsidRDefault="00970702" w:rsidP="00EA7711">
      <w:pPr>
        <w:spacing w:line="360" w:lineRule="auto"/>
        <w:rPr>
          <w:rFonts w:ascii="Arial" w:hAnsi="Arial" w:cs="Arial"/>
          <w:sz w:val="24"/>
          <w:szCs w:val="24"/>
        </w:rPr>
      </w:pPr>
      <w:r w:rsidRPr="00970702">
        <w:rPr>
          <w:rFonts w:ascii="Arial" w:hAnsi="Arial" w:cs="Arial"/>
          <w:sz w:val="24"/>
          <w:szCs w:val="24"/>
        </w:rPr>
        <w:t xml:space="preserve">Workplace culture </w:t>
      </w:r>
      <w:r w:rsidR="005C7B8A">
        <w:rPr>
          <w:rFonts w:ascii="Arial" w:hAnsi="Arial" w:cs="Arial"/>
          <w:sz w:val="24"/>
          <w:szCs w:val="24"/>
        </w:rPr>
        <w:t xml:space="preserve">is an important factor to consider within any organisation. It strongly       </w:t>
      </w:r>
      <w:r w:rsidRPr="00970702">
        <w:rPr>
          <w:rFonts w:ascii="Arial" w:hAnsi="Arial" w:cs="Arial"/>
          <w:sz w:val="24"/>
          <w:szCs w:val="24"/>
        </w:rPr>
        <w:t xml:space="preserve">influences whether employees </w:t>
      </w:r>
      <w:r w:rsidR="005C7B8A">
        <w:rPr>
          <w:rFonts w:ascii="Arial" w:hAnsi="Arial" w:cs="Arial"/>
          <w:sz w:val="24"/>
          <w:szCs w:val="24"/>
        </w:rPr>
        <w:t xml:space="preserve">accept and adapt, </w:t>
      </w:r>
      <w:r w:rsidRPr="00970702">
        <w:rPr>
          <w:rFonts w:ascii="Arial" w:hAnsi="Arial" w:cs="Arial"/>
          <w:sz w:val="24"/>
          <w:szCs w:val="24"/>
        </w:rPr>
        <w:t xml:space="preserve">question or </w:t>
      </w:r>
      <w:r w:rsidR="005C7B8A">
        <w:rPr>
          <w:rFonts w:ascii="Arial" w:hAnsi="Arial" w:cs="Arial"/>
          <w:sz w:val="24"/>
          <w:szCs w:val="24"/>
        </w:rPr>
        <w:t xml:space="preserve">reject </w:t>
      </w:r>
      <w:r w:rsidRPr="00970702">
        <w:rPr>
          <w:rFonts w:ascii="Arial" w:hAnsi="Arial" w:cs="Arial"/>
          <w:sz w:val="24"/>
          <w:szCs w:val="24"/>
        </w:rPr>
        <w:t xml:space="preserve">from organisational change. </w:t>
      </w:r>
      <w:r w:rsidR="005C7B8A">
        <w:rPr>
          <w:rFonts w:ascii="Arial" w:hAnsi="Arial" w:cs="Arial"/>
          <w:sz w:val="24"/>
          <w:szCs w:val="24"/>
        </w:rPr>
        <w:t>(</w:t>
      </w:r>
      <w:r w:rsidRPr="00970702">
        <w:rPr>
          <w:rFonts w:ascii="Arial" w:hAnsi="Arial" w:cs="Arial"/>
          <w:sz w:val="24"/>
          <w:szCs w:val="24"/>
        </w:rPr>
        <w:t xml:space="preserve">Schein’s 2010) framework distinguishes artefacts, espoused beliefs and values, and basic underlying assumptions. These levels can be </w:t>
      </w:r>
      <w:r w:rsidR="005C7B8A">
        <w:rPr>
          <w:rFonts w:ascii="Arial" w:hAnsi="Arial" w:cs="Arial"/>
          <w:sz w:val="24"/>
          <w:szCs w:val="24"/>
        </w:rPr>
        <w:t>shown</w:t>
      </w:r>
      <w:r w:rsidRPr="00970702">
        <w:rPr>
          <w:rFonts w:ascii="Arial" w:hAnsi="Arial" w:cs="Arial"/>
          <w:sz w:val="24"/>
          <w:szCs w:val="24"/>
        </w:rPr>
        <w:t xml:space="preserve"> through an iceberg </w:t>
      </w:r>
      <w:r w:rsidR="005C7B8A">
        <w:rPr>
          <w:rFonts w:ascii="Arial" w:hAnsi="Arial" w:cs="Arial"/>
          <w:sz w:val="24"/>
          <w:szCs w:val="24"/>
        </w:rPr>
        <w:t xml:space="preserve">theory, whereby </w:t>
      </w:r>
      <w:r w:rsidRPr="00970702">
        <w:rPr>
          <w:rFonts w:ascii="Arial" w:hAnsi="Arial" w:cs="Arial"/>
          <w:sz w:val="24"/>
          <w:szCs w:val="24"/>
        </w:rPr>
        <w:t xml:space="preserve">visible practices sit above the surface, while less visible beliefs help explain their meaning. Changing procedures alone therefore does not demonstrate that employees’ underlying expectations have changed. </w:t>
      </w:r>
      <w:r w:rsidR="00EA7711" w:rsidRPr="00EA7711">
        <w:rPr>
          <w:rFonts w:ascii="Arial" w:hAnsi="Arial" w:cs="Arial"/>
          <w:sz w:val="24"/>
          <w:szCs w:val="24"/>
        </w:rPr>
        <w:t>(Schein, 2026)</w:t>
      </w:r>
    </w:p>
    <w:p w14:paraId="0D17A5EE" w14:textId="046C4C7F" w:rsidR="00970702" w:rsidRPr="00970702" w:rsidRDefault="00970702" w:rsidP="00970702">
      <w:pPr>
        <w:spacing w:line="360" w:lineRule="auto"/>
        <w:rPr>
          <w:rFonts w:ascii="Arial" w:hAnsi="Arial" w:cs="Arial"/>
          <w:sz w:val="24"/>
          <w:szCs w:val="24"/>
        </w:rPr>
      </w:pPr>
      <w:r w:rsidRPr="00970702">
        <w:rPr>
          <w:rFonts w:ascii="Arial" w:hAnsi="Arial" w:cs="Arial"/>
          <w:sz w:val="24"/>
          <w:szCs w:val="24"/>
        </w:rPr>
        <w:t xml:space="preserve">Applied to AI-driven identity verification at Starling Bank, visible changes include automated checks and altered workflows. Beneath these practices, employees may hold assumptions about the value of professional judgement, </w:t>
      </w:r>
      <w:r w:rsidR="0021491F">
        <w:rPr>
          <w:rFonts w:ascii="Arial" w:hAnsi="Arial" w:cs="Arial"/>
          <w:sz w:val="24"/>
          <w:szCs w:val="24"/>
        </w:rPr>
        <w:t>job s</w:t>
      </w:r>
      <w:r w:rsidRPr="00970702">
        <w:rPr>
          <w:rFonts w:ascii="Arial" w:hAnsi="Arial" w:cs="Arial"/>
          <w:sz w:val="24"/>
          <w:szCs w:val="24"/>
        </w:rPr>
        <w:t xml:space="preserve">ecurity and management’s </w:t>
      </w:r>
      <w:r w:rsidR="0021491F">
        <w:rPr>
          <w:rFonts w:ascii="Arial" w:hAnsi="Arial" w:cs="Arial"/>
          <w:sz w:val="24"/>
          <w:szCs w:val="24"/>
        </w:rPr>
        <w:t>objectives</w:t>
      </w:r>
      <w:r w:rsidRPr="00970702">
        <w:rPr>
          <w:rFonts w:ascii="Arial" w:hAnsi="Arial" w:cs="Arial"/>
          <w:sz w:val="24"/>
          <w:szCs w:val="24"/>
        </w:rPr>
        <w:t xml:space="preserve">. </w:t>
      </w:r>
      <w:r w:rsidR="0021491F">
        <w:rPr>
          <w:rFonts w:ascii="Arial" w:hAnsi="Arial" w:cs="Arial"/>
          <w:sz w:val="24"/>
          <w:szCs w:val="24"/>
        </w:rPr>
        <w:t xml:space="preserve">Due to the </w:t>
      </w:r>
      <w:r w:rsidRPr="00970702">
        <w:rPr>
          <w:rFonts w:ascii="Arial" w:hAnsi="Arial" w:cs="Arial"/>
          <w:sz w:val="24"/>
          <w:szCs w:val="24"/>
        </w:rPr>
        <w:t xml:space="preserve">redundancies, some employees could interpret automation as a threat rather than an improvement. </w:t>
      </w:r>
      <w:r w:rsidR="0021491F">
        <w:rPr>
          <w:rFonts w:ascii="Arial" w:hAnsi="Arial" w:cs="Arial"/>
          <w:sz w:val="24"/>
          <w:szCs w:val="24"/>
        </w:rPr>
        <w:t xml:space="preserve">The iceberg analogy simplifies workplace culture, individuals interpret things differently, therefore management </w:t>
      </w:r>
      <w:r w:rsidR="001A5AC7">
        <w:rPr>
          <w:rFonts w:ascii="Arial" w:hAnsi="Arial" w:cs="Arial"/>
          <w:sz w:val="24"/>
          <w:szCs w:val="24"/>
        </w:rPr>
        <w:t xml:space="preserve">would benefit with high emotional intelligence to facilitate the change effectively. </w:t>
      </w:r>
      <w:r w:rsidR="0021491F">
        <w:rPr>
          <w:rFonts w:ascii="Arial" w:hAnsi="Arial" w:cs="Arial"/>
          <w:sz w:val="24"/>
          <w:szCs w:val="24"/>
        </w:rPr>
        <w:t xml:space="preserve"> </w:t>
      </w:r>
    </w:p>
    <w:p w14:paraId="2E2BBAC5" w14:textId="08E85849" w:rsidR="00970702" w:rsidRPr="00970702" w:rsidRDefault="00970702" w:rsidP="00970702">
      <w:pPr>
        <w:spacing w:line="360" w:lineRule="auto"/>
        <w:rPr>
          <w:rFonts w:ascii="Arial" w:hAnsi="Arial" w:cs="Arial"/>
          <w:sz w:val="24"/>
          <w:szCs w:val="24"/>
        </w:rPr>
      </w:pPr>
      <w:r w:rsidRPr="00970702">
        <w:rPr>
          <w:rFonts w:ascii="Arial" w:hAnsi="Arial" w:cs="Arial"/>
          <w:sz w:val="24"/>
          <w:szCs w:val="24"/>
        </w:rPr>
        <w:t>Emotional intelligence provides a complementary perspectiv</w:t>
      </w:r>
      <w:r w:rsidR="00940CC8">
        <w:rPr>
          <w:rFonts w:ascii="Arial" w:hAnsi="Arial" w:cs="Arial"/>
          <w:sz w:val="24"/>
          <w:szCs w:val="24"/>
        </w:rPr>
        <w:t xml:space="preserve">e. </w:t>
      </w:r>
      <w:r w:rsidR="00940CC8" w:rsidRPr="00940CC8">
        <w:rPr>
          <w:rFonts w:ascii="Arial" w:hAnsi="Arial" w:cs="Arial"/>
          <w:sz w:val="24"/>
          <w:szCs w:val="24"/>
        </w:rPr>
        <w:t>(Salovey &amp; J. Mayer, 1990)</w:t>
      </w:r>
      <w:r w:rsidR="00940CC8">
        <w:rPr>
          <w:rFonts w:ascii="Arial" w:hAnsi="Arial" w:cs="Arial"/>
          <w:sz w:val="24"/>
          <w:szCs w:val="24"/>
        </w:rPr>
        <w:t xml:space="preserve"> </w:t>
      </w:r>
      <w:r w:rsidRPr="00970702">
        <w:rPr>
          <w:rFonts w:ascii="Arial" w:hAnsi="Arial" w:cs="Arial"/>
          <w:sz w:val="24"/>
          <w:szCs w:val="24"/>
        </w:rPr>
        <w:t>conceptualise it through abilities involving the appraisal, expression and regulation of emotions, alongside using emotion to support thought and action.</w:t>
      </w:r>
    </w:p>
    <w:p w14:paraId="5EA8F142" w14:textId="77777777" w:rsidR="00970702" w:rsidRDefault="00970702" w:rsidP="00970702">
      <w:pPr>
        <w:spacing w:line="360" w:lineRule="auto"/>
        <w:rPr>
          <w:rFonts w:ascii="Arial" w:hAnsi="Arial" w:cs="Arial"/>
          <w:sz w:val="24"/>
          <w:szCs w:val="24"/>
        </w:rPr>
      </w:pPr>
      <w:r w:rsidRPr="00970702">
        <w:rPr>
          <w:rFonts w:ascii="Arial" w:hAnsi="Arial" w:cs="Arial"/>
          <w:sz w:val="24"/>
          <w:szCs w:val="24"/>
        </w:rPr>
        <w:t xml:space="preserve">However, emotional intelligence cannot compensate for unfair decisions, inadequate consultation or insufficient resources. Empathy without meaningful action may appear performative. Consequently, Kotter’s communication and empowerment activities should address underlying cultural concerns, while Lewin’s unfreezing should recognise </w:t>
      </w:r>
      <w:r w:rsidRPr="00970702">
        <w:rPr>
          <w:rFonts w:ascii="Arial" w:hAnsi="Arial" w:cs="Arial"/>
          <w:sz w:val="24"/>
          <w:szCs w:val="24"/>
        </w:rPr>
        <w:lastRenderedPageBreak/>
        <w:t>emotional attachment to existing roles. Effective change requires both sensitive interpersonal leadership and credible organisational action.</w:t>
      </w:r>
    </w:p>
    <w:p w14:paraId="6F2FB2BC" w14:textId="77777777" w:rsidR="00970702" w:rsidRPr="00970702" w:rsidRDefault="00970702" w:rsidP="00970702">
      <w:pPr>
        <w:spacing w:line="360" w:lineRule="auto"/>
        <w:rPr>
          <w:rFonts w:ascii="Arial" w:hAnsi="Arial" w:cs="Arial"/>
          <w:sz w:val="24"/>
          <w:szCs w:val="24"/>
        </w:rPr>
      </w:pPr>
    </w:p>
    <w:p w14:paraId="011FE891" w14:textId="77777777" w:rsidR="00C23C57" w:rsidRDefault="00C23C57" w:rsidP="00D2291D">
      <w:pPr>
        <w:spacing w:line="360" w:lineRule="auto"/>
        <w:rPr>
          <w:rFonts w:ascii="Arial" w:hAnsi="Arial" w:cs="Arial"/>
          <w:sz w:val="24"/>
          <w:szCs w:val="24"/>
        </w:rPr>
      </w:pPr>
    </w:p>
    <w:p w14:paraId="500B2A98" w14:textId="77777777" w:rsidR="00390FF8" w:rsidRDefault="00390FF8" w:rsidP="008C59EC">
      <w:pPr>
        <w:spacing w:line="360" w:lineRule="auto"/>
        <w:rPr>
          <w:rFonts w:ascii="Arial" w:hAnsi="Arial" w:cs="Arial"/>
          <w:sz w:val="24"/>
          <w:szCs w:val="24"/>
        </w:rPr>
      </w:pPr>
    </w:p>
    <w:p w14:paraId="05AE5000" w14:textId="77777777" w:rsidR="00EF4B4D" w:rsidRDefault="00EF4B4D" w:rsidP="008C59EC">
      <w:pPr>
        <w:spacing w:line="360" w:lineRule="auto"/>
        <w:rPr>
          <w:rFonts w:ascii="Arial" w:hAnsi="Arial" w:cs="Arial"/>
          <w:sz w:val="24"/>
          <w:szCs w:val="24"/>
        </w:rPr>
      </w:pPr>
    </w:p>
    <w:p w14:paraId="2A5A388D" w14:textId="77777777" w:rsidR="00EF4B4D" w:rsidRDefault="00EF4B4D" w:rsidP="008C59EC">
      <w:pPr>
        <w:spacing w:line="360" w:lineRule="auto"/>
        <w:rPr>
          <w:rFonts w:ascii="Arial" w:hAnsi="Arial" w:cs="Arial"/>
          <w:sz w:val="24"/>
          <w:szCs w:val="24"/>
        </w:rPr>
      </w:pPr>
    </w:p>
    <w:p w14:paraId="2408934F" w14:textId="77777777" w:rsidR="00EF4B4D" w:rsidRDefault="00EF4B4D" w:rsidP="008C59EC">
      <w:pPr>
        <w:spacing w:line="360" w:lineRule="auto"/>
        <w:rPr>
          <w:rFonts w:ascii="Arial" w:hAnsi="Arial" w:cs="Arial"/>
          <w:sz w:val="24"/>
          <w:szCs w:val="24"/>
        </w:rPr>
      </w:pPr>
    </w:p>
    <w:p w14:paraId="655CEA44" w14:textId="77777777" w:rsidR="00EF4B4D" w:rsidRDefault="00EF4B4D" w:rsidP="008C59EC">
      <w:pPr>
        <w:spacing w:line="360" w:lineRule="auto"/>
        <w:rPr>
          <w:rFonts w:ascii="Arial" w:hAnsi="Arial" w:cs="Arial"/>
          <w:sz w:val="24"/>
          <w:szCs w:val="24"/>
        </w:rPr>
      </w:pPr>
    </w:p>
    <w:p w14:paraId="251366C1" w14:textId="77777777" w:rsidR="00EF4B4D" w:rsidRDefault="00EF4B4D" w:rsidP="008C59EC">
      <w:pPr>
        <w:spacing w:line="360" w:lineRule="auto"/>
        <w:rPr>
          <w:rFonts w:ascii="Arial" w:hAnsi="Arial" w:cs="Arial"/>
          <w:sz w:val="24"/>
          <w:szCs w:val="24"/>
        </w:rPr>
      </w:pPr>
    </w:p>
    <w:p w14:paraId="30A17D4D" w14:textId="77777777" w:rsidR="00EF4B4D" w:rsidRDefault="00EF4B4D" w:rsidP="008C59EC">
      <w:pPr>
        <w:spacing w:line="360" w:lineRule="auto"/>
        <w:rPr>
          <w:rFonts w:ascii="Arial" w:hAnsi="Arial" w:cs="Arial"/>
          <w:sz w:val="24"/>
          <w:szCs w:val="24"/>
        </w:rPr>
      </w:pPr>
    </w:p>
    <w:p w14:paraId="3DCB0DDB" w14:textId="77777777" w:rsidR="00EF4B4D" w:rsidRDefault="00EF4B4D" w:rsidP="008C59EC">
      <w:pPr>
        <w:spacing w:line="360" w:lineRule="auto"/>
        <w:rPr>
          <w:rFonts w:ascii="Arial" w:hAnsi="Arial" w:cs="Arial"/>
          <w:sz w:val="24"/>
          <w:szCs w:val="24"/>
        </w:rPr>
      </w:pPr>
    </w:p>
    <w:p w14:paraId="5F6F4D81" w14:textId="77777777" w:rsidR="00EF4B4D" w:rsidRDefault="00EF4B4D" w:rsidP="008C59EC">
      <w:pPr>
        <w:spacing w:line="360" w:lineRule="auto"/>
        <w:rPr>
          <w:rFonts w:ascii="Arial" w:hAnsi="Arial" w:cs="Arial"/>
          <w:sz w:val="24"/>
          <w:szCs w:val="24"/>
        </w:rPr>
      </w:pPr>
    </w:p>
    <w:p w14:paraId="4D195155" w14:textId="77777777" w:rsidR="00EF4B4D" w:rsidRDefault="00EF4B4D" w:rsidP="008C59EC">
      <w:pPr>
        <w:spacing w:line="360" w:lineRule="auto"/>
        <w:rPr>
          <w:rFonts w:ascii="Arial" w:hAnsi="Arial" w:cs="Arial"/>
          <w:sz w:val="24"/>
          <w:szCs w:val="24"/>
        </w:rPr>
      </w:pPr>
    </w:p>
    <w:p w14:paraId="6B289BB3" w14:textId="77777777" w:rsidR="00EF4B4D" w:rsidRDefault="00EF4B4D" w:rsidP="008C59EC">
      <w:pPr>
        <w:spacing w:line="360" w:lineRule="auto"/>
        <w:rPr>
          <w:rFonts w:ascii="Arial" w:hAnsi="Arial" w:cs="Arial"/>
          <w:sz w:val="24"/>
          <w:szCs w:val="24"/>
        </w:rPr>
      </w:pPr>
    </w:p>
    <w:p w14:paraId="21AC2027" w14:textId="77777777" w:rsidR="00EF4B4D" w:rsidRDefault="00EF4B4D" w:rsidP="008C59EC">
      <w:pPr>
        <w:spacing w:line="360" w:lineRule="auto"/>
        <w:rPr>
          <w:rFonts w:ascii="Arial" w:hAnsi="Arial" w:cs="Arial"/>
          <w:sz w:val="24"/>
          <w:szCs w:val="24"/>
        </w:rPr>
      </w:pPr>
    </w:p>
    <w:p w14:paraId="169F3B3A" w14:textId="77777777" w:rsidR="00EF4B4D" w:rsidRDefault="00EF4B4D" w:rsidP="008C59EC">
      <w:pPr>
        <w:spacing w:line="360" w:lineRule="auto"/>
        <w:rPr>
          <w:rFonts w:ascii="Arial" w:hAnsi="Arial" w:cs="Arial"/>
          <w:sz w:val="24"/>
          <w:szCs w:val="24"/>
        </w:rPr>
      </w:pPr>
    </w:p>
    <w:p w14:paraId="768145F3" w14:textId="77777777" w:rsidR="00EF4B4D" w:rsidRDefault="00EF4B4D" w:rsidP="008C59EC">
      <w:pPr>
        <w:spacing w:line="360" w:lineRule="auto"/>
        <w:rPr>
          <w:rFonts w:ascii="Arial" w:hAnsi="Arial" w:cs="Arial"/>
          <w:sz w:val="24"/>
          <w:szCs w:val="24"/>
        </w:rPr>
      </w:pPr>
    </w:p>
    <w:p w14:paraId="46958292" w14:textId="77777777" w:rsidR="00EF4B4D" w:rsidRDefault="00EF4B4D" w:rsidP="008C59EC">
      <w:pPr>
        <w:spacing w:line="360" w:lineRule="auto"/>
        <w:rPr>
          <w:rFonts w:ascii="Arial" w:hAnsi="Arial" w:cs="Arial"/>
          <w:sz w:val="24"/>
          <w:szCs w:val="24"/>
        </w:rPr>
      </w:pPr>
    </w:p>
    <w:p w14:paraId="6929C8E2" w14:textId="77777777" w:rsidR="00EF4B4D" w:rsidRDefault="00EF4B4D" w:rsidP="008C59EC">
      <w:pPr>
        <w:spacing w:line="360" w:lineRule="auto"/>
        <w:rPr>
          <w:rFonts w:ascii="Arial" w:hAnsi="Arial" w:cs="Arial"/>
          <w:sz w:val="24"/>
          <w:szCs w:val="24"/>
        </w:rPr>
      </w:pPr>
    </w:p>
    <w:p w14:paraId="0E1CA2F7" w14:textId="77777777" w:rsidR="00EF4B4D" w:rsidRDefault="00EF4B4D" w:rsidP="008C59EC">
      <w:pPr>
        <w:spacing w:line="360" w:lineRule="auto"/>
        <w:rPr>
          <w:rFonts w:ascii="Arial" w:hAnsi="Arial" w:cs="Arial"/>
          <w:sz w:val="24"/>
          <w:szCs w:val="24"/>
        </w:rPr>
      </w:pPr>
    </w:p>
    <w:p w14:paraId="141DFEAB" w14:textId="77777777" w:rsidR="00BC300D" w:rsidRPr="008C59EC" w:rsidRDefault="00BC300D" w:rsidP="008C59EC">
      <w:pPr>
        <w:spacing w:line="360" w:lineRule="auto"/>
        <w:rPr>
          <w:rFonts w:ascii="Arial" w:hAnsi="Arial" w:cs="Arial"/>
          <w:sz w:val="24"/>
          <w:szCs w:val="24"/>
        </w:rPr>
      </w:pPr>
    </w:p>
    <w:p w14:paraId="747EDDAD" w14:textId="3A0DD981" w:rsidR="005225BF" w:rsidRDefault="00513050" w:rsidP="002049FE">
      <w:pPr>
        <w:pStyle w:val="Heading2"/>
      </w:pPr>
      <w:bookmarkStart w:id="5" w:name="_Toc242640011"/>
      <w:r>
        <w:lastRenderedPageBreak/>
        <w:t>Conclusion</w:t>
      </w:r>
      <w:bookmarkEnd w:id="5"/>
    </w:p>
    <w:p w14:paraId="21869BB2" w14:textId="77777777" w:rsidR="003C4918" w:rsidRPr="003C4918" w:rsidRDefault="003C4918" w:rsidP="003C4918"/>
    <w:p w14:paraId="02C97436" w14:textId="3824D777" w:rsidR="0052622A" w:rsidRPr="0052622A" w:rsidRDefault="001A2EC0" w:rsidP="0052622A">
      <w:pPr>
        <w:spacing w:line="360" w:lineRule="auto"/>
        <w:rPr>
          <w:rFonts w:ascii="Arial" w:hAnsi="Arial" w:cs="Arial"/>
          <w:sz w:val="24"/>
          <w:szCs w:val="24"/>
        </w:rPr>
      </w:pPr>
      <w:r>
        <w:rPr>
          <w:rFonts w:ascii="Arial" w:hAnsi="Arial" w:cs="Arial"/>
          <w:sz w:val="24"/>
          <w:szCs w:val="24"/>
        </w:rPr>
        <w:t xml:space="preserve">On reflection the author feels that </w:t>
      </w:r>
      <w:r w:rsidR="0052622A" w:rsidRPr="0052622A">
        <w:rPr>
          <w:rFonts w:ascii="Arial" w:hAnsi="Arial" w:cs="Arial"/>
          <w:sz w:val="24"/>
          <w:szCs w:val="24"/>
        </w:rPr>
        <w:t xml:space="preserve">the analysis demonstrates that AI-driven identity verification at Starling Bank involves organisational and human change as well as technological development. </w:t>
      </w:r>
      <w:r>
        <w:rPr>
          <w:rFonts w:ascii="Arial" w:hAnsi="Arial" w:cs="Arial"/>
          <w:sz w:val="24"/>
          <w:szCs w:val="24"/>
        </w:rPr>
        <w:t xml:space="preserve">For a complex change to be effective there are various elements to consider. </w:t>
      </w:r>
      <w:r w:rsidR="0052622A" w:rsidRPr="0052622A">
        <w:rPr>
          <w:rFonts w:ascii="Arial" w:hAnsi="Arial" w:cs="Arial"/>
          <w:sz w:val="24"/>
          <w:szCs w:val="24"/>
        </w:rPr>
        <w:t>PESTLE identified interacting pressures for efficiency, innovation, customer accessibility and regulatory compliance, while SWOT highlighted the importance of employee expertise, training, reliable processes and accountability. Potential productivity benefits must therefore be assessed alongside customer outcomes and workforce consequences.</w:t>
      </w:r>
    </w:p>
    <w:p w14:paraId="7D9BE862" w14:textId="200CFA56" w:rsidR="0052622A" w:rsidRPr="0052622A" w:rsidRDefault="0052622A" w:rsidP="0052622A">
      <w:pPr>
        <w:spacing w:line="360" w:lineRule="auto"/>
        <w:rPr>
          <w:rFonts w:ascii="Arial" w:hAnsi="Arial" w:cs="Arial"/>
          <w:sz w:val="24"/>
          <w:szCs w:val="24"/>
        </w:rPr>
      </w:pPr>
      <w:r w:rsidRPr="0052622A">
        <w:rPr>
          <w:rFonts w:ascii="Arial" w:hAnsi="Arial" w:cs="Arial"/>
          <w:sz w:val="24"/>
          <w:szCs w:val="24"/>
        </w:rPr>
        <w:t xml:space="preserve">The stakeholder analysis showed that </w:t>
      </w:r>
      <w:r w:rsidR="001A2EC0">
        <w:rPr>
          <w:rFonts w:ascii="Arial" w:hAnsi="Arial" w:cs="Arial"/>
          <w:sz w:val="24"/>
          <w:szCs w:val="24"/>
        </w:rPr>
        <w:t xml:space="preserve">the most impacted by the change are not necessarily those with the most power. Those </w:t>
      </w:r>
      <w:r w:rsidRPr="0052622A">
        <w:rPr>
          <w:rFonts w:ascii="Arial" w:hAnsi="Arial" w:cs="Arial"/>
          <w:sz w:val="24"/>
          <w:szCs w:val="24"/>
        </w:rPr>
        <w:t xml:space="preserve">affected by redundancy and customers experiencing verification difficulties may have </w:t>
      </w:r>
      <w:r w:rsidR="001A2EC0">
        <w:rPr>
          <w:rFonts w:ascii="Arial" w:hAnsi="Arial" w:cs="Arial"/>
          <w:sz w:val="24"/>
          <w:szCs w:val="24"/>
        </w:rPr>
        <w:t xml:space="preserve">genuine </w:t>
      </w:r>
      <w:r w:rsidRPr="0052622A">
        <w:rPr>
          <w:rFonts w:ascii="Arial" w:hAnsi="Arial" w:cs="Arial"/>
          <w:sz w:val="24"/>
          <w:szCs w:val="24"/>
        </w:rPr>
        <w:t>concerns</w:t>
      </w:r>
      <w:r w:rsidR="001A2EC0">
        <w:rPr>
          <w:rFonts w:ascii="Arial" w:hAnsi="Arial" w:cs="Arial"/>
          <w:sz w:val="24"/>
          <w:szCs w:val="24"/>
        </w:rPr>
        <w:t xml:space="preserve">. </w:t>
      </w:r>
      <w:r w:rsidRPr="0052622A">
        <w:rPr>
          <w:rFonts w:ascii="Arial" w:hAnsi="Arial" w:cs="Arial"/>
          <w:sz w:val="24"/>
          <w:szCs w:val="24"/>
        </w:rPr>
        <w:t xml:space="preserve">Effective leadership requires </w:t>
      </w:r>
      <w:r w:rsidR="001A2EC0">
        <w:rPr>
          <w:rFonts w:ascii="Arial" w:hAnsi="Arial" w:cs="Arial"/>
          <w:sz w:val="24"/>
          <w:szCs w:val="24"/>
        </w:rPr>
        <w:t xml:space="preserve">high emotional intelligence, </w:t>
      </w:r>
      <w:r w:rsidRPr="0052622A">
        <w:rPr>
          <w:rFonts w:ascii="Arial" w:hAnsi="Arial" w:cs="Arial"/>
          <w:sz w:val="24"/>
          <w:szCs w:val="24"/>
        </w:rPr>
        <w:t>participation and appropriate support.</w:t>
      </w:r>
      <w:r w:rsidR="002E5378">
        <w:rPr>
          <w:rFonts w:ascii="Arial" w:hAnsi="Arial" w:cs="Arial"/>
          <w:sz w:val="24"/>
          <w:szCs w:val="24"/>
        </w:rPr>
        <w:t xml:space="preserve"> </w:t>
      </w:r>
      <w:r w:rsidRPr="0052622A">
        <w:rPr>
          <w:rFonts w:ascii="Arial" w:hAnsi="Arial" w:cs="Arial"/>
          <w:sz w:val="24"/>
          <w:szCs w:val="24"/>
        </w:rPr>
        <w:t xml:space="preserve">Schein’s cultural framework and emotional intelligence theory further demonstrate why </w:t>
      </w:r>
      <w:r w:rsidR="002E5378">
        <w:rPr>
          <w:rFonts w:ascii="Arial" w:hAnsi="Arial" w:cs="Arial"/>
          <w:sz w:val="24"/>
          <w:szCs w:val="24"/>
        </w:rPr>
        <w:t xml:space="preserve">adopting processes alone does not </w:t>
      </w:r>
      <w:r w:rsidRPr="0052622A">
        <w:rPr>
          <w:rFonts w:ascii="Arial" w:hAnsi="Arial" w:cs="Arial"/>
          <w:sz w:val="24"/>
          <w:szCs w:val="24"/>
        </w:rPr>
        <w:t>establish trust or commitment.</w:t>
      </w:r>
    </w:p>
    <w:p w14:paraId="69583C64" w14:textId="77777777" w:rsidR="0052622A" w:rsidRPr="0052622A" w:rsidRDefault="0052622A" w:rsidP="0052622A">
      <w:pPr>
        <w:spacing w:line="360" w:lineRule="auto"/>
        <w:rPr>
          <w:rFonts w:ascii="Arial" w:hAnsi="Arial" w:cs="Arial"/>
          <w:sz w:val="24"/>
          <w:szCs w:val="24"/>
        </w:rPr>
      </w:pPr>
    </w:p>
    <w:p w14:paraId="39FC1E71" w14:textId="77777777" w:rsidR="0052622A" w:rsidRDefault="0052622A" w:rsidP="0052622A"/>
    <w:p w14:paraId="6A8840FB" w14:textId="77777777" w:rsidR="0052622A" w:rsidRDefault="0052622A" w:rsidP="0052622A"/>
    <w:p w14:paraId="7C23AF57" w14:textId="77777777" w:rsidR="0052622A" w:rsidRDefault="0052622A" w:rsidP="0052622A"/>
    <w:p w14:paraId="31B008A3" w14:textId="77777777" w:rsidR="0052622A" w:rsidRDefault="0052622A" w:rsidP="0052622A"/>
    <w:p w14:paraId="70A9B23F" w14:textId="77777777" w:rsidR="0052622A" w:rsidRPr="0052622A" w:rsidRDefault="0052622A" w:rsidP="0052622A"/>
    <w:p w14:paraId="275408E7" w14:textId="77777777" w:rsidR="005C0455" w:rsidRDefault="005C0455" w:rsidP="005C0455"/>
    <w:p w14:paraId="65C71741" w14:textId="77777777" w:rsidR="005C0455" w:rsidRDefault="005C0455" w:rsidP="005C0455"/>
    <w:p w14:paraId="02C2C8BD" w14:textId="77777777" w:rsidR="005C0455" w:rsidRDefault="005C0455" w:rsidP="005C0455"/>
    <w:p w14:paraId="1EC6BECD" w14:textId="77777777" w:rsidR="00DD1F12" w:rsidRDefault="00DD1F12" w:rsidP="005C0455"/>
    <w:p w14:paraId="6479E19C" w14:textId="77777777" w:rsidR="005C0455" w:rsidRPr="005C0455" w:rsidRDefault="005C0455" w:rsidP="005C0455"/>
    <w:p w14:paraId="7DE5C649" w14:textId="77777777" w:rsidR="00E158C0" w:rsidRDefault="00E158C0" w:rsidP="008C59EC">
      <w:pPr>
        <w:rPr>
          <w:rFonts w:ascii="Arial" w:hAnsi="Arial" w:cs="Arial"/>
          <w:sz w:val="24"/>
          <w:szCs w:val="24"/>
        </w:rPr>
      </w:pPr>
      <w:bookmarkStart w:id="6" w:name="_Toc456901523"/>
    </w:p>
    <w:p w14:paraId="1A43F908" w14:textId="44F8B533" w:rsidR="003F69D6" w:rsidRDefault="00B220CB" w:rsidP="002049FE">
      <w:pPr>
        <w:pStyle w:val="Heading2"/>
        <w:rPr>
          <w:rFonts w:ascii="Arial" w:hAnsi="Arial" w:cs="Arial"/>
          <w:sz w:val="28"/>
          <w:szCs w:val="28"/>
        </w:rPr>
      </w:pPr>
      <w:bookmarkStart w:id="7" w:name="_Toc242640012"/>
      <w:bookmarkEnd w:id="6"/>
      <w:r w:rsidRPr="00F4439F">
        <w:rPr>
          <w:rFonts w:ascii="Arial" w:hAnsi="Arial" w:cs="Arial"/>
          <w:sz w:val="28"/>
          <w:szCs w:val="28"/>
        </w:rPr>
        <w:lastRenderedPageBreak/>
        <w:t>References</w:t>
      </w:r>
      <w:bookmarkEnd w:id="7"/>
    </w:p>
    <w:p w14:paraId="74A39436" w14:textId="614074BB" w:rsidR="00890D95" w:rsidRPr="00890D95" w:rsidRDefault="00890D95" w:rsidP="00EF079B">
      <w:pPr>
        <w:spacing w:after="0" w:line="240" w:lineRule="auto"/>
        <w:rPr>
          <w:rFonts w:ascii="Times New Roman" w:eastAsia="Times New Roman" w:hAnsi="Times New Roman" w:cs="Times New Roman"/>
          <w:sz w:val="24"/>
          <w:szCs w:val="24"/>
          <w:lang w:eastAsia="en-GB"/>
        </w:rPr>
      </w:pPr>
    </w:p>
    <w:p w14:paraId="4279DCF2" w14:textId="5ACF8D01"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Bank of England. (2024, November 21). </w:t>
      </w:r>
      <w:r w:rsidRPr="00890D95">
        <w:rPr>
          <w:rFonts w:ascii="Times New Roman" w:eastAsia="Times New Roman" w:hAnsi="Times New Roman" w:cs="Times New Roman"/>
          <w:i/>
          <w:iCs/>
          <w:sz w:val="24"/>
          <w:szCs w:val="24"/>
          <w:lang w:eastAsia="en-GB"/>
        </w:rPr>
        <w:t>Artificial intelligence in UK financial services - 2024</w:t>
      </w:r>
      <w:r w:rsidRPr="00890D95">
        <w:rPr>
          <w:rFonts w:ascii="Times New Roman" w:eastAsia="Times New Roman" w:hAnsi="Times New Roman" w:cs="Times New Roman"/>
          <w:sz w:val="24"/>
          <w:szCs w:val="24"/>
          <w:lang w:eastAsia="en-GB"/>
        </w:rPr>
        <w:t xml:space="preserve">. Bankofengland.Co.Uk. </w:t>
      </w:r>
      <w:hyperlink r:id="rId12" w:history="1">
        <w:r w:rsidR="00EF079B" w:rsidRPr="00890D95">
          <w:rPr>
            <w:rStyle w:val="Hyperlink"/>
            <w:rFonts w:ascii="Times New Roman" w:eastAsia="Times New Roman" w:hAnsi="Times New Roman" w:cs="Times New Roman"/>
            <w:sz w:val="24"/>
            <w:szCs w:val="24"/>
            <w:lang w:eastAsia="en-GB"/>
          </w:rPr>
          <w:t>https://www.bankofengland.co.uk/report/2024/artificial-intelligence-in-uk-financial-services-2024</w:t>
        </w:r>
      </w:hyperlink>
    </w:p>
    <w:p w14:paraId="07A19180" w14:textId="77777777" w:rsidR="00EF079B" w:rsidRPr="00890D95" w:rsidRDefault="00EF079B" w:rsidP="0013077F">
      <w:pPr>
        <w:spacing w:after="0" w:line="240" w:lineRule="auto"/>
        <w:rPr>
          <w:rFonts w:ascii="Times New Roman" w:eastAsia="Times New Roman" w:hAnsi="Times New Roman" w:cs="Times New Roman"/>
          <w:sz w:val="24"/>
          <w:szCs w:val="24"/>
          <w:lang w:eastAsia="en-GB"/>
        </w:rPr>
      </w:pPr>
    </w:p>
    <w:p w14:paraId="581DF72B" w14:textId="5B58A2C9"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Bank, S. (2026a). </w:t>
      </w:r>
      <w:r w:rsidRPr="00890D95">
        <w:rPr>
          <w:rFonts w:ascii="Times New Roman" w:eastAsia="Times New Roman" w:hAnsi="Times New Roman" w:cs="Times New Roman"/>
          <w:i/>
          <w:iCs/>
          <w:sz w:val="24"/>
          <w:szCs w:val="24"/>
          <w:lang w:eastAsia="en-GB"/>
        </w:rPr>
        <w:t>Starling Bank</w:t>
      </w:r>
      <w:r w:rsidRPr="00890D95">
        <w:rPr>
          <w:rFonts w:ascii="Times New Roman" w:eastAsia="Times New Roman" w:hAnsi="Times New Roman" w:cs="Times New Roman"/>
          <w:sz w:val="24"/>
          <w:szCs w:val="24"/>
          <w:lang w:eastAsia="en-GB"/>
        </w:rPr>
        <w:t xml:space="preserve">. Starling Bank. </w:t>
      </w:r>
      <w:hyperlink r:id="rId13" w:history="1">
        <w:r w:rsidR="00C32716" w:rsidRPr="00890D95">
          <w:rPr>
            <w:rStyle w:val="Hyperlink"/>
            <w:rFonts w:ascii="Times New Roman" w:eastAsia="Times New Roman" w:hAnsi="Times New Roman" w:cs="Times New Roman"/>
            <w:sz w:val="24"/>
            <w:szCs w:val="24"/>
            <w:lang w:eastAsia="en-GB"/>
          </w:rPr>
          <w:t>https://www.starlingbank.com/investors/2026/annual-report-2026/</w:t>
        </w:r>
      </w:hyperlink>
    </w:p>
    <w:p w14:paraId="0C4CF733"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10A022DC" w14:textId="2CC82A23"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Bank, S. (2026b). </w:t>
      </w:r>
      <w:r w:rsidRPr="00890D95">
        <w:rPr>
          <w:rFonts w:ascii="Times New Roman" w:eastAsia="Times New Roman" w:hAnsi="Times New Roman" w:cs="Times New Roman"/>
          <w:i/>
          <w:iCs/>
          <w:sz w:val="24"/>
          <w:szCs w:val="24"/>
          <w:lang w:eastAsia="en-GB"/>
        </w:rPr>
        <w:t>Starling launches UK’s first agentic AI financial assistant | starling</w:t>
      </w:r>
      <w:r w:rsidRPr="00890D95">
        <w:rPr>
          <w:rFonts w:ascii="Times New Roman" w:eastAsia="Times New Roman" w:hAnsi="Times New Roman" w:cs="Times New Roman"/>
          <w:sz w:val="24"/>
          <w:szCs w:val="24"/>
          <w:lang w:eastAsia="en-GB"/>
        </w:rPr>
        <w:t xml:space="preserve">. Starling Bank. </w:t>
      </w:r>
      <w:hyperlink r:id="rId14" w:history="1">
        <w:r w:rsidR="00C32716" w:rsidRPr="00890D95">
          <w:rPr>
            <w:rStyle w:val="Hyperlink"/>
            <w:rFonts w:ascii="Times New Roman" w:eastAsia="Times New Roman" w:hAnsi="Times New Roman" w:cs="Times New Roman"/>
            <w:sz w:val="24"/>
            <w:szCs w:val="24"/>
            <w:lang w:eastAsia="en-GB"/>
          </w:rPr>
          <w:t>https://www.starlingbank.com/news/starling-launches-agentic-ai-assistant/</w:t>
        </w:r>
      </w:hyperlink>
    </w:p>
    <w:p w14:paraId="39356F12"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6A661D86" w14:textId="4DB92B1A"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Barney, J. (1991). Firm resources and sustained competitive advantage. </w:t>
      </w:r>
      <w:r w:rsidRPr="00890D95">
        <w:rPr>
          <w:rFonts w:ascii="Times New Roman" w:eastAsia="Times New Roman" w:hAnsi="Times New Roman" w:cs="Times New Roman"/>
          <w:i/>
          <w:iCs/>
          <w:sz w:val="24"/>
          <w:szCs w:val="24"/>
          <w:lang w:eastAsia="en-GB"/>
        </w:rPr>
        <w:t>Journal of Management</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17</w:t>
      </w:r>
      <w:r w:rsidRPr="00890D95">
        <w:rPr>
          <w:rFonts w:ascii="Times New Roman" w:eastAsia="Times New Roman" w:hAnsi="Times New Roman" w:cs="Times New Roman"/>
          <w:sz w:val="24"/>
          <w:szCs w:val="24"/>
          <w:lang w:eastAsia="en-GB"/>
        </w:rPr>
        <w:t xml:space="preserve">(1), 99–120. </w:t>
      </w:r>
      <w:hyperlink r:id="rId15" w:history="1">
        <w:r w:rsidR="00C32716" w:rsidRPr="00890D95">
          <w:rPr>
            <w:rStyle w:val="Hyperlink"/>
            <w:rFonts w:ascii="Times New Roman" w:eastAsia="Times New Roman" w:hAnsi="Times New Roman" w:cs="Times New Roman"/>
            <w:sz w:val="24"/>
            <w:szCs w:val="24"/>
            <w:lang w:eastAsia="en-GB"/>
          </w:rPr>
          <w:t>https://doi.org/https://doi.org/10.1177/014920639101700108</w:t>
        </w:r>
      </w:hyperlink>
    </w:p>
    <w:p w14:paraId="17CFA427"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6A878215" w14:textId="4B9513C6"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Bordia, P., </w:t>
      </w:r>
      <w:proofErr w:type="spellStart"/>
      <w:r w:rsidRPr="00890D95">
        <w:rPr>
          <w:rFonts w:ascii="Times New Roman" w:eastAsia="Times New Roman" w:hAnsi="Times New Roman" w:cs="Times New Roman"/>
          <w:sz w:val="24"/>
          <w:szCs w:val="24"/>
          <w:lang w:eastAsia="en-GB"/>
        </w:rPr>
        <w:t>Hobman</w:t>
      </w:r>
      <w:proofErr w:type="spellEnd"/>
      <w:r w:rsidRPr="00890D95">
        <w:rPr>
          <w:rFonts w:ascii="Times New Roman" w:eastAsia="Times New Roman" w:hAnsi="Times New Roman" w:cs="Times New Roman"/>
          <w:sz w:val="24"/>
          <w:szCs w:val="24"/>
          <w:lang w:eastAsia="en-GB"/>
        </w:rPr>
        <w:t xml:space="preserve">, E., Jones, E., </w:t>
      </w:r>
      <w:proofErr w:type="spellStart"/>
      <w:r w:rsidRPr="00890D95">
        <w:rPr>
          <w:rFonts w:ascii="Times New Roman" w:eastAsia="Times New Roman" w:hAnsi="Times New Roman" w:cs="Times New Roman"/>
          <w:sz w:val="24"/>
          <w:szCs w:val="24"/>
          <w:lang w:eastAsia="en-GB"/>
        </w:rPr>
        <w:t>Gallois</w:t>
      </w:r>
      <w:proofErr w:type="spellEnd"/>
      <w:r w:rsidRPr="00890D95">
        <w:rPr>
          <w:rFonts w:ascii="Times New Roman" w:eastAsia="Times New Roman" w:hAnsi="Times New Roman" w:cs="Times New Roman"/>
          <w:sz w:val="24"/>
          <w:szCs w:val="24"/>
          <w:lang w:eastAsia="en-GB"/>
        </w:rPr>
        <w:t xml:space="preserve">, C., &amp; Callan, V. J. (2004). Uncertainty during organizational change: Types, consequences, and management strategies. </w:t>
      </w:r>
      <w:r w:rsidRPr="00890D95">
        <w:rPr>
          <w:rFonts w:ascii="Times New Roman" w:eastAsia="Times New Roman" w:hAnsi="Times New Roman" w:cs="Times New Roman"/>
          <w:i/>
          <w:iCs/>
          <w:sz w:val="24"/>
          <w:szCs w:val="24"/>
          <w:lang w:eastAsia="en-GB"/>
        </w:rPr>
        <w:t>Journal of Business and Psychology</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18</w:t>
      </w:r>
      <w:r w:rsidRPr="00890D95">
        <w:rPr>
          <w:rFonts w:ascii="Times New Roman" w:eastAsia="Times New Roman" w:hAnsi="Times New Roman" w:cs="Times New Roman"/>
          <w:sz w:val="24"/>
          <w:szCs w:val="24"/>
          <w:lang w:eastAsia="en-GB"/>
        </w:rPr>
        <w:t xml:space="preserve">(4), 507–532. </w:t>
      </w:r>
      <w:hyperlink r:id="rId16" w:history="1">
        <w:r w:rsidR="00C32716" w:rsidRPr="00890D95">
          <w:rPr>
            <w:rStyle w:val="Hyperlink"/>
            <w:rFonts w:ascii="Times New Roman" w:eastAsia="Times New Roman" w:hAnsi="Times New Roman" w:cs="Times New Roman"/>
            <w:sz w:val="24"/>
            <w:szCs w:val="24"/>
            <w:lang w:eastAsia="en-GB"/>
          </w:rPr>
          <w:t>https://doi.org/10.1023/b:jobu.0000028449.99127.f7</w:t>
        </w:r>
      </w:hyperlink>
    </w:p>
    <w:p w14:paraId="51BADFC2"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6B9648C0" w14:textId="131C2E54"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Burnes, B. (2004a). Kurt Lewin and the planned approach to change: A re-appraisal. </w:t>
      </w:r>
      <w:r w:rsidRPr="00890D95">
        <w:rPr>
          <w:rFonts w:ascii="Times New Roman" w:eastAsia="Times New Roman" w:hAnsi="Times New Roman" w:cs="Times New Roman"/>
          <w:i/>
          <w:iCs/>
          <w:sz w:val="24"/>
          <w:szCs w:val="24"/>
          <w:lang w:eastAsia="en-GB"/>
        </w:rPr>
        <w:t>Journal of Management Studies</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41</w:t>
      </w:r>
      <w:r w:rsidRPr="00890D95">
        <w:rPr>
          <w:rFonts w:ascii="Times New Roman" w:eastAsia="Times New Roman" w:hAnsi="Times New Roman" w:cs="Times New Roman"/>
          <w:sz w:val="24"/>
          <w:szCs w:val="24"/>
          <w:lang w:eastAsia="en-GB"/>
        </w:rPr>
        <w:t xml:space="preserve">(6), 977–1002. </w:t>
      </w:r>
      <w:hyperlink r:id="rId17" w:history="1">
        <w:r w:rsidR="00C32716" w:rsidRPr="00890D95">
          <w:rPr>
            <w:rStyle w:val="Hyperlink"/>
            <w:rFonts w:ascii="Times New Roman" w:eastAsia="Times New Roman" w:hAnsi="Times New Roman" w:cs="Times New Roman"/>
            <w:sz w:val="24"/>
            <w:szCs w:val="24"/>
            <w:lang w:eastAsia="en-GB"/>
          </w:rPr>
          <w:t>https://doi.org/10.1111/j.1467-6486.2004.00463.x</w:t>
        </w:r>
      </w:hyperlink>
    </w:p>
    <w:p w14:paraId="107EDBD8"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7F71E7E1" w14:textId="77777777"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Burnes, B. (2004b). </w:t>
      </w:r>
      <w:r w:rsidRPr="00890D95">
        <w:rPr>
          <w:rFonts w:ascii="Times New Roman" w:eastAsia="Times New Roman" w:hAnsi="Times New Roman" w:cs="Times New Roman"/>
          <w:i/>
          <w:iCs/>
          <w:sz w:val="24"/>
          <w:szCs w:val="24"/>
          <w:lang w:eastAsia="en-GB"/>
        </w:rPr>
        <w:t xml:space="preserve">Managing </w:t>
      </w:r>
      <w:proofErr w:type="gramStart"/>
      <w:r w:rsidRPr="00890D95">
        <w:rPr>
          <w:rFonts w:ascii="Times New Roman" w:eastAsia="Times New Roman" w:hAnsi="Times New Roman" w:cs="Times New Roman"/>
          <w:i/>
          <w:iCs/>
          <w:sz w:val="24"/>
          <w:szCs w:val="24"/>
          <w:lang w:eastAsia="en-GB"/>
        </w:rPr>
        <w:t>change :</w:t>
      </w:r>
      <w:proofErr w:type="gramEnd"/>
      <w:r w:rsidRPr="00890D95">
        <w:rPr>
          <w:rFonts w:ascii="Times New Roman" w:eastAsia="Times New Roman" w:hAnsi="Times New Roman" w:cs="Times New Roman"/>
          <w:i/>
          <w:iCs/>
          <w:sz w:val="24"/>
          <w:szCs w:val="24"/>
          <w:lang w:eastAsia="en-GB"/>
        </w:rPr>
        <w:t xml:space="preserve"> A strategic approach to organisational dynamics</w:t>
      </w:r>
      <w:r w:rsidRPr="00890D95">
        <w:rPr>
          <w:rFonts w:ascii="Times New Roman" w:eastAsia="Times New Roman" w:hAnsi="Times New Roman" w:cs="Times New Roman"/>
          <w:sz w:val="24"/>
          <w:szCs w:val="24"/>
          <w:lang w:eastAsia="en-GB"/>
        </w:rPr>
        <w:t xml:space="preserve"> (4th </w:t>
      </w:r>
      <w:proofErr w:type="spellStart"/>
      <w:r w:rsidRPr="00890D95">
        <w:rPr>
          <w:rFonts w:ascii="Times New Roman" w:eastAsia="Times New Roman" w:hAnsi="Times New Roman" w:cs="Times New Roman"/>
          <w:sz w:val="24"/>
          <w:szCs w:val="24"/>
          <w:lang w:eastAsia="en-GB"/>
        </w:rPr>
        <w:t>edn</w:t>
      </w:r>
      <w:proofErr w:type="spellEnd"/>
      <w:r w:rsidRPr="00890D95">
        <w:rPr>
          <w:rFonts w:ascii="Times New Roman" w:eastAsia="Times New Roman" w:hAnsi="Times New Roman" w:cs="Times New Roman"/>
          <w:sz w:val="24"/>
          <w:szCs w:val="24"/>
          <w:lang w:eastAsia="en-GB"/>
        </w:rPr>
        <w:t>). Prentice Hall.</w:t>
      </w:r>
    </w:p>
    <w:p w14:paraId="53BA433F"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4FD9A5F0" w14:textId="7D4A1B76"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Business Insights and Conditions Survey (BICS) team. (2026, October 7). </w:t>
      </w:r>
      <w:r w:rsidRPr="00890D95">
        <w:rPr>
          <w:rFonts w:ascii="Times New Roman" w:eastAsia="Times New Roman" w:hAnsi="Times New Roman" w:cs="Times New Roman"/>
          <w:i/>
          <w:iCs/>
          <w:sz w:val="24"/>
          <w:szCs w:val="24"/>
          <w:lang w:eastAsia="en-GB"/>
        </w:rPr>
        <w:t>Business insights and impact on the UK economy</w:t>
      </w:r>
      <w:r w:rsidRPr="00890D95">
        <w:rPr>
          <w:rFonts w:ascii="Times New Roman" w:eastAsia="Times New Roman" w:hAnsi="Times New Roman" w:cs="Times New Roman"/>
          <w:sz w:val="24"/>
          <w:szCs w:val="24"/>
          <w:lang w:eastAsia="en-GB"/>
        </w:rPr>
        <w:t xml:space="preserve">. Office for National Statistics. Ons.Gov.Uk. </w:t>
      </w:r>
      <w:hyperlink r:id="rId18" w:history="1">
        <w:r w:rsidR="00C32716" w:rsidRPr="00890D95">
          <w:rPr>
            <w:rStyle w:val="Hyperlink"/>
            <w:rFonts w:ascii="Times New Roman" w:eastAsia="Times New Roman" w:hAnsi="Times New Roman" w:cs="Times New Roman"/>
            <w:sz w:val="24"/>
            <w:szCs w:val="24"/>
            <w:lang w:eastAsia="en-GB"/>
          </w:rPr>
          <w:t>https://www.ons.gov.uk/businessindustryandtrade/business/businessservices/bulletins/businessinsightsandimpactontheukeconomy/8october2026</w:t>
        </w:r>
      </w:hyperlink>
    </w:p>
    <w:p w14:paraId="001E20CC"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6BBFC41F" w14:textId="41E1F239"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Consumer Price Inflation team. (2026, September 15). </w:t>
      </w:r>
      <w:r w:rsidRPr="00890D95">
        <w:rPr>
          <w:rFonts w:ascii="Times New Roman" w:eastAsia="Times New Roman" w:hAnsi="Times New Roman" w:cs="Times New Roman"/>
          <w:i/>
          <w:iCs/>
          <w:sz w:val="24"/>
          <w:szCs w:val="24"/>
          <w:lang w:eastAsia="en-GB"/>
        </w:rPr>
        <w:t>Consumer price inflation, UK</w:t>
      </w:r>
      <w:r w:rsidRPr="00890D95">
        <w:rPr>
          <w:rFonts w:ascii="Times New Roman" w:eastAsia="Times New Roman" w:hAnsi="Times New Roman" w:cs="Times New Roman"/>
          <w:sz w:val="24"/>
          <w:szCs w:val="24"/>
          <w:lang w:eastAsia="en-GB"/>
        </w:rPr>
        <w:t xml:space="preserve">. Office for National Statistics. Ons.Gov.Uk. </w:t>
      </w:r>
      <w:hyperlink r:id="rId19" w:history="1">
        <w:r w:rsidR="00C32716" w:rsidRPr="00890D95">
          <w:rPr>
            <w:rStyle w:val="Hyperlink"/>
            <w:rFonts w:ascii="Times New Roman" w:eastAsia="Times New Roman" w:hAnsi="Times New Roman" w:cs="Times New Roman"/>
            <w:sz w:val="24"/>
            <w:szCs w:val="24"/>
            <w:lang w:eastAsia="en-GB"/>
          </w:rPr>
          <w:t>https://www.ons.gov.uk/economy/inflationandpriceindices/bulletins/consumerpriceinflation/august2026</w:t>
        </w:r>
      </w:hyperlink>
    </w:p>
    <w:p w14:paraId="471F7B6E" w14:textId="77777777" w:rsidR="00C32716" w:rsidRPr="00890D95" w:rsidRDefault="00C32716" w:rsidP="00EF079B">
      <w:pPr>
        <w:spacing w:after="0" w:line="240" w:lineRule="auto"/>
        <w:ind w:left="720" w:hanging="720"/>
        <w:rPr>
          <w:rFonts w:ascii="Times New Roman" w:eastAsia="Times New Roman" w:hAnsi="Times New Roman" w:cs="Times New Roman"/>
          <w:sz w:val="24"/>
          <w:szCs w:val="24"/>
          <w:lang w:eastAsia="en-GB"/>
        </w:rPr>
      </w:pPr>
    </w:p>
    <w:p w14:paraId="36D3D498" w14:textId="13A0567A"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Edmondson, A. (1999). Psychological safety and learning </w:t>
      </w:r>
      <w:proofErr w:type="spellStart"/>
      <w:r w:rsidRPr="00890D95">
        <w:rPr>
          <w:rFonts w:ascii="Times New Roman" w:eastAsia="Times New Roman" w:hAnsi="Times New Roman" w:cs="Times New Roman"/>
          <w:sz w:val="24"/>
          <w:szCs w:val="24"/>
          <w:lang w:eastAsia="en-GB"/>
        </w:rPr>
        <w:t>behavior</w:t>
      </w:r>
      <w:proofErr w:type="spellEnd"/>
      <w:r w:rsidRPr="00890D95">
        <w:rPr>
          <w:rFonts w:ascii="Times New Roman" w:eastAsia="Times New Roman" w:hAnsi="Times New Roman" w:cs="Times New Roman"/>
          <w:sz w:val="24"/>
          <w:szCs w:val="24"/>
          <w:lang w:eastAsia="en-GB"/>
        </w:rPr>
        <w:t xml:space="preserve"> in work teams. </w:t>
      </w:r>
      <w:r w:rsidRPr="00890D95">
        <w:rPr>
          <w:rFonts w:ascii="Times New Roman" w:eastAsia="Times New Roman" w:hAnsi="Times New Roman" w:cs="Times New Roman"/>
          <w:i/>
          <w:iCs/>
          <w:sz w:val="24"/>
          <w:szCs w:val="24"/>
          <w:lang w:eastAsia="en-GB"/>
        </w:rPr>
        <w:t>Administrative Science Quarterly</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44</w:t>
      </w:r>
      <w:r w:rsidRPr="00890D95">
        <w:rPr>
          <w:rFonts w:ascii="Times New Roman" w:eastAsia="Times New Roman" w:hAnsi="Times New Roman" w:cs="Times New Roman"/>
          <w:sz w:val="24"/>
          <w:szCs w:val="24"/>
          <w:lang w:eastAsia="en-GB"/>
        </w:rPr>
        <w:t xml:space="preserve">(2), 350–383. </w:t>
      </w:r>
      <w:hyperlink r:id="rId20" w:history="1">
        <w:r w:rsidR="00D702C6" w:rsidRPr="00890D95">
          <w:rPr>
            <w:rStyle w:val="Hyperlink"/>
            <w:rFonts w:ascii="Times New Roman" w:eastAsia="Times New Roman" w:hAnsi="Times New Roman" w:cs="Times New Roman"/>
            <w:sz w:val="24"/>
            <w:szCs w:val="24"/>
            <w:lang w:eastAsia="en-GB"/>
          </w:rPr>
          <w:t>https://doi.org/https://doi.org/10.2307/2666999</w:t>
        </w:r>
      </w:hyperlink>
    </w:p>
    <w:p w14:paraId="4375D6A6" w14:textId="77777777" w:rsidR="00D702C6" w:rsidRDefault="00D702C6" w:rsidP="00EF079B">
      <w:pPr>
        <w:spacing w:after="0" w:line="240" w:lineRule="auto"/>
        <w:ind w:left="720" w:hanging="720"/>
        <w:rPr>
          <w:rFonts w:ascii="Times New Roman" w:eastAsia="Times New Roman" w:hAnsi="Times New Roman" w:cs="Times New Roman"/>
          <w:sz w:val="24"/>
          <w:szCs w:val="24"/>
          <w:lang w:eastAsia="en-GB"/>
        </w:rPr>
      </w:pPr>
    </w:p>
    <w:p w14:paraId="2F36F406" w14:textId="77777777" w:rsidR="00D702C6" w:rsidRDefault="00D702C6" w:rsidP="00EF079B">
      <w:pPr>
        <w:spacing w:after="0" w:line="240" w:lineRule="auto"/>
        <w:ind w:left="720" w:hanging="720"/>
        <w:rPr>
          <w:rFonts w:ascii="Times New Roman" w:eastAsia="Times New Roman" w:hAnsi="Times New Roman" w:cs="Times New Roman"/>
          <w:sz w:val="24"/>
          <w:szCs w:val="24"/>
          <w:lang w:eastAsia="en-GB"/>
        </w:rPr>
      </w:pPr>
    </w:p>
    <w:p w14:paraId="00D57EA7" w14:textId="77777777" w:rsidR="00B1138C" w:rsidRDefault="00B1138C" w:rsidP="00EF079B">
      <w:pPr>
        <w:spacing w:after="0" w:line="240" w:lineRule="auto"/>
        <w:ind w:left="720" w:hanging="720"/>
        <w:rPr>
          <w:rFonts w:ascii="Times New Roman" w:eastAsia="Times New Roman" w:hAnsi="Times New Roman" w:cs="Times New Roman"/>
          <w:sz w:val="24"/>
          <w:szCs w:val="24"/>
          <w:lang w:eastAsia="en-GB"/>
        </w:rPr>
      </w:pPr>
    </w:p>
    <w:p w14:paraId="5967B8D8" w14:textId="77777777" w:rsidR="00B1138C" w:rsidRDefault="00B1138C" w:rsidP="00EF079B">
      <w:pPr>
        <w:spacing w:after="0" w:line="240" w:lineRule="auto"/>
        <w:ind w:left="720" w:hanging="720"/>
        <w:rPr>
          <w:rFonts w:ascii="Times New Roman" w:eastAsia="Times New Roman" w:hAnsi="Times New Roman" w:cs="Times New Roman"/>
          <w:sz w:val="24"/>
          <w:szCs w:val="24"/>
          <w:lang w:eastAsia="en-GB"/>
        </w:rPr>
      </w:pPr>
    </w:p>
    <w:p w14:paraId="7AF96746"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778FA475" w14:textId="5720232F"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lastRenderedPageBreak/>
        <w:t xml:space="preserve">Financial Conduct Authority. (2025). </w:t>
      </w:r>
      <w:r w:rsidRPr="00890D95">
        <w:rPr>
          <w:rFonts w:ascii="Times New Roman" w:eastAsia="Times New Roman" w:hAnsi="Times New Roman" w:cs="Times New Roman"/>
          <w:i/>
          <w:iCs/>
          <w:sz w:val="24"/>
          <w:szCs w:val="24"/>
          <w:lang w:eastAsia="en-GB"/>
        </w:rPr>
        <w:t>Financial lives 2024: Key findings from the FCA’s financial lives may 2024 survey</w:t>
      </w:r>
      <w:r w:rsidRPr="00890D95">
        <w:rPr>
          <w:rFonts w:ascii="Times New Roman" w:eastAsia="Times New Roman" w:hAnsi="Times New Roman" w:cs="Times New Roman"/>
          <w:sz w:val="24"/>
          <w:szCs w:val="24"/>
          <w:lang w:eastAsia="en-GB"/>
        </w:rPr>
        <w:t xml:space="preserve">. Financial Conduct Authority. </w:t>
      </w:r>
      <w:hyperlink r:id="rId21" w:history="1">
        <w:r w:rsidR="00D702C6" w:rsidRPr="00890D95">
          <w:rPr>
            <w:rStyle w:val="Hyperlink"/>
            <w:rFonts w:ascii="Times New Roman" w:eastAsia="Times New Roman" w:hAnsi="Times New Roman" w:cs="Times New Roman"/>
            <w:sz w:val="24"/>
            <w:szCs w:val="24"/>
            <w:lang w:eastAsia="en-GB"/>
          </w:rPr>
          <w:t>https://www.fca.org.uk/publication/financial-lives/financial-lives-survey-2024-key-findings.pdf</w:t>
        </w:r>
      </w:hyperlink>
    </w:p>
    <w:p w14:paraId="27E49BDD"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5CA50327" w14:textId="5C83B8DA"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proofErr w:type="spellStart"/>
      <w:r w:rsidRPr="00890D95">
        <w:rPr>
          <w:rFonts w:ascii="Times New Roman" w:eastAsia="Times New Roman" w:hAnsi="Times New Roman" w:cs="Times New Roman"/>
          <w:sz w:val="24"/>
          <w:szCs w:val="24"/>
          <w:lang w:eastAsia="en-GB"/>
        </w:rPr>
        <w:t>Hackenburg</w:t>
      </w:r>
      <w:proofErr w:type="spellEnd"/>
      <w:r w:rsidRPr="00890D95">
        <w:rPr>
          <w:rFonts w:ascii="Times New Roman" w:eastAsia="Times New Roman" w:hAnsi="Times New Roman" w:cs="Times New Roman"/>
          <w:sz w:val="24"/>
          <w:szCs w:val="24"/>
          <w:lang w:eastAsia="en-GB"/>
        </w:rPr>
        <w:t xml:space="preserve">, K., </w:t>
      </w:r>
      <w:proofErr w:type="spellStart"/>
      <w:r w:rsidRPr="00890D95">
        <w:rPr>
          <w:rFonts w:ascii="Times New Roman" w:eastAsia="Times New Roman" w:hAnsi="Times New Roman" w:cs="Times New Roman"/>
          <w:sz w:val="24"/>
          <w:szCs w:val="24"/>
          <w:lang w:eastAsia="en-GB"/>
        </w:rPr>
        <w:t>Tappin</w:t>
      </w:r>
      <w:proofErr w:type="spellEnd"/>
      <w:r w:rsidRPr="00890D95">
        <w:rPr>
          <w:rFonts w:ascii="Times New Roman" w:eastAsia="Times New Roman" w:hAnsi="Times New Roman" w:cs="Times New Roman"/>
          <w:sz w:val="24"/>
          <w:szCs w:val="24"/>
          <w:lang w:eastAsia="en-GB"/>
        </w:rPr>
        <w:t xml:space="preserve">, B. M., Hewitt, L., Saunders, E., Black, S., Lin, H., Fist, C., Margetts, H., Rand, D. G., &amp; Summerfield, C. (2025). The levers of political persuasion with conversational artificial intelligence. </w:t>
      </w:r>
      <w:r w:rsidRPr="00890D95">
        <w:rPr>
          <w:rFonts w:ascii="Times New Roman" w:eastAsia="Times New Roman" w:hAnsi="Times New Roman" w:cs="Times New Roman"/>
          <w:i/>
          <w:iCs/>
          <w:sz w:val="24"/>
          <w:szCs w:val="24"/>
          <w:lang w:eastAsia="en-GB"/>
        </w:rPr>
        <w:t>Science</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390</w:t>
      </w:r>
      <w:r w:rsidRPr="00890D95">
        <w:rPr>
          <w:rFonts w:ascii="Times New Roman" w:eastAsia="Times New Roman" w:hAnsi="Times New Roman" w:cs="Times New Roman"/>
          <w:sz w:val="24"/>
          <w:szCs w:val="24"/>
          <w:lang w:eastAsia="en-GB"/>
        </w:rPr>
        <w:t xml:space="preserve">(6777). </w:t>
      </w:r>
      <w:hyperlink r:id="rId22" w:history="1">
        <w:r w:rsidR="00D702C6" w:rsidRPr="00890D95">
          <w:rPr>
            <w:rStyle w:val="Hyperlink"/>
            <w:rFonts w:ascii="Times New Roman" w:eastAsia="Times New Roman" w:hAnsi="Times New Roman" w:cs="Times New Roman"/>
            <w:sz w:val="24"/>
            <w:szCs w:val="24"/>
            <w:lang w:eastAsia="en-GB"/>
          </w:rPr>
          <w:t>https://doi.org/10.1126/science.aea3884</w:t>
        </w:r>
      </w:hyperlink>
    </w:p>
    <w:p w14:paraId="08D17276"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4176E9AD" w14:textId="4C0B51FB"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Hughes, M. (2016). Leading changes: Why transformation explanations fail. </w:t>
      </w:r>
      <w:r w:rsidRPr="00890D95">
        <w:rPr>
          <w:rFonts w:ascii="Times New Roman" w:eastAsia="Times New Roman" w:hAnsi="Times New Roman" w:cs="Times New Roman"/>
          <w:i/>
          <w:iCs/>
          <w:sz w:val="24"/>
          <w:szCs w:val="24"/>
          <w:lang w:eastAsia="en-GB"/>
        </w:rPr>
        <w:t>Leadership</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12</w:t>
      </w:r>
      <w:r w:rsidRPr="00890D95">
        <w:rPr>
          <w:rFonts w:ascii="Times New Roman" w:eastAsia="Times New Roman" w:hAnsi="Times New Roman" w:cs="Times New Roman"/>
          <w:sz w:val="24"/>
          <w:szCs w:val="24"/>
          <w:lang w:eastAsia="en-GB"/>
        </w:rPr>
        <w:t xml:space="preserve">(4), 449–469. </w:t>
      </w:r>
      <w:hyperlink r:id="rId23" w:history="1">
        <w:r w:rsidR="00D702C6" w:rsidRPr="00890D95">
          <w:rPr>
            <w:rStyle w:val="Hyperlink"/>
            <w:rFonts w:ascii="Times New Roman" w:eastAsia="Times New Roman" w:hAnsi="Times New Roman" w:cs="Times New Roman"/>
            <w:sz w:val="24"/>
            <w:szCs w:val="24"/>
            <w:lang w:eastAsia="en-GB"/>
          </w:rPr>
          <w:t>https://doi.org/10.1177/1742715015571393</w:t>
        </w:r>
      </w:hyperlink>
    </w:p>
    <w:p w14:paraId="02CD6564"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09EF6B04" w14:textId="46825096"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ICO. (2024, November 19). </w:t>
      </w:r>
      <w:r w:rsidRPr="00890D95">
        <w:rPr>
          <w:rFonts w:ascii="Times New Roman" w:eastAsia="Times New Roman" w:hAnsi="Times New Roman" w:cs="Times New Roman"/>
          <w:i/>
          <w:iCs/>
          <w:sz w:val="24"/>
          <w:szCs w:val="24"/>
          <w:lang w:eastAsia="en-GB"/>
        </w:rPr>
        <w:t>How do we process biometric data lawfully?</w:t>
      </w:r>
      <w:r w:rsidRPr="00890D95">
        <w:rPr>
          <w:rFonts w:ascii="Times New Roman" w:eastAsia="Times New Roman" w:hAnsi="Times New Roman" w:cs="Times New Roman"/>
          <w:sz w:val="24"/>
          <w:szCs w:val="24"/>
          <w:lang w:eastAsia="en-GB"/>
        </w:rPr>
        <w:t xml:space="preserve"> ICO. Ico.Org.Uk. </w:t>
      </w:r>
      <w:hyperlink r:id="rId24" w:history="1">
        <w:r w:rsidR="00D702C6" w:rsidRPr="00890D95">
          <w:rPr>
            <w:rStyle w:val="Hyperlink"/>
            <w:rFonts w:ascii="Times New Roman" w:eastAsia="Times New Roman" w:hAnsi="Times New Roman" w:cs="Times New Roman"/>
            <w:sz w:val="24"/>
            <w:szCs w:val="24"/>
            <w:lang w:eastAsia="en-GB"/>
          </w:rPr>
          <w:t>https://ico.org.uk/for-organisations/uk-gdpr-guidance-and-resources/lawful-basis/biometric-data-guidance-biometric-recognition/how-do-we-process-biometric-data-lawfully</w:t>
        </w:r>
      </w:hyperlink>
    </w:p>
    <w:p w14:paraId="2A5BFA6F"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40E931C6" w14:textId="08389D81"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IEA. (2025a). </w:t>
      </w:r>
      <w:r w:rsidRPr="00890D95">
        <w:rPr>
          <w:rFonts w:ascii="Times New Roman" w:eastAsia="Times New Roman" w:hAnsi="Times New Roman" w:cs="Times New Roman"/>
          <w:i/>
          <w:iCs/>
          <w:sz w:val="24"/>
          <w:szCs w:val="24"/>
          <w:lang w:eastAsia="en-GB"/>
        </w:rPr>
        <w:t>Energy demand from AI – energy and AI – analysis - IEA</w:t>
      </w:r>
      <w:r w:rsidRPr="00890D95">
        <w:rPr>
          <w:rFonts w:ascii="Times New Roman" w:eastAsia="Times New Roman" w:hAnsi="Times New Roman" w:cs="Times New Roman"/>
          <w:sz w:val="24"/>
          <w:szCs w:val="24"/>
          <w:lang w:eastAsia="en-GB"/>
        </w:rPr>
        <w:t xml:space="preserve">. IEA. </w:t>
      </w:r>
      <w:hyperlink r:id="rId25" w:history="1">
        <w:r w:rsidR="00D702C6" w:rsidRPr="00890D95">
          <w:rPr>
            <w:rStyle w:val="Hyperlink"/>
            <w:rFonts w:ascii="Times New Roman" w:eastAsia="Times New Roman" w:hAnsi="Times New Roman" w:cs="Times New Roman"/>
            <w:sz w:val="24"/>
            <w:szCs w:val="24"/>
            <w:lang w:eastAsia="en-GB"/>
          </w:rPr>
          <w:t>https://www.iea.org/reports/energy-and-ai/energy-demand-from-ai</w:t>
        </w:r>
      </w:hyperlink>
    </w:p>
    <w:p w14:paraId="71290EBD"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4D27510B" w14:textId="79425EAD"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IEA. (2025b, April 10). </w:t>
      </w:r>
      <w:r w:rsidRPr="00890D95">
        <w:rPr>
          <w:rFonts w:ascii="Times New Roman" w:eastAsia="Times New Roman" w:hAnsi="Times New Roman" w:cs="Times New Roman"/>
          <w:i/>
          <w:iCs/>
          <w:sz w:val="24"/>
          <w:szCs w:val="24"/>
          <w:lang w:eastAsia="en-GB"/>
        </w:rPr>
        <w:t>Energy and AI – analysis - IEA</w:t>
      </w:r>
      <w:r w:rsidRPr="00890D95">
        <w:rPr>
          <w:rFonts w:ascii="Times New Roman" w:eastAsia="Times New Roman" w:hAnsi="Times New Roman" w:cs="Times New Roman"/>
          <w:sz w:val="24"/>
          <w:szCs w:val="24"/>
          <w:lang w:eastAsia="en-GB"/>
        </w:rPr>
        <w:t xml:space="preserve">. IEA. </w:t>
      </w:r>
      <w:hyperlink r:id="rId26" w:history="1">
        <w:r w:rsidR="00D702C6" w:rsidRPr="00890D95">
          <w:rPr>
            <w:rStyle w:val="Hyperlink"/>
            <w:rFonts w:ascii="Times New Roman" w:eastAsia="Times New Roman" w:hAnsi="Times New Roman" w:cs="Times New Roman"/>
            <w:sz w:val="24"/>
            <w:szCs w:val="24"/>
            <w:lang w:eastAsia="en-GB"/>
          </w:rPr>
          <w:t>https://www.iea.org/reports/energy-and-ai</w:t>
        </w:r>
      </w:hyperlink>
    </w:p>
    <w:p w14:paraId="7D0D3243"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785D0436" w14:textId="275FBA0E"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Journal of Management </w:t>
      </w:r>
      <w:proofErr w:type="gramStart"/>
      <w:r w:rsidRPr="00890D95">
        <w:rPr>
          <w:rFonts w:ascii="Times New Roman" w:eastAsia="Times New Roman" w:hAnsi="Times New Roman" w:cs="Times New Roman"/>
          <w:sz w:val="24"/>
          <w:szCs w:val="24"/>
          <w:lang w:eastAsia="en-GB"/>
        </w:rPr>
        <w:t>Studies .</w:t>
      </w:r>
      <w:proofErr w:type="gramEnd"/>
      <w:r w:rsidRPr="00890D95">
        <w:rPr>
          <w:rFonts w:ascii="Times New Roman" w:eastAsia="Times New Roman" w:hAnsi="Times New Roman" w:cs="Times New Roman"/>
          <w:sz w:val="24"/>
          <w:szCs w:val="24"/>
          <w:lang w:eastAsia="en-GB"/>
        </w:rPr>
        <w:t xml:space="preserve"> (2021). </w:t>
      </w:r>
      <w:r w:rsidRPr="00890D95">
        <w:rPr>
          <w:rFonts w:ascii="Times New Roman" w:eastAsia="Times New Roman" w:hAnsi="Times New Roman" w:cs="Times New Roman"/>
          <w:i/>
          <w:iCs/>
          <w:sz w:val="24"/>
          <w:szCs w:val="24"/>
          <w:lang w:eastAsia="en-GB"/>
        </w:rPr>
        <w:t>Kurt Lewin and the planned approach to change</w:t>
      </w:r>
      <w:r w:rsidRPr="00890D95">
        <w:rPr>
          <w:rFonts w:ascii="Times New Roman" w:eastAsia="Times New Roman" w:hAnsi="Times New Roman" w:cs="Times New Roman"/>
          <w:sz w:val="24"/>
          <w:szCs w:val="24"/>
          <w:lang w:eastAsia="en-GB"/>
        </w:rPr>
        <w:t xml:space="preserve">. Stir.Ac.Uk. </w:t>
      </w:r>
      <w:hyperlink r:id="rId27" w:history="1">
        <w:r w:rsidR="00D702C6" w:rsidRPr="00890D95">
          <w:rPr>
            <w:rStyle w:val="Hyperlink"/>
            <w:rFonts w:ascii="Times New Roman" w:eastAsia="Times New Roman" w:hAnsi="Times New Roman" w:cs="Times New Roman"/>
            <w:sz w:val="24"/>
            <w:szCs w:val="24"/>
            <w:lang w:eastAsia="en-GB"/>
          </w:rPr>
          <w:t>https://www.stir.ac.uk/research/hub/publication/608132</w:t>
        </w:r>
      </w:hyperlink>
    </w:p>
    <w:p w14:paraId="4B2506FD" w14:textId="77777777" w:rsidR="00D702C6" w:rsidRPr="00890D95" w:rsidRDefault="00D702C6" w:rsidP="00EF079B">
      <w:pPr>
        <w:spacing w:after="0" w:line="240" w:lineRule="auto"/>
        <w:ind w:left="720" w:hanging="720"/>
        <w:rPr>
          <w:rFonts w:ascii="Times New Roman" w:eastAsia="Times New Roman" w:hAnsi="Times New Roman" w:cs="Times New Roman"/>
          <w:sz w:val="24"/>
          <w:szCs w:val="24"/>
          <w:lang w:eastAsia="en-GB"/>
        </w:rPr>
      </w:pPr>
    </w:p>
    <w:p w14:paraId="23777711" w14:textId="4F869CFB"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Kotter, J. (2025). </w:t>
      </w:r>
      <w:r w:rsidRPr="00890D95">
        <w:rPr>
          <w:rFonts w:ascii="Times New Roman" w:eastAsia="Times New Roman" w:hAnsi="Times New Roman" w:cs="Times New Roman"/>
          <w:i/>
          <w:iCs/>
          <w:sz w:val="24"/>
          <w:szCs w:val="24"/>
          <w:lang w:eastAsia="en-GB"/>
        </w:rPr>
        <w:t>The 8 steps for leading change</w:t>
      </w:r>
      <w:r w:rsidRPr="00890D95">
        <w:rPr>
          <w:rFonts w:ascii="Times New Roman" w:eastAsia="Times New Roman" w:hAnsi="Times New Roman" w:cs="Times New Roman"/>
          <w:sz w:val="24"/>
          <w:szCs w:val="24"/>
          <w:lang w:eastAsia="en-GB"/>
        </w:rPr>
        <w:t xml:space="preserve">. Kotter. </w:t>
      </w:r>
      <w:hyperlink r:id="rId28" w:history="1">
        <w:r w:rsidR="00C502DF" w:rsidRPr="00890D95">
          <w:rPr>
            <w:rStyle w:val="Hyperlink"/>
            <w:rFonts w:ascii="Times New Roman" w:eastAsia="Times New Roman" w:hAnsi="Times New Roman" w:cs="Times New Roman"/>
            <w:sz w:val="24"/>
            <w:szCs w:val="24"/>
            <w:lang w:eastAsia="en-GB"/>
          </w:rPr>
          <w:t>https://www.kotterinc.com/methodology/8-steps/</w:t>
        </w:r>
      </w:hyperlink>
    </w:p>
    <w:p w14:paraId="5672E072" w14:textId="77777777" w:rsidR="00C502DF" w:rsidRPr="00890D95" w:rsidRDefault="00C502DF" w:rsidP="00EF079B">
      <w:pPr>
        <w:spacing w:after="0" w:line="240" w:lineRule="auto"/>
        <w:ind w:left="720" w:hanging="720"/>
        <w:rPr>
          <w:rFonts w:ascii="Times New Roman" w:eastAsia="Times New Roman" w:hAnsi="Times New Roman" w:cs="Times New Roman"/>
          <w:sz w:val="24"/>
          <w:szCs w:val="24"/>
          <w:lang w:eastAsia="en-GB"/>
        </w:rPr>
      </w:pPr>
    </w:p>
    <w:p w14:paraId="391F8CEF" w14:textId="434E87BA"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Lewin, K. (1947). Frontiers in group dynamics: Concept, method and reality in social science; social equilibria and social change. </w:t>
      </w:r>
      <w:r w:rsidRPr="00890D95">
        <w:rPr>
          <w:rFonts w:ascii="Times New Roman" w:eastAsia="Times New Roman" w:hAnsi="Times New Roman" w:cs="Times New Roman"/>
          <w:i/>
          <w:iCs/>
          <w:sz w:val="24"/>
          <w:szCs w:val="24"/>
          <w:lang w:eastAsia="en-GB"/>
        </w:rPr>
        <w:t>Human Relations</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1</w:t>
      </w:r>
      <w:r w:rsidRPr="00890D95">
        <w:rPr>
          <w:rFonts w:ascii="Times New Roman" w:eastAsia="Times New Roman" w:hAnsi="Times New Roman" w:cs="Times New Roman"/>
          <w:sz w:val="24"/>
          <w:szCs w:val="24"/>
          <w:lang w:eastAsia="en-GB"/>
        </w:rPr>
        <w:t xml:space="preserve">(1), 5–41. </w:t>
      </w:r>
      <w:proofErr w:type="spellStart"/>
      <w:r w:rsidRPr="00890D95">
        <w:rPr>
          <w:rFonts w:ascii="Times New Roman" w:eastAsia="Times New Roman" w:hAnsi="Times New Roman" w:cs="Times New Roman"/>
          <w:sz w:val="24"/>
          <w:szCs w:val="24"/>
          <w:lang w:eastAsia="en-GB"/>
        </w:rPr>
        <w:t>Sagepub</w:t>
      </w:r>
      <w:proofErr w:type="spellEnd"/>
      <w:r w:rsidRPr="00890D95">
        <w:rPr>
          <w:rFonts w:ascii="Times New Roman" w:eastAsia="Times New Roman" w:hAnsi="Times New Roman" w:cs="Times New Roman"/>
          <w:sz w:val="24"/>
          <w:szCs w:val="24"/>
          <w:lang w:eastAsia="en-GB"/>
        </w:rPr>
        <w:t xml:space="preserve">. </w:t>
      </w:r>
      <w:hyperlink r:id="rId29" w:history="1">
        <w:r w:rsidR="00C502DF" w:rsidRPr="00890D95">
          <w:rPr>
            <w:rStyle w:val="Hyperlink"/>
            <w:rFonts w:ascii="Times New Roman" w:eastAsia="Times New Roman" w:hAnsi="Times New Roman" w:cs="Times New Roman"/>
            <w:sz w:val="24"/>
            <w:szCs w:val="24"/>
            <w:lang w:eastAsia="en-GB"/>
          </w:rPr>
          <w:t>https://doi.org/10.1177/001872674700100103</w:t>
        </w:r>
      </w:hyperlink>
    </w:p>
    <w:p w14:paraId="309E50C3" w14:textId="77777777" w:rsidR="00C502DF" w:rsidRPr="00890D95" w:rsidRDefault="00C502DF" w:rsidP="00EF079B">
      <w:pPr>
        <w:spacing w:after="0" w:line="240" w:lineRule="auto"/>
        <w:ind w:left="720" w:hanging="720"/>
        <w:rPr>
          <w:rFonts w:ascii="Times New Roman" w:eastAsia="Times New Roman" w:hAnsi="Times New Roman" w:cs="Times New Roman"/>
          <w:sz w:val="24"/>
          <w:szCs w:val="24"/>
          <w:lang w:eastAsia="en-GB"/>
        </w:rPr>
      </w:pPr>
    </w:p>
    <w:p w14:paraId="0A6E8ACA" w14:textId="681139C5"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Mitchell, R. K., </w:t>
      </w:r>
      <w:proofErr w:type="spellStart"/>
      <w:r w:rsidRPr="00890D95">
        <w:rPr>
          <w:rFonts w:ascii="Times New Roman" w:eastAsia="Times New Roman" w:hAnsi="Times New Roman" w:cs="Times New Roman"/>
          <w:sz w:val="24"/>
          <w:szCs w:val="24"/>
          <w:lang w:eastAsia="en-GB"/>
        </w:rPr>
        <w:t>Agle</w:t>
      </w:r>
      <w:proofErr w:type="spellEnd"/>
      <w:r w:rsidRPr="00890D95">
        <w:rPr>
          <w:rFonts w:ascii="Times New Roman" w:eastAsia="Times New Roman" w:hAnsi="Times New Roman" w:cs="Times New Roman"/>
          <w:sz w:val="24"/>
          <w:szCs w:val="24"/>
          <w:lang w:eastAsia="en-GB"/>
        </w:rPr>
        <w:t xml:space="preserve">, B. R., &amp; Wood, D. J. (1997). Toward a theory of stakeholder identification and salience: Defining the principle of who and what really counts. </w:t>
      </w:r>
      <w:r w:rsidRPr="00890D95">
        <w:rPr>
          <w:rFonts w:ascii="Times New Roman" w:eastAsia="Times New Roman" w:hAnsi="Times New Roman" w:cs="Times New Roman"/>
          <w:i/>
          <w:iCs/>
          <w:sz w:val="24"/>
          <w:szCs w:val="24"/>
          <w:lang w:eastAsia="en-GB"/>
        </w:rPr>
        <w:t>Academy of Management Review</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22</w:t>
      </w:r>
      <w:r w:rsidRPr="00890D95">
        <w:rPr>
          <w:rFonts w:ascii="Times New Roman" w:eastAsia="Times New Roman" w:hAnsi="Times New Roman" w:cs="Times New Roman"/>
          <w:sz w:val="24"/>
          <w:szCs w:val="24"/>
          <w:lang w:eastAsia="en-GB"/>
        </w:rPr>
        <w:t xml:space="preserve">(4), 853–886. </w:t>
      </w:r>
      <w:hyperlink r:id="rId30" w:history="1">
        <w:r w:rsidR="00C502DF" w:rsidRPr="00890D95">
          <w:rPr>
            <w:rStyle w:val="Hyperlink"/>
            <w:rFonts w:ascii="Times New Roman" w:eastAsia="Times New Roman" w:hAnsi="Times New Roman" w:cs="Times New Roman"/>
            <w:sz w:val="24"/>
            <w:szCs w:val="24"/>
            <w:lang w:eastAsia="en-GB"/>
          </w:rPr>
          <w:t>https://doi.org/https://doi.org/10.5465/amr.1997.9711022105</w:t>
        </w:r>
      </w:hyperlink>
    </w:p>
    <w:p w14:paraId="4507808E" w14:textId="77777777" w:rsidR="00C502DF" w:rsidRPr="00890D95" w:rsidRDefault="00C502DF" w:rsidP="00EF079B">
      <w:pPr>
        <w:spacing w:after="0" w:line="240" w:lineRule="auto"/>
        <w:ind w:left="720" w:hanging="720"/>
        <w:rPr>
          <w:rFonts w:ascii="Times New Roman" w:eastAsia="Times New Roman" w:hAnsi="Times New Roman" w:cs="Times New Roman"/>
          <w:sz w:val="24"/>
          <w:szCs w:val="24"/>
          <w:lang w:eastAsia="en-GB"/>
        </w:rPr>
      </w:pPr>
    </w:p>
    <w:p w14:paraId="4DCF1251" w14:textId="483318CA"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proofErr w:type="spellStart"/>
      <w:r w:rsidRPr="00890D95">
        <w:rPr>
          <w:rFonts w:ascii="Times New Roman" w:eastAsia="Times New Roman" w:hAnsi="Times New Roman" w:cs="Times New Roman"/>
          <w:sz w:val="24"/>
          <w:szCs w:val="24"/>
          <w:lang w:eastAsia="en-GB"/>
        </w:rPr>
        <w:t>Mutomorro</w:t>
      </w:r>
      <w:proofErr w:type="spellEnd"/>
      <w:r w:rsidRPr="00890D95">
        <w:rPr>
          <w:rFonts w:ascii="Times New Roman" w:eastAsia="Times New Roman" w:hAnsi="Times New Roman" w:cs="Times New Roman"/>
          <w:sz w:val="24"/>
          <w:szCs w:val="24"/>
          <w:lang w:eastAsia="en-GB"/>
        </w:rPr>
        <w:t xml:space="preserve">. (2023, April 26). </w:t>
      </w:r>
      <w:r w:rsidRPr="00890D95">
        <w:rPr>
          <w:rFonts w:ascii="Times New Roman" w:eastAsia="Times New Roman" w:hAnsi="Times New Roman" w:cs="Times New Roman"/>
          <w:i/>
          <w:iCs/>
          <w:sz w:val="24"/>
          <w:szCs w:val="24"/>
          <w:lang w:eastAsia="en-GB"/>
        </w:rPr>
        <w:t xml:space="preserve">Kotter’s 8 Step Change Model - Easy Walkthrough - </w:t>
      </w:r>
      <w:proofErr w:type="spellStart"/>
      <w:r w:rsidRPr="00890D95">
        <w:rPr>
          <w:rFonts w:ascii="Times New Roman" w:eastAsia="Times New Roman" w:hAnsi="Times New Roman" w:cs="Times New Roman"/>
          <w:i/>
          <w:iCs/>
          <w:sz w:val="24"/>
          <w:szCs w:val="24"/>
          <w:lang w:eastAsia="en-GB"/>
        </w:rPr>
        <w:t>Mutomorro</w:t>
      </w:r>
      <w:proofErr w:type="spellEnd"/>
      <w:r w:rsidRPr="00890D95">
        <w:rPr>
          <w:rFonts w:ascii="Times New Roman" w:eastAsia="Times New Roman" w:hAnsi="Times New Roman" w:cs="Times New Roman"/>
          <w:sz w:val="24"/>
          <w:szCs w:val="24"/>
          <w:lang w:eastAsia="en-GB"/>
        </w:rPr>
        <w:t xml:space="preserve">. Mutomorro.Com. </w:t>
      </w:r>
      <w:hyperlink r:id="rId31" w:history="1">
        <w:r w:rsidR="00C502DF" w:rsidRPr="00890D95">
          <w:rPr>
            <w:rStyle w:val="Hyperlink"/>
            <w:rFonts w:ascii="Times New Roman" w:eastAsia="Times New Roman" w:hAnsi="Times New Roman" w:cs="Times New Roman"/>
            <w:sz w:val="24"/>
            <w:szCs w:val="24"/>
            <w:lang w:eastAsia="en-GB"/>
          </w:rPr>
          <w:t>https://mutomorro.com/kotters-8-step-change-model/</w:t>
        </w:r>
      </w:hyperlink>
    </w:p>
    <w:p w14:paraId="13EB9307" w14:textId="77777777" w:rsidR="00C502DF" w:rsidRPr="00890D95" w:rsidRDefault="00C502DF" w:rsidP="00EF079B">
      <w:pPr>
        <w:spacing w:after="0" w:line="240" w:lineRule="auto"/>
        <w:ind w:left="720" w:hanging="720"/>
        <w:rPr>
          <w:rFonts w:ascii="Times New Roman" w:eastAsia="Times New Roman" w:hAnsi="Times New Roman" w:cs="Times New Roman"/>
          <w:sz w:val="24"/>
          <w:szCs w:val="24"/>
          <w:lang w:eastAsia="en-GB"/>
        </w:rPr>
      </w:pPr>
    </w:p>
    <w:p w14:paraId="1BFE8A57" w14:textId="5DC17511"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proofErr w:type="spellStart"/>
      <w:r w:rsidRPr="00890D95">
        <w:rPr>
          <w:rFonts w:ascii="Times New Roman" w:eastAsia="Times New Roman" w:hAnsi="Times New Roman" w:cs="Times New Roman"/>
          <w:sz w:val="24"/>
          <w:szCs w:val="24"/>
          <w:lang w:eastAsia="en-GB"/>
        </w:rPr>
        <w:t>Raisch</w:t>
      </w:r>
      <w:proofErr w:type="spellEnd"/>
      <w:r w:rsidRPr="00890D95">
        <w:rPr>
          <w:rFonts w:ascii="Times New Roman" w:eastAsia="Times New Roman" w:hAnsi="Times New Roman" w:cs="Times New Roman"/>
          <w:sz w:val="24"/>
          <w:szCs w:val="24"/>
          <w:lang w:eastAsia="en-GB"/>
        </w:rPr>
        <w:t xml:space="preserve">, S., &amp; Krakowski, S. (2021). Artificial intelligence and management: The automation–augmentation paradox. </w:t>
      </w:r>
      <w:r w:rsidRPr="00890D95">
        <w:rPr>
          <w:rFonts w:ascii="Times New Roman" w:eastAsia="Times New Roman" w:hAnsi="Times New Roman" w:cs="Times New Roman"/>
          <w:i/>
          <w:iCs/>
          <w:sz w:val="24"/>
          <w:szCs w:val="24"/>
          <w:lang w:eastAsia="en-GB"/>
        </w:rPr>
        <w:t>Academy of Management Review</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46</w:t>
      </w:r>
      <w:r w:rsidRPr="00890D95">
        <w:rPr>
          <w:rFonts w:ascii="Times New Roman" w:eastAsia="Times New Roman" w:hAnsi="Times New Roman" w:cs="Times New Roman"/>
          <w:sz w:val="24"/>
          <w:szCs w:val="24"/>
          <w:lang w:eastAsia="en-GB"/>
        </w:rPr>
        <w:t xml:space="preserve">(1), 192–210. </w:t>
      </w:r>
      <w:hyperlink r:id="rId32" w:history="1">
        <w:r w:rsidR="00C502DF" w:rsidRPr="00890D95">
          <w:rPr>
            <w:rStyle w:val="Hyperlink"/>
            <w:rFonts w:ascii="Times New Roman" w:eastAsia="Times New Roman" w:hAnsi="Times New Roman" w:cs="Times New Roman"/>
            <w:sz w:val="24"/>
            <w:szCs w:val="24"/>
            <w:lang w:eastAsia="en-GB"/>
          </w:rPr>
          <w:t>https://doi.org/https://doi.org/10.5465/amr.2018.0072</w:t>
        </w:r>
      </w:hyperlink>
    </w:p>
    <w:p w14:paraId="62E0DE6A" w14:textId="77777777" w:rsidR="00C502DF" w:rsidRPr="00890D95" w:rsidRDefault="00C502DF" w:rsidP="00EF079B">
      <w:pPr>
        <w:spacing w:after="0" w:line="240" w:lineRule="auto"/>
        <w:ind w:left="720" w:hanging="720"/>
        <w:rPr>
          <w:rFonts w:ascii="Times New Roman" w:eastAsia="Times New Roman" w:hAnsi="Times New Roman" w:cs="Times New Roman"/>
          <w:sz w:val="24"/>
          <w:szCs w:val="24"/>
          <w:lang w:eastAsia="en-GB"/>
        </w:rPr>
      </w:pPr>
    </w:p>
    <w:p w14:paraId="0F0DE813" w14:textId="229C9118"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lastRenderedPageBreak/>
        <w:t xml:space="preserve">Salovey, P., &amp; Mayer, J. (1990). Emotional intelligence. </w:t>
      </w:r>
      <w:r w:rsidRPr="00890D95">
        <w:rPr>
          <w:rFonts w:ascii="Times New Roman" w:eastAsia="Times New Roman" w:hAnsi="Times New Roman" w:cs="Times New Roman"/>
          <w:i/>
          <w:iCs/>
          <w:sz w:val="24"/>
          <w:szCs w:val="24"/>
          <w:lang w:eastAsia="en-GB"/>
        </w:rPr>
        <w:t>Imagination, Cognition, and Personality</w:t>
      </w:r>
      <w:r w:rsidRPr="00890D95">
        <w:rPr>
          <w:rFonts w:ascii="Times New Roman" w:eastAsia="Times New Roman" w:hAnsi="Times New Roman" w:cs="Times New Roman"/>
          <w:sz w:val="24"/>
          <w:szCs w:val="24"/>
          <w:lang w:eastAsia="en-GB"/>
        </w:rPr>
        <w:t xml:space="preserve">. </w:t>
      </w:r>
      <w:hyperlink r:id="rId33" w:history="1">
        <w:r w:rsidR="00C502DF" w:rsidRPr="00890D95">
          <w:rPr>
            <w:rStyle w:val="Hyperlink"/>
            <w:rFonts w:ascii="Times New Roman" w:eastAsia="Times New Roman" w:hAnsi="Times New Roman" w:cs="Times New Roman"/>
            <w:sz w:val="24"/>
            <w:szCs w:val="24"/>
            <w:lang w:eastAsia="en-GB"/>
          </w:rPr>
          <w:t>https://doi.org/10.2190/DUGG-P24E-52WK-6CDG‘&gt;https://dx.doi.org/10.2190/DUGG-P24E-52WK-6CDG&lt;/a</w:t>
        </w:r>
      </w:hyperlink>
      <w:r w:rsidRPr="00890D95">
        <w:rPr>
          <w:rFonts w:ascii="Times New Roman" w:eastAsia="Times New Roman" w:hAnsi="Times New Roman" w:cs="Times New Roman"/>
          <w:sz w:val="24"/>
          <w:szCs w:val="24"/>
          <w:lang w:eastAsia="en-GB"/>
        </w:rPr>
        <w:t>&gt;</w:t>
      </w:r>
    </w:p>
    <w:p w14:paraId="6885BAB5" w14:textId="77777777" w:rsidR="00C502DF" w:rsidRPr="00890D95" w:rsidRDefault="00C502DF" w:rsidP="00EF079B">
      <w:pPr>
        <w:spacing w:after="0" w:line="240" w:lineRule="auto"/>
        <w:ind w:left="720" w:hanging="720"/>
        <w:rPr>
          <w:rFonts w:ascii="Times New Roman" w:eastAsia="Times New Roman" w:hAnsi="Times New Roman" w:cs="Times New Roman"/>
          <w:sz w:val="24"/>
          <w:szCs w:val="24"/>
          <w:lang w:eastAsia="en-GB"/>
        </w:rPr>
      </w:pPr>
    </w:p>
    <w:p w14:paraId="238CEAC9" w14:textId="1C884C41"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Salovey, P., &amp; Mayer, J. D. (1990). Emotional intelligence. </w:t>
      </w:r>
      <w:r w:rsidRPr="00890D95">
        <w:rPr>
          <w:rFonts w:ascii="Times New Roman" w:eastAsia="Times New Roman" w:hAnsi="Times New Roman" w:cs="Times New Roman"/>
          <w:i/>
          <w:iCs/>
          <w:sz w:val="24"/>
          <w:szCs w:val="24"/>
          <w:lang w:eastAsia="en-GB"/>
        </w:rPr>
        <w:t>Imagination, Cognition and Personality</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9</w:t>
      </w:r>
      <w:r w:rsidRPr="00890D95">
        <w:rPr>
          <w:rFonts w:ascii="Times New Roman" w:eastAsia="Times New Roman" w:hAnsi="Times New Roman" w:cs="Times New Roman"/>
          <w:sz w:val="24"/>
          <w:szCs w:val="24"/>
          <w:lang w:eastAsia="en-GB"/>
        </w:rPr>
        <w:t xml:space="preserve">(3), 185–211. </w:t>
      </w:r>
      <w:proofErr w:type="spellStart"/>
      <w:r w:rsidRPr="00890D95">
        <w:rPr>
          <w:rFonts w:ascii="Times New Roman" w:eastAsia="Times New Roman" w:hAnsi="Times New Roman" w:cs="Times New Roman"/>
          <w:sz w:val="24"/>
          <w:szCs w:val="24"/>
          <w:lang w:eastAsia="en-GB"/>
        </w:rPr>
        <w:t>Sagepub</w:t>
      </w:r>
      <w:proofErr w:type="spellEnd"/>
      <w:r w:rsidRPr="00890D95">
        <w:rPr>
          <w:rFonts w:ascii="Times New Roman" w:eastAsia="Times New Roman" w:hAnsi="Times New Roman" w:cs="Times New Roman"/>
          <w:sz w:val="24"/>
          <w:szCs w:val="24"/>
          <w:lang w:eastAsia="en-GB"/>
        </w:rPr>
        <w:t xml:space="preserve">. </w:t>
      </w:r>
      <w:hyperlink r:id="rId34" w:history="1">
        <w:r w:rsidR="00982DF9" w:rsidRPr="00890D95">
          <w:rPr>
            <w:rStyle w:val="Hyperlink"/>
            <w:rFonts w:ascii="Times New Roman" w:eastAsia="Times New Roman" w:hAnsi="Times New Roman" w:cs="Times New Roman"/>
            <w:sz w:val="24"/>
            <w:szCs w:val="24"/>
            <w:lang w:eastAsia="en-GB"/>
          </w:rPr>
          <w:t>https://doi.org/https://doi.org/10.2190/DUGG-P24E-52WK-6CDG</w:t>
        </w:r>
      </w:hyperlink>
    </w:p>
    <w:p w14:paraId="540754A9" w14:textId="77777777" w:rsidR="00982DF9" w:rsidRPr="00890D95" w:rsidRDefault="00982DF9" w:rsidP="00EF079B">
      <w:pPr>
        <w:spacing w:after="0" w:line="240" w:lineRule="auto"/>
        <w:ind w:left="720" w:hanging="720"/>
        <w:rPr>
          <w:rFonts w:ascii="Times New Roman" w:eastAsia="Times New Roman" w:hAnsi="Times New Roman" w:cs="Times New Roman"/>
          <w:sz w:val="24"/>
          <w:szCs w:val="24"/>
          <w:lang w:eastAsia="en-GB"/>
        </w:rPr>
      </w:pPr>
    </w:p>
    <w:p w14:paraId="7017D83D" w14:textId="77777777"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Schein, E. H. (2010). </w:t>
      </w:r>
      <w:r w:rsidRPr="00890D95">
        <w:rPr>
          <w:rFonts w:ascii="Times New Roman" w:eastAsia="Times New Roman" w:hAnsi="Times New Roman" w:cs="Times New Roman"/>
          <w:i/>
          <w:iCs/>
          <w:sz w:val="24"/>
          <w:szCs w:val="24"/>
          <w:lang w:eastAsia="en-GB"/>
        </w:rPr>
        <w:t>Organizational Culture and Leadership</w:t>
      </w:r>
      <w:r w:rsidRPr="00890D95">
        <w:rPr>
          <w:rFonts w:ascii="Times New Roman" w:eastAsia="Times New Roman" w:hAnsi="Times New Roman" w:cs="Times New Roman"/>
          <w:sz w:val="24"/>
          <w:szCs w:val="24"/>
          <w:lang w:eastAsia="en-GB"/>
        </w:rPr>
        <w:t xml:space="preserve"> (4th </w:t>
      </w:r>
      <w:proofErr w:type="spellStart"/>
      <w:r w:rsidRPr="00890D95">
        <w:rPr>
          <w:rFonts w:ascii="Times New Roman" w:eastAsia="Times New Roman" w:hAnsi="Times New Roman" w:cs="Times New Roman"/>
          <w:sz w:val="24"/>
          <w:szCs w:val="24"/>
          <w:lang w:eastAsia="en-GB"/>
        </w:rPr>
        <w:t>edn</w:t>
      </w:r>
      <w:proofErr w:type="spellEnd"/>
      <w:r w:rsidRPr="00890D95">
        <w:rPr>
          <w:rFonts w:ascii="Times New Roman" w:eastAsia="Times New Roman" w:hAnsi="Times New Roman" w:cs="Times New Roman"/>
          <w:sz w:val="24"/>
          <w:szCs w:val="24"/>
          <w:lang w:eastAsia="en-GB"/>
        </w:rPr>
        <w:t>). Jossey-Bass.</w:t>
      </w:r>
    </w:p>
    <w:p w14:paraId="467FE186" w14:textId="77777777" w:rsidR="00982DF9" w:rsidRPr="00890D95" w:rsidRDefault="00982DF9" w:rsidP="00EF079B">
      <w:pPr>
        <w:spacing w:after="0" w:line="240" w:lineRule="auto"/>
        <w:ind w:left="720" w:hanging="720"/>
        <w:rPr>
          <w:rFonts w:ascii="Times New Roman" w:eastAsia="Times New Roman" w:hAnsi="Times New Roman" w:cs="Times New Roman"/>
          <w:sz w:val="24"/>
          <w:szCs w:val="24"/>
          <w:lang w:eastAsia="en-GB"/>
        </w:rPr>
      </w:pPr>
    </w:p>
    <w:p w14:paraId="5DCF9757" w14:textId="1F51EAB3"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Schein, E. H. (2026). </w:t>
      </w:r>
      <w:r w:rsidRPr="00890D95">
        <w:rPr>
          <w:rFonts w:ascii="Times New Roman" w:eastAsia="Times New Roman" w:hAnsi="Times New Roman" w:cs="Times New Roman"/>
          <w:i/>
          <w:iCs/>
          <w:sz w:val="24"/>
          <w:szCs w:val="24"/>
          <w:lang w:eastAsia="en-GB"/>
        </w:rPr>
        <w:t>Organizational Culture and Leadership</w:t>
      </w:r>
      <w:r w:rsidRPr="00890D95">
        <w:rPr>
          <w:rFonts w:ascii="Times New Roman" w:eastAsia="Times New Roman" w:hAnsi="Times New Roman" w:cs="Times New Roman"/>
          <w:sz w:val="24"/>
          <w:szCs w:val="24"/>
          <w:lang w:eastAsia="en-GB"/>
        </w:rPr>
        <w:t xml:space="preserve">. Google Books. </w:t>
      </w:r>
      <w:hyperlink r:id="rId35" w:history="1">
        <w:r w:rsidR="00982DF9" w:rsidRPr="00890D95">
          <w:rPr>
            <w:rStyle w:val="Hyperlink"/>
            <w:rFonts w:ascii="Times New Roman" w:eastAsia="Times New Roman" w:hAnsi="Times New Roman" w:cs="Times New Roman"/>
            <w:sz w:val="24"/>
            <w:szCs w:val="24"/>
            <w:lang w:eastAsia="en-GB"/>
          </w:rPr>
          <w:t>https://books.google.com/books?id=DlGhlT34jCUC</w:t>
        </w:r>
      </w:hyperlink>
    </w:p>
    <w:p w14:paraId="7C5D1A12" w14:textId="77777777" w:rsidR="00982DF9" w:rsidRPr="00890D95" w:rsidRDefault="00982DF9" w:rsidP="00EF079B">
      <w:pPr>
        <w:spacing w:after="0" w:line="240" w:lineRule="auto"/>
        <w:ind w:left="720" w:hanging="720"/>
        <w:rPr>
          <w:rFonts w:ascii="Times New Roman" w:eastAsia="Times New Roman" w:hAnsi="Times New Roman" w:cs="Times New Roman"/>
          <w:sz w:val="24"/>
          <w:szCs w:val="24"/>
          <w:lang w:eastAsia="en-GB"/>
        </w:rPr>
      </w:pPr>
    </w:p>
    <w:p w14:paraId="7FEDD61E" w14:textId="42A02242"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Starling Bank. (2019). </w:t>
      </w:r>
      <w:r w:rsidRPr="00890D95">
        <w:rPr>
          <w:rFonts w:ascii="Times New Roman" w:eastAsia="Times New Roman" w:hAnsi="Times New Roman" w:cs="Times New Roman"/>
          <w:i/>
          <w:iCs/>
          <w:sz w:val="24"/>
          <w:szCs w:val="24"/>
          <w:lang w:eastAsia="en-GB"/>
        </w:rPr>
        <w:t>About starling - our journey to becoming a new mobile bank - Starling Bank</w:t>
      </w:r>
      <w:r w:rsidRPr="00890D95">
        <w:rPr>
          <w:rFonts w:ascii="Times New Roman" w:eastAsia="Times New Roman" w:hAnsi="Times New Roman" w:cs="Times New Roman"/>
          <w:sz w:val="24"/>
          <w:szCs w:val="24"/>
          <w:lang w:eastAsia="en-GB"/>
        </w:rPr>
        <w:t xml:space="preserve">. Starling Bank. </w:t>
      </w:r>
      <w:hyperlink r:id="rId36" w:history="1">
        <w:r w:rsidR="00982DF9" w:rsidRPr="00890D95">
          <w:rPr>
            <w:rStyle w:val="Hyperlink"/>
            <w:rFonts w:ascii="Times New Roman" w:eastAsia="Times New Roman" w:hAnsi="Times New Roman" w:cs="Times New Roman"/>
            <w:sz w:val="24"/>
            <w:szCs w:val="24"/>
            <w:lang w:eastAsia="en-GB"/>
          </w:rPr>
          <w:t>https://www.starlingbank.com/about/</w:t>
        </w:r>
      </w:hyperlink>
    </w:p>
    <w:p w14:paraId="05D8D349" w14:textId="77777777" w:rsidR="00982DF9" w:rsidRPr="00890D95" w:rsidRDefault="00982DF9" w:rsidP="00AD5F94">
      <w:pPr>
        <w:spacing w:after="0" w:line="240" w:lineRule="auto"/>
        <w:rPr>
          <w:rFonts w:ascii="Times New Roman" w:eastAsia="Times New Roman" w:hAnsi="Times New Roman" w:cs="Times New Roman"/>
          <w:sz w:val="24"/>
          <w:szCs w:val="24"/>
          <w:lang w:eastAsia="en-GB"/>
        </w:rPr>
      </w:pPr>
    </w:p>
    <w:p w14:paraId="623C4438" w14:textId="3E947A7C"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Teece, D. J., Pisano, G., &amp; </w:t>
      </w:r>
      <w:proofErr w:type="spellStart"/>
      <w:r w:rsidRPr="00890D95">
        <w:rPr>
          <w:rFonts w:ascii="Times New Roman" w:eastAsia="Times New Roman" w:hAnsi="Times New Roman" w:cs="Times New Roman"/>
          <w:sz w:val="24"/>
          <w:szCs w:val="24"/>
          <w:lang w:eastAsia="en-GB"/>
        </w:rPr>
        <w:t>Shuen</w:t>
      </w:r>
      <w:proofErr w:type="spellEnd"/>
      <w:r w:rsidRPr="00890D95">
        <w:rPr>
          <w:rFonts w:ascii="Times New Roman" w:eastAsia="Times New Roman" w:hAnsi="Times New Roman" w:cs="Times New Roman"/>
          <w:sz w:val="24"/>
          <w:szCs w:val="24"/>
          <w:lang w:eastAsia="en-GB"/>
        </w:rPr>
        <w:t xml:space="preserve">, A. (1997). Dynamic capabilities and strategic management. </w:t>
      </w:r>
      <w:r w:rsidRPr="00890D95">
        <w:rPr>
          <w:rFonts w:ascii="Times New Roman" w:eastAsia="Times New Roman" w:hAnsi="Times New Roman" w:cs="Times New Roman"/>
          <w:i/>
          <w:iCs/>
          <w:sz w:val="24"/>
          <w:szCs w:val="24"/>
          <w:lang w:eastAsia="en-GB"/>
        </w:rPr>
        <w:t>Strategic Management Journal</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18</w:t>
      </w:r>
      <w:r w:rsidRPr="00890D95">
        <w:rPr>
          <w:rFonts w:ascii="Times New Roman" w:eastAsia="Times New Roman" w:hAnsi="Times New Roman" w:cs="Times New Roman"/>
          <w:sz w:val="24"/>
          <w:szCs w:val="24"/>
          <w:lang w:eastAsia="en-GB"/>
        </w:rPr>
        <w:t xml:space="preserve">(7), 509–533. </w:t>
      </w:r>
      <w:hyperlink r:id="rId37" w:history="1">
        <w:r w:rsidR="00982DF9" w:rsidRPr="00890D95">
          <w:rPr>
            <w:rStyle w:val="Hyperlink"/>
            <w:rFonts w:ascii="Times New Roman" w:eastAsia="Times New Roman" w:hAnsi="Times New Roman" w:cs="Times New Roman"/>
            <w:sz w:val="24"/>
            <w:szCs w:val="24"/>
            <w:lang w:eastAsia="en-GB"/>
          </w:rPr>
          <w:t>https://doi.org/10.1002/(SICI)1097-0266(199708)18:7</w:t>
        </w:r>
      </w:hyperlink>
    </w:p>
    <w:p w14:paraId="3B01B42B" w14:textId="77777777" w:rsidR="00982DF9" w:rsidRPr="00890D95" w:rsidRDefault="00982DF9" w:rsidP="00EF079B">
      <w:pPr>
        <w:spacing w:after="0" w:line="240" w:lineRule="auto"/>
        <w:ind w:left="720" w:hanging="720"/>
        <w:rPr>
          <w:rFonts w:ascii="Times New Roman" w:eastAsia="Times New Roman" w:hAnsi="Times New Roman" w:cs="Times New Roman"/>
          <w:sz w:val="24"/>
          <w:szCs w:val="24"/>
          <w:lang w:eastAsia="en-GB"/>
        </w:rPr>
      </w:pPr>
    </w:p>
    <w:p w14:paraId="3D11F3FB" w14:textId="231CED3C"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i/>
          <w:iCs/>
          <w:sz w:val="24"/>
          <w:szCs w:val="24"/>
          <w:lang w:eastAsia="en-GB"/>
        </w:rPr>
        <w:t>The money laundering, terrorist financing and transfer of funds (information on the payer) regulations 2017</w:t>
      </w:r>
      <w:r w:rsidRPr="00890D95">
        <w:rPr>
          <w:rFonts w:ascii="Times New Roman" w:eastAsia="Times New Roman" w:hAnsi="Times New Roman" w:cs="Times New Roman"/>
          <w:sz w:val="24"/>
          <w:szCs w:val="24"/>
          <w:lang w:eastAsia="en-GB"/>
        </w:rPr>
        <w:t xml:space="preserve">. (2017). Legislation.Gov.Uk. </w:t>
      </w:r>
      <w:hyperlink r:id="rId38" w:history="1">
        <w:r w:rsidR="00ED6979" w:rsidRPr="00890D95">
          <w:rPr>
            <w:rStyle w:val="Hyperlink"/>
            <w:rFonts w:ascii="Times New Roman" w:eastAsia="Times New Roman" w:hAnsi="Times New Roman" w:cs="Times New Roman"/>
            <w:sz w:val="24"/>
            <w:szCs w:val="24"/>
            <w:lang w:eastAsia="en-GB"/>
          </w:rPr>
          <w:t>https://www.legislation.gov.uk/uksi/2017/692/regulation/28</w:t>
        </w:r>
      </w:hyperlink>
    </w:p>
    <w:p w14:paraId="1BEF05BA" w14:textId="77777777" w:rsidR="00ED6979" w:rsidRPr="00890D95" w:rsidRDefault="00ED6979" w:rsidP="00EF079B">
      <w:pPr>
        <w:spacing w:after="0" w:line="240" w:lineRule="auto"/>
        <w:ind w:left="720" w:hanging="720"/>
        <w:rPr>
          <w:rFonts w:ascii="Times New Roman" w:eastAsia="Times New Roman" w:hAnsi="Times New Roman" w:cs="Times New Roman"/>
          <w:sz w:val="24"/>
          <w:szCs w:val="24"/>
          <w:lang w:eastAsia="en-GB"/>
        </w:rPr>
      </w:pPr>
    </w:p>
    <w:p w14:paraId="74C9C3A4" w14:textId="3A4F0966"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Van de Ven, A., &amp; Poole, M. S. (1995). Explaining Development and Change in Organizations. </w:t>
      </w:r>
      <w:r w:rsidRPr="00890D95">
        <w:rPr>
          <w:rFonts w:ascii="Times New Roman" w:eastAsia="Times New Roman" w:hAnsi="Times New Roman" w:cs="Times New Roman"/>
          <w:i/>
          <w:iCs/>
          <w:sz w:val="24"/>
          <w:szCs w:val="24"/>
          <w:lang w:eastAsia="en-GB"/>
        </w:rPr>
        <w:t>The Academy of Management Review</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20</w:t>
      </w:r>
      <w:r w:rsidRPr="00890D95">
        <w:rPr>
          <w:rFonts w:ascii="Times New Roman" w:eastAsia="Times New Roman" w:hAnsi="Times New Roman" w:cs="Times New Roman"/>
          <w:sz w:val="24"/>
          <w:szCs w:val="24"/>
          <w:lang w:eastAsia="en-GB"/>
        </w:rPr>
        <w:t xml:space="preserve">(3), 510–540. JSTOR. </w:t>
      </w:r>
      <w:hyperlink r:id="rId39" w:history="1">
        <w:r w:rsidR="00ED6979" w:rsidRPr="00890D95">
          <w:rPr>
            <w:rStyle w:val="Hyperlink"/>
            <w:rFonts w:ascii="Times New Roman" w:eastAsia="Times New Roman" w:hAnsi="Times New Roman" w:cs="Times New Roman"/>
            <w:sz w:val="24"/>
            <w:szCs w:val="24"/>
            <w:lang w:eastAsia="en-GB"/>
          </w:rPr>
          <w:t>https://doi.org/10.2307/258786</w:t>
        </w:r>
      </w:hyperlink>
    </w:p>
    <w:p w14:paraId="6ACD361D" w14:textId="77777777" w:rsidR="00ED6979" w:rsidRPr="00890D95" w:rsidRDefault="00ED6979" w:rsidP="00EF079B">
      <w:pPr>
        <w:spacing w:after="0" w:line="240" w:lineRule="auto"/>
        <w:ind w:left="720" w:hanging="720"/>
        <w:rPr>
          <w:rFonts w:ascii="Times New Roman" w:eastAsia="Times New Roman" w:hAnsi="Times New Roman" w:cs="Times New Roman"/>
          <w:sz w:val="24"/>
          <w:szCs w:val="24"/>
          <w:lang w:eastAsia="en-GB"/>
        </w:rPr>
      </w:pPr>
    </w:p>
    <w:p w14:paraId="7B635426" w14:textId="33E08C57"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Visual Paradigm. (2024). </w:t>
      </w:r>
      <w:proofErr w:type="spellStart"/>
      <w:r w:rsidRPr="00890D95">
        <w:rPr>
          <w:rFonts w:ascii="Times New Roman" w:eastAsia="Times New Roman" w:hAnsi="Times New Roman" w:cs="Times New Roman"/>
          <w:i/>
          <w:iCs/>
          <w:sz w:val="24"/>
          <w:szCs w:val="24"/>
          <w:lang w:eastAsia="en-GB"/>
        </w:rPr>
        <w:t>Lewins</w:t>
      </w:r>
      <w:proofErr w:type="spellEnd"/>
      <w:r w:rsidRPr="00890D95">
        <w:rPr>
          <w:rFonts w:ascii="Times New Roman" w:eastAsia="Times New Roman" w:hAnsi="Times New Roman" w:cs="Times New Roman"/>
          <w:i/>
          <w:iCs/>
          <w:sz w:val="24"/>
          <w:szCs w:val="24"/>
          <w:lang w:eastAsia="en-GB"/>
        </w:rPr>
        <w:t xml:space="preserve"> Change Model Templates</w:t>
      </w:r>
      <w:r w:rsidRPr="00890D95">
        <w:rPr>
          <w:rFonts w:ascii="Times New Roman" w:eastAsia="Times New Roman" w:hAnsi="Times New Roman" w:cs="Times New Roman"/>
          <w:sz w:val="24"/>
          <w:szCs w:val="24"/>
          <w:lang w:eastAsia="en-GB"/>
        </w:rPr>
        <w:t xml:space="preserve">. Online.Visual-Paradigm.Com. </w:t>
      </w:r>
      <w:hyperlink r:id="rId40" w:history="1">
        <w:r w:rsidR="00ED6979" w:rsidRPr="00890D95">
          <w:rPr>
            <w:rStyle w:val="Hyperlink"/>
            <w:rFonts w:ascii="Times New Roman" w:eastAsia="Times New Roman" w:hAnsi="Times New Roman" w:cs="Times New Roman"/>
            <w:sz w:val="24"/>
            <w:szCs w:val="24"/>
            <w:lang w:eastAsia="en-GB"/>
          </w:rPr>
          <w:t>https://online.visual-paradigm.com/diagrams/templates/lewins-change-model/</w:t>
        </w:r>
      </w:hyperlink>
    </w:p>
    <w:p w14:paraId="31970697" w14:textId="77777777" w:rsidR="00ED6979" w:rsidRPr="00890D95" w:rsidRDefault="00ED6979" w:rsidP="00EF079B">
      <w:pPr>
        <w:spacing w:after="0" w:line="240" w:lineRule="auto"/>
        <w:ind w:left="720" w:hanging="720"/>
        <w:rPr>
          <w:rFonts w:ascii="Times New Roman" w:eastAsia="Times New Roman" w:hAnsi="Times New Roman" w:cs="Times New Roman"/>
          <w:sz w:val="24"/>
          <w:szCs w:val="24"/>
          <w:lang w:eastAsia="en-GB"/>
        </w:rPr>
      </w:pPr>
    </w:p>
    <w:p w14:paraId="2CA03376" w14:textId="751A2942" w:rsidR="00890D95" w:rsidRDefault="00890D95" w:rsidP="00EF079B">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WRIGHT, G. (1997). Leading change by John P. Kotter. Boston: Harvard Business School Press, 1996</w:t>
      </w:r>
      <w:proofErr w:type="gramStart"/>
      <w:r w:rsidRPr="00890D95">
        <w:rPr>
          <w:rFonts w:ascii="Times New Roman" w:eastAsia="Times New Roman" w:hAnsi="Times New Roman" w:cs="Times New Roman"/>
          <w:sz w:val="24"/>
          <w:szCs w:val="24"/>
          <w:lang w:eastAsia="en-GB"/>
        </w:rPr>
        <w:t>. .</w:t>
      </w:r>
      <w:proofErr w:type="gramEnd"/>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Journal of Product Innovation Management</w:t>
      </w:r>
      <w:r w:rsidRPr="00890D95">
        <w:rPr>
          <w:rFonts w:ascii="Times New Roman" w:eastAsia="Times New Roman" w:hAnsi="Times New Roman" w:cs="Times New Roman"/>
          <w:sz w:val="24"/>
          <w:szCs w:val="24"/>
          <w:lang w:eastAsia="en-GB"/>
        </w:rPr>
        <w:t xml:space="preserve">, </w:t>
      </w:r>
      <w:r w:rsidRPr="00890D95">
        <w:rPr>
          <w:rFonts w:ascii="Times New Roman" w:eastAsia="Times New Roman" w:hAnsi="Times New Roman" w:cs="Times New Roman"/>
          <w:i/>
          <w:iCs/>
          <w:sz w:val="24"/>
          <w:szCs w:val="24"/>
          <w:lang w:eastAsia="en-GB"/>
        </w:rPr>
        <w:t>14</w:t>
      </w:r>
      <w:r w:rsidRPr="00890D95">
        <w:rPr>
          <w:rFonts w:ascii="Times New Roman" w:eastAsia="Times New Roman" w:hAnsi="Times New Roman" w:cs="Times New Roman"/>
          <w:sz w:val="24"/>
          <w:szCs w:val="24"/>
          <w:lang w:eastAsia="en-GB"/>
        </w:rPr>
        <w:t xml:space="preserve">(6), 532. </w:t>
      </w:r>
      <w:hyperlink r:id="rId41" w:history="1">
        <w:r w:rsidRPr="00890D95">
          <w:rPr>
            <w:rStyle w:val="Hyperlink"/>
            <w:rFonts w:ascii="Times New Roman" w:eastAsia="Times New Roman" w:hAnsi="Times New Roman" w:cs="Times New Roman"/>
            <w:sz w:val="24"/>
            <w:szCs w:val="24"/>
            <w:lang w:eastAsia="en-GB"/>
          </w:rPr>
          <w:t>https://doi.org/10.1016/s0737-6782(97)90048-5</w:t>
        </w:r>
      </w:hyperlink>
    </w:p>
    <w:p w14:paraId="292B26AA" w14:textId="77777777" w:rsidR="00890D95" w:rsidRPr="00890D95" w:rsidRDefault="00890D95" w:rsidP="00EF079B">
      <w:pPr>
        <w:spacing w:after="0" w:line="240" w:lineRule="auto"/>
        <w:ind w:left="720" w:hanging="720"/>
        <w:rPr>
          <w:rFonts w:ascii="Times New Roman" w:eastAsia="Times New Roman" w:hAnsi="Times New Roman" w:cs="Times New Roman"/>
          <w:sz w:val="24"/>
          <w:szCs w:val="24"/>
          <w:lang w:eastAsia="en-GB"/>
        </w:rPr>
      </w:pPr>
    </w:p>
    <w:p w14:paraId="393BCD67" w14:textId="7CBCFB2C" w:rsidR="00EF4B4D" w:rsidRDefault="0030173B" w:rsidP="004C11DF">
      <w:pPr>
        <w:spacing w:line="240" w:lineRule="auto"/>
        <w:rPr>
          <w:rFonts w:ascii="Arial" w:hAnsi="Arial" w:cs="Arial"/>
          <w:sz w:val="24"/>
          <w:szCs w:val="24"/>
        </w:rPr>
      </w:pPr>
      <w:r w:rsidRPr="00F4439F">
        <w:rPr>
          <w:rFonts w:ascii="Arial" w:hAnsi="Arial" w:cs="Arial"/>
          <w:sz w:val="24"/>
          <w:szCs w:val="24"/>
        </w:rPr>
        <w:br w:type="page"/>
      </w:r>
    </w:p>
    <w:p w14:paraId="2F1BBFB0" w14:textId="77777777" w:rsidR="00EF4B4D" w:rsidRPr="00F4439F" w:rsidRDefault="00EF4B4D" w:rsidP="004C11DF">
      <w:pPr>
        <w:spacing w:line="240" w:lineRule="auto"/>
        <w:rPr>
          <w:rFonts w:ascii="Arial" w:hAnsi="Arial" w:cs="Arial"/>
          <w:sz w:val="24"/>
          <w:szCs w:val="24"/>
        </w:rPr>
      </w:pPr>
    </w:p>
    <w:p w14:paraId="3B28B415" w14:textId="77777777" w:rsidR="0030173B" w:rsidRDefault="0030173B" w:rsidP="003F69D6"/>
    <w:p w14:paraId="52CE686E" w14:textId="580EB975" w:rsidR="003F69D6" w:rsidRDefault="003F69D6" w:rsidP="002049FE">
      <w:pPr>
        <w:pStyle w:val="Heading2"/>
      </w:pPr>
      <w:r>
        <w:t xml:space="preserve"> </w:t>
      </w:r>
      <w:bookmarkStart w:id="8" w:name="_Toc242640013"/>
      <w:r w:rsidR="002049FE">
        <w:t xml:space="preserve">Appendix </w:t>
      </w:r>
      <w:r w:rsidR="00E2172F">
        <w:t>A</w:t>
      </w:r>
      <w:r w:rsidR="003565DD">
        <w:t>. Pestle An</w:t>
      </w:r>
      <w:r w:rsidR="00C6369E">
        <w:t>alysis</w:t>
      </w:r>
      <w:bookmarkEnd w:id="8"/>
    </w:p>
    <w:p w14:paraId="4C963199" w14:textId="77777777" w:rsidR="0064368A" w:rsidRDefault="0064368A" w:rsidP="0064368A"/>
    <w:tbl>
      <w:tblPr>
        <w:tblStyle w:val="TableGrid2"/>
        <w:tblW w:w="0" w:type="auto"/>
        <w:jc w:val="center"/>
        <w:tblLayout w:type="fixed"/>
        <w:tblLook w:val="04A0" w:firstRow="1" w:lastRow="0" w:firstColumn="1" w:lastColumn="0" w:noHBand="0" w:noVBand="1"/>
      </w:tblPr>
      <w:tblGrid>
        <w:gridCol w:w="893"/>
        <w:gridCol w:w="1512"/>
        <w:gridCol w:w="1555"/>
        <w:gridCol w:w="1368"/>
        <w:gridCol w:w="1512"/>
        <w:gridCol w:w="1843"/>
        <w:gridCol w:w="1613"/>
      </w:tblGrid>
      <w:tr w:rsidR="000420B8" w:rsidRPr="000420B8" w14:paraId="27CCEF93" w14:textId="77777777" w:rsidTr="002978CC">
        <w:trPr>
          <w:tblHeader/>
          <w:jc w:val="center"/>
        </w:trPr>
        <w:tc>
          <w:tcPr>
            <w:tcW w:w="893" w:type="dxa"/>
            <w:shd w:val="clear" w:color="auto" w:fill="243B53"/>
            <w:vAlign w:val="center"/>
          </w:tcPr>
          <w:p w14:paraId="3F087538"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Factor</w:t>
            </w:r>
          </w:p>
        </w:tc>
        <w:tc>
          <w:tcPr>
            <w:tcW w:w="1512" w:type="dxa"/>
            <w:shd w:val="clear" w:color="auto" w:fill="243B53"/>
            <w:vAlign w:val="center"/>
          </w:tcPr>
          <w:p w14:paraId="4285C4E1"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External force / trend</w:t>
            </w:r>
          </w:p>
        </w:tc>
        <w:tc>
          <w:tcPr>
            <w:tcW w:w="1555" w:type="dxa"/>
            <w:shd w:val="clear" w:color="auto" w:fill="243B53"/>
            <w:vAlign w:val="center"/>
          </w:tcPr>
          <w:p w14:paraId="20DEB5EB"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Potential impact on Starling Bank</w:t>
            </w:r>
          </w:p>
        </w:tc>
        <w:tc>
          <w:tcPr>
            <w:tcW w:w="1368" w:type="dxa"/>
            <w:shd w:val="clear" w:color="auto" w:fill="243B53"/>
            <w:vAlign w:val="center"/>
          </w:tcPr>
          <w:p w14:paraId="1AF5CB78"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Impact on workplace culture</w:t>
            </w:r>
          </w:p>
        </w:tc>
        <w:tc>
          <w:tcPr>
            <w:tcW w:w="1512" w:type="dxa"/>
            <w:shd w:val="clear" w:color="auto" w:fill="243B53"/>
            <w:vAlign w:val="center"/>
          </w:tcPr>
          <w:p w14:paraId="628B7EED"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 xml:space="preserve">Impact on </w:t>
            </w:r>
            <w:proofErr w:type="spellStart"/>
            <w:r w:rsidRPr="000420B8">
              <w:rPr>
                <w:rFonts w:ascii="Arial" w:hAnsi="Arial" w:cs="Times New Roman"/>
                <w:b/>
                <w:color w:val="FFFFFF"/>
                <w:sz w:val="12"/>
              </w:rPr>
              <w:t>organisational</w:t>
            </w:r>
            <w:proofErr w:type="spellEnd"/>
            <w:r w:rsidRPr="000420B8">
              <w:rPr>
                <w:rFonts w:ascii="Arial" w:hAnsi="Arial" w:cs="Times New Roman"/>
                <w:b/>
                <w:color w:val="FFFFFF"/>
                <w:sz w:val="12"/>
              </w:rPr>
              <w:t xml:space="preserve"> capability</w:t>
            </w:r>
          </w:p>
        </w:tc>
        <w:tc>
          <w:tcPr>
            <w:tcW w:w="1843" w:type="dxa"/>
            <w:shd w:val="clear" w:color="auto" w:fill="243B53"/>
            <w:vAlign w:val="center"/>
          </w:tcPr>
          <w:p w14:paraId="1C913D1D"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Critical evaluation / workplace example to verify</w:t>
            </w:r>
          </w:p>
        </w:tc>
        <w:tc>
          <w:tcPr>
            <w:tcW w:w="1613" w:type="dxa"/>
            <w:shd w:val="clear" w:color="auto" w:fill="243B53"/>
            <w:vAlign w:val="center"/>
          </w:tcPr>
          <w:p w14:paraId="0AE25469" w14:textId="77777777" w:rsidR="000420B8" w:rsidRPr="000420B8" w:rsidRDefault="000420B8" w:rsidP="000420B8">
            <w:pPr>
              <w:rPr>
                <w:rFonts w:ascii="Arial" w:hAnsi="Arial" w:cs="Times New Roman"/>
                <w:sz w:val="16"/>
              </w:rPr>
            </w:pPr>
            <w:r w:rsidRPr="000420B8">
              <w:rPr>
                <w:rFonts w:ascii="Arial" w:hAnsi="Arial" w:cs="Times New Roman"/>
                <w:b/>
                <w:color w:val="FFFFFF"/>
                <w:sz w:val="12"/>
              </w:rPr>
              <w:t>Possible evidence / sources to consult</w:t>
            </w:r>
          </w:p>
        </w:tc>
      </w:tr>
      <w:tr w:rsidR="000420B8" w:rsidRPr="000420B8" w14:paraId="742EDC44" w14:textId="77777777" w:rsidTr="002978CC">
        <w:trPr>
          <w:jc w:val="center"/>
        </w:trPr>
        <w:tc>
          <w:tcPr>
            <w:tcW w:w="893" w:type="dxa"/>
            <w:shd w:val="clear" w:color="auto" w:fill="D9E2F3"/>
          </w:tcPr>
          <w:p w14:paraId="7C0FB36A"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b/>
                <w:sz w:val="14"/>
              </w:rPr>
              <w:t>Political</w:t>
            </w:r>
          </w:p>
        </w:tc>
        <w:tc>
          <w:tcPr>
            <w:tcW w:w="1512" w:type="dxa"/>
          </w:tcPr>
          <w:p w14:paraId="0162E19F"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UK government priorities around financial services, digital innovation, financial crime prevention and the competitiveness of the UK fintech sector.</w:t>
            </w:r>
          </w:p>
        </w:tc>
        <w:tc>
          <w:tcPr>
            <w:tcW w:w="1555" w:type="dxa"/>
          </w:tcPr>
          <w:p w14:paraId="49764AD5"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Policy priorities can shape the regulatory and commercial environment in which Starling operates and influence investment in secure digital onboarding.</w:t>
            </w:r>
          </w:p>
        </w:tc>
        <w:tc>
          <w:tcPr>
            <w:tcW w:w="1368" w:type="dxa"/>
          </w:tcPr>
          <w:p w14:paraId="5A219E74"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Employees may experience stronger emphasis on accountability, customer protection and adapting to changing priorities.</w:t>
            </w:r>
          </w:p>
        </w:tc>
        <w:tc>
          <w:tcPr>
            <w:tcW w:w="1512" w:type="dxa"/>
          </w:tcPr>
          <w:p w14:paraId="56C89B9C"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The bank may need adaptable processes, staff knowledge and coordination between onboarding, compliance, risk and technology teams.</w:t>
            </w:r>
          </w:p>
        </w:tc>
        <w:tc>
          <w:tcPr>
            <w:tcW w:w="1843" w:type="dxa"/>
          </w:tcPr>
          <w:p w14:paraId="690696D9" w14:textId="77777777" w:rsidR="000420B8" w:rsidRPr="000420B8" w:rsidRDefault="000420B8" w:rsidP="000420B8">
            <w:pPr>
              <w:spacing w:after="20" w:line="228" w:lineRule="auto"/>
              <w:rPr>
                <w:rFonts w:ascii="Arial" w:hAnsi="Arial" w:cs="Times New Roman"/>
                <w:sz w:val="16"/>
              </w:rPr>
            </w:pPr>
            <w:proofErr w:type="spellStart"/>
            <w:r w:rsidRPr="000420B8">
              <w:rPr>
                <w:rFonts w:ascii="Arial" w:hAnsi="Arial" w:cs="Times New Roman"/>
                <w:sz w:val="12"/>
              </w:rPr>
              <w:t>Digitalisation</w:t>
            </w:r>
            <w:proofErr w:type="spellEnd"/>
            <w:r w:rsidRPr="000420B8">
              <w:rPr>
                <w:rFonts w:ascii="Arial" w:hAnsi="Arial" w:cs="Times New Roman"/>
                <w:sz w:val="12"/>
              </w:rPr>
              <w:t xml:space="preserve"> can support service innovation, but policy ambitions do not remove the need for robust controls. Add a specific example only </w:t>
            </w:r>
            <w:proofErr w:type="gramStart"/>
            <w:r w:rsidRPr="000420B8">
              <w:rPr>
                <w:rFonts w:ascii="Arial" w:hAnsi="Arial" w:cs="Times New Roman"/>
                <w:sz w:val="12"/>
              </w:rPr>
              <w:t>where</w:t>
            </w:r>
            <w:proofErr w:type="gramEnd"/>
            <w:r w:rsidRPr="000420B8">
              <w:rPr>
                <w:rFonts w:ascii="Arial" w:hAnsi="Arial" w:cs="Times New Roman"/>
                <w:sz w:val="12"/>
              </w:rPr>
              <w:t xml:space="preserve"> supported by workplace experience or a reliable source.</w:t>
            </w:r>
          </w:p>
        </w:tc>
        <w:tc>
          <w:tcPr>
            <w:tcW w:w="1613" w:type="dxa"/>
          </w:tcPr>
          <w:p w14:paraId="3CD5E13E"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UK Government financial-services policy; HM Treasury publications; relevant FCA publications.</w:t>
            </w:r>
          </w:p>
        </w:tc>
      </w:tr>
      <w:tr w:rsidR="000420B8" w:rsidRPr="000420B8" w14:paraId="2E401657" w14:textId="77777777" w:rsidTr="002978CC">
        <w:trPr>
          <w:jc w:val="center"/>
        </w:trPr>
        <w:tc>
          <w:tcPr>
            <w:tcW w:w="893" w:type="dxa"/>
            <w:shd w:val="clear" w:color="auto" w:fill="D9E2F3"/>
          </w:tcPr>
          <w:p w14:paraId="44C50740"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b/>
                <w:sz w:val="14"/>
              </w:rPr>
              <w:t>Economic</w:t>
            </w:r>
          </w:p>
        </w:tc>
        <w:tc>
          <w:tcPr>
            <w:tcW w:w="1512" w:type="dxa"/>
          </w:tcPr>
          <w:p w14:paraId="55B4077A"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Pressure to improve productivity, manage operating costs and compete in a banking market where customers expect convenient digital services.</w:t>
            </w:r>
          </w:p>
        </w:tc>
        <w:tc>
          <w:tcPr>
            <w:tcW w:w="1555" w:type="dxa"/>
          </w:tcPr>
          <w:p w14:paraId="768FBC5E"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Automation may reduce repetitive manual work and support scalable onboarding, but implementation, maintenance, exception handling and assurance also carry costs.</w:t>
            </w:r>
          </w:p>
        </w:tc>
        <w:tc>
          <w:tcPr>
            <w:tcW w:w="1368" w:type="dxa"/>
          </w:tcPr>
          <w:p w14:paraId="033A5551"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Employees may welcome reduced repetitive work, but may also worry about productivity targets, changing responsibilities or job security.</w:t>
            </w:r>
          </w:p>
        </w:tc>
        <w:tc>
          <w:tcPr>
            <w:tcW w:w="1512" w:type="dxa"/>
          </w:tcPr>
          <w:p w14:paraId="6FE7BEF1"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The bank needs to assess the full costs and benefits of automation and ensure staff can handle complex or exceptional cases.</w:t>
            </w:r>
          </w:p>
        </w:tc>
        <w:tc>
          <w:tcPr>
            <w:tcW w:w="1843" w:type="dxa"/>
          </w:tcPr>
          <w:p w14:paraId="28951E70"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Efficiency gains should be weighed against false rejections, manual referrals, customer friction and the cost of correcting errors. Use actual local examples or metrics only if available.</w:t>
            </w:r>
          </w:p>
        </w:tc>
        <w:tc>
          <w:tcPr>
            <w:tcW w:w="1613" w:type="dxa"/>
          </w:tcPr>
          <w:p w14:paraId="7BBD750B"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Starling Bank annual report; Bank of England analysis; FCA publications; credible UK banking-sector research.</w:t>
            </w:r>
          </w:p>
        </w:tc>
      </w:tr>
      <w:tr w:rsidR="000420B8" w:rsidRPr="000420B8" w14:paraId="30775AA6" w14:textId="77777777" w:rsidTr="002978CC">
        <w:trPr>
          <w:jc w:val="center"/>
        </w:trPr>
        <w:tc>
          <w:tcPr>
            <w:tcW w:w="893" w:type="dxa"/>
            <w:shd w:val="clear" w:color="auto" w:fill="D9E2F3"/>
          </w:tcPr>
          <w:p w14:paraId="6BA5DE72"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b/>
                <w:sz w:val="14"/>
              </w:rPr>
              <w:t>Social</w:t>
            </w:r>
          </w:p>
        </w:tc>
        <w:tc>
          <w:tcPr>
            <w:tcW w:w="1512" w:type="dxa"/>
          </w:tcPr>
          <w:p w14:paraId="5553A942"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Customer expectations for fast, accessible and secure digital banking, alongside concerns about privacy, fairness, accessibility and human support.</w:t>
            </w:r>
          </w:p>
        </w:tc>
        <w:tc>
          <w:tcPr>
            <w:tcW w:w="1555" w:type="dxa"/>
          </w:tcPr>
          <w:p w14:paraId="05912DE9"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Identity verification needs to balance a smooth digital experience with appropriate safeguards and routes for customers whose cases cannot be resolved automatically.</w:t>
            </w:r>
          </w:p>
        </w:tc>
        <w:tc>
          <w:tcPr>
            <w:tcW w:w="1368" w:type="dxa"/>
          </w:tcPr>
          <w:p w14:paraId="2D9AEA75"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Employees may need to balance efficiency expectations with empathy, judgement and responsibility for customers experiencing onboarding difficulties.</w:t>
            </w:r>
          </w:p>
        </w:tc>
        <w:tc>
          <w:tcPr>
            <w:tcW w:w="1512" w:type="dxa"/>
          </w:tcPr>
          <w:p w14:paraId="2B2167CB"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Customer-service skills, clear communication, escalation procedures and support for diverse customer needs remain important even as automation increases.</w:t>
            </w:r>
          </w:p>
        </w:tc>
        <w:tc>
          <w:tcPr>
            <w:tcW w:w="1843" w:type="dxa"/>
          </w:tcPr>
          <w:p w14:paraId="3B978FB1"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A frictionless process for many customers may still create barriers for some. Consider how exceptions are handled and whether customers can obtain meaningful support.</w:t>
            </w:r>
          </w:p>
        </w:tc>
        <w:tc>
          <w:tcPr>
            <w:tcW w:w="1613" w:type="dxa"/>
          </w:tcPr>
          <w:p w14:paraId="407054F0"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FCA consumer research; Financial Ombudsman Service publications; credible research on digital inclusion and customer experience.</w:t>
            </w:r>
          </w:p>
        </w:tc>
      </w:tr>
      <w:tr w:rsidR="000420B8" w:rsidRPr="000420B8" w14:paraId="12C1E28F" w14:textId="77777777" w:rsidTr="002978CC">
        <w:trPr>
          <w:jc w:val="center"/>
        </w:trPr>
        <w:tc>
          <w:tcPr>
            <w:tcW w:w="893" w:type="dxa"/>
            <w:shd w:val="clear" w:color="auto" w:fill="D9E2F3"/>
          </w:tcPr>
          <w:p w14:paraId="6DDD5583"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b/>
                <w:sz w:val="14"/>
              </w:rPr>
              <w:t>Technological</w:t>
            </w:r>
          </w:p>
        </w:tc>
        <w:tc>
          <w:tcPr>
            <w:tcW w:w="1512" w:type="dxa"/>
          </w:tcPr>
          <w:p w14:paraId="5F26802B"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Advances in AI, automated document analysis, biometric checks, digital identity tools and the changing tactics used in identity fraud.</w:t>
            </w:r>
          </w:p>
        </w:tc>
        <w:tc>
          <w:tcPr>
            <w:tcW w:w="1555" w:type="dxa"/>
          </w:tcPr>
          <w:p w14:paraId="630FDBF1"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AI-supported verification may speed up routine checks and improve consistency, while creating risks involving errors, model limitations, data quality, cyber threats and over-reliance on automation.</w:t>
            </w:r>
          </w:p>
        </w:tc>
        <w:tc>
          <w:tcPr>
            <w:tcW w:w="1368" w:type="dxa"/>
          </w:tcPr>
          <w:p w14:paraId="7275A316"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Employees may need to build trust in new systems and adapt to changing responsibilities. Concerns may arise about transparency, monitoring or the future of some tasks.</w:t>
            </w:r>
          </w:p>
        </w:tc>
        <w:tc>
          <w:tcPr>
            <w:tcW w:w="1512" w:type="dxa"/>
          </w:tcPr>
          <w:p w14:paraId="25FE6A78"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The bank needs appropriate technical expertise, human oversight, exception handling, testing, monitoring and ongoing staff development.</w:t>
            </w:r>
          </w:p>
        </w:tc>
        <w:tc>
          <w:tcPr>
            <w:tcW w:w="1843" w:type="dxa"/>
          </w:tcPr>
          <w:p w14:paraId="2C475197"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 xml:space="preserve">Automation does not eliminate the need for human judgement. </w:t>
            </w:r>
            <w:proofErr w:type="spellStart"/>
            <w:r w:rsidRPr="000420B8">
              <w:rPr>
                <w:rFonts w:ascii="Arial" w:hAnsi="Arial" w:cs="Times New Roman"/>
                <w:sz w:val="12"/>
              </w:rPr>
              <w:t>Analyse</w:t>
            </w:r>
            <w:proofErr w:type="spellEnd"/>
            <w:r w:rsidRPr="000420B8">
              <w:rPr>
                <w:rFonts w:ascii="Arial" w:hAnsi="Arial" w:cs="Times New Roman"/>
                <w:sz w:val="12"/>
              </w:rPr>
              <w:t xml:space="preserve"> what happens when verification fails, produces an unclear result or requires escalation, using only processes you know or can evidence.</w:t>
            </w:r>
          </w:p>
        </w:tc>
        <w:tc>
          <w:tcPr>
            <w:tcW w:w="1613" w:type="dxa"/>
          </w:tcPr>
          <w:p w14:paraId="4711D915"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FCA and Bank of England publications on AI and operational resilience; National Cyber Security Centre guidance; Starling Bank disclosures where relevant.</w:t>
            </w:r>
          </w:p>
        </w:tc>
      </w:tr>
      <w:tr w:rsidR="000420B8" w:rsidRPr="000420B8" w14:paraId="03AB9423" w14:textId="77777777" w:rsidTr="002978CC">
        <w:trPr>
          <w:jc w:val="center"/>
        </w:trPr>
        <w:tc>
          <w:tcPr>
            <w:tcW w:w="893" w:type="dxa"/>
            <w:shd w:val="clear" w:color="auto" w:fill="D9E2F3"/>
          </w:tcPr>
          <w:p w14:paraId="331D38F4"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b/>
                <w:sz w:val="14"/>
              </w:rPr>
              <w:t>Legal</w:t>
            </w:r>
          </w:p>
        </w:tc>
        <w:tc>
          <w:tcPr>
            <w:tcW w:w="1512" w:type="dxa"/>
          </w:tcPr>
          <w:p w14:paraId="031EBA8B"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Obligations relating to anti-money laundering, customer due diligence, data protection, equality and fair treatment, and relevant financial-services regulation.</w:t>
            </w:r>
          </w:p>
        </w:tc>
        <w:tc>
          <w:tcPr>
            <w:tcW w:w="1555" w:type="dxa"/>
          </w:tcPr>
          <w:p w14:paraId="4CE70810"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Digital identity verification must operate within applicable legal and regulatory requirements. Accountability for customer due diligence cannot simply be delegated to an automated tool.</w:t>
            </w:r>
          </w:p>
        </w:tc>
        <w:tc>
          <w:tcPr>
            <w:tcW w:w="1368" w:type="dxa"/>
          </w:tcPr>
          <w:p w14:paraId="562D360A"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Employees need to understand control requirements, protect customer information and feel able to escalate unusual cases or possible errors.</w:t>
            </w:r>
          </w:p>
        </w:tc>
        <w:tc>
          <w:tcPr>
            <w:tcW w:w="1512" w:type="dxa"/>
          </w:tcPr>
          <w:p w14:paraId="1F7F0184"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Training, audit trails, access controls, documented procedures, quality assurance and clear accountability are essential.</w:t>
            </w:r>
          </w:p>
        </w:tc>
        <w:tc>
          <w:tcPr>
            <w:tcW w:w="1843" w:type="dxa"/>
          </w:tcPr>
          <w:p w14:paraId="6669DD4C"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Automation can support compliance but may introduce new risks if controls are poorly designed or employees do not understand when to intervene. Verify legal claims against current official guidance.</w:t>
            </w:r>
          </w:p>
        </w:tc>
        <w:tc>
          <w:tcPr>
            <w:tcW w:w="1613" w:type="dxa"/>
          </w:tcPr>
          <w:p w14:paraId="065B9D3B"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FCA Handbook; UK legislation and official guidance on money laundering and data protection; Information Commissioner's Office guidance.</w:t>
            </w:r>
          </w:p>
        </w:tc>
      </w:tr>
      <w:tr w:rsidR="000420B8" w:rsidRPr="000420B8" w14:paraId="6DD7135A" w14:textId="77777777" w:rsidTr="002978CC">
        <w:trPr>
          <w:jc w:val="center"/>
        </w:trPr>
        <w:tc>
          <w:tcPr>
            <w:tcW w:w="893" w:type="dxa"/>
            <w:shd w:val="clear" w:color="auto" w:fill="D9E2F3"/>
          </w:tcPr>
          <w:p w14:paraId="685EC2ED"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b/>
                <w:sz w:val="14"/>
              </w:rPr>
              <w:t>Environmental</w:t>
            </w:r>
          </w:p>
        </w:tc>
        <w:tc>
          <w:tcPr>
            <w:tcW w:w="1512" w:type="dxa"/>
          </w:tcPr>
          <w:p w14:paraId="1668F17D"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Pressure to reduce resource use and environmental impacts, alongside the energy and infrastructure demands of digital services.</w:t>
            </w:r>
          </w:p>
        </w:tc>
        <w:tc>
          <w:tcPr>
            <w:tcW w:w="1555" w:type="dxa"/>
          </w:tcPr>
          <w:p w14:paraId="530517C2"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Digital onboarding may reduce paper handling and physical document processing, although digital infrastructure also consumes energy and resources.</w:t>
            </w:r>
          </w:p>
        </w:tc>
        <w:tc>
          <w:tcPr>
            <w:tcW w:w="1368" w:type="dxa"/>
          </w:tcPr>
          <w:p w14:paraId="056D5508"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Digital-first working may reinforce a culture of process innovation, but environmental benefits should not be assumed without evidence.</w:t>
            </w:r>
          </w:p>
        </w:tc>
        <w:tc>
          <w:tcPr>
            <w:tcW w:w="1512" w:type="dxa"/>
          </w:tcPr>
          <w:p w14:paraId="4E63C86E"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The bank may need to measure resource use and assess environmental impacts alongside efficiency, resilience and service quality.</w:t>
            </w:r>
          </w:p>
        </w:tc>
        <w:tc>
          <w:tcPr>
            <w:tcW w:w="1843" w:type="dxa"/>
          </w:tcPr>
          <w:p w14:paraId="650D0A76"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Paper reduction alone does not establish a net environmental benefit. Compare measurable changes where data exists and avoid claiming that AI verification is environmentally superior without evidence.</w:t>
            </w:r>
          </w:p>
        </w:tc>
        <w:tc>
          <w:tcPr>
            <w:tcW w:w="1613" w:type="dxa"/>
          </w:tcPr>
          <w:p w14:paraId="40573D4A" w14:textId="77777777" w:rsidR="000420B8" w:rsidRPr="000420B8" w:rsidRDefault="000420B8" w:rsidP="000420B8">
            <w:pPr>
              <w:spacing w:after="20" w:line="228" w:lineRule="auto"/>
              <w:rPr>
                <w:rFonts w:ascii="Arial" w:hAnsi="Arial" w:cs="Times New Roman"/>
                <w:sz w:val="16"/>
              </w:rPr>
            </w:pPr>
            <w:r w:rsidRPr="000420B8">
              <w:rPr>
                <w:rFonts w:ascii="Arial" w:hAnsi="Arial" w:cs="Times New Roman"/>
                <w:sz w:val="12"/>
              </w:rPr>
              <w:t>Starling Bank sustainability or annual reporting; relevant environmental disclosures; credible research on digital infrastructure impacts.</w:t>
            </w:r>
          </w:p>
        </w:tc>
      </w:tr>
    </w:tbl>
    <w:p w14:paraId="46D440E6" w14:textId="77777777" w:rsidR="0064368A" w:rsidRDefault="0064368A" w:rsidP="0064368A"/>
    <w:p w14:paraId="78EC7D16" w14:textId="77777777" w:rsidR="00A6146F" w:rsidRPr="00A6146F" w:rsidRDefault="00A6146F" w:rsidP="00A6146F">
      <w:r w:rsidRPr="00A6146F">
        <w:t xml:space="preserve">Bordia, P., </w:t>
      </w:r>
      <w:proofErr w:type="spellStart"/>
      <w:r w:rsidRPr="00A6146F">
        <w:t>Hobman</w:t>
      </w:r>
      <w:proofErr w:type="spellEnd"/>
      <w:r w:rsidRPr="00A6146F">
        <w:t xml:space="preserve">, E., Jones, E., </w:t>
      </w:r>
      <w:proofErr w:type="spellStart"/>
      <w:r w:rsidRPr="00A6146F">
        <w:t>Gallois</w:t>
      </w:r>
      <w:proofErr w:type="spellEnd"/>
      <w:r w:rsidRPr="00A6146F">
        <w:t xml:space="preserve">, C., &amp; Callan, V. J. (2004). Uncertainty during organizational change: Types, consequences, and management strategies. </w:t>
      </w:r>
      <w:r w:rsidRPr="00A6146F">
        <w:rPr>
          <w:i/>
          <w:iCs/>
        </w:rPr>
        <w:t>Journal of Business and Psychology, 18</w:t>
      </w:r>
      <w:r w:rsidRPr="00A6146F">
        <w:t xml:space="preserve">(4), 507–532. </w:t>
      </w:r>
      <w:hyperlink r:id="rId42" w:history="1">
        <w:r w:rsidRPr="00A6146F">
          <w:rPr>
            <w:rStyle w:val="Hyperlink"/>
          </w:rPr>
          <w:t>https://doi.org/10.1023/B:JOBU.0000028449.99127.f7</w:t>
        </w:r>
      </w:hyperlink>
    </w:p>
    <w:p w14:paraId="2387A1B7" w14:textId="77777777" w:rsidR="00A6146F" w:rsidRPr="00A6146F" w:rsidRDefault="00A6146F" w:rsidP="00A6146F">
      <w:proofErr w:type="spellStart"/>
      <w:r w:rsidRPr="00A6146F">
        <w:t>Raisch</w:t>
      </w:r>
      <w:proofErr w:type="spellEnd"/>
      <w:r w:rsidRPr="00A6146F">
        <w:t xml:space="preserve">, S., &amp; Krakowski, S. (2021). Artificial intelligence and management: The automation–augmentation paradox. </w:t>
      </w:r>
      <w:r w:rsidRPr="00A6146F">
        <w:rPr>
          <w:i/>
          <w:iCs/>
        </w:rPr>
        <w:t>Academy of Management Review, 46</w:t>
      </w:r>
      <w:r w:rsidRPr="00A6146F">
        <w:t xml:space="preserve">(1), 192–210. </w:t>
      </w:r>
      <w:hyperlink r:id="rId43" w:history="1">
        <w:r w:rsidRPr="00A6146F">
          <w:rPr>
            <w:rStyle w:val="Hyperlink"/>
          </w:rPr>
          <w:t>https://doi.org/10.5465/amr.2018.0072</w:t>
        </w:r>
      </w:hyperlink>
    </w:p>
    <w:p w14:paraId="5B4C7DD1" w14:textId="6EDE0C6D" w:rsidR="0064368A" w:rsidRDefault="00A6146F" w:rsidP="0064368A">
      <w:r w:rsidRPr="00A6146F">
        <w:t xml:space="preserve">Teece, D. J., Pisano, G., &amp; </w:t>
      </w:r>
      <w:proofErr w:type="spellStart"/>
      <w:r w:rsidRPr="00A6146F">
        <w:t>Shuen</w:t>
      </w:r>
      <w:proofErr w:type="spellEnd"/>
      <w:r w:rsidRPr="00A6146F">
        <w:t xml:space="preserve">, A. (1997). Dynamic capabilities and strategic management. </w:t>
      </w:r>
      <w:r w:rsidRPr="00A6146F">
        <w:rPr>
          <w:i/>
          <w:iCs/>
        </w:rPr>
        <w:t>Strategic Management Journal, 18</w:t>
      </w:r>
      <w:r w:rsidRPr="00A6146F">
        <w:t xml:space="preserve">(7), 509–533. </w:t>
      </w:r>
      <w:hyperlink r:id="rId44" w:history="1">
        <w:r w:rsidRPr="00A6146F">
          <w:rPr>
            <w:rStyle w:val="Hyperlink"/>
          </w:rPr>
          <w:t>https://doi.org/10.1002/(SICI)1097-0266(199708)18:7%3C509::AID-SMJ882%3E3.0.CO;2-Z</w:t>
        </w:r>
      </w:hyperlink>
    </w:p>
    <w:p w14:paraId="5FCAEB36" w14:textId="105D461E" w:rsidR="00AD00DB" w:rsidRPr="00B968F0" w:rsidRDefault="00AD00DB" w:rsidP="00AD00DB">
      <w:pPr>
        <w:spacing w:after="0" w:line="240" w:lineRule="auto"/>
        <w:textAlignment w:val="baseline"/>
        <w:rPr>
          <w:rFonts w:ascii="Segoe UI" w:eastAsia="Times New Roman" w:hAnsi="Segoe UI" w:cs="Segoe UI"/>
          <w:sz w:val="18"/>
          <w:szCs w:val="18"/>
          <w:lang w:eastAsia="en-GB"/>
        </w:rPr>
      </w:pPr>
    </w:p>
    <w:p w14:paraId="5ABE7B84" w14:textId="5AC8DEB9" w:rsidR="0030173B" w:rsidRPr="00B968F0" w:rsidRDefault="0030173B" w:rsidP="00B968F0">
      <w:pPr>
        <w:spacing w:after="0" w:line="240" w:lineRule="auto"/>
        <w:textAlignment w:val="baseline"/>
        <w:rPr>
          <w:rFonts w:ascii="Segoe UI" w:eastAsia="Times New Roman" w:hAnsi="Segoe UI" w:cs="Segoe UI"/>
          <w:sz w:val="18"/>
          <w:szCs w:val="18"/>
          <w:lang w:eastAsia="en-GB"/>
        </w:rPr>
      </w:pPr>
    </w:p>
    <w:p w14:paraId="7766DD1E" w14:textId="03E49957" w:rsidR="002049FE" w:rsidRDefault="002049FE" w:rsidP="002049FE">
      <w:pPr>
        <w:pStyle w:val="Heading2"/>
      </w:pPr>
      <w:bookmarkStart w:id="9" w:name="_Hlk178774016"/>
      <w:bookmarkStart w:id="10" w:name="_Toc242640014"/>
      <w:r>
        <w:t xml:space="preserve">Appendix </w:t>
      </w:r>
      <w:r w:rsidR="00E2172F">
        <w:t>B</w:t>
      </w:r>
      <w:r w:rsidR="0038491E">
        <w:t>. SWOT Analysis</w:t>
      </w:r>
      <w:bookmarkEnd w:id="10"/>
    </w:p>
    <w:p w14:paraId="5DDAA777" w14:textId="6EC1EA9A" w:rsidR="005915FA" w:rsidRPr="005915FA" w:rsidRDefault="005915FA" w:rsidP="0031551D">
      <w:pPr>
        <w:keepNext/>
        <w:keepLines/>
        <w:spacing w:before="480" w:after="0" w:line="276" w:lineRule="auto"/>
        <w:outlineLvl w:val="0"/>
        <w:rPr>
          <w:rFonts w:ascii="Calibri" w:eastAsia="MS Gothic" w:hAnsi="Calibri" w:cs="Times New Roman"/>
          <w:b/>
          <w:bCs/>
          <w:color w:val="000000"/>
          <w:sz w:val="28"/>
          <w:szCs w:val="28"/>
          <w:lang w:val="en-US"/>
        </w:rPr>
      </w:pPr>
      <w:bookmarkStart w:id="11" w:name="_Toc242640015"/>
      <w:r w:rsidRPr="005915FA">
        <w:rPr>
          <w:rFonts w:ascii="Calibri" w:eastAsia="MS Gothic" w:hAnsi="Calibri" w:cs="Times New Roman"/>
          <w:b/>
          <w:bCs/>
          <w:color w:val="000000"/>
          <w:sz w:val="28"/>
          <w:szCs w:val="28"/>
          <w:lang w:val="en-US"/>
        </w:rPr>
        <w:t>Strengths</w:t>
      </w:r>
      <w:bookmarkEnd w:id="11"/>
    </w:p>
    <w:tbl>
      <w:tblPr>
        <w:tblW w:w="0" w:type="auto"/>
        <w:tblLayout w:type="fixed"/>
        <w:tblLook w:val="04A0" w:firstRow="1" w:lastRow="0" w:firstColumn="1" w:lastColumn="0" w:noHBand="0" w:noVBand="1"/>
      </w:tblPr>
      <w:tblGrid>
        <w:gridCol w:w="2592"/>
        <w:gridCol w:w="7632"/>
      </w:tblGrid>
      <w:tr w:rsidR="005915FA" w:rsidRPr="005915FA" w14:paraId="3BD6BC4A" w14:textId="77777777" w:rsidTr="002978CC">
        <w:trPr>
          <w:cantSplit/>
          <w:tblHeader/>
        </w:trPr>
        <w:tc>
          <w:tcPr>
            <w:tcW w:w="259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285778B8"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Factor</w:t>
            </w:r>
          </w:p>
        </w:tc>
        <w:tc>
          <w:tcPr>
            <w:tcW w:w="763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3EBEE151"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Critical analysis and implications for culture and capability</w:t>
            </w:r>
          </w:p>
        </w:tc>
      </w:tr>
      <w:tr w:rsidR="005915FA" w:rsidRPr="005915FA" w14:paraId="51FC7467"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380230E2"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Existing digital infrastructure and AI experience</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471A2B50"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Starling’s digital services and existing AI tools provide a foundation for implementation [1, 2]. This could support integration and learning, although customer-facing AI experience does not establish readiness for onboarding.</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An assistant could retrieve an approved procedure and show its source when a specialist asks which evidence is needed for a particular case.</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Existing digital infrastructure may make experimentation easier, but employees still need to understand the boundaries of the tool and retain responsibility for their work.</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Test whether retrieval is accurate, current and faster than existing searches. Assess integration, permissions and case complexity before assuming that digital maturity will produce efficiency gains.</w:t>
            </w:r>
          </w:p>
        </w:tc>
      </w:tr>
      <w:tr w:rsidR="005915FA" w:rsidRPr="005915FA" w14:paraId="6BA6BD0E"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5D0A732D"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Employees’ onboarding expertise</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74F1646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Specialists could identify suitable uses, test outputs and </w:t>
            </w:r>
            <w:proofErr w:type="spellStart"/>
            <w:r w:rsidRPr="005915FA">
              <w:rPr>
                <w:rFonts w:ascii="Calibri" w:eastAsia="MS Mincho" w:hAnsi="Calibri" w:cs="Times New Roman"/>
                <w:lang w:val="en-US"/>
              </w:rPr>
              <w:t>recognise</w:t>
            </w:r>
            <w:proofErr w:type="spellEnd"/>
            <w:r w:rsidRPr="005915FA">
              <w:rPr>
                <w:rFonts w:ascii="Calibri" w:eastAsia="MS Mincho" w:hAnsi="Calibri" w:cs="Times New Roman"/>
                <w:lang w:val="en-US"/>
              </w:rPr>
              <w:t xml:space="preserve"> errors. Participation would acknowledge professional expertise and support employee ownership. Demonstrate this capability through workplace examples.</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Experienced specialists could review a sample of AI-generated summaries and identify missing facts, ambiguous customer explanations or inappropriate suggested wording.</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Co-design can reinforce the value of professional knowledge and reduce perceptions that technology devalues employees. It also develops evaluation skills and gives operational staff a voice in implementation.</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Expert involvement needs protected time. A small group of enthusiastic users may not represent the wider workforce; include different experience levels and invite dissenting feedback.</w:t>
            </w:r>
          </w:p>
        </w:tc>
      </w:tr>
      <w:tr w:rsidR="005915FA" w:rsidRPr="005915FA" w14:paraId="04AD18AA"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76AFADE8"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lastRenderedPageBreak/>
              <w:t>Existing procedures and knowledge resources</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4CAF85C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Approved guidance could provide a controlled information base and improve consistency. Its value depends on accurate, current documentation with clear ownership; AI cannot reliably compensate for poor source material.</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The assistant could draft a request for additional information using approved guidance, while the employee checks that the request fits the customer’s circumstances.</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Shared access to dependable guidance could strengthen consistency and support less experienced staff. A learning culture also requires employees to challenge outdated instructions rather than reproduce them.</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Establish document owners, version control and a process for withdrawing obsolete guidance. Consistency is valuable only if the underlying procedure is correct and allows appropriate exceptions.</w:t>
            </w:r>
          </w:p>
        </w:tc>
      </w:tr>
      <w:tr w:rsidR="005915FA" w:rsidRPr="005915FA" w14:paraId="46533C9B"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7F97E9A7"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Experience of technological change</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01EB98D8"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Existing AI initiatives suggest experience that could inform sponsorship, testing and implementation [1, 2]. However, product innovation does not prove that all employees welcome change or have the skills to adopt it.</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cross-functional team could draw on lessons from previous technology launches to design onboarding tests, support arrangements and escalation routes.</w:t>
            </w:r>
            <w:r w:rsidRPr="005915FA">
              <w:rPr>
                <w:rFonts w:ascii="Calibri" w:eastAsia="MS Mincho" w:hAnsi="Calibri" w:cs="Times New Roman"/>
                <w:lang w:val="en-US"/>
              </w:rPr>
              <w:br/>
            </w:r>
            <w:r w:rsidRPr="005915FA">
              <w:rPr>
                <w:rFonts w:ascii="Calibri" w:eastAsia="MS Mincho" w:hAnsi="Calibri" w:cs="Times New Roman"/>
                <w:lang w:val="en-US"/>
              </w:rPr>
              <w:br/>
              <w:t xml:space="preserve">Culture and capability: Visible sponsorship can </w:t>
            </w:r>
            <w:proofErr w:type="spellStart"/>
            <w:r w:rsidRPr="005915FA">
              <w:rPr>
                <w:rFonts w:ascii="Calibri" w:eastAsia="MS Mincho" w:hAnsi="Calibri" w:cs="Times New Roman"/>
                <w:lang w:val="en-US"/>
              </w:rPr>
              <w:t>legitimise</w:t>
            </w:r>
            <w:proofErr w:type="spellEnd"/>
            <w:r w:rsidRPr="005915FA">
              <w:rPr>
                <w:rFonts w:ascii="Calibri" w:eastAsia="MS Mincho" w:hAnsi="Calibri" w:cs="Times New Roman"/>
                <w:lang w:val="en-US"/>
              </w:rPr>
              <w:t xml:space="preserve"> learning time and cooperation between operations, technology and risk teams. However, a public innovation narrative may mask uneven confidence or competing internal priorities.</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Review evidence from earlier changes, including problems and user feedback. Avoid assuming that a successful product launch proves effective staff engagement or transferable governance for a different use case.</w:t>
            </w:r>
          </w:p>
        </w:tc>
      </w:tr>
    </w:tbl>
    <w:p w14:paraId="0248F19D" w14:textId="77777777" w:rsidR="005915FA" w:rsidRPr="005915FA" w:rsidRDefault="005915FA" w:rsidP="005915FA">
      <w:pPr>
        <w:spacing w:after="120" w:line="276" w:lineRule="auto"/>
        <w:rPr>
          <w:rFonts w:ascii="Calibri" w:eastAsia="MS Mincho" w:hAnsi="Calibri" w:cs="Times New Roman"/>
          <w:lang w:val="en-US"/>
        </w:rPr>
      </w:pPr>
      <w:r w:rsidRPr="005915FA">
        <w:rPr>
          <w:rFonts w:ascii="Calibri" w:eastAsia="MS Mincho" w:hAnsi="Calibri" w:cs="Times New Roman"/>
          <w:lang w:val="en-US"/>
        </w:rPr>
        <w:br w:type="page"/>
      </w:r>
    </w:p>
    <w:p w14:paraId="4369BC59" w14:textId="77777777" w:rsidR="005915FA" w:rsidRPr="005915FA" w:rsidRDefault="005915FA" w:rsidP="005915FA">
      <w:pPr>
        <w:spacing w:after="300" w:line="240" w:lineRule="auto"/>
        <w:contextualSpacing/>
        <w:rPr>
          <w:rFonts w:ascii="Calibri" w:eastAsia="MS Gothic" w:hAnsi="Calibri" w:cs="Times New Roman"/>
          <w:color w:val="000000"/>
          <w:spacing w:val="5"/>
          <w:kern w:val="28"/>
          <w:sz w:val="40"/>
          <w:szCs w:val="52"/>
          <w:lang w:val="en-US"/>
        </w:rPr>
      </w:pPr>
      <w:r w:rsidRPr="005915FA">
        <w:rPr>
          <w:rFonts w:ascii="Calibri" w:eastAsia="MS Gothic" w:hAnsi="Calibri" w:cs="Times New Roman"/>
          <w:color w:val="000000"/>
          <w:spacing w:val="5"/>
          <w:kern w:val="28"/>
          <w:sz w:val="40"/>
          <w:szCs w:val="52"/>
          <w:lang w:val="en-US"/>
        </w:rPr>
        <w:lastRenderedPageBreak/>
        <w:t>Starling Bank SWOT Analysis</w:t>
      </w:r>
    </w:p>
    <w:p w14:paraId="16EF5F07" w14:textId="049D5107" w:rsidR="005915FA" w:rsidRPr="005915FA" w:rsidRDefault="005915FA" w:rsidP="0031551D">
      <w:pPr>
        <w:keepNext/>
        <w:keepLines/>
        <w:spacing w:before="480" w:after="0" w:line="276" w:lineRule="auto"/>
        <w:outlineLvl w:val="0"/>
        <w:rPr>
          <w:rFonts w:ascii="Calibri" w:eastAsia="MS Gothic" w:hAnsi="Calibri" w:cs="Times New Roman"/>
          <w:b/>
          <w:bCs/>
          <w:color w:val="000000"/>
          <w:sz w:val="28"/>
          <w:szCs w:val="28"/>
          <w:lang w:val="en-US"/>
        </w:rPr>
      </w:pPr>
      <w:bookmarkStart w:id="12" w:name="_Toc242640016"/>
      <w:r w:rsidRPr="005915FA">
        <w:rPr>
          <w:rFonts w:ascii="Calibri" w:eastAsia="MS Gothic" w:hAnsi="Calibri" w:cs="Times New Roman"/>
          <w:b/>
          <w:bCs/>
          <w:color w:val="000000"/>
          <w:sz w:val="28"/>
          <w:szCs w:val="28"/>
          <w:lang w:val="en-US"/>
        </w:rPr>
        <w:t>Weaknesses</w:t>
      </w:r>
      <w:bookmarkEnd w:id="12"/>
    </w:p>
    <w:tbl>
      <w:tblPr>
        <w:tblW w:w="0" w:type="auto"/>
        <w:tblLayout w:type="fixed"/>
        <w:tblLook w:val="04A0" w:firstRow="1" w:lastRow="0" w:firstColumn="1" w:lastColumn="0" w:noHBand="0" w:noVBand="1"/>
      </w:tblPr>
      <w:tblGrid>
        <w:gridCol w:w="2592"/>
        <w:gridCol w:w="7632"/>
      </w:tblGrid>
      <w:tr w:rsidR="005915FA" w:rsidRPr="005915FA" w14:paraId="23D71A8C" w14:textId="77777777" w:rsidTr="002978CC">
        <w:trPr>
          <w:cantSplit/>
          <w:tblHeader/>
        </w:trPr>
        <w:tc>
          <w:tcPr>
            <w:tcW w:w="259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781D433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Factor</w:t>
            </w:r>
          </w:p>
        </w:tc>
        <w:tc>
          <w:tcPr>
            <w:tcW w:w="763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15A9881A"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Critical analysis and implications for culture and capability</w:t>
            </w:r>
          </w:p>
        </w:tc>
      </w:tr>
      <w:tr w:rsidR="005915FA" w:rsidRPr="005915FA" w14:paraId="3C8FC58E"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0E22432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Potential differences in AI literacy</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5377F8C7"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Employees may vary in their ability to use prompts, </w:t>
            </w:r>
            <w:proofErr w:type="spellStart"/>
            <w:r w:rsidRPr="005915FA">
              <w:rPr>
                <w:rFonts w:ascii="Calibri" w:eastAsia="MS Mincho" w:hAnsi="Calibri" w:cs="Times New Roman"/>
                <w:lang w:val="en-US"/>
              </w:rPr>
              <w:t>recognise</w:t>
            </w:r>
            <w:proofErr w:type="spellEnd"/>
            <w:r w:rsidRPr="005915FA">
              <w:rPr>
                <w:rFonts w:ascii="Calibri" w:eastAsia="MS Mincho" w:hAnsi="Calibri" w:cs="Times New Roman"/>
                <w:lang w:val="en-US"/>
              </w:rPr>
              <w:t xml:space="preserve"> fabricated information and handle data appropriately. Skills assessment and tailored training would help prevent inconsistent practice and loss of confidence.</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Two employees might obtain different draft responses to the same case because their prompts omit different facts; both responses could sound convincing.</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Uneven confidence can create informal divisions between early adopters and hesitant colleagues. Training should build critical evaluation and data awareness, rather than reward speed or prompt fluency alone.</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Assess baseline skills and use realistic scenarios to test understanding. Provide additional support without labelling hesitant staff as resistant. Adoption figures alone do not measure competent use.</w:t>
            </w:r>
          </w:p>
        </w:tc>
      </w:tr>
      <w:tr w:rsidR="005915FA" w:rsidRPr="005915FA" w14:paraId="54E6941E"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729ABB90"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Implementation and checking workload</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351A817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Testing, training, maintaining guidance and reviewing outputs require staff time. Initial productivity gains may be limited when employees must learn new processes alongside existing workloads.</w:t>
            </w:r>
            <w:r w:rsidRPr="005915FA">
              <w:rPr>
                <w:rFonts w:ascii="Calibri" w:eastAsia="MS Mincho" w:hAnsi="Calibri" w:cs="Times New Roman"/>
                <w:lang w:val="en-US"/>
              </w:rPr>
              <w:br/>
            </w:r>
            <w:r w:rsidRPr="005915FA">
              <w:rPr>
                <w:rFonts w:ascii="Calibri" w:eastAsia="MS Mincho" w:hAnsi="Calibri" w:cs="Times New Roman"/>
                <w:lang w:val="en-US"/>
              </w:rPr>
              <w:br/>
              <w:t xml:space="preserve">Proposed onboarding example: During a pilot, specialists may need to compare AI summaries with original case notes and record errors, adding work before any time saving is </w:t>
            </w:r>
            <w:proofErr w:type="spellStart"/>
            <w:r w:rsidRPr="005915FA">
              <w:rPr>
                <w:rFonts w:ascii="Calibri" w:eastAsia="MS Mincho" w:hAnsi="Calibri" w:cs="Times New Roman"/>
                <w:lang w:val="en-US"/>
              </w:rPr>
              <w:t>realised</w:t>
            </w:r>
            <w:proofErr w:type="spellEnd"/>
            <w:r w:rsidRPr="005915FA">
              <w:rPr>
                <w:rFonts w:ascii="Calibri" w:eastAsia="MS Mincho" w:hAnsi="Calibri" w:cs="Times New Roman"/>
                <w:lang w:val="en-US"/>
              </w:rPr>
              <w:t>.</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Unfunded learning and checking can increase pressure and reduce willingness to engage. Managers need capability to allocate workload, interpret pilot results and protect time for practice.</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Measure total handling time, including corrections, review and escalation. Compare similar cases and account for the learning period. Faster drafting is insufficient if it increases downstream rework.</w:t>
            </w:r>
          </w:p>
        </w:tc>
      </w:tr>
      <w:tr w:rsidR="005915FA" w:rsidRPr="005915FA" w14:paraId="056D1281"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2CCD1878"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lastRenderedPageBreak/>
              <w:t>Possible fragmentation of internal guidance</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533077B4"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If procedures are dispersed or contradictory, AI responses may reproduce those problems. Knowledge management may need improvement before implementation. This potential weakness requires workplace evidence.</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tool could retrieve an old instruction alongside a newer one and produce a response that combines incompatible requirements.</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Unclear ownership encourages employees to rely on informal workarounds and personal networks. Improving information stewardship can strengthen a culture of shared responsibility and make expertise more accessible.</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Audit the knowledge base before rollout and log unanswered or conflicting queries. Treat information quality as an implementation dependency. Confirm whether fragmentation exists before describing it as a Starling weakness.</w:t>
            </w:r>
          </w:p>
        </w:tc>
      </w:tr>
      <w:tr w:rsidR="005915FA" w:rsidRPr="005915FA" w14:paraId="5F0B764F"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446B97BC"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Over-reliance and loss of judgement</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6EA8DBF7"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Accepting fluent outputs without scrutiny could weaken independent reasoning and procedural knowledge. Capability development should include checking, questioning and escalation, alongside tool use.</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specialist could approve a plausible summary without noticing that it omits a relevant qualification in the original customer explanation.</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Automation bias could shift the norm from examining evidence to accepting suggestions. Employees must retain the confidence and skill to challenge the assistant, particularly when a case is unusual.</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Use source checks and periodic independent case exercises to preserve judgement. Human review is meaningful only if reviewers have enough expertise, time and authority to reject an output.</w:t>
            </w:r>
          </w:p>
        </w:tc>
      </w:tr>
      <w:tr w:rsidR="005915FA" w:rsidRPr="005915FA" w14:paraId="0D958EB5"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55C69DF9"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lastRenderedPageBreak/>
              <w:t>Uncertainty about roles and accountability</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3FA73B2A"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Unclear responsibility for checking outputs could produce inconsistent practice. Perceived threats to roles may reduce trust. Clear responsibilities and meaningful consultation would support confidence and reporting of problems.</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An employee may be unsure whether they, their manager or the technology team owns an incorrect customer message drafted by AI.</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Ambiguity can reduce psychological safety and discourage reporting. Concerns about role replacement may also affect professional identity and trust, even where leaders intend AI to support staff.</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Publish responsibilities for approval, incident reporting and escalation. Discuss how tasks may change and avoid promises about job security without evidence. Evaluate staff understanding through feedback rather than communication attendance.</w:t>
            </w:r>
          </w:p>
        </w:tc>
      </w:tr>
    </w:tbl>
    <w:p w14:paraId="3D905E11" w14:textId="6B8184B9" w:rsidR="005915FA" w:rsidRPr="005915FA" w:rsidRDefault="005915FA" w:rsidP="005915FA">
      <w:pPr>
        <w:spacing w:after="120" w:line="276" w:lineRule="auto"/>
        <w:rPr>
          <w:rFonts w:ascii="Calibri" w:eastAsia="MS Mincho" w:hAnsi="Calibri" w:cs="Times New Roman"/>
          <w:lang w:val="en-US"/>
        </w:rPr>
      </w:pPr>
    </w:p>
    <w:p w14:paraId="44F1197D" w14:textId="366F9D51" w:rsidR="005915FA" w:rsidRPr="005915FA" w:rsidRDefault="005915FA" w:rsidP="00B968F0">
      <w:pPr>
        <w:spacing w:after="120" w:line="276" w:lineRule="auto"/>
        <w:rPr>
          <w:rFonts w:ascii="Calibri" w:eastAsia="MS Mincho" w:hAnsi="Calibri" w:cs="Times New Roman"/>
          <w:lang w:val="en-US"/>
        </w:rPr>
      </w:pPr>
      <w:r w:rsidRPr="005915FA">
        <w:rPr>
          <w:rFonts w:ascii="Calibri" w:eastAsia="MS Mincho" w:hAnsi="Calibri" w:cs="Times New Roman"/>
          <w:lang w:val="en-US"/>
        </w:rPr>
        <w:br w:type="page"/>
      </w:r>
    </w:p>
    <w:p w14:paraId="6ED39AE2" w14:textId="7A14753C" w:rsidR="005915FA" w:rsidRPr="005915FA" w:rsidRDefault="005915FA" w:rsidP="00293A25">
      <w:pPr>
        <w:keepNext/>
        <w:keepLines/>
        <w:spacing w:before="480" w:after="0" w:line="276" w:lineRule="auto"/>
        <w:outlineLvl w:val="0"/>
        <w:rPr>
          <w:rFonts w:ascii="Calibri" w:eastAsia="MS Gothic" w:hAnsi="Calibri" w:cs="Times New Roman"/>
          <w:b/>
          <w:bCs/>
          <w:color w:val="000000"/>
          <w:sz w:val="28"/>
          <w:szCs w:val="28"/>
          <w:lang w:val="en-US"/>
        </w:rPr>
      </w:pPr>
      <w:bookmarkStart w:id="13" w:name="_Toc242640017"/>
      <w:r w:rsidRPr="005915FA">
        <w:rPr>
          <w:rFonts w:ascii="Calibri" w:eastAsia="MS Gothic" w:hAnsi="Calibri" w:cs="Times New Roman"/>
          <w:b/>
          <w:bCs/>
          <w:color w:val="000000"/>
          <w:sz w:val="28"/>
          <w:szCs w:val="28"/>
          <w:lang w:val="en-US"/>
        </w:rPr>
        <w:lastRenderedPageBreak/>
        <w:t>Opportunities</w:t>
      </w:r>
      <w:bookmarkEnd w:id="13"/>
    </w:p>
    <w:tbl>
      <w:tblPr>
        <w:tblW w:w="0" w:type="auto"/>
        <w:tblLayout w:type="fixed"/>
        <w:tblLook w:val="04A0" w:firstRow="1" w:lastRow="0" w:firstColumn="1" w:lastColumn="0" w:noHBand="0" w:noVBand="1"/>
      </w:tblPr>
      <w:tblGrid>
        <w:gridCol w:w="2592"/>
        <w:gridCol w:w="7632"/>
      </w:tblGrid>
      <w:tr w:rsidR="005915FA" w:rsidRPr="005915FA" w14:paraId="3432125B" w14:textId="77777777" w:rsidTr="002978CC">
        <w:trPr>
          <w:cantSplit/>
          <w:tblHeader/>
        </w:trPr>
        <w:tc>
          <w:tcPr>
            <w:tcW w:w="259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46E9C3B7"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Factor</w:t>
            </w:r>
          </w:p>
        </w:tc>
        <w:tc>
          <w:tcPr>
            <w:tcW w:w="763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110627D0"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Critical analysis and implications for culture and capability</w:t>
            </w:r>
          </w:p>
        </w:tc>
      </w:tr>
      <w:tr w:rsidR="005915FA" w:rsidRPr="005915FA" w14:paraId="1F54044E"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7FF704F2"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Developments in generative AI technology</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4285BA97"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Advances in language tools and retrieval create opportunities to improve access to guidance and routine communication. Technical availability does not demonstrate operational suitability; a controlled pilot should establish benefits.</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retrieval-supported assistant could answer a procedural query with links to approved material, allowing the specialist to verify the answer.</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The opportunity is to improve access to knowledge and develop employees’ ability to evaluate information. Integration should support reflective practice rather than encourage unquestioned reliance on generated text.</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Generative AI can still invent or misinterpret information. Compare its performance with a simpler search tool or improved templates; select AI only where it produces a measurable additional benefit.</w:t>
            </w:r>
          </w:p>
        </w:tc>
      </w:tr>
      <w:tr w:rsidR="005915FA" w:rsidRPr="005915FA" w14:paraId="7A0F7470"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7535E8D1"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Customer expectations for timely accessible service</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30319AE1"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AI support could help employees communicate clearly and respond promptly, freeing time for complex cases. Benefits depend on accuracy and suitable support for customers with individual needs.</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An employee could revise an AI-drafted explanation into plain language and adapt it to a customer who needs additional assistance.</w:t>
            </w:r>
            <w:r w:rsidRPr="005915FA">
              <w:rPr>
                <w:rFonts w:ascii="Calibri" w:eastAsia="MS Mincho" w:hAnsi="Calibri" w:cs="Times New Roman"/>
                <w:lang w:val="en-US"/>
              </w:rPr>
              <w:br/>
            </w:r>
            <w:r w:rsidRPr="005915FA">
              <w:rPr>
                <w:rFonts w:ascii="Calibri" w:eastAsia="MS Mincho" w:hAnsi="Calibri" w:cs="Times New Roman"/>
                <w:lang w:val="en-US"/>
              </w:rPr>
              <w:br/>
              <w:t xml:space="preserve">Culture and capability: Reducing routine writing may create more time for empathy and complex conversations. Employees need communication skills to judge tone, accessibility and whether a </w:t>
            </w:r>
            <w:proofErr w:type="spellStart"/>
            <w:r w:rsidRPr="005915FA">
              <w:rPr>
                <w:rFonts w:ascii="Calibri" w:eastAsia="MS Mincho" w:hAnsi="Calibri" w:cs="Times New Roman"/>
                <w:lang w:val="en-US"/>
              </w:rPr>
              <w:t>personalised</w:t>
            </w:r>
            <w:proofErr w:type="spellEnd"/>
            <w:r w:rsidRPr="005915FA">
              <w:rPr>
                <w:rFonts w:ascii="Calibri" w:eastAsia="MS Mincho" w:hAnsi="Calibri" w:cs="Times New Roman"/>
                <w:lang w:val="en-US"/>
              </w:rPr>
              <w:t xml:space="preserve"> response is necessary.</w:t>
            </w:r>
            <w:r w:rsidRPr="005915FA">
              <w:rPr>
                <w:rFonts w:ascii="Calibri" w:eastAsia="MS Mincho" w:hAnsi="Calibri" w:cs="Times New Roman"/>
                <w:lang w:val="en-US"/>
              </w:rPr>
              <w:br/>
            </w:r>
            <w:r w:rsidRPr="005915FA">
              <w:rPr>
                <w:rFonts w:ascii="Calibri" w:eastAsia="MS Mincho" w:hAnsi="Calibri" w:cs="Times New Roman"/>
                <w:lang w:val="en-US"/>
              </w:rPr>
              <w:br/>
              <w:t xml:space="preserve">Critical evaluation and evidence needed: Do not equate shorter response times with better service. Measure customer understanding, avoidable follow-up and complaints alongside speed. </w:t>
            </w:r>
            <w:proofErr w:type="spellStart"/>
            <w:r w:rsidRPr="005915FA">
              <w:rPr>
                <w:rFonts w:ascii="Calibri" w:eastAsia="MS Mincho" w:hAnsi="Calibri" w:cs="Times New Roman"/>
                <w:lang w:val="en-US"/>
              </w:rPr>
              <w:t>Standardisation</w:t>
            </w:r>
            <w:proofErr w:type="spellEnd"/>
            <w:r w:rsidRPr="005915FA">
              <w:rPr>
                <w:rFonts w:ascii="Calibri" w:eastAsia="MS Mincho" w:hAnsi="Calibri" w:cs="Times New Roman"/>
                <w:lang w:val="en-US"/>
              </w:rPr>
              <w:t xml:space="preserve"> may disadvantage customers whose circumstances do not fit common patterns.</w:t>
            </w:r>
          </w:p>
        </w:tc>
      </w:tr>
      <w:tr w:rsidR="005915FA" w:rsidRPr="005915FA" w14:paraId="200B2489"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3DF2F090"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lastRenderedPageBreak/>
              <w:t>External training and specialist expertise</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2C03922A"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Training providers and partnerships could develop AI literacy, evaluation skills and governance capability. Excessive reliance on external expertise could, however, limit internal understanding and ownership.</w:t>
            </w:r>
            <w:r w:rsidRPr="005915FA">
              <w:rPr>
                <w:rFonts w:ascii="Calibri" w:eastAsia="MS Mincho" w:hAnsi="Calibri" w:cs="Times New Roman"/>
                <w:lang w:val="en-US"/>
              </w:rPr>
              <w:br/>
            </w:r>
            <w:r w:rsidRPr="005915FA">
              <w:rPr>
                <w:rFonts w:ascii="Calibri" w:eastAsia="MS Mincho" w:hAnsi="Calibri" w:cs="Times New Roman"/>
                <w:lang w:val="en-US"/>
              </w:rPr>
              <w:br/>
              <w:t xml:space="preserve">Proposed onboarding example: External specialists could deliver practical workshops where onboarding staff identify errors in generated responses and </w:t>
            </w:r>
            <w:proofErr w:type="spellStart"/>
            <w:r w:rsidRPr="005915FA">
              <w:rPr>
                <w:rFonts w:ascii="Calibri" w:eastAsia="MS Mincho" w:hAnsi="Calibri" w:cs="Times New Roman"/>
                <w:lang w:val="en-US"/>
              </w:rPr>
              <w:t>practise</w:t>
            </w:r>
            <w:proofErr w:type="spellEnd"/>
            <w:r w:rsidRPr="005915FA">
              <w:rPr>
                <w:rFonts w:ascii="Calibri" w:eastAsia="MS Mincho" w:hAnsi="Calibri" w:cs="Times New Roman"/>
                <w:lang w:val="en-US"/>
              </w:rPr>
              <w:t xml:space="preserve"> escalation.</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Structured development can build confidence and make the change an opportunity for professional growth. Train managers as well as frontline staff so they can support learning and assess performance fairly.</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Assess provider quality and ensure training matches actual workflows. Transfer knowledge into internal teams and refresh materials after changes. Generic courses and completion certificates are weak evidence of operational competence.</w:t>
            </w:r>
          </w:p>
        </w:tc>
      </w:tr>
      <w:tr w:rsidR="005915FA" w:rsidRPr="005915FA" w14:paraId="5FC3827F"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668555FD"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Competitive differentiation</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2440A9EC"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Responsible adoption could strengthen service quality and operational responsiveness. Advantage depends on measurable customer outcomes and reliable implementation, rather than adoption simply because competitors use AI.</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successful pilot could demonstrate quicker access to guidance without increasing incorrect requests, rework or customer complaints.</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Responsible innovation may support pride and reinforce a culture in which employees improve services. Capability must combine technical adoption with customer understanding and sound operational judgement.</w:t>
            </w:r>
            <w:r w:rsidRPr="005915FA">
              <w:rPr>
                <w:rFonts w:ascii="Calibri" w:eastAsia="MS Mincho" w:hAnsi="Calibri" w:cs="Times New Roman"/>
                <w:lang w:val="en-US"/>
              </w:rPr>
              <w:br/>
            </w:r>
            <w:r w:rsidRPr="005915FA">
              <w:rPr>
                <w:rFonts w:ascii="Calibri" w:eastAsia="MS Mincho" w:hAnsi="Calibri" w:cs="Times New Roman"/>
                <w:lang w:val="en-US"/>
              </w:rPr>
              <w:br/>
              <w:t xml:space="preserve">Critical evaluation and evidence needed: Competitors can copy tools, so durable value depends on implementation quality, trusted service and </w:t>
            </w:r>
            <w:proofErr w:type="spellStart"/>
            <w:r w:rsidRPr="005915FA">
              <w:rPr>
                <w:rFonts w:ascii="Calibri" w:eastAsia="MS Mincho" w:hAnsi="Calibri" w:cs="Times New Roman"/>
                <w:lang w:val="en-US"/>
              </w:rPr>
              <w:t>organisational</w:t>
            </w:r>
            <w:proofErr w:type="spellEnd"/>
            <w:r w:rsidRPr="005915FA">
              <w:rPr>
                <w:rFonts w:ascii="Calibri" w:eastAsia="MS Mincho" w:hAnsi="Calibri" w:cs="Times New Roman"/>
                <w:lang w:val="en-US"/>
              </w:rPr>
              <w:t xml:space="preserve"> learning. Evaluate benefits against the full cost of licensing, training, monitoring and maintenance.</w:t>
            </w:r>
          </w:p>
        </w:tc>
      </w:tr>
    </w:tbl>
    <w:p w14:paraId="6A723214" w14:textId="77777777" w:rsidR="005915FA" w:rsidRPr="005915FA" w:rsidRDefault="005915FA" w:rsidP="005915FA">
      <w:pPr>
        <w:spacing w:after="120" w:line="276" w:lineRule="auto"/>
        <w:rPr>
          <w:rFonts w:ascii="Calibri" w:eastAsia="MS Mincho" w:hAnsi="Calibri" w:cs="Times New Roman"/>
          <w:lang w:val="en-US"/>
        </w:rPr>
      </w:pPr>
      <w:r w:rsidRPr="005915FA">
        <w:rPr>
          <w:rFonts w:ascii="Calibri" w:eastAsia="MS Mincho" w:hAnsi="Calibri" w:cs="Times New Roman"/>
          <w:lang w:val="en-US"/>
        </w:rPr>
        <w:br w:type="page"/>
      </w:r>
    </w:p>
    <w:p w14:paraId="39F81157" w14:textId="5EAF794B" w:rsidR="005915FA" w:rsidRPr="005915FA" w:rsidRDefault="005915FA" w:rsidP="005915FA">
      <w:pPr>
        <w:spacing w:after="300" w:line="240" w:lineRule="auto"/>
        <w:contextualSpacing/>
        <w:rPr>
          <w:rFonts w:ascii="Calibri" w:eastAsia="MS Gothic" w:hAnsi="Calibri" w:cs="Times New Roman"/>
          <w:color w:val="000000"/>
          <w:spacing w:val="5"/>
          <w:kern w:val="28"/>
          <w:sz w:val="40"/>
          <w:szCs w:val="52"/>
          <w:lang w:val="en-US"/>
        </w:rPr>
      </w:pPr>
    </w:p>
    <w:p w14:paraId="2441834D" w14:textId="5648E710" w:rsidR="005915FA" w:rsidRPr="005915FA" w:rsidRDefault="005915FA" w:rsidP="00F2196D">
      <w:pPr>
        <w:keepNext/>
        <w:keepLines/>
        <w:spacing w:before="480" w:after="0" w:line="276" w:lineRule="auto"/>
        <w:outlineLvl w:val="0"/>
        <w:rPr>
          <w:rFonts w:ascii="Calibri" w:eastAsia="MS Gothic" w:hAnsi="Calibri" w:cs="Times New Roman"/>
          <w:b/>
          <w:bCs/>
          <w:color w:val="000000"/>
          <w:sz w:val="28"/>
          <w:szCs w:val="28"/>
          <w:lang w:val="en-US"/>
        </w:rPr>
      </w:pPr>
      <w:bookmarkStart w:id="14" w:name="_Toc242640018"/>
      <w:r w:rsidRPr="005915FA">
        <w:rPr>
          <w:rFonts w:ascii="Calibri" w:eastAsia="MS Gothic" w:hAnsi="Calibri" w:cs="Times New Roman"/>
          <w:b/>
          <w:bCs/>
          <w:color w:val="000000"/>
          <w:sz w:val="28"/>
          <w:szCs w:val="28"/>
          <w:lang w:val="en-US"/>
        </w:rPr>
        <w:t>Threats</w:t>
      </w:r>
      <w:bookmarkEnd w:id="14"/>
    </w:p>
    <w:tbl>
      <w:tblPr>
        <w:tblW w:w="0" w:type="auto"/>
        <w:tblLayout w:type="fixed"/>
        <w:tblLook w:val="04A0" w:firstRow="1" w:lastRow="0" w:firstColumn="1" w:lastColumn="0" w:noHBand="0" w:noVBand="1"/>
      </w:tblPr>
      <w:tblGrid>
        <w:gridCol w:w="2592"/>
        <w:gridCol w:w="7632"/>
      </w:tblGrid>
      <w:tr w:rsidR="005915FA" w:rsidRPr="005915FA" w14:paraId="4BC4BB1E" w14:textId="77777777" w:rsidTr="002978CC">
        <w:trPr>
          <w:cantSplit/>
          <w:tblHeader/>
        </w:trPr>
        <w:tc>
          <w:tcPr>
            <w:tcW w:w="259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0056E9BB"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Factor</w:t>
            </w:r>
          </w:p>
        </w:tc>
        <w:tc>
          <w:tcPr>
            <w:tcW w:w="7632" w:type="dxa"/>
            <w:tcBorders>
              <w:top w:val="single" w:sz="4" w:space="0" w:color="D9D9D9"/>
              <w:left w:val="single" w:sz="4" w:space="0" w:color="D9D9D9"/>
              <w:bottom w:val="single" w:sz="4" w:space="0" w:color="D9D9D9"/>
              <w:right w:val="single" w:sz="4" w:space="0" w:color="D9D9D9"/>
            </w:tcBorders>
            <w:shd w:val="clear" w:color="auto" w:fill="DCE6F1"/>
            <w:tcMar>
              <w:top w:w="100" w:type="dxa"/>
              <w:left w:w="100" w:type="dxa"/>
              <w:bottom w:w="100" w:type="dxa"/>
              <w:right w:w="100" w:type="dxa"/>
            </w:tcMar>
            <w:vAlign w:val="center"/>
          </w:tcPr>
          <w:p w14:paraId="21516CB9"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Critical analysis and implications for culture and capability</w:t>
            </w:r>
          </w:p>
        </w:tc>
      </w:tr>
      <w:tr w:rsidR="005915FA" w:rsidRPr="005915FA" w14:paraId="112EBBE9"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554B41D1"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Cybersecurity and sensitive information exposure</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4328D98D"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External attacks and weaknesses in connected services could expose information. Cybersecurity and data-related concerns are </w:t>
            </w:r>
            <w:proofErr w:type="spellStart"/>
            <w:r w:rsidRPr="005915FA">
              <w:rPr>
                <w:rFonts w:ascii="Calibri" w:eastAsia="MS Mincho" w:hAnsi="Calibri" w:cs="Times New Roman"/>
                <w:lang w:val="en-US"/>
              </w:rPr>
              <w:t>recognised</w:t>
            </w:r>
            <w:proofErr w:type="spellEnd"/>
            <w:r w:rsidRPr="005915FA">
              <w:rPr>
                <w:rFonts w:ascii="Calibri" w:eastAsia="MS Mincho" w:hAnsi="Calibri" w:cs="Times New Roman"/>
                <w:lang w:val="en-US"/>
              </w:rPr>
              <w:t xml:space="preserve"> sector risks [3]. Secure access and clear information-handling rules would be essential.</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Malicious text in a submitted document could attempt to redirect an AI tool or cause it to reveal information. This is a hypothetical threat scenario.</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Employees need to understand that customer content is untrusted input and know how to report unusual outputs. Security awareness and cooperation between operations and technical teams become part of everyday capability.</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Use controlled access, input handling and approved systems; restrict what information tools can access or disclose. Keep this external attack threat distinct from internal weaknesses in training or permissions.</w:t>
            </w:r>
          </w:p>
        </w:tc>
      </w:tr>
      <w:tr w:rsidR="005915FA" w:rsidRPr="005915FA" w14:paraId="04A3855F"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48EB8A46"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Dependence on external AI suppliers</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0F2474DA"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Supplier outages, model changes or pricing decisions could disrupt processes and increase costs. Third-party dependency is a sector concern [3]. Internal expertise and alternative procedures would help retain operational control.</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supplier outage or model update could prevent staff retrieving guidance or alter response quality during live operations.</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Dependence may weaken confidence if employees cannot complete tasks without the tool. Operational resilience requires maintained procedural knowledge and the ability to return to approved alternative workflows.</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Test fallback arrangements and review updates before expanding use. Supplier commitments do not eliminate dependency. Assess whether the bank can detect performance changes and continue service when the tool is unavailable.</w:t>
            </w:r>
          </w:p>
        </w:tc>
      </w:tr>
      <w:tr w:rsidR="005915FA" w:rsidRPr="005915FA" w14:paraId="65F47042"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10404D81"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lastRenderedPageBreak/>
              <w:t>Evolving regulatory expectations</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0DEA05FD"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Changing expectations could require revisions to testing, documentation and governance, increasing uncertainty and ongoing costs. Compliance capability should be developed throughout implementation.</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change in supervisory expectations could require additional records of testing, output review or responsibility, prompting revisions to the pilot.</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Frequent control changes may create frustration if their purpose is unclear. Leaders should explain how safeguards support customer trust and equip employees to adapt procedures accurately.</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Maintain a process for monitoring relevant requirements with specialist input. Avoid presenting all controls as barriers: robust governance can enable sustainable adoption and protect the legitimacy of innovation.</w:t>
            </w:r>
          </w:p>
        </w:tc>
      </w:tr>
      <w:tr w:rsidR="005915FA" w:rsidRPr="005915FA" w14:paraId="3C3D90C1"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6D837A67"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Competition for skills and rapid technological change</w:t>
            </w:r>
          </w:p>
        </w:tc>
        <w:tc>
          <w:tcPr>
            <w:tcW w:w="7632" w:type="dxa"/>
            <w:tcBorders>
              <w:top w:val="single" w:sz="4" w:space="0" w:color="D9D9D9"/>
              <w:left w:val="single" w:sz="4" w:space="0" w:color="D9D9D9"/>
              <w:bottom w:val="single" w:sz="4" w:space="0" w:color="D9D9D9"/>
              <w:right w:val="single" w:sz="4" w:space="0" w:color="D9D9D9"/>
            </w:tcBorders>
            <w:shd w:val="clear" w:color="auto" w:fill="F4F6F8"/>
            <w:tcMar>
              <w:top w:w="100" w:type="dxa"/>
              <w:left w:w="100" w:type="dxa"/>
              <w:bottom w:w="100" w:type="dxa"/>
              <w:right w:w="100" w:type="dxa"/>
            </w:tcMar>
            <w:vAlign w:val="center"/>
          </w:tcPr>
          <w:p w14:paraId="67FBA6D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Competition for expertise could raise recruitment costs, while changing tools could make training outdated. Continuous learning would be necessary, although frequent changes could contribute to fatigue.</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A specialist recruited to support implementation may be difficult to replace, while a supplier’s new model may require retesting and updated training.</w:t>
            </w:r>
            <w:r w:rsidRPr="005915FA">
              <w:rPr>
                <w:rFonts w:ascii="Calibri" w:eastAsia="MS Mincho" w:hAnsi="Calibri" w:cs="Times New Roman"/>
                <w:lang w:val="en-US"/>
              </w:rPr>
              <w:br/>
            </w:r>
            <w:r w:rsidRPr="005915FA">
              <w:rPr>
                <w:rFonts w:ascii="Calibri" w:eastAsia="MS Mincho" w:hAnsi="Calibri" w:cs="Times New Roman"/>
                <w:lang w:val="en-US"/>
              </w:rPr>
              <w:br/>
              <w:t xml:space="preserve">Culture and capability: Scarce expertise could concentrate knowledge in a few people and reduce </w:t>
            </w:r>
            <w:proofErr w:type="spellStart"/>
            <w:r w:rsidRPr="005915FA">
              <w:rPr>
                <w:rFonts w:ascii="Calibri" w:eastAsia="MS Mincho" w:hAnsi="Calibri" w:cs="Times New Roman"/>
                <w:lang w:val="en-US"/>
              </w:rPr>
              <w:t>organisational</w:t>
            </w:r>
            <w:proofErr w:type="spellEnd"/>
            <w:r w:rsidRPr="005915FA">
              <w:rPr>
                <w:rFonts w:ascii="Calibri" w:eastAsia="MS Mincho" w:hAnsi="Calibri" w:cs="Times New Roman"/>
                <w:lang w:val="en-US"/>
              </w:rPr>
              <w:t xml:space="preserve"> resilience. Broader internal learning, documentation and succession planning can reduce dependency and support capability development.</w:t>
            </w:r>
            <w:r w:rsidRPr="005915FA">
              <w:rPr>
                <w:rFonts w:ascii="Calibri" w:eastAsia="MS Mincho" w:hAnsi="Calibri" w:cs="Times New Roman"/>
                <w:lang w:val="en-US"/>
              </w:rPr>
              <w:br/>
            </w:r>
            <w:r w:rsidRPr="005915FA">
              <w:rPr>
                <w:rFonts w:ascii="Calibri" w:eastAsia="MS Mincho" w:hAnsi="Calibri" w:cs="Times New Roman"/>
                <w:lang w:val="en-US"/>
              </w:rPr>
              <w:br/>
              <w:t xml:space="preserve">Critical evaluation and evidence needed: Adopt a manageable update cycle rather than change tools with every release. Balance responsiveness with stability and assess the cumulative training burden. External </w:t>
            </w:r>
            <w:proofErr w:type="spellStart"/>
            <w:r w:rsidRPr="005915FA">
              <w:rPr>
                <w:rFonts w:ascii="Calibri" w:eastAsia="MS Mincho" w:hAnsi="Calibri" w:cs="Times New Roman"/>
                <w:lang w:val="en-US"/>
              </w:rPr>
              <w:t>labour</w:t>
            </w:r>
            <w:proofErr w:type="spellEnd"/>
            <w:r w:rsidRPr="005915FA">
              <w:rPr>
                <w:rFonts w:ascii="Calibri" w:eastAsia="MS Mincho" w:hAnsi="Calibri" w:cs="Times New Roman"/>
                <w:lang w:val="en-US"/>
              </w:rPr>
              <w:t>-market pressure differs from an internal skills gap.</w:t>
            </w:r>
          </w:p>
        </w:tc>
      </w:tr>
      <w:tr w:rsidR="005915FA" w:rsidRPr="005915FA" w14:paraId="0370A42F" w14:textId="77777777" w:rsidTr="002978CC">
        <w:trPr>
          <w:cantSplit/>
        </w:trPr>
        <w:tc>
          <w:tcPr>
            <w:tcW w:w="259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20E70A7E"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lastRenderedPageBreak/>
              <w:t>Public distrust following wider AI failures</w:t>
            </w:r>
          </w:p>
        </w:tc>
        <w:tc>
          <w:tcPr>
            <w:tcW w:w="7632" w:type="dxa"/>
            <w:tcBorders>
              <w:top w:val="single" w:sz="4" w:space="0" w:color="D9D9D9"/>
              <w:left w:val="single" w:sz="4" w:space="0" w:color="D9D9D9"/>
              <w:bottom w:val="single" w:sz="4" w:space="0" w:color="D9D9D9"/>
              <w:right w:val="single" w:sz="4" w:space="0" w:color="D9D9D9"/>
            </w:tcBorders>
            <w:shd w:val="clear" w:color="auto" w:fill="FFFFFF"/>
            <w:tcMar>
              <w:top w:w="100" w:type="dxa"/>
              <w:left w:w="100" w:type="dxa"/>
              <w:bottom w:w="100" w:type="dxa"/>
              <w:right w:w="100" w:type="dxa"/>
            </w:tcMar>
            <w:vAlign w:val="center"/>
          </w:tcPr>
          <w:p w14:paraId="5A8A3719" w14:textId="77777777" w:rsidR="005915FA" w:rsidRPr="005915FA" w:rsidRDefault="005915FA" w:rsidP="005915FA">
            <w:pPr>
              <w:spacing w:after="60" w:line="252" w:lineRule="auto"/>
              <w:rPr>
                <w:rFonts w:ascii="Calibri" w:eastAsia="MS Mincho" w:hAnsi="Calibri" w:cs="Times New Roman"/>
                <w:lang w:val="en-US"/>
              </w:rPr>
            </w:pPr>
            <w:r w:rsidRPr="005915FA">
              <w:rPr>
                <w:rFonts w:ascii="Calibri" w:eastAsia="MS Mincho" w:hAnsi="Calibri" w:cs="Times New Roman"/>
                <w:b/>
                <w:lang w:val="en-US"/>
              </w:rPr>
              <w:t>Analysis:</w:t>
            </w:r>
            <w:r w:rsidRPr="005915FA">
              <w:rPr>
                <w:rFonts w:ascii="Calibri" w:eastAsia="MS Mincho" w:hAnsi="Calibri" w:cs="Times New Roman"/>
                <w:lang w:val="en-US"/>
              </w:rPr>
              <w:t xml:space="preserve"> Failures elsewhere could reduce customer and employee confidence even when Starling’s implementation is carefully managed. Transparent explanations and accessible human support could help maintain trust.</w:t>
            </w:r>
            <w:r w:rsidRPr="005915FA">
              <w:rPr>
                <w:rFonts w:ascii="Calibri" w:eastAsia="MS Mincho" w:hAnsi="Calibri" w:cs="Times New Roman"/>
                <w:lang w:val="en-US"/>
              </w:rPr>
              <w:br/>
            </w:r>
            <w:r w:rsidRPr="005915FA">
              <w:rPr>
                <w:rFonts w:ascii="Calibri" w:eastAsia="MS Mincho" w:hAnsi="Calibri" w:cs="Times New Roman"/>
                <w:lang w:val="en-US"/>
              </w:rPr>
              <w:br/>
              <w:t>Proposed onboarding example: News of an AI-related banking failure elsewhere could prompt customers to question whether onboarding communications or decisions are being automated.</w:t>
            </w:r>
            <w:r w:rsidRPr="005915FA">
              <w:rPr>
                <w:rFonts w:ascii="Calibri" w:eastAsia="MS Mincho" w:hAnsi="Calibri" w:cs="Times New Roman"/>
                <w:lang w:val="en-US"/>
              </w:rPr>
              <w:br/>
            </w:r>
            <w:r w:rsidRPr="005915FA">
              <w:rPr>
                <w:rFonts w:ascii="Calibri" w:eastAsia="MS Mincho" w:hAnsi="Calibri" w:cs="Times New Roman"/>
                <w:lang w:val="en-US"/>
              </w:rPr>
              <w:br/>
              <w:t>Culture and capability: Employees may face additional questions and need confidence in explaining the tool’s actual role. Trust depends on accurate communication, accessible escalation and visible respect for human judgement.</w:t>
            </w:r>
            <w:r w:rsidRPr="005915FA">
              <w:rPr>
                <w:rFonts w:ascii="Calibri" w:eastAsia="MS Mincho" w:hAnsi="Calibri" w:cs="Times New Roman"/>
                <w:lang w:val="en-US"/>
              </w:rPr>
              <w:br/>
            </w:r>
            <w:r w:rsidRPr="005915FA">
              <w:rPr>
                <w:rFonts w:ascii="Calibri" w:eastAsia="MS Mincho" w:hAnsi="Calibri" w:cs="Times New Roman"/>
                <w:lang w:val="en-US"/>
              </w:rPr>
              <w:br/>
              <w:t>Critical evaluation and evidence needed: Distinguish sector-wide reputational pressure from problems caused by the bank’s own implementation. Avoid overstating benefits or implying that oversight removes all risk; use clear explanations supported by actual practice.</w:t>
            </w:r>
          </w:p>
        </w:tc>
      </w:tr>
    </w:tbl>
    <w:p w14:paraId="47E5325E" w14:textId="77777777" w:rsidR="0062205D" w:rsidRDefault="0062205D" w:rsidP="00DE375C">
      <w:pPr>
        <w:spacing w:after="120" w:line="276" w:lineRule="auto"/>
        <w:rPr>
          <w:rFonts w:ascii="Calibri" w:eastAsia="MS Mincho" w:hAnsi="Calibri" w:cs="Times New Roman"/>
          <w:lang w:val="en-US"/>
        </w:rPr>
      </w:pPr>
    </w:p>
    <w:p w14:paraId="694B5C7A" w14:textId="77777777" w:rsidR="0062205D" w:rsidRDefault="0062205D" w:rsidP="00DE375C">
      <w:pPr>
        <w:spacing w:after="120" w:line="276" w:lineRule="auto"/>
        <w:rPr>
          <w:rFonts w:ascii="Calibri" w:eastAsia="MS Mincho" w:hAnsi="Calibri" w:cs="Times New Roman"/>
          <w:lang w:val="en-US"/>
        </w:rPr>
      </w:pPr>
    </w:p>
    <w:p w14:paraId="095E25C5" w14:textId="77777777" w:rsidR="00B529CA" w:rsidRDefault="00B529CA" w:rsidP="00B529CA">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Bank of England. (2024, November 21). </w:t>
      </w:r>
      <w:r w:rsidRPr="00890D95">
        <w:rPr>
          <w:rFonts w:ascii="Times New Roman" w:eastAsia="Times New Roman" w:hAnsi="Times New Roman" w:cs="Times New Roman"/>
          <w:i/>
          <w:iCs/>
          <w:sz w:val="24"/>
          <w:szCs w:val="24"/>
          <w:lang w:eastAsia="en-GB"/>
        </w:rPr>
        <w:t>Artificial intelligence in UK financial services - 2024</w:t>
      </w:r>
      <w:r w:rsidRPr="00890D95">
        <w:rPr>
          <w:rFonts w:ascii="Times New Roman" w:eastAsia="Times New Roman" w:hAnsi="Times New Roman" w:cs="Times New Roman"/>
          <w:sz w:val="24"/>
          <w:szCs w:val="24"/>
          <w:lang w:eastAsia="en-GB"/>
        </w:rPr>
        <w:t xml:space="preserve">. Bankofengland.Co.Uk. </w:t>
      </w:r>
      <w:hyperlink r:id="rId45" w:history="1">
        <w:r w:rsidRPr="00890D95">
          <w:rPr>
            <w:rStyle w:val="Hyperlink"/>
            <w:rFonts w:ascii="Times New Roman" w:eastAsia="Times New Roman" w:hAnsi="Times New Roman" w:cs="Times New Roman"/>
            <w:sz w:val="24"/>
            <w:szCs w:val="24"/>
            <w:lang w:eastAsia="en-GB"/>
          </w:rPr>
          <w:t>https://www.bankofengland.co.uk/report/2024/artificial-intelligence-in-uk-financial-services-2024</w:t>
        </w:r>
      </w:hyperlink>
    </w:p>
    <w:p w14:paraId="7BDBB6A0" w14:textId="77777777" w:rsidR="00B529CA" w:rsidRPr="00890D95" w:rsidRDefault="00B529CA" w:rsidP="00B529CA">
      <w:pPr>
        <w:spacing w:after="0" w:line="240" w:lineRule="auto"/>
        <w:rPr>
          <w:rFonts w:ascii="Times New Roman" w:eastAsia="Times New Roman" w:hAnsi="Times New Roman" w:cs="Times New Roman"/>
          <w:sz w:val="24"/>
          <w:szCs w:val="24"/>
          <w:lang w:eastAsia="en-GB"/>
        </w:rPr>
      </w:pPr>
    </w:p>
    <w:p w14:paraId="36FA23F1" w14:textId="77777777" w:rsidR="00B529CA" w:rsidRDefault="00B529CA" w:rsidP="00B529CA">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Bank, S. (2026a). </w:t>
      </w:r>
      <w:r w:rsidRPr="00890D95">
        <w:rPr>
          <w:rFonts w:ascii="Times New Roman" w:eastAsia="Times New Roman" w:hAnsi="Times New Roman" w:cs="Times New Roman"/>
          <w:i/>
          <w:iCs/>
          <w:sz w:val="24"/>
          <w:szCs w:val="24"/>
          <w:lang w:eastAsia="en-GB"/>
        </w:rPr>
        <w:t>Starling Bank</w:t>
      </w:r>
      <w:r w:rsidRPr="00890D95">
        <w:rPr>
          <w:rFonts w:ascii="Times New Roman" w:eastAsia="Times New Roman" w:hAnsi="Times New Roman" w:cs="Times New Roman"/>
          <w:sz w:val="24"/>
          <w:szCs w:val="24"/>
          <w:lang w:eastAsia="en-GB"/>
        </w:rPr>
        <w:t xml:space="preserve">. Starling Bank. </w:t>
      </w:r>
      <w:hyperlink r:id="rId46" w:history="1">
        <w:r w:rsidRPr="00890D95">
          <w:rPr>
            <w:rStyle w:val="Hyperlink"/>
            <w:rFonts w:ascii="Times New Roman" w:eastAsia="Times New Roman" w:hAnsi="Times New Roman" w:cs="Times New Roman"/>
            <w:sz w:val="24"/>
            <w:szCs w:val="24"/>
            <w:lang w:eastAsia="en-GB"/>
          </w:rPr>
          <w:t>https://www.starlingbank.com/investors/2026/annual-report-2026/</w:t>
        </w:r>
      </w:hyperlink>
    </w:p>
    <w:p w14:paraId="3541AC4B" w14:textId="77777777" w:rsidR="00B529CA" w:rsidRPr="00890D95" w:rsidRDefault="00B529CA" w:rsidP="00B529CA">
      <w:pPr>
        <w:spacing w:after="0" w:line="240" w:lineRule="auto"/>
        <w:ind w:left="720" w:hanging="720"/>
        <w:rPr>
          <w:rFonts w:ascii="Times New Roman" w:eastAsia="Times New Roman" w:hAnsi="Times New Roman" w:cs="Times New Roman"/>
          <w:sz w:val="24"/>
          <w:szCs w:val="24"/>
          <w:lang w:eastAsia="en-GB"/>
        </w:rPr>
      </w:pPr>
    </w:p>
    <w:p w14:paraId="337B879F" w14:textId="77777777" w:rsidR="00B529CA" w:rsidRDefault="00B529CA" w:rsidP="00B529CA">
      <w:pPr>
        <w:spacing w:after="0" w:line="240" w:lineRule="auto"/>
        <w:ind w:left="720" w:hanging="720"/>
        <w:rPr>
          <w:rFonts w:ascii="Times New Roman" w:eastAsia="Times New Roman" w:hAnsi="Times New Roman" w:cs="Times New Roman"/>
          <w:sz w:val="24"/>
          <w:szCs w:val="24"/>
          <w:lang w:eastAsia="en-GB"/>
        </w:rPr>
      </w:pPr>
      <w:r w:rsidRPr="00890D95">
        <w:rPr>
          <w:rFonts w:ascii="Times New Roman" w:eastAsia="Times New Roman" w:hAnsi="Times New Roman" w:cs="Times New Roman"/>
          <w:sz w:val="24"/>
          <w:szCs w:val="24"/>
          <w:lang w:eastAsia="en-GB"/>
        </w:rPr>
        <w:t xml:space="preserve">Bank, S. (2026b). </w:t>
      </w:r>
      <w:r w:rsidRPr="00890D95">
        <w:rPr>
          <w:rFonts w:ascii="Times New Roman" w:eastAsia="Times New Roman" w:hAnsi="Times New Roman" w:cs="Times New Roman"/>
          <w:i/>
          <w:iCs/>
          <w:sz w:val="24"/>
          <w:szCs w:val="24"/>
          <w:lang w:eastAsia="en-GB"/>
        </w:rPr>
        <w:t>Starling launches UK’s first agentic AI financial assistant | starling</w:t>
      </w:r>
      <w:r w:rsidRPr="00890D95">
        <w:rPr>
          <w:rFonts w:ascii="Times New Roman" w:eastAsia="Times New Roman" w:hAnsi="Times New Roman" w:cs="Times New Roman"/>
          <w:sz w:val="24"/>
          <w:szCs w:val="24"/>
          <w:lang w:eastAsia="en-GB"/>
        </w:rPr>
        <w:t xml:space="preserve">. Starling Bank. </w:t>
      </w:r>
      <w:hyperlink r:id="rId47" w:history="1">
        <w:r w:rsidRPr="00890D95">
          <w:rPr>
            <w:rStyle w:val="Hyperlink"/>
            <w:rFonts w:ascii="Times New Roman" w:eastAsia="Times New Roman" w:hAnsi="Times New Roman" w:cs="Times New Roman"/>
            <w:sz w:val="24"/>
            <w:szCs w:val="24"/>
            <w:lang w:eastAsia="en-GB"/>
          </w:rPr>
          <w:t>https://www.starlingbank.com/news/starling-launches-agentic-ai-assistant/</w:t>
        </w:r>
      </w:hyperlink>
    </w:p>
    <w:p w14:paraId="250EB874" w14:textId="77777777" w:rsidR="00B529CA" w:rsidRPr="00890D95" w:rsidRDefault="00B529CA" w:rsidP="00B529CA">
      <w:pPr>
        <w:spacing w:after="0" w:line="240" w:lineRule="auto"/>
        <w:ind w:left="720" w:hanging="720"/>
        <w:rPr>
          <w:rFonts w:ascii="Times New Roman" w:eastAsia="Times New Roman" w:hAnsi="Times New Roman" w:cs="Times New Roman"/>
          <w:sz w:val="24"/>
          <w:szCs w:val="24"/>
          <w:lang w:eastAsia="en-GB"/>
        </w:rPr>
      </w:pPr>
    </w:p>
    <w:p w14:paraId="71098B8E" w14:textId="0B27AF95" w:rsidR="00EF5A27" w:rsidRPr="00DE375C" w:rsidRDefault="005915FA" w:rsidP="00DE375C">
      <w:pPr>
        <w:spacing w:after="120" w:line="276" w:lineRule="auto"/>
        <w:rPr>
          <w:rFonts w:ascii="Calibri" w:eastAsia="MS Mincho" w:hAnsi="Calibri" w:cs="Times New Roman"/>
          <w:lang w:val="en-US"/>
        </w:rPr>
      </w:pPr>
      <w:r w:rsidRPr="005915FA">
        <w:rPr>
          <w:rFonts w:ascii="Calibri" w:eastAsia="MS Mincho" w:hAnsi="Calibri" w:cs="Times New Roman"/>
          <w:lang w:val="en-US"/>
        </w:rPr>
        <w:br w:type="page"/>
      </w:r>
      <w:bookmarkEnd w:id="9"/>
    </w:p>
    <w:p w14:paraId="6D11E14E" w14:textId="77777777" w:rsidR="00EF5A27" w:rsidRDefault="00EF5A27" w:rsidP="00CC4B82"/>
    <w:p w14:paraId="61A7B8C5" w14:textId="5CCF0788" w:rsidR="000832C3" w:rsidRDefault="000832C3" w:rsidP="000832C3">
      <w:pPr>
        <w:pStyle w:val="Heading2"/>
      </w:pPr>
      <w:bookmarkStart w:id="15" w:name="_Hlk178774327"/>
      <w:bookmarkStart w:id="16" w:name="_Toc242640019"/>
      <w:r>
        <w:t xml:space="preserve">Appendix </w:t>
      </w:r>
      <w:r w:rsidR="005639E8">
        <w:t>C</w:t>
      </w:r>
      <w:r w:rsidR="00151F37">
        <w:t>.</w:t>
      </w:r>
      <w:r w:rsidR="001E3446">
        <w:t xml:space="preserve"> Kotter’s 8 Step Change Model</w:t>
      </w:r>
      <w:bookmarkEnd w:id="16"/>
      <w:r w:rsidR="001E3446">
        <w:t xml:space="preserve"> </w:t>
      </w:r>
    </w:p>
    <w:bookmarkEnd w:id="15"/>
    <w:p w14:paraId="736D8272" w14:textId="77777777" w:rsidR="000832C3" w:rsidRDefault="000832C3" w:rsidP="00CC4B82"/>
    <w:p w14:paraId="2B6DB9D9" w14:textId="77777777" w:rsidR="000832C3" w:rsidRDefault="000832C3" w:rsidP="00CC4B82"/>
    <w:p w14:paraId="531CAB19" w14:textId="584692D9" w:rsidR="000832C3" w:rsidRDefault="000832C3" w:rsidP="00CC4B82">
      <w:r w:rsidRPr="000832C3">
        <w:rPr>
          <w:noProof/>
        </w:rPr>
        <w:drawing>
          <wp:inline distT="0" distB="0" distL="0" distR="0" wp14:anchorId="267C793C" wp14:editId="07ED1F75">
            <wp:extent cx="5943600" cy="3962400"/>
            <wp:effectExtent l="0" t="0" r="0" b="0"/>
            <wp:docPr id="597991592" name="Picture 1" descr="A diagram of a chang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991592" name="Picture 1" descr="A diagram of a change model&#10;&#10;Description automatically generated"/>
                    <pic:cNvPicPr/>
                  </pic:nvPicPr>
                  <pic:blipFill>
                    <a:blip r:embed="rId48"/>
                    <a:stretch>
                      <a:fillRect/>
                    </a:stretch>
                  </pic:blipFill>
                  <pic:spPr>
                    <a:xfrm>
                      <a:off x="0" y="0"/>
                      <a:ext cx="5943600" cy="3962400"/>
                    </a:xfrm>
                    <a:prstGeom prst="rect">
                      <a:avLst/>
                    </a:prstGeom>
                  </pic:spPr>
                </pic:pic>
              </a:graphicData>
            </a:graphic>
          </wp:inline>
        </w:drawing>
      </w:r>
    </w:p>
    <w:p w14:paraId="71B104FA" w14:textId="77777777" w:rsidR="005F4EAB" w:rsidRDefault="005F4EAB" w:rsidP="00CC4B82"/>
    <w:p w14:paraId="659EE94F" w14:textId="77777777" w:rsidR="005F4EAB" w:rsidRDefault="005F4EAB" w:rsidP="00CC4B82"/>
    <w:p w14:paraId="10CF77A0" w14:textId="77777777" w:rsidR="005F4EAB" w:rsidRDefault="005F4EAB" w:rsidP="00CC4B82"/>
    <w:p w14:paraId="6D787C69" w14:textId="77777777" w:rsidR="009C41EE" w:rsidRDefault="009C41EE" w:rsidP="00CC4B82"/>
    <w:p w14:paraId="2D6A969A" w14:textId="77777777" w:rsidR="00DE375C" w:rsidRDefault="00DE375C" w:rsidP="00CC4B82"/>
    <w:p w14:paraId="0F3896AE" w14:textId="77777777" w:rsidR="00DE375C" w:rsidRDefault="00DE375C" w:rsidP="00CC4B82"/>
    <w:p w14:paraId="5C967393" w14:textId="77777777" w:rsidR="00DE375C" w:rsidRDefault="00DE375C" w:rsidP="00CC4B82"/>
    <w:p w14:paraId="39933D24" w14:textId="77777777" w:rsidR="00DE375C" w:rsidRDefault="00DE375C" w:rsidP="00CC4B82"/>
    <w:p w14:paraId="0F0D920D" w14:textId="77777777" w:rsidR="00DE375C" w:rsidRDefault="00DE375C" w:rsidP="00CC4B82"/>
    <w:p w14:paraId="1EC3B9B4" w14:textId="77777777" w:rsidR="005F4EAB" w:rsidRDefault="005F4EAB" w:rsidP="00CC4B82"/>
    <w:p w14:paraId="5B0B8D88" w14:textId="791630D7" w:rsidR="00E30356" w:rsidRDefault="00E30356" w:rsidP="00E30356">
      <w:pPr>
        <w:pStyle w:val="Heading2"/>
      </w:pPr>
      <w:bookmarkStart w:id="17" w:name="_Toc242640020"/>
      <w:r>
        <w:lastRenderedPageBreak/>
        <w:t xml:space="preserve">Appendix </w:t>
      </w:r>
      <w:r w:rsidR="001250B2">
        <w:t>D</w:t>
      </w:r>
      <w:r>
        <w:t xml:space="preserve">. </w:t>
      </w:r>
      <w:r w:rsidR="00746385">
        <w:t>Lewin’s Change Model</w:t>
      </w:r>
      <w:bookmarkEnd w:id="17"/>
      <w:r w:rsidR="00746385">
        <w:t xml:space="preserve"> </w:t>
      </w:r>
    </w:p>
    <w:p w14:paraId="0B9D0519" w14:textId="77777777" w:rsidR="005F4EAB" w:rsidRDefault="005F4EAB" w:rsidP="00CC4B82"/>
    <w:p w14:paraId="27FE8B3E" w14:textId="676A1707" w:rsidR="005F4EAB" w:rsidRDefault="00705BC5" w:rsidP="00CC4B82">
      <w:r w:rsidRPr="00705BC5">
        <w:rPr>
          <w:noProof/>
        </w:rPr>
        <w:drawing>
          <wp:inline distT="0" distB="0" distL="0" distR="0" wp14:anchorId="6C0262A6" wp14:editId="2253FE23">
            <wp:extent cx="5943600" cy="3903980"/>
            <wp:effectExtent l="0" t="0" r="0" b="1270"/>
            <wp:docPr id="1499463576" name="Picture 1" descr="A diagram of different stages of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63576" name="Picture 1" descr="A diagram of different stages of change&#10;&#10;Description automatically generated"/>
                    <pic:cNvPicPr/>
                  </pic:nvPicPr>
                  <pic:blipFill>
                    <a:blip r:embed="rId49"/>
                    <a:stretch>
                      <a:fillRect/>
                    </a:stretch>
                  </pic:blipFill>
                  <pic:spPr>
                    <a:xfrm>
                      <a:off x="0" y="0"/>
                      <a:ext cx="5943600" cy="3903980"/>
                    </a:xfrm>
                    <a:prstGeom prst="rect">
                      <a:avLst/>
                    </a:prstGeom>
                  </pic:spPr>
                </pic:pic>
              </a:graphicData>
            </a:graphic>
          </wp:inline>
        </w:drawing>
      </w:r>
    </w:p>
    <w:p w14:paraId="414BD73D" w14:textId="77777777" w:rsidR="005F4EAB" w:rsidRDefault="005F4EAB" w:rsidP="00CC4B82"/>
    <w:p w14:paraId="5E758428" w14:textId="77777777" w:rsidR="005F4EAB" w:rsidRDefault="005F4EAB" w:rsidP="00CC4B82"/>
    <w:p w14:paraId="3A094151" w14:textId="77777777" w:rsidR="005C5F57" w:rsidRDefault="005C5F57" w:rsidP="00CC4B82"/>
    <w:p w14:paraId="0A341FD5" w14:textId="77777777" w:rsidR="005C5F57" w:rsidRDefault="005C5F57" w:rsidP="00CC4B82"/>
    <w:p w14:paraId="63131B52" w14:textId="77777777" w:rsidR="005C5F57" w:rsidRDefault="005C5F57" w:rsidP="00CC4B82"/>
    <w:p w14:paraId="48A63C9B" w14:textId="77777777" w:rsidR="005C5F57" w:rsidRDefault="005C5F57" w:rsidP="00CC4B82"/>
    <w:p w14:paraId="59F9EEDB" w14:textId="77777777" w:rsidR="005C5F57" w:rsidRDefault="005C5F57" w:rsidP="00CC4B82"/>
    <w:p w14:paraId="0090BA81" w14:textId="77777777" w:rsidR="005C5F57" w:rsidRDefault="005C5F57" w:rsidP="00CC4B82"/>
    <w:p w14:paraId="4637606B" w14:textId="77777777" w:rsidR="005C5F57" w:rsidRDefault="005C5F57" w:rsidP="00CC4B82"/>
    <w:p w14:paraId="629DA580" w14:textId="77777777" w:rsidR="005C5F57" w:rsidRDefault="005C5F57" w:rsidP="00CC4B82"/>
    <w:p w14:paraId="6BFF3D21" w14:textId="77777777" w:rsidR="00DE375C" w:rsidRDefault="00DE375C" w:rsidP="00CC4B82"/>
    <w:p w14:paraId="562AA8B9" w14:textId="77777777" w:rsidR="00DE375C" w:rsidRDefault="00DE375C" w:rsidP="00CC4B82"/>
    <w:p w14:paraId="5B75F332" w14:textId="77777777" w:rsidR="00ED24F5" w:rsidRDefault="00ED24F5" w:rsidP="00CC4B82"/>
    <w:p w14:paraId="635295C4" w14:textId="63DEC427" w:rsidR="002216A8" w:rsidRPr="00997005" w:rsidRDefault="00122F27" w:rsidP="001338E0">
      <w:pPr>
        <w:pStyle w:val="Heading2"/>
        <w:rPr>
          <w:rFonts w:ascii="Arial" w:hAnsi="Arial" w:cs="Arial"/>
        </w:rPr>
      </w:pPr>
      <w:r>
        <w:lastRenderedPageBreak/>
        <w:br/>
      </w:r>
      <w:bookmarkStart w:id="18" w:name="_Toc242640021"/>
      <w:r w:rsidR="00997005" w:rsidRPr="00997005">
        <w:rPr>
          <w:rFonts w:ascii="Arial" w:hAnsi="Arial" w:cs="Arial"/>
        </w:rPr>
        <w:t xml:space="preserve">Appendix E - </w:t>
      </w:r>
      <w:r w:rsidRPr="00997005">
        <w:rPr>
          <w:rFonts w:ascii="Arial" w:hAnsi="Arial" w:cs="Arial"/>
        </w:rPr>
        <w:t>Stakeholders Anal</w:t>
      </w:r>
      <w:r w:rsidR="001338E0" w:rsidRPr="00997005">
        <w:rPr>
          <w:rFonts w:ascii="Arial" w:hAnsi="Arial" w:cs="Arial"/>
        </w:rPr>
        <w:t>ysis</w:t>
      </w:r>
      <w:bookmarkEnd w:id="18"/>
      <w:r w:rsidR="001338E0" w:rsidRPr="00997005">
        <w:rPr>
          <w:rFonts w:ascii="Arial" w:hAnsi="Arial" w:cs="Arial"/>
        </w:rPr>
        <w:t xml:space="preserve"> </w:t>
      </w:r>
    </w:p>
    <w:p w14:paraId="51B3DF1A" w14:textId="2265ADC6" w:rsidR="00D73BF8" w:rsidRPr="00D73BF8" w:rsidRDefault="00D73BF8" w:rsidP="00D73BF8">
      <w:pPr>
        <w:spacing w:after="0" w:line="240" w:lineRule="auto"/>
        <w:textAlignment w:val="center"/>
        <w:rPr>
          <w:rFonts w:ascii="Times New Roman" w:eastAsia="Times New Roman" w:hAnsi="Times New Roman" w:cs="Times New Roman"/>
          <w:sz w:val="24"/>
          <w:szCs w:val="24"/>
          <w:lang w:eastAsia="en-GB"/>
        </w:rPr>
      </w:pPr>
    </w:p>
    <w:p w14:paraId="24277E94" w14:textId="54A739AA" w:rsidR="00D73BF8" w:rsidRDefault="00D73BF8" w:rsidP="00CC4B82"/>
    <w:p w14:paraId="3E17408C" w14:textId="1A32727E" w:rsidR="008F4086" w:rsidRDefault="008F4086" w:rsidP="008F4086">
      <w:pPr>
        <w:rPr>
          <w:b/>
          <w:bCs/>
          <w:lang w:val="en-US"/>
        </w:rPr>
      </w:pPr>
      <w:r w:rsidRPr="008F4086">
        <w:rPr>
          <w:b/>
          <w:bCs/>
          <w:lang w:val="en-US"/>
        </w:rPr>
        <w:t xml:space="preserve">Stakeholder </w:t>
      </w:r>
      <w:r w:rsidR="00EE6136">
        <w:rPr>
          <w:b/>
          <w:bCs/>
          <w:lang w:val="en-US"/>
        </w:rPr>
        <w:t>Analysis</w:t>
      </w:r>
    </w:p>
    <w:tbl>
      <w:tblPr>
        <w:tblW w:w="10768" w:type="dxa"/>
        <w:tblLayout w:type="fixed"/>
        <w:tblLook w:val="04A0" w:firstRow="1" w:lastRow="0" w:firstColumn="1" w:lastColumn="0" w:noHBand="0" w:noVBand="1"/>
      </w:tblPr>
      <w:tblGrid>
        <w:gridCol w:w="1838"/>
        <w:gridCol w:w="2410"/>
        <w:gridCol w:w="1701"/>
        <w:gridCol w:w="1701"/>
        <w:gridCol w:w="3118"/>
      </w:tblGrid>
      <w:tr w:rsidR="001F23FE" w:rsidRPr="001F23FE" w14:paraId="16778278" w14:textId="77777777" w:rsidTr="002978CC">
        <w:trPr>
          <w:cantSplit/>
          <w:tblHeader/>
        </w:trPr>
        <w:tc>
          <w:tcPr>
            <w:tcW w:w="1838" w:type="dxa"/>
            <w:tcBorders>
              <w:top w:val="single" w:sz="4" w:space="0" w:color="D9D9D9"/>
              <w:left w:val="single" w:sz="4" w:space="0" w:color="D9D9D9"/>
              <w:bottom w:val="single" w:sz="4" w:space="0" w:color="D9D9D9"/>
              <w:right w:val="single" w:sz="4" w:space="0" w:color="D9D9D9"/>
            </w:tcBorders>
            <w:shd w:val="clear" w:color="auto" w:fill="DCE6F1"/>
            <w:tcMar>
              <w:top w:w="90" w:type="dxa"/>
              <w:left w:w="90" w:type="dxa"/>
              <w:bottom w:w="90" w:type="dxa"/>
              <w:right w:w="90" w:type="dxa"/>
            </w:tcMar>
            <w:vAlign w:val="center"/>
          </w:tcPr>
          <w:p w14:paraId="031B693B" w14:textId="439CBC68"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Stakeholder and interests</w:t>
            </w:r>
          </w:p>
        </w:tc>
        <w:tc>
          <w:tcPr>
            <w:tcW w:w="2410" w:type="dxa"/>
            <w:tcBorders>
              <w:top w:val="single" w:sz="4" w:space="0" w:color="D9D9D9"/>
              <w:left w:val="single" w:sz="4" w:space="0" w:color="D9D9D9"/>
              <w:bottom w:val="single" w:sz="4" w:space="0" w:color="D9D9D9"/>
              <w:right w:val="single" w:sz="4" w:space="0" w:color="D9D9D9"/>
            </w:tcBorders>
            <w:shd w:val="clear" w:color="auto" w:fill="DCE6F1"/>
            <w:tcMar>
              <w:top w:w="90" w:type="dxa"/>
              <w:left w:w="90" w:type="dxa"/>
              <w:bottom w:w="90" w:type="dxa"/>
              <w:right w:w="90" w:type="dxa"/>
            </w:tcMar>
            <w:vAlign w:val="center"/>
          </w:tcPr>
          <w:p w14:paraId="4DA0A9D7"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Power legitimacy and urgency</w:t>
            </w:r>
          </w:p>
        </w:tc>
        <w:tc>
          <w:tcPr>
            <w:tcW w:w="1701" w:type="dxa"/>
            <w:tcBorders>
              <w:top w:val="single" w:sz="4" w:space="0" w:color="D9D9D9"/>
              <w:left w:val="single" w:sz="4" w:space="0" w:color="D9D9D9"/>
              <w:bottom w:val="single" w:sz="4" w:space="0" w:color="D9D9D9"/>
              <w:right w:val="single" w:sz="4" w:space="0" w:color="D9D9D9"/>
            </w:tcBorders>
            <w:shd w:val="clear" w:color="auto" w:fill="DCE6F1"/>
            <w:tcMar>
              <w:top w:w="90" w:type="dxa"/>
              <w:left w:w="90" w:type="dxa"/>
              <w:bottom w:w="90" w:type="dxa"/>
              <w:right w:w="90" w:type="dxa"/>
            </w:tcMar>
            <w:vAlign w:val="center"/>
          </w:tcPr>
          <w:p w14:paraId="27A079CC"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Provisional salience</w:t>
            </w:r>
          </w:p>
        </w:tc>
        <w:tc>
          <w:tcPr>
            <w:tcW w:w="1701" w:type="dxa"/>
            <w:tcBorders>
              <w:top w:val="single" w:sz="4" w:space="0" w:color="D9D9D9"/>
              <w:left w:val="single" w:sz="4" w:space="0" w:color="D9D9D9"/>
              <w:bottom w:val="single" w:sz="4" w:space="0" w:color="D9D9D9"/>
              <w:right w:val="single" w:sz="4" w:space="0" w:color="D9D9D9"/>
            </w:tcBorders>
            <w:shd w:val="clear" w:color="auto" w:fill="DCE6F1"/>
            <w:tcMar>
              <w:top w:w="90" w:type="dxa"/>
              <w:left w:w="90" w:type="dxa"/>
              <w:bottom w:w="90" w:type="dxa"/>
              <w:right w:w="90" w:type="dxa"/>
            </w:tcMar>
            <w:vAlign w:val="center"/>
          </w:tcPr>
          <w:p w14:paraId="526D45AC"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Potential responses</w:t>
            </w:r>
          </w:p>
        </w:tc>
        <w:tc>
          <w:tcPr>
            <w:tcW w:w="3118" w:type="dxa"/>
            <w:tcBorders>
              <w:top w:val="single" w:sz="4" w:space="0" w:color="D9D9D9"/>
              <w:left w:val="single" w:sz="4" w:space="0" w:color="D9D9D9"/>
              <w:bottom w:val="single" w:sz="4" w:space="0" w:color="D9D9D9"/>
              <w:right w:val="single" w:sz="4" w:space="0" w:color="D9D9D9"/>
            </w:tcBorders>
            <w:shd w:val="clear" w:color="auto" w:fill="DCE6F1"/>
            <w:tcMar>
              <w:top w:w="90" w:type="dxa"/>
              <w:left w:w="90" w:type="dxa"/>
              <w:bottom w:w="90" w:type="dxa"/>
              <w:right w:w="90" w:type="dxa"/>
            </w:tcMar>
            <w:vAlign w:val="center"/>
          </w:tcPr>
          <w:p w14:paraId="4516CB0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Recommended leadership and evidence</w:t>
            </w:r>
          </w:p>
        </w:tc>
      </w:tr>
      <w:tr w:rsidR="001F23FE" w:rsidRPr="001F23FE" w14:paraId="4A770346"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01D4EE8B"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Onboarding employees directly affected by role reduction or redundancy</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Fair treatment, timely consultation, clarity about employment, support and realistic redeployment opportunities.</w:t>
            </w:r>
          </w:p>
        </w:tc>
        <w:tc>
          <w:tcPr>
            <w:tcW w:w="2410"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60CFFFC5"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limited formal authority; collective voice and operational expertise may increase influence.</w:t>
            </w:r>
            <w:r w:rsidRPr="001F23FE">
              <w:rPr>
                <w:rFonts w:ascii="Arial" w:eastAsia="MS Mincho" w:hAnsi="Arial" w:cs="Arial"/>
                <w:sz w:val="16"/>
                <w:szCs w:val="16"/>
                <w:lang w:val="en-US"/>
              </w:rPr>
              <w:br/>
              <w:t>Legitimacy: present through the employment relationship and direct consequences.</w:t>
            </w:r>
            <w:r w:rsidRPr="001F23FE">
              <w:rPr>
                <w:rFonts w:ascii="Arial" w:eastAsia="MS Mincho" w:hAnsi="Arial" w:cs="Arial"/>
                <w:sz w:val="16"/>
                <w:szCs w:val="16"/>
                <w:lang w:val="en-US"/>
              </w:rPr>
              <w:br/>
              <w:t>Urgency: present where decisions or consultation deadlines are imminent.</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26940807"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Dependent where legitimacy and urgency are present but power is limited. May become definitive if effective collective power develops.</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1804CEC2"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anxiety, loss of control, anger or grief. Responses vary; do not assume all affected employees feel the same.</w:t>
            </w:r>
          </w:p>
        </w:tc>
        <w:tc>
          <w:tcPr>
            <w:tcW w:w="311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0B7CB6A1"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Consult before relevant decisions where required; explain decision criteria and uncertainties; provide individual discussions and appropriate HR support. Consider feasible redeployment and training. Evidence: consultation records, themes from confidential feedback and clarity of next steps.</w:t>
            </w:r>
          </w:p>
        </w:tc>
      </w:tr>
      <w:tr w:rsidR="001F23FE" w:rsidRPr="001F23FE" w14:paraId="1D5C26F0"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52C56487"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Onboarding employees remaining in post</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Manageable workload, meaningful work, role clarity, development, fair performance measures and confidence in continued employment.</w:t>
            </w:r>
          </w:p>
        </w:tc>
        <w:tc>
          <w:tcPr>
            <w:tcW w:w="2410"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79AE6F8C"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operational expertise and cooperation can influence implementation; formal decision power may be limited.</w:t>
            </w:r>
            <w:r w:rsidRPr="001F23FE">
              <w:rPr>
                <w:rFonts w:ascii="Arial" w:eastAsia="MS Mincho" w:hAnsi="Arial" w:cs="Arial"/>
                <w:sz w:val="16"/>
                <w:szCs w:val="16"/>
                <w:lang w:val="en-US"/>
              </w:rPr>
              <w:br/>
              <w:t>Legitimacy: present because tasks and working conditions change.</w:t>
            </w:r>
            <w:r w:rsidRPr="001F23FE">
              <w:rPr>
                <w:rFonts w:ascii="Arial" w:eastAsia="MS Mincho" w:hAnsi="Arial" w:cs="Arial"/>
                <w:sz w:val="16"/>
                <w:szCs w:val="16"/>
                <w:lang w:val="en-US"/>
              </w:rPr>
              <w:br/>
              <w:t>Urgency: present when new duties begin or unresolved problems affect work.</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33FA4C44"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Dependent during urgent transition where power is limited. Discretionary if only legitimacy is established. Assess informal influence rather than automatically classifying staff as powerless.</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244C90AA"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 xml:space="preserve">Potential survivor guilt, insecurity, </w:t>
            </w:r>
            <w:proofErr w:type="spellStart"/>
            <w:r w:rsidRPr="001F23FE">
              <w:rPr>
                <w:rFonts w:ascii="Arial" w:eastAsia="MS Mincho" w:hAnsi="Arial" w:cs="Arial"/>
                <w:sz w:val="16"/>
                <w:szCs w:val="16"/>
                <w:lang w:val="en-US"/>
              </w:rPr>
              <w:t>scepticism</w:t>
            </w:r>
            <w:proofErr w:type="spellEnd"/>
            <w:r w:rsidRPr="001F23FE">
              <w:rPr>
                <w:rFonts w:ascii="Arial" w:eastAsia="MS Mincho" w:hAnsi="Arial" w:cs="Arial"/>
                <w:sz w:val="16"/>
                <w:szCs w:val="16"/>
                <w:lang w:val="en-US"/>
              </w:rPr>
              <w:t xml:space="preserve"> or enthusiasm about reduced repetitive work.</w:t>
            </w:r>
          </w:p>
        </w:tc>
        <w:tc>
          <w:tcPr>
            <w:tcW w:w="311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285699EF"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Involve a representative range of staff in workflow design and testing. Protect training time, explain escalation and avoid throughput-only targets. Maintain opportunities to challenge results. Evidence: confidence, workload, quality, rework and staff feedback.</w:t>
            </w:r>
          </w:p>
        </w:tc>
      </w:tr>
      <w:tr w:rsidR="001F23FE" w:rsidRPr="001F23FE" w14:paraId="636DFD14"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734E991B"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Onboarding team leaders and operational managers</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Service continuity, staffing capacity, team wellbeing, quality, productivity and delivery of the change.</w:t>
            </w:r>
          </w:p>
        </w:tc>
        <w:tc>
          <w:tcPr>
            <w:tcW w:w="2410"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29548B6F"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present through work allocation, local decisions and performance management, subject to delegated authority.</w:t>
            </w:r>
            <w:r w:rsidRPr="001F23FE">
              <w:rPr>
                <w:rFonts w:ascii="Arial" w:eastAsia="MS Mincho" w:hAnsi="Arial" w:cs="Arial"/>
                <w:sz w:val="16"/>
                <w:szCs w:val="16"/>
                <w:lang w:val="en-US"/>
              </w:rPr>
              <w:br/>
              <w:t>Legitimacy: present through operational responsibility.</w:t>
            </w:r>
            <w:r w:rsidRPr="001F23FE">
              <w:rPr>
                <w:rFonts w:ascii="Arial" w:eastAsia="MS Mincho" w:hAnsi="Arial" w:cs="Arial"/>
                <w:sz w:val="16"/>
                <w:szCs w:val="16"/>
                <w:lang w:val="en-US"/>
              </w:rPr>
              <w:br/>
              <w:t>Urgency: present during rollout, staffing transitions or service disruption.</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2B75E71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Definitive during active implementation when all three attributes are present; dominant where urgency is not established.</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652EEE9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pressure between delivery targets and supporting employees; concern about losing experienced staff.</w:t>
            </w:r>
          </w:p>
        </w:tc>
        <w:tc>
          <w:tcPr>
            <w:tcW w:w="311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5483E827"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Include managers in the change coalition and capacity planning. Give them clear authority, support and consistent messages; equip them for difficult conversations. Evidence: manageable staffing plans, completed escalations, service stability and employee feedback.</w:t>
            </w:r>
          </w:p>
        </w:tc>
      </w:tr>
      <w:tr w:rsidR="001F23FE" w:rsidRPr="001F23FE" w14:paraId="6E0ED8C5"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0D92CB19"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Executive sponsor and senior leadership</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 xml:space="preserve">Strategic value, sustainable costs, customer trust, risk appetite and </w:t>
            </w:r>
            <w:proofErr w:type="spellStart"/>
            <w:r w:rsidRPr="001F23FE">
              <w:rPr>
                <w:rFonts w:ascii="Arial" w:eastAsia="MS Mincho" w:hAnsi="Arial" w:cs="Arial"/>
                <w:b/>
                <w:sz w:val="16"/>
                <w:szCs w:val="16"/>
                <w:lang w:val="en-US"/>
              </w:rPr>
              <w:t>organisational</w:t>
            </w:r>
            <w:proofErr w:type="spellEnd"/>
            <w:r w:rsidRPr="001F23FE">
              <w:rPr>
                <w:rFonts w:ascii="Arial" w:eastAsia="MS Mincho" w:hAnsi="Arial" w:cs="Arial"/>
                <w:b/>
                <w:sz w:val="16"/>
                <w:szCs w:val="16"/>
                <w:lang w:val="en-US"/>
              </w:rPr>
              <w:t xml:space="preserve"> reputation.</w:t>
            </w:r>
          </w:p>
        </w:tc>
        <w:tc>
          <w:tcPr>
            <w:tcW w:w="2410"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538647F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present through sponsorship, investment and strategic decisions.</w:t>
            </w:r>
            <w:r w:rsidRPr="001F23FE">
              <w:rPr>
                <w:rFonts w:ascii="Arial" w:eastAsia="MS Mincho" w:hAnsi="Arial" w:cs="Arial"/>
                <w:sz w:val="16"/>
                <w:szCs w:val="16"/>
                <w:lang w:val="en-US"/>
              </w:rPr>
              <w:br/>
              <w:t>Legitimacy: present through governance responsibilities.</w:t>
            </w:r>
            <w:r w:rsidRPr="001F23FE">
              <w:rPr>
                <w:rFonts w:ascii="Arial" w:eastAsia="MS Mincho" w:hAnsi="Arial" w:cs="Arial"/>
                <w:sz w:val="16"/>
                <w:szCs w:val="16"/>
                <w:lang w:val="en-US"/>
              </w:rPr>
              <w:br/>
              <w:t>Urgency: conditional on actual milestones, material risks or decisions.</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618385F3"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Dominant as a baseline; definitive when a time-sensitive, critical claim is established. Seniority alone does not demonstrate urgency.</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0DB6B67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confidence in efficiency gains alongside concern about costs, reputational harm or unsuccessful delivery.</w:t>
            </w:r>
          </w:p>
        </w:tc>
        <w:tc>
          <w:tcPr>
            <w:tcW w:w="311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35829805"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Agree a balanced business case and clear accountability. Review benefits, workforce consequences and controls together. Set decision gates and communicate material changes honestly. Evidence: benefit assumptions tested, documented decisions and response to workforce concerns.</w:t>
            </w:r>
          </w:p>
        </w:tc>
      </w:tr>
      <w:tr w:rsidR="001F23FE" w:rsidRPr="001F23FE" w14:paraId="753D0790"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4A9EFF6B" w14:textId="295DC6FC" w:rsidR="001F23FE" w:rsidRPr="001F23FE" w:rsidRDefault="003B01BC" w:rsidP="001F23FE">
            <w:pPr>
              <w:spacing w:after="80" w:line="240" w:lineRule="auto"/>
              <w:rPr>
                <w:rFonts w:ascii="Arial" w:eastAsia="MS Mincho" w:hAnsi="Arial" w:cs="Arial"/>
                <w:b/>
                <w:sz w:val="16"/>
                <w:szCs w:val="16"/>
                <w:lang w:val="en-US"/>
              </w:rPr>
            </w:pPr>
            <w:r>
              <w:rPr>
                <w:rFonts w:ascii="Arial" w:eastAsia="MS Mincho" w:hAnsi="Arial" w:cs="Arial"/>
                <w:b/>
                <w:sz w:val="16"/>
                <w:szCs w:val="16"/>
                <w:lang w:val="en-US"/>
              </w:rPr>
              <w:lastRenderedPageBreak/>
              <w:t>c</w:t>
            </w:r>
            <w:r w:rsidR="001F23FE" w:rsidRPr="001F23FE">
              <w:rPr>
                <w:rFonts w:ascii="Arial" w:eastAsia="MS Mincho" w:hAnsi="Arial" w:cs="Arial"/>
                <w:b/>
                <w:sz w:val="16"/>
                <w:szCs w:val="16"/>
                <w:lang w:val="en-US"/>
              </w:rPr>
              <w:t>ompliance, financial crime and risk functions</w:t>
            </w:r>
            <w:r w:rsidR="001F23FE" w:rsidRPr="001F23FE">
              <w:rPr>
                <w:rFonts w:ascii="Arial" w:eastAsia="MS Mincho" w:hAnsi="Arial" w:cs="Arial"/>
                <w:b/>
                <w:sz w:val="16"/>
                <w:szCs w:val="16"/>
                <w:lang w:val="en-US"/>
              </w:rPr>
              <w:br/>
            </w:r>
            <w:r w:rsidR="001F23FE" w:rsidRPr="001F23FE">
              <w:rPr>
                <w:rFonts w:ascii="Arial" w:eastAsia="MS Mincho" w:hAnsi="Arial" w:cs="Arial"/>
                <w:b/>
                <w:sz w:val="16"/>
                <w:szCs w:val="16"/>
                <w:lang w:val="en-US"/>
              </w:rPr>
              <w:br/>
              <w:t>Reliable customer due diligence, acceptable risk, clear controls, auditability and appropriate escalation.</w:t>
            </w:r>
          </w:p>
        </w:tc>
        <w:tc>
          <w:tcPr>
            <w:tcW w:w="2410"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50B97D78"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present where approval, challenge or escalation authority exists; verify actual mandate.</w:t>
            </w:r>
            <w:r w:rsidRPr="001F23FE">
              <w:rPr>
                <w:rFonts w:ascii="Arial" w:eastAsia="MS Mincho" w:hAnsi="Arial" w:cs="Arial"/>
                <w:sz w:val="16"/>
                <w:szCs w:val="16"/>
                <w:lang w:val="en-US"/>
              </w:rPr>
              <w:br/>
              <w:t>Legitimacy: present through control responsibilities.</w:t>
            </w:r>
            <w:r w:rsidRPr="001F23FE">
              <w:rPr>
                <w:rFonts w:ascii="Arial" w:eastAsia="MS Mincho" w:hAnsi="Arial" w:cs="Arial"/>
                <w:sz w:val="16"/>
                <w:szCs w:val="16"/>
                <w:lang w:val="en-US"/>
              </w:rPr>
              <w:br/>
              <w:t>Urgency: present for material control issues or pending approval decisions.</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770F3703"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Definitive at material risk or approval points if all attributes exist; dominant during routine oversight.</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1DBE66CD"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concern about inaccurate outcomes, insufficient evidence or pressure to approve prematurely.</w:t>
            </w:r>
          </w:p>
        </w:tc>
        <w:tc>
          <w:tcPr>
            <w:tcW w:w="311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2C7A91ED"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Engage from design through evaluation. Agree acceptance criteria, exceptions, monitoring and responsibility for residual risks. Enable independent challenge. Evidence: resolved findings, exception quality and documented approval conditions; do not equate approval with zero risk.</w:t>
            </w:r>
          </w:p>
        </w:tc>
      </w:tr>
      <w:tr w:rsidR="001F23FE" w:rsidRPr="001F23FE" w14:paraId="0A57387A"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415810AE"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Technology, AI delivery, information security and data protection specialists</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Reliable integration, secure information handling, suitable performance, maintainability and manageable technical dependencies.</w:t>
            </w:r>
          </w:p>
        </w:tc>
        <w:tc>
          <w:tcPr>
            <w:tcW w:w="2410"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6A84B64E"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technical expertise and system access can confer influence; specific decision rights differ.</w:t>
            </w:r>
            <w:r w:rsidRPr="001F23FE">
              <w:rPr>
                <w:rFonts w:ascii="Arial" w:eastAsia="MS Mincho" w:hAnsi="Arial" w:cs="Arial"/>
                <w:sz w:val="16"/>
                <w:szCs w:val="16"/>
                <w:lang w:val="en-US"/>
              </w:rPr>
              <w:br/>
              <w:t>Legitimacy: present through delivery and specialist responsibilities.</w:t>
            </w:r>
            <w:r w:rsidRPr="001F23FE">
              <w:rPr>
                <w:rFonts w:ascii="Arial" w:eastAsia="MS Mincho" w:hAnsi="Arial" w:cs="Arial"/>
                <w:sz w:val="16"/>
                <w:szCs w:val="16"/>
                <w:lang w:val="en-US"/>
              </w:rPr>
              <w:br/>
              <w:t>Urgency: present during critical defects, incidents or release decisions.</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0052B90A"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Dominant where power and legitimacy exist; definitive during critical incidents or release decisions. Separate specialist roles in the final analysis if mandates differ substantially.</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00915AED"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enthusiasm, delivery pressure or frustration over unclear requirements and unrealistic timelines.</w:t>
            </w:r>
          </w:p>
        </w:tc>
        <w:tc>
          <w:tcPr>
            <w:tcW w:w="311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6359E29B"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Co-design requirements with operations and control teams. Test relevant cases, document limitations and control changes. Establish incident and fallback procedures. Evidence: issue resolution, access controls, monitoring and usable operational guidance.</w:t>
            </w:r>
          </w:p>
        </w:tc>
      </w:tr>
      <w:tr w:rsidR="001F23FE" w:rsidRPr="001F23FE" w14:paraId="3C79D533"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4F1E692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Human resources and learning teams</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Fair workforce processes, effective consultation, development, wellbeing and alignment of roles with required skills.</w:t>
            </w:r>
          </w:p>
        </w:tc>
        <w:tc>
          <w:tcPr>
            <w:tcW w:w="2410"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5CB4C5EC"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present where HR or learning teams influence workforce decisions or training resources; confirm authority.</w:t>
            </w:r>
            <w:r w:rsidRPr="001F23FE">
              <w:rPr>
                <w:rFonts w:ascii="Arial" w:eastAsia="MS Mincho" w:hAnsi="Arial" w:cs="Arial"/>
                <w:sz w:val="16"/>
                <w:szCs w:val="16"/>
                <w:lang w:val="en-US"/>
              </w:rPr>
              <w:br/>
              <w:t>Legitimacy: present through workforce responsibilities.</w:t>
            </w:r>
            <w:r w:rsidRPr="001F23FE">
              <w:rPr>
                <w:rFonts w:ascii="Arial" w:eastAsia="MS Mincho" w:hAnsi="Arial" w:cs="Arial"/>
                <w:sz w:val="16"/>
                <w:szCs w:val="16"/>
                <w:lang w:val="en-US"/>
              </w:rPr>
              <w:br/>
              <w:t>Urgency: present during staffing decisions, consultation or training deadlines.</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1E19D6E3"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Definitive at urgent workforce decisions where power is established; dependent if advice lacks decision influence but claims are legitimate and urgent.</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6055885F"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 xml:space="preserve">Potential concern about employee harm, credibility of support and balancing </w:t>
            </w:r>
            <w:proofErr w:type="spellStart"/>
            <w:r w:rsidRPr="001F23FE">
              <w:rPr>
                <w:rFonts w:ascii="Arial" w:eastAsia="MS Mincho" w:hAnsi="Arial" w:cs="Arial"/>
                <w:sz w:val="16"/>
                <w:szCs w:val="16"/>
                <w:lang w:val="en-US"/>
              </w:rPr>
              <w:t>organisational</w:t>
            </w:r>
            <w:proofErr w:type="spellEnd"/>
            <w:r w:rsidRPr="001F23FE">
              <w:rPr>
                <w:rFonts w:ascii="Arial" w:eastAsia="MS Mincho" w:hAnsi="Arial" w:cs="Arial"/>
                <w:sz w:val="16"/>
                <w:szCs w:val="16"/>
                <w:lang w:val="en-US"/>
              </w:rPr>
              <w:t xml:space="preserve"> and individual needs.</w:t>
            </w:r>
          </w:p>
        </w:tc>
        <w:tc>
          <w:tcPr>
            <w:tcW w:w="311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4C5D9068"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Integrate HR into workforce planning from the outset. Assess skill needs, support managers and evaluate feasible redeployment. Judge learning through practical competence. Evidence: training application, consultation follow-through and access to support.</w:t>
            </w:r>
          </w:p>
        </w:tc>
      </w:tr>
      <w:tr w:rsidR="001F23FE" w:rsidRPr="001F23FE" w14:paraId="385B1B42"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28F4E330"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Customers, including those needing additional onboarding support</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Secure, accurate, accessible verification; timely account access; clear explanations and meaningful assistance.</w:t>
            </w:r>
          </w:p>
        </w:tc>
        <w:tc>
          <w:tcPr>
            <w:tcW w:w="2410"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55BC8439"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usually limited individually; complaints and collective action may increase influence.</w:t>
            </w:r>
            <w:r w:rsidRPr="001F23FE">
              <w:rPr>
                <w:rFonts w:ascii="Arial" w:eastAsia="MS Mincho" w:hAnsi="Arial" w:cs="Arial"/>
                <w:sz w:val="16"/>
                <w:szCs w:val="16"/>
                <w:lang w:val="en-US"/>
              </w:rPr>
              <w:br/>
              <w:t>Legitimacy: present through direct service impact.</w:t>
            </w:r>
            <w:r w:rsidRPr="001F23FE">
              <w:rPr>
                <w:rFonts w:ascii="Arial" w:eastAsia="MS Mincho" w:hAnsi="Arial" w:cs="Arial"/>
                <w:sz w:val="16"/>
                <w:szCs w:val="16"/>
                <w:lang w:val="en-US"/>
              </w:rPr>
              <w:br/>
              <w:t>Urgency: present where failed or delayed verification causes time-sensitive harm.</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3C296C1A"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Dependent in urgent unresolved cases with limited power; discretionary where only legitimacy is established. Segment customers by circumstances rather than treating all claims as identical.</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1C2502C8"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confusion, frustration, exclusion or concern about privacy; others may welcome speed and convenience.</w:t>
            </w:r>
          </w:p>
        </w:tc>
        <w:tc>
          <w:tcPr>
            <w:tcW w:w="311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52E86442"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Use clear instructions and accessible assistance. Maintain workable escalation for unresolved cases; assess differential outcomes and avoid measuring averages alone. Evidence: completion, referral and complaint outcomes, waiting times and customer understanding.</w:t>
            </w:r>
          </w:p>
        </w:tc>
      </w:tr>
      <w:tr w:rsidR="001F23FE" w:rsidRPr="001F23FE" w14:paraId="6989FCE5"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1A31804E"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Relevant regulators and supervisory bodies</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Compliance, appropriate governance and customer protection within each body’s remit.</w:t>
            </w:r>
          </w:p>
        </w:tc>
        <w:tc>
          <w:tcPr>
            <w:tcW w:w="2410"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7813F531"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present through relevant supervisory or enforcement authority.</w:t>
            </w:r>
            <w:r w:rsidRPr="001F23FE">
              <w:rPr>
                <w:rFonts w:ascii="Arial" w:eastAsia="MS Mincho" w:hAnsi="Arial" w:cs="Arial"/>
                <w:sz w:val="16"/>
                <w:szCs w:val="16"/>
                <w:lang w:val="en-US"/>
              </w:rPr>
              <w:br/>
              <w:t>Legitimacy: present through statutory responsibilities.</w:t>
            </w:r>
            <w:r w:rsidRPr="001F23FE">
              <w:rPr>
                <w:rFonts w:ascii="Arial" w:eastAsia="MS Mincho" w:hAnsi="Arial" w:cs="Arial"/>
                <w:sz w:val="16"/>
                <w:szCs w:val="16"/>
                <w:lang w:val="en-US"/>
              </w:rPr>
              <w:br/>
              <w:t>Urgency: conditional on an active issue, deadline or information request.</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30B2563B"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Dominant during routine oversight; definitive where a critical, time-sensitive supervisory claim exists. Do not assume continuous urgency or a single identical remit.</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44A2F1F8"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Institutional scrutiny rather than an assumed personal emotional response; confidence depends on credible evidence.</w:t>
            </w:r>
          </w:p>
        </w:tc>
        <w:tc>
          <w:tcPr>
            <w:tcW w:w="311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3A299D72"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Use designated regulatory contacts and accurate records. Respond promptly to relevant requests and track commitments. Confirm which bodies and requirements apply. Evidence: timely responses, completed actions and traceable governance.</w:t>
            </w:r>
          </w:p>
        </w:tc>
      </w:tr>
      <w:tr w:rsidR="001F23FE" w:rsidRPr="001F23FE" w14:paraId="2C18F060"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6DB7DF44"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lastRenderedPageBreak/>
              <w:t>External verification or technology suppliers where used</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Contract performance, reliable integration, commercial viability and clarity of responsibilities.</w:t>
            </w:r>
          </w:p>
        </w:tc>
        <w:tc>
          <w:tcPr>
            <w:tcW w:w="2410"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41FD1A21"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conditional on dependency, specialist expertise and switching difficulty.</w:t>
            </w:r>
            <w:r w:rsidRPr="001F23FE">
              <w:rPr>
                <w:rFonts w:ascii="Arial" w:eastAsia="MS Mincho" w:hAnsi="Arial" w:cs="Arial"/>
                <w:sz w:val="16"/>
                <w:szCs w:val="16"/>
                <w:lang w:val="en-US"/>
              </w:rPr>
              <w:br/>
              <w:t>Legitimacy: present through contractual involvement.</w:t>
            </w:r>
            <w:r w:rsidRPr="001F23FE">
              <w:rPr>
                <w:rFonts w:ascii="Arial" w:eastAsia="MS Mincho" w:hAnsi="Arial" w:cs="Arial"/>
                <w:sz w:val="16"/>
                <w:szCs w:val="16"/>
                <w:lang w:val="en-US"/>
              </w:rPr>
              <w:br/>
              <w:t>Urgency: present for outages, contractual deadlines or critical updates.</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25E04985"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Dominant if dependency confers power; definitive during urgent critical issues. Could be discretionary when legitimacy exists but influence and urgency are limited.</w:t>
            </w:r>
          </w:p>
        </w:tc>
        <w:tc>
          <w:tcPr>
            <w:tcW w:w="1701"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28712B84"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commercial pressure or concern about requirements and liability; avoid assuming motivations beyond evidence.</w:t>
            </w:r>
          </w:p>
        </w:tc>
        <w:tc>
          <w:tcPr>
            <w:tcW w:w="3118" w:type="dxa"/>
            <w:tcBorders>
              <w:top w:val="single" w:sz="4" w:space="0" w:color="D9D9D9"/>
              <w:left w:val="single" w:sz="4" w:space="0" w:color="D9D9D9"/>
              <w:bottom w:val="single" w:sz="4" w:space="0" w:color="D9D9D9"/>
              <w:right w:val="single" w:sz="4" w:space="0" w:color="D9D9D9"/>
            </w:tcBorders>
            <w:shd w:val="clear" w:color="auto" w:fill="F4F6F8"/>
            <w:tcMar>
              <w:top w:w="90" w:type="dxa"/>
              <w:left w:w="90" w:type="dxa"/>
              <w:bottom w:w="90" w:type="dxa"/>
              <w:right w:w="90" w:type="dxa"/>
            </w:tcMar>
            <w:vAlign w:val="center"/>
          </w:tcPr>
          <w:p w14:paraId="189F234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Agree service, testing, update and incident arrangements. Review dependency and fallback capability; retain sufficient internal expertise. Evidence: service performance, issue response, change review and tested continuity arrangements.</w:t>
            </w:r>
          </w:p>
        </w:tc>
      </w:tr>
      <w:tr w:rsidR="001F23FE" w:rsidRPr="001F23FE" w14:paraId="665EFF5A" w14:textId="77777777" w:rsidTr="002978CC">
        <w:trPr>
          <w:cantSplit/>
        </w:trPr>
        <w:tc>
          <w:tcPr>
            <w:tcW w:w="183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53CA5257"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b/>
                <w:sz w:val="16"/>
                <w:szCs w:val="16"/>
                <w:lang w:val="en-US"/>
              </w:rPr>
              <w:t xml:space="preserve">Employee representatives or </w:t>
            </w:r>
            <w:proofErr w:type="spellStart"/>
            <w:r w:rsidRPr="001F23FE">
              <w:rPr>
                <w:rFonts w:ascii="Arial" w:eastAsia="MS Mincho" w:hAnsi="Arial" w:cs="Arial"/>
                <w:b/>
                <w:sz w:val="16"/>
                <w:szCs w:val="16"/>
                <w:lang w:val="en-US"/>
              </w:rPr>
              <w:t>recognised</w:t>
            </w:r>
            <w:proofErr w:type="spellEnd"/>
            <w:r w:rsidRPr="001F23FE">
              <w:rPr>
                <w:rFonts w:ascii="Arial" w:eastAsia="MS Mincho" w:hAnsi="Arial" w:cs="Arial"/>
                <w:b/>
                <w:sz w:val="16"/>
                <w:szCs w:val="16"/>
                <w:lang w:val="en-US"/>
              </w:rPr>
              <w:t xml:space="preserve"> union where applicable</w:t>
            </w:r>
            <w:r w:rsidRPr="001F23FE">
              <w:rPr>
                <w:rFonts w:ascii="Arial" w:eastAsia="MS Mincho" w:hAnsi="Arial" w:cs="Arial"/>
                <w:b/>
                <w:sz w:val="16"/>
                <w:szCs w:val="16"/>
                <w:lang w:val="en-US"/>
              </w:rPr>
              <w:br/>
            </w:r>
            <w:r w:rsidRPr="001F23FE">
              <w:rPr>
                <w:rFonts w:ascii="Arial" w:eastAsia="MS Mincho" w:hAnsi="Arial" w:cs="Arial"/>
                <w:b/>
                <w:sz w:val="16"/>
                <w:szCs w:val="16"/>
                <w:lang w:val="en-US"/>
              </w:rPr>
              <w:br/>
              <w:t>Effective employee voice, fair processes and protection of affected employees’ interests.</w:t>
            </w:r>
          </w:p>
        </w:tc>
        <w:tc>
          <w:tcPr>
            <w:tcW w:w="2410"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13C5A7AE"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Power: conditional on recognition, collective influence and relevant rights.</w:t>
            </w:r>
            <w:r w:rsidRPr="001F23FE">
              <w:rPr>
                <w:rFonts w:ascii="Arial" w:eastAsia="MS Mincho" w:hAnsi="Arial" w:cs="Arial"/>
                <w:sz w:val="16"/>
                <w:szCs w:val="16"/>
                <w:lang w:val="en-US"/>
              </w:rPr>
              <w:br/>
              <w:t xml:space="preserve">Legitimacy: present when </w:t>
            </w:r>
            <w:proofErr w:type="spellStart"/>
            <w:r w:rsidRPr="001F23FE">
              <w:rPr>
                <w:rFonts w:ascii="Arial" w:eastAsia="MS Mincho" w:hAnsi="Arial" w:cs="Arial"/>
                <w:sz w:val="16"/>
                <w:szCs w:val="16"/>
                <w:lang w:val="en-US"/>
              </w:rPr>
              <w:t>authorised</w:t>
            </w:r>
            <w:proofErr w:type="spellEnd"/>
            <w:r w:rsidRPr="001F23FE">
              <w:rPr>
                <w:rFonts w:ascii="Arial" w:eastAsia="MS Mincho" w:hAnsi="Arial" w:cs="Arial"/>
                <w:sz w:val="16"/>
                <w:szCs w:val="16"/>
                <w:lang w:val="en-US"/>
              </w:rPr>
              <w:t xml:space="preserve"> to represent employees.</w:t>
            </w:r>
            <w:r w:rsidRPr="001F23FE">
              <w:rPr>
                <w:rFonts w:ascii="Arial" w:eastAsia="MS Mincho" w:hAnsi="Arial" w:cs="Arial"/>
                <w:sz w:val="16"/>
                <w:szCs w:val="16"/>
                <w:lang w:val="en-US"/>
              </w:rPr>
              <w:br/>
              <w:t>Urgency: present during consultation and consequential workforce decisions.</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20BE6A0C"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Definitive where all attributes exist; dependent if legitimate and urgent claims lack effective power. Include only where representation is confirmed.</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43F70BCD"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Potential distrust if involved late; concern about fairness and meaningful influence over outcomes.</w:t>
            </w:r>
          </w:p>
        </w:tc>
        <w:tc>
          <w:tcPr>
            <w:tcW w:w="3118" w:type="dxa"/>
            <w:tcBorders>
              <w:top w:val="single" w:sz="4" w:space="0" w:color="D9D9D9"/>
              <w:left w:val="single" w:sz="4" w:space="0" w:color="D9D9D9"/>
              <w:bottom w:val="single" w:sz="4" w:space="0" w:color="D9D9D9"/>
              <w:right w:val="single" w:sz="4" w:space="0" w:color="D9D9D9"/>
            </w:tcBorders>
            <w:shd w:val="clear" w:color="auto" w:fill="FFFFFF"/>
            <w:tcMar>
              <w:top w:w="90" w:type="dxa"/>
              <w:left w:w="90" w:type="dxa"/>
              <w:bottom w:w="90" w:type="dxa"/>
              <w:right w:w="90" w:type="dxa"/>
            </w:tcMar>
            <w:vAlign w:val="center"/>
          </w:tcPr>
          <w:p w14:paraId="778C8F36" w14:textId="77777777" w:rsidR="001F23FE" w:rsidRPr="001F23FE" w:rsidRDefault="001F23FE" w:rsidP="001F23FE">
            <w:pPr>
              <w:spacing w:after="80" w:line="240" w:lineRule="auto"/>
              <w:rPr>
                <w:rFonts w:ascii="Arial" w:eastAsia="MS Mincho" w:hAnsi="Arial" w:cs="Arial"/>
                <w:sz w:val="16"/>
                <w:szCs w:val="16"/>
                <w:lang w:val="en-US"/>
              </w:rPr>
            </w:pPr>
            <w:r w:rsidRPr="001F23FE">
              <w:rPr>
                <w:rFonts w:ascii="Arial" w:eastAsia="MS Mincho" w:hAnsi="Arial" w:cs="Arial"/>
                <w:sz w:val="16"/>
                <w:szCs w:val="16"/>
                <w:lang w:val="en-US"/>
              </w:rPr>
              <w:t>Engage early through applicable arrangements, provide usable information and allow time to respond. Document how representations affect decisions. Evidence: consultation quality, responses to proposals and unresolved concerns.</w:t>
            </w:r>
          </w:p>
        </w:tc>
      </w:tr>
    </w:tbl>
    <w:p w14:paraId="7123B9D7" w14:textId="77777777" w:rsidR="00A10890" w:rsidRDefault="00A10890" w:rsidP="001F23FE">
      <w:pPr>
        <w:spacing w:after="120" w:line="276" w:lineRule="auto"/>
        <w:rPr>
          <w:rFonts w:ascii="Calibri" w:eastAsia="MS Mincho" w:hAnsi="Calibri" w:cs="Times New Roman"/>
          <w:lang w:val="en-US"/>
        </w:rPr>
      </w:pPr>
    </w:p>
    <w:p w14:paraId="7040C16D" w14:textId="6FD5EDC5" w:rsidR="00A10890" w:rsidRPr="00A10890" w:rsidRDefault="00A10890" w:rsidP="00A10890">
      <w:pPr>
        <w:keepNext/>
        <w:keepLines/>
        <w:spacing w:before="480" w:after="0" w:line="276" w:lineRule="auto"/>
        <w:outlineLvl w:val="0"/>
        <w:rPr>
          <w:rFonts w:ascii="Calibri" w:eastAsia="MS Gothic" w:hAnsi="Calibri" w:cs="Times New Roman"/>
          <w:b/>
          <w:bCs/>
          <w:color w:val="000000"/>
          <w:sz w:val="28"/>
          <w:szCs w:val="28"/>
          <w:lang w:val="en-US"/>
        </w:rPr>
      </w:pPr>
    </w:p>
    <w:p w14:paraId="71870E07" w14:textId="50EAB3C0" w:rsidR="00A10890" w:rsidRDefault="00A10890" w:rsidP="00A10890">
      <w:pPr>
        <w:spacing w:after="120" w:line="240" w:lineRule="auto"/>
        <w:ind w:left="720" w:hanging="720"/>
        <w:rPr>
          <w:rFonts w:ascii="Calibri" w:eastAsia="MS Mincho" w:hAnsi="Calibri" w:cs="Times New Roman"/>
          <w:lang w:val="en-US"/>
        </w:rPr>
      </w:pPr>
      <w:r w:rsidRPr="00A10890">
        <w:rPr>
          <w:rFonts w:ascii="Calibri" w:eastAsia="MS Mincho" w:hAnsi="Calibri" w:cs="Times New Roman"/>
          <w:lang w:val="en-US"/>
        </w:rPr>
        <w:t xml:space="preserve">Bordia, P., </w:t>
      </w:r>
      <w:proofErr w:type="spellStart"/>
      <w:r w:rsidRPr="00A10890">
        <w:rPr>
          <w:rFonts w:ascii="Calibri" w:eastAsia="MS Mincho" w:hAnsi="Calibri" w:cs="Times New Roman"/>
          <w:lang w:val="en-US"/>
        </w:rPr>
        <w:t>Hobman</w:t>
      </w:r>
      <w:proofErr w:type="spellEnd"/>
      <w:r w:rsidRPr="00A10890">
        <w:rPr>
          <w:rFonts w:ascii="Calibri" w:eastAsia="MS Mincho" w:hAnsi="Calibri" w:cs="Times New Roman"/>
          <w:lang w:val="en-US"/>
        </w:rPr>
        <w:t xml:space="preserve">, E., Jones, E., </w:t>
      </w:r>
      <w:proofErr w:type="spellStart"/>
      <w:r w:rsidRPr="00A10890">
        <w:rPr>
          <w:rFonts w:ascii="Calibri" w:eastAsia="MS Mincho" w:hAnsi="Calibri" w:cs="Times New Roman"/>
          <w:lang w:val="en-US"/>
        </w:rPr>
        <w:t>Gallois</w:t>
      </w:r>
      <w:proofErr w:type="spellEnd"/>
      <w:r w:rsidRPr="00A10890">
        <w:rPr>
          <w:rFonts w:ascii="Calibri" w:eastAsia="MS Mincho" w:hAnsi="Calibri" w:cs="Times New Roman"/>
          <w:lang w:val="en-US"/>
        </w:rPr>
        <w:t xml:space="preserve">, C., &amp; Callan, V. J. (2004). Uncertainty during organizational change: Types, consequences, and management strategies. </w:t>
      </w:r>
      <w:r w:rsidRPr="00A10890">
        <w:rPr>
          <w:rFonts w:ascii="Calibri" w:eastAsia="MS Mincho" w:hAnsi="Calibri" w:cs="Times New Roman"/>
          <w:i/>
          <w:lang w:val="en-US"/>
        </w:rPr>
        <w:t>Journal of Business and Psychology, 18</w:t>
      </w:r>
      <w:r w:rsidRPr="00A10890">
        <w:rPr>
          <w:rFonts w:ascii="Calibri" w:eastAsia="MS Mincho" w:hAnsi="Calibri" w:cs="Times New Roman"/>
          <w:lang w:val="en-US"/>
        </w:rPr>
        <w:t xml:space="preserve">(4), 507–532. </w:t>
      </w:r>
      <w:hyperlink r:id="rId50" w:history="1">
        <w:r w:rsidRPr="00A10890">
          <w:rPr>
            <w:rStyle w:val="Hyperlink"/>
            <w:rFonts w:ascii="Calibri" w:eastAsia="MS Mincho" w:hAnsi="Calibri" w:cs="Times New Roman"/>
            <w:lang w:val="en-US"/>
          </w:rPr>
          <w:t>https://doi.org/10.1023/B:JOBU.0000028449.99127.f7</w:t>
        </w:r>
      </w:hyperlink>
    </w:p>
    <w:p w14:paraId="7CBC7EC3" w14:textId="77777777" w:rsidR="00A10890" w:rsidRPr="00A10890" w:rsidRDefault="00A10890" w:rsidP="00A10890">
      <w:pPr>
        <w:spacing w:after="120" w:line="240" w:lineRule="auto"/>
        <w:ind w:left="720" w:hanging="720"/>
        <w:rPr>
          <w:rFonts w:ascii="Calibri" w:eastAsia="MS Mincho" w:hAnsi="Calibri" w:cs="Times New Roman"/>
          <w:lang w:val="en-US"/>
        </w:rPr>
      </w:pPr>
    </w:p>
    <w:p w14:paraId="653221C5" w14:textId="73C490A5" w:rsidR="00A10890" w:rsidRDefault="00A10890" w:rsidP="00A10890">
      <w:pPr>
        <w:spacing w:after="120" w:line="240" w:lineRule="auto"/>
        <w:ind w:left="720" w:hanging="720"/>
        <w:rPr>
          <w:rFonts w:ascii="Calibri" w:eastAsia="MS Mincho" w:hAnsi="Calibri" w:cs="Times New Roman"/>
          <w:lang w:val="en-US"/>
        </w:rPr>
      </w:pPr>
      <w:r w:rsidRPr="00A10890">
        <w:rPr>
          <w:rFonts w:ascii="Calibri" w:eastAsia="MS Mincho" w:hAnsi="Calibri" w:cs="Times New Roman"/>
          <w:lang w:val="en-US"/>
        </w:rPr>
        <w:t xml:space="preserve">Edmondson, A. (1999). Psychological safety and learning behavior in work teams. </w:t>
      </w:r>
      <w:r w:rsidRPr="00A10890">
        <w:rPr>
          <w:rFonts w:ascii="Calibri" w:eastAsia="MS Mincho" w:hAnsi="Calibri" w:cs="Times New Roman"/>
          <w:i/>
          <w:lang w:val="en-US"/>
        </w:rPr>
        <w:t>Administrative Science Quarterly, 44</w:t>
      </w:r>
      <w:r w:rsidRPr="00A10890">
        <w:rPr>
          <w:rFonts w:ascii="Calibri" w:eastAsia="MS Mincho" w:hAnsi="Calibri" w:cs="Times New Roman"/>
          <w:lang w:val="en-US"/>
        </w:rPr>
        <w:t xml:space="preserve">(2), 350–383. </w:t>
      </w:r>
      <w:hyperlink r:id="rId51" w:history="1">
        <w:r w:rsidRPr="00A10890">
          <w:rPr>
            <w:rStyle w:val="Hyperlink"/>
            <w:rFonts w:ascii="Calibri" w:eastAsia="MS Mincho" w:hAnsi="Calibri" w:cs="Times New Roman"/>
            <w:lang w:val="en-US"/>
          </w:rPr>
          <w:t>https://doi.org/10.2307/2666999</w:t>
        </w:r>
      </w:hyperlink>
    </w:p>
    <w:p w14:paraId="05535B4F" w14:textId="77777777" w:rsidR="00A10890" w:rsidRPr="00A10890" w:rsidRDefault="00A10890" w:rsidP="00A10890">
      <w:pPr>
        <w:spacing w:after="120" w:line="240" w:lineRule="auto"/>
        <w:ind w:left="720" w:hanging="720"/>
        <w:rPr>
          <w:rFonts w:ascii="Calibri" w:eastAsia="MS Mincho" w:hAnsi="Calibri" w:cs="Times New Roman"/>
          <w:lang w:val="en-US"/>
        </w:rPr>
      </w:pPr>
    </w:p>
    <w:p w14:paraId="4F466CE4" w14:textId="52B231DC" w:rsidR="00A10890" w:rsidRDefault="00A10890" w:rsidP="00A10890">
      <w:pPr>
        <w:spacing w:after="120" w:line="240" w:lineRule="auto"/>
        <w:ind w:left="720" w:hanging="720"/>
        <w:rPr>
          <w:rFonts w:ascii="Calibri" w:eastAsia="MS Mincho" w:hAnsi="Calibri" w:cs="Times New Roman"/>
          <w:lang w:val="en-US"/>
        </w:rPr>
      </w:pPr>
      <w:r w:rsidRPr="00A10890">
        <w:rPr>
          <w:rFonts w:ascii="Calibri" w:eastAsia="MS Mincho" w:hAnsi="Calibri" w:cs="Times New Roman"/>
          <w:lang w:val="en-US"/>
        </w:rPr>
        <w:t xml:space="preserve">Mitchell, R. K., </w:t>
      </w:r>
      <w:proofErr w:type="spellStart"/>
      <w:r w:rsidRPr="00A10890">
        <w:rPr>
          <w:rFonts w:ascii="Calibri" w:eastAsia="MS Mincho" w:hAnsi="Calibri" w:cs="Times New Roman"/>
          <w:lang w:val="en-US"/>
        </w:rPr>
        <w:t>Agle</w:t>
      </w:r>
      <w:proofErr w:type="spellEnd"/>
      <w:r w:rsidRPr="00A10890">
        <w:rPr>
          <w:rFonts w:ascii="Calibri" w:eastAsia="MS Mincho" w:hAnsi="Calibri" w:cs="Times New Roman"/>
          <w:lang w:val="en-US"/>
        </w:rPr>
        <w:t xml:space="preserve">, B. R., &amp; Wood, D. J. (1997). Toward a theory of stakeholder identification and salience: Defining the principle of who and what really counts. </w:t>
      </w:r>
      <w:r w:rsidRPr="00A10890">
        <w:rPr>
          <w:rFonts w:ascii="Calibri" w:eastAsia="MS Mincho" w:hAnsi="Calibri" w:cs="Times New Roman"/>
          <w:i/>
          <w:lang w:val="en-US"/>
        </w:rPr>
        <w:t>Academy of Management Review, 22</w:t>
      </w:r>
      <w:r w:rsidRPr="00A10890">
        <w:rPr>
          <w:rFonts w:ascii="Calibri" w:eastAsia="MS Mincho" w:hAnsi="Calibri" w:cs="Times New Roman"/>
          <w:lang w:val="en-US"/>
        </w:rPr>
        <w:t xml:space="preserve">(4), 853–886. </w:t>
      </w:r>
      <w:hyperlink r:id="rId52" w:history="1">
        <w:r w:rsidRPr="00A10890">
          <w:rPr>
            <w:rStyle w:val="Hyperlink"/>
            <w:rFonts w:ascii="Calibri" w:eastAsia="MS Mincho" w:hAnsi="Calibri" w:cs="Times New Roman"/>
            <w:lang w:val="en-US"/>
          </w:rPr>
          <w:t>https://doi.org/10.5465/amr.1997.9711022105</w:t>
        </w:r>
      </w:hyperlink>
    </w:p>
    <w:p w14:paraId="70CFC12D" w14:textId="77777777" w:rsidR="00A10890" w:rsidRPr="00A10890" w:rsidRDefault="00A10890" w:rsidP="00A10890">
      <w:pPr>
        <w:spacing w:after="120" w:line="480" w:lineRule="auto"/>
        <w:ind w:left="720" w:hanging="720"/>
        <w:rPr>
          <w:rFonts w:ascii="Calibri" w:eastAsia="MS Mincho" w:hAnsi="Calibri" w:cs="Times New Roman"/>
          <w:lang w:val="en-US"/>
        </w:rPr>
      </w:pPr>
    </w:p>
    <w:p w14:paraId="41882251" w14:textId="77777777" w:rsidR="00A10890" w:rsidRDefault="00A10890" w:rsidP="001F23FE">
      <w:pPr>
        <w:spacing w:after="120" w:line="276" w:lineRule="auto"/>
        <w:rPr>
          <w:rFonts w:ascii="Calibri" w:eastAsia="MS Mincho" w:hAnsi="Calibri" w:cs="Times New Roman"/>
          <w:lang w:val="en-US"/>
        </w:rPr>
      </w:pPr>
    </w:p>
    <w:p w14:paraId="65771FE5" w14:textId="36930734" w:rsidR="001F23FE" w:rsidRPr="001F23FE" w:rsidRDefault="001F23FE" w:rsidP="001F23FE">
      <w:pPr>
        <w:spacing w:after="120" w:line="276" w:lineRule="auto"/>
        <w:rPr>
          <w:rFonts w:ascii="Calibri" w:eastAsia="MS Mincho" w:hAnsi="Calibri" w:cs="Times New Roman"/>
          <w:lang w:val="en-US"/>
        </w:rPr>
      </w:pPr>
      <w:r w:rsidRPr="001F23FE">
        <w:rPr>
          <w:rFonts w:ascii="Calibri" w:eastAsia="MS Mincho" w:hAnsi="Calibri" w:cs="Times New Roman"/>
          <w:lang w:val="en-US"/>
        </w:rPr>
        <w:br w:type="page"/>
      </w:r>
    </w:p>
    <w:p w14:paraId="411D1ADE" w14:textId="77777777" w:rsidR="001F23FE" w:rsidRPr="008F4086" w:rsidRDefault="001F23FE" w:rsidP="008F4086">
      <w:pPr>
        <w:rPr>
          <w:b/>
          <w:bCs/>
          <w:lang w:val="en-US"/>
        </w:rPr>
      </w:pPr>
    </w:p>
    <w:p w14:paraId="25F7B373" w14:textId="77777777" w:rsidR="00D73BF8" w:rsidRDefault="00D73BF8" w:rsidP="00CC4B82"/>
    <w:p w14:paraId="2BB8F4AB" w14:textId="77777777" w:rsidR="00D73BF8" w:rsidRDefault="00D73BF8" w:rsidP="00CC4B82"/>
    <w:p w14:paraId="02CDD753" w14:textId="77777777" w:rsidR="00D73BF8" w:rsidRDefault="00D73BF8" w:rsidP="00CC4B82"/>
    <w:p w14:paraId="00D34D20" w14:textId="77777777" w:rsidR="00D73BF8" w:rsidRDefault="00D73BF8" w:rsidP="00CC4B82"/>
    <w:p w14:paraId="120EF5D1" w14:textId="77777777" w:rsidR="00D73BF8" w:rsidRDefault="00D73BF8" w:rsidP="00CC4B82"/>
    <w:p w14:paraId="25D77A9E" w14:textId="77777777" w:rsidR="00D73BF8" w:rsidRDefault="00D73BF8" w:rsidP="00CC4B82"/>
    <w:p w14:paraId="1F609B47" w14:textId="77777777" w:rsidR="00D73BF8" w:rsidRDefault="00D73BF8" w:rsidP="00CC4B82"/>
    <w:p w14:paraId="1CF8B222" w14:textId="77777777" w:rsidR="00D73BF8" w:rsidRDefault="00D73BF8" w:rsidP="00CC4B82"/>
    <w:p w14:paraId="07DF7780" w14:textId="77777777" w:rsidR="00D73BF8" w:rsidRDefault="00D73BF8" w:rsidP="00CC4B82"/>
    <w:p w14:paraId="7645B171" w14:textId="77777777" w:rsidR="00D73BF8" w:rsidRDefault="00D73BF8" w:rsidP="00CC4B82"/>
    <w:p w14:paraId="5F1A7A34" w14:textId="77777777" w:rsidR="00D73BF8" w:rsidRDefault="00D73BF8" w:rsidP="00CC4B82"/>
    <w:p w14:paraId="5D7EF0FB" w14:textId="77777777" w:rsidR="00D73BF8" w:rsidRDefault="00D73BF8" w:rsidP="00CC4B82"/>
    <w:p w14:paraId="1F7D2E9A" w14:textId="77777777" w:rsidR="00D73BF8" w:rsidRDefault="00D73BF8" w:rsidP="00CC4B82"/>
    <w:p w14:paraId="3F08F51D" w14:textId="77777777" w:rsidR="00D73BF8" w:rsidRDefault="00D73BF8" w:rsidP="00CC4B82"/>
    <w:p w14:paraId="21BCD099" w14:textId="77777777" w:rsidR="00D73BF8" w:rsidRDefault="00D73BF8" w:rsidP="00CC4B82"/>
    <w:p w14:paraId="23D1A0DD" w14:textId="77777777" w:rsidR="00D73BF8" w:rsidRDefault="00D73BF8" w:rsidP="00CC4B82"/>
    <w:p w14:paraId="2B558E2D" w14:textId="77777777" w:rsidR="00D73BF8" w:rsidRDefault="00D73BF8" w:rsidP="00CC4B82"/>
    <w:p w14:paraId="22046006" w14:textId="77777777" w:rsidR="00D73BF8" w:rsidRDefault="00D73BF8" w:rsidP="00CC4B82"/>
    <w:p w14:paraId="51974C7F" w14:textId="77777777" w:rsidR="003832E5" w:rsidRDefault="003832E5" w:rsidP="00CC4B82"/>
    <w:p w14:paraId="2B8909A9" w14:textId="77777777" w:rsidR="003832E5" w:rsidRDefault="003832E5" w:rsidP="00CC4B82"/>
    <w:p w14:paraId="334F7FF0" w14:textId="77777777" w:rsidR="003832E5" w:rsidRDefault="003832E5" w:rsidP="00CC4B82"/>
    <w:p w14:paraId="724EACA2" w14:textId="77777777" w:rsidR="003832E5" w:rsidRDefault="003832E5" w:rsidP="00CC4B82"/>
    <w:p w14:paraId="246CB54E" w14:textId="77777777" w:rsidR="003832E5" w:rsidRDefault="003832E5" w:rsidP="00CC4B82"/>
    <w:p w14:paraId="7D04B40F" w14:textId="77777777" w:rsidR="003832E5" w:rsidRDefault="003832E5" w:rsidP="00CC4B82"/>
    <w:p w14:paraId="21A78385" w14:textId="77777777" w:rsidR="003832E5" w:rsidRDefault="003832E5" w:rsidP="00CC4B82"/>
    <w:p w14:paraId="24CF2269" w14:textId="77777777" w:rsidR="003832E5" w:rsidRDefault="003832E5" w:rsidP="00CC4B82"/>
    <w:p w14:paraId="5439196B" w14:textId="77777777" w:rsidR="00D73BF8" w:rsidRDefault="00D73BF8" w:rsidP="00CC4B82"/>
    <w:p w14:paraId="3CCEA977" w14:textId="77777777" w:rsidR="005C5F57" w:rsidRDefault="005C5F57" w:rsidP="00CC4B82"/>
    <w:p w14:paraId="6A8A4FF8" w14:textId="77777777" w:rsidR="005C5F57" w:rsidRDefault="005C5F57" w:rsidP="00CC4B82"/>
    <w:p w14:paraId="2433E565" w14:textId="0FD71CBD" w:rsidR="005C5F57" w:rsidRPr="00CC4B82" w:rsidRDefault="005C5F57" w:rsidP="00CC4B82"/>
    <w:sectPr w:rsidR="005C5F57" w:rsidRPr="00CC4B82" w:rsidSect="001664B9">
      <w:footerReference w:type="default" r:id="rId5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B415B" w14:textId="77777777" w:rsidR="00F87AF3" w:rsidRDefault="00F87AF3" w:rsidP="005C5F57">
      <w:pPr>
        <w:spacing w:after="0" w:line="240" w:lineRule="auto"/>
      </w:pPr>
      <w:r>
        <w:separator/>
      </w:r>
    </w:p>
  </w:endnote>
  <w:endnote w:type="continuationSeparator" w:id="0">
    <w:p w14:paraId="6713F39A" w14:textId="77777777" w:rsidR="00F87AF3" w:rsidRDefault="00F87AF3" w:rsidP="005C5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841527"/>
      <w:docPartObj>
        <w:docPartGallery w:val="Page Numbers (Bottom of Page)"/>
        <w:docPartUnique/>
      </w:docPartObj>
    </w:sdtPr>
    <w:sdtEndPr>
      <w:rPr>
        <w:noProof/>
      </w:rPr>
    </w:sdtEndPr>
    <w:sdtContent>
      <w:p w14:paraId="0BFCF196" w14:textId="66BAA7FA" w:rsidR="00026B34" w:rsidRDefault="00026B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98FDA" w14:textId="77777777" w:rsidR="00197FAB" w:rsidRDefault="00197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2E534" w14:textId="77777777" w:rsidR="00F87AF3" w:rsidRDefault="00F87AF3" w:rsidP="005C5F57">
      <w:pPr>
        <w:spacing w:after="0" w:line="240" w:lineRule="auto"/>
      </w:pPr>
      <w:r>
        <w:separator/>
      </w:r>
    </w:p>
  </w:footnote>
  <w:footnote w:type="continuationSeparator" w:id="0">
    <w:p w14:paraId="32F33038" w14:textId="77777777" w:rsidR="00F87AF3" w:rsidRDefault="00F87AF3" w:rsidP="005C5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36B83"/>
    <w:multiLevelType w:val="multilevel"/>
    <w:tmpl w:val="A1A2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70742"/>
    <w:multiLevelType w:val="hybridMultilevel"/>
    <w:tmpl w:val="5D1C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E169D"/>
    <w:multiLevelType w:val="multilevel"/>
    <w:tmpl w:val="8ACC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86179C"/>
    <w:multiLevelType w:val="multilevel"/>
    <w:tmpl w:val="EBF0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3D6D22"/>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D4E2D9E"/>
    <w:multiLevelType w:val="multilevel"/>
    <w:tmpl w:val="9618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06463"/>
    <w:multiLevelType w:val="multilevel"/>
    <w:tmpl w:val="D210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444084"/>
    <w:multiLevelType w:val="multilevel"/>
    <w:tmpl w:val="74A4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5D3D22"/>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40CEB"/>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C55765"/>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794489"/>
    <w:multiLevelType w:val="multilevel"/>
    <w:tmpl w:val="1F8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383822"/>
    <w:multiLevelType w:val="multilevel"/>
    <w:tmpl w:val="57C6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5612C0"/>
    <w:multiLevelType w:val="hybridMultilevel"/>
    <w:tmpl w:val="1B40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D251EB"/>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E16FE2"/>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6054369"/>
    <w:multiLevelType w:val="hybridMultilevel"/>
    <w:tmpl w:val="EA00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CC77A62"/>
    <w:multiLevelType w:val="multilevel"/>
    <w:tmpl w:val="8F20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0C2A5A"/>
    <w:multiLevelType w:val="multilevel"/>
    <w:tmpl w:val="EC94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ED0042"/>
    <w:multiLevelType w:val="multilevel"/>
    <w:tmpl w:val="1D5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80355DA"/>
    <w:multiLevelType w:val="hybridMultilevel"/>
    <w:tmpl w:val="E0DA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ED865A2"/>
    <w:multiLevelType w:val="hybridMultilevel"/>
    <w:tmpl w:val="A036C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9064119">
    <w:abstractNumId w:val="16"/>
  </w:num>
  <w:num w:numId="2" w16cid:durableId="1657342095">
    <w:abstractNumId w:val="29"/>
  </w:num>
  <w:num w:numId="3" w16cid:durableId="1123421015">
    <w:abstractNumId w:val="12"/>
  </w:num>
  <w:num w:numId="4" w16cid:durableId="814417138">
    <w:abstractNumId w:val="23"/>
  </w:num>
  <w:num w:numId="5" w16cid:durableId="1570264037">
    <w:abstractNumId w:val="6"/>
  </w:num>
  <w:num w:numId="6" w16cid:durableId="115569328">
    <w:abstractNumId w:val="15"/>
  </w:num>
  <w:num w:numId="7" w16cid:durableId="347566712">
    <w:abstractNumId w:val="3"/>
  </w:num>
  <w:num w:numId="8" w16cid:durableId="20205563">
    <w:abstractNumId w:val="32"/>
  </w:num>
  <w:num w:numId="9" w16cid:durableId="37751039">
    <w:abstractNumId w:val="21"/>
  </w:num>
  <w:num w:numId="10" w16cid:durableId="216864661">
    <w:abstractNumId w:val="30"/>
  </w:num>
  <w:num w:numId="11" w16cid:durableId="1512718317">
    <w:abstractNumId w:val="25"/>
  </w:num>
  <w:num w:numId="12" w16cid:durableId="1151293128">
    <w:abstractNumId w:val="8"/>
  </w:num>
  <w:num w:numId="13" w16cid:durableId="1600023898">
    <w:abstractNumId w:val="34"/>
  </w:num>
  <w:num w:numId="14" w16cid:durableId="1188831518">
    <w:abstractNumId w:val="28"/>
  </w:num>
  <w:num w:numId="15" w16cid:durableId="2036732245">
    <w:abstractNumId w:val="26"/>
  </w:num>
  <w:num w:numId="16" w16cid:durableId="772670667">
    <w:abstractNumId w:val="10"/>
  </w:num>
  <w:num w:numId="17" w16cid:durableId="1265186657">
    <w:abstractNumId w:val="27"/>
  </w:num>
  <w:num w:numId="18" w16cid:durableId="1997680597">
    <w:abstractNumId w:val="9"/>
  </w:num>
  <w:num w:numId="19" w16cid:durableId="476382855">
    <w:abstractNumId w:val="4"/>
  </w:num>
  <w:num w:numId="20" w16cid:durableId="945162753">
    <w:abstractNumId w:val="2"/>
  </w:num>
  <w:num w:numId="21" w16cid:durableId="364257080">
    <w:abstractNumId w:val="0"/>
  </w:num>
  <w:num w:numId="22" w16cid:durableId="823008432">
    <w:abstractNumId w:val="17"/>
  </w:num>
  <w:num w:numId="23" w16cid:durableId="1072772517">
    <w:abstractNumId w:val="18"/>
  </w:num>
  <w:num w:numId="24" w16cid:durableId="1498039690">
    <w:abstractNumId w:val="31"/>
  </w:num>
  <w:num w:numId="25" w16cid:durableId="906963043">
    <w:abstractNumId w:val="33"/>
  </w:num>
  <w:num w:numId="26" w16cid:durableId="1732190951">
    <w:abstractNumId w:val="19"/>
  </w:num>
  <w:num w:numId="27" w16cid:durableId="562910122">
    <w:abstractNumId w:val="24"/>
  </w:num>
  <w:num w:numId="28" w16cid:durableId="1074166048">
    <w:abstractNumId w:val="1"/>
  </w:num>
  <w:num w:numId="29" w16cid:durableId="671761409">
    <w:abstractNumId w:val="5"/>
  </w:num>
  <w:num w:numId="30" w16cid:durableId="976420965">
    <w:abstractNumId w:val="20"/>
  </w:num>
  <w:num w:numId="31" w16cid:durableId="432827516">
    <w:abstractNumId w:val="11"/>
  </w:num>
  <w:num w:numId="32" w16cid:durableId="1649742826">
    <w:abstractNumId w:val="14"/>
  </w:num>
  <w:num w:numId="33" w16cid:durableId="1127353973">
    <w:abstractNumId w:val="7"/>
  </w:num>
  <w:num w:numId="34" w16cid:durableId="1038704818">
    <w:abstractNumId w:val="13"/>
  </w:num>
  <w:num w:numId="35" w16cid:durableId="435261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0997"/>
    <w:rsid w:val="000011BB"/>
    <w:rsid w:val="00004632"/>
    <w:rsid w:val="00006452"/>
    <w:rsid w:val="00010FA9"/>
    <w:rsid w:val="00016992"/>
    <w:rsid w:val="00016C81"/>
    <w:rsid w:val="000178FF"/>
    <w:rsid w:val="00017A5D"/>
    <w:rsid w:val="00025D5E"/>
    <w:rsid w:val="000266FB"/>
    <w:rsid w:val="00026869"/>
    <w:rsid w:val="00026AE3"/>
    <w:rsid w:val="00026B34"/>
    <w:rsid w:val="00026E0D"/>
    <w:rsid w:val="000276E9"/>
    <w:rsid w:val="00027CB1"/>
    <w:rsid w:val="00030F27"/>
    <w:rsid w:val="000312C5"/>
    <w:rsid w:val="000313CB"/>
    <w:rsid w:val="0003206B"/>
    <w:rsid w:val="00041601"/>
    <w:rsid w:val="000420B8"/>
    <w:rsid w:val="00043386"/>
    <w:rsid w:val="00045C47"/>
    <w:rsid w:val="00046ED1"/>
    <w:rsid w:val="00051EBD"/>
    <w:rsid w:val="00052005"/>
    <w:rsid w:val="000525FD"/>
    <w:rsid w:val="00054231"/>
    <w:rsid w:val="00056649"/>
    <w:rsid w:val="000578CE"/>
    <w:rsid w:val="000578DB"/>
    <w:rsid w:val="0006008A"/>
    <w:rsid w:val="000609B0"/>
    <w:rsid w:val="00062A9D"/>
    <w:rsid w:val="00065817"/>
    <w:rsid w:val="00067CB7"/>
    <w:rsid w:val="00070C59"/>
    <w:rsid w:val="00071793"/>
    <w:rsid w:val="00075DD9"/>
    <w:rsid w:val="00076CFF"/>
    <w:rsid w:val="000776CC"/>
    <w:rsid w:val="0008145E"/>
    <w:rsid w:val="000832C3"/>
    <w:rsid w:val="00086911"/>
    <w:rsid w:val="0008691D"/>
    <w:rsid w:val="000873B0"/>
    <w:rsid w:val="000921F7"/>
    <w:rsid w:val="00095B0E"/>
    <w:rsid w:val="00097215"/>
    <w:rsid w:val="00097234"/>
    <w:rsid w:val="000A61C9"/>
    <w:rsid w:val="000A730C"/>
    <w:rsid w:val="000B016D"/>
    <w:rsid w:val="000B370E"/>
    <w:rsid w:val="000B789A"/>
    <w:rsid w:val="000C100C"/>
    <w:rsid w:val="000C1195"/>
    <w:rsid w:val="000C5D66"/>
    <w:rsid w:val="000C5E1B"/>
    <w:rsid w:val="000C7533"/>
    <w:rsid w:val="000D2086"/>
    <w:rsid w:val="000D20E3"/>
    <w:rsid w:val="000D26B4"/>
    <w:rsid w:val="000D2A09"/>
    <w:rsid w:val="000D2AF6"/>
    <w:rsid w:val="000D38EC"/>
    <w:rsid w:val="000D5B66"/>
    <w:rsid w:val="000D7847"/>
    <w:rsid w:val="000E58C9"/>
    <w:rsid w:val="000E716D"/>
    <w:rsid w:val="000F0ECE"/>
    <w:rsid w:val="000F2EFC"/>
    <w:rsid w:val="0010046A"/>
    <w:rsid w:val="001014ED"/>
    <w:rsid w:val="00101CF5"/>
    <w:rsid w:val="0010347E"/>
    <w:rsid w:val="00103B2D"/>
    <w:rsid w:val="00104442"/>
    <w:rsid w:val="001130F2"/>
    <w:rsid w:val="0011679F"/>
    <w:rsid w:val="00116EFD"/>
    <w:rsid w:val="00122F27"/>
    <w:rsid w:val="001248EC"/>
    <w:rsid w:val="001250B2"/>
    <w:rsid w:val="001264C6"/>
    <w:rsid w:val="00127A0F"/>
    <w:rsid w:val="001300C5"/>
    <w:rsid w:val="0013077F"/>
    <w:rsid w:val="00131E9F"/>
    <w:rsid w:val="00132494"/>
    <w:rsid w:val="001338E0"/>
    <w:rsid w:val="00133F92"/>
    <w:rsid w:val="001348D1"/>
    <w:rsid w:val="00136557"/>
    <w:rsid w:val="00137954"/>
    <w:rsid w:val="00145344"/>
    <w:rsid w:val="00145364"/>
    <w:rsid w:val="00146B76"/>
    <w:rsid w:val="00147CDF"/>
    <w:rsid w:val="0015027C"/>
    <w:rsid w:val="001508AC"/>
    <w:rsid w:val="0015105F"/>
    <w:rsid w:val="00151F37"/>
    <w:rsid w:val="00155CAE"/>
    <w:rsid w:val="00160E81"/>
    <w:rsid w:val="00161987"/>
    <w:rsid w:val="001627D7"/>
    <w:rsid w:val="00163086"/>
    <w:rsid w:val="00164EB9"/>
    <w:rsid w:val="001664B9"/>
    <w:rsid w:val="00167D6B"/>
    <w:rsid w:val="00171357"/>
    <w:rsid w:val="001742EE"/>
    <w:rsid w:val="00181861"/>
    <w:rsid w:val="001828EE"/>
    <w:rsid w:val="001836B1"/>
    <w:rsid w:val="001843A6"/>
    <w:rsid w:val="0018590F"/>
    <w:rsid w:val="001915EC"/>
    <w:rsid w:val="00191A12"/>
    <w:rsid w:val="00195DFD"/>
    <w:rsid w:val="00196FBC"/>
    <w:rsid w:val="00197876"/>
    <w:rsid w:val="00197FAB"/>
    <w:rsid w:val="001A0DB4"/>
    <w:rsid w:val="001A2EC0"/>
    <w:rsid w:val="001A364C"/>
    <w:rsid w:val="001A5AC7"/>
    <w:rsid w:val="001A5F22"/>
    <w:rsid w:val="001A7744"/>
    <w:rsid w:val="001B02CE"/>
    <w:rsid w:val="001B26A8"/>
    <w:rsid w:val="001C3161"/>
    <w:rsid w:val="001C46AD"/>
    <w:rsid w:val="001C480C"/>
    <w:rsid w:val="001C5008"/>
    <w:rsid w:val="001C52A0"/>
    <w:rsid w:val="001C7482"/>
    <w:rsid w:val="001D1BDC"/>
    <w:rsid w:val="001D1C8E"/>
    <w:rsid w:val="001D7B64"/>
    <w:rsid w:val="001E0E80"/>
    <w:rsid w:val="001E1B57"/>
    <w:rsid w:val="001E3446"/>
    <w:rsid w:val="001E50DC"/>
    <w:rsid w:val="001E6122"/>
    <w:rsid w:val="001F217D"/>
    <w:rsid w:val="001F23FE"/>
    <w:rsid w:val="001F5437"/>
    <w:rsid w:val="001F6525"/>
    <w:rsid w:val="002028CB"/>
    <w:rsid w:val="002049FE"/>
    <w:rsid w:val="00204B4A"/>
    <w:rsid w:val="00205BE9"/>
    <w:rsid w:val="00206D38"/>
    <w:rsid w:val="00206EAA"/>
    <w:rsid w:val="00207B36"/>
    <w:rsid w:val="0021380A"/>
    <w:rsid w:val="0021491F"/>
    <w:rsid w:val="00217A5C"/>
    <w:rsid w:val="002207FB"/>
    <w:rsid w:val="00221255"/>
    <w:rsid w:val="0022136E"/>
    <w:rsid w:val="002216A8"/>
    <w:rsid w:val="00224875"/>
    <w:rsid w:val="00225542"/>
    <w:rsid w:val="00226B7E"/>
    <w:rsid w:val="00227BCC"/>
    <w:rsid w:val="00227CD1"/>
    <w:rsid w:val="00240C0F"/>
    <w:rsid w:val="00241562"/>
    <w:rsid w:val="00244A6F"/>
    <w:rsid w:val="00247837"/>
    <w:rsid w:val="002479AE"/>
    <w:rsid w:val="00252E68"/>
    <w:rsid w:val="002536FA"/>
    <w:rsid w:val="00255FC4"/>
    <w:rsid w:val="00260117"/>
    <w:rsid w:val="00261127"/>
    <w:rsid w:val="002627DF"/>
    <w:rsid w:val="00264A05"/>
    <w:rsid w:val="00265002"/>
    <w:rsid w:val="002669B8"/>
    <w:rsid w:val="0026720C"/>
    <w:rsid w:val="002709D8"/>
    <w:rsid w:val="002717D7"/>
    <w:rsid w:val="00273E95"/>
    <w:rsid w:val="00276A31"/>
    <w:rsid w:val="00276F49"/>
    <w:rsid w:val="00276FCA"/>
    <w:rsid w:val="002810A1"/>
    <w:rsid w:val="002825B0"/>
    <w:rsid w:val="00284720"/>
    <w:rsid w:val="002848C0"/>
    <w:rsid w:val="00284BF7"/>
    <w:rsid w:val="00285D09"/>
    <w:rsid w:val="00285F0D"/>
    <w:rsid w:val="00286C0B"/>
    <w:rsid w:val="00287B27"/>
    <w:rsid w:val="00293A25"/>
    <w:rsid w:val="00296992"/>
    <w:rsid w:val="00296FAF"/>
    <w:rsid w:val="002A05BE"/>
    <w:rsid w:val="002A6322"/>
    <w:rsid w:val="002B426C"/>
    <w:rsid w:val="002B69E9"/>
    <w:rsid w:val="002C1676"/>
    <w:rsid w:val="002C4CAC"/>
    <w:rsid w:val="002C68CA"/>
    <w:rsid w:val="002D08AD"/>
    <w:rsid w:val="002D3017"/>
    <w:rsid w:val="002D4B58"/>
    <w:rsid w:val="002D5181"/>
    <w:rsid w:val="002D640E"/>
    <w:rsid w:val="002E1BB8"/>
    <w:rsid w:val="002E22BD"/>
    <w:rsid w:val="002E45CE"/>
    <w:rsid w:val="002E5378"/>
    <w:rsid w:val="002E605F"/>
    <w:rsid w:val="002E7EEB"/>
    <w:rsid w:val="002F0376"/>
    <w:rsid w:val="002F0B94"/>
    <w:rsid w:val="002F2681"/>
    <w:rsid w:val="002F2FCB"/>
    <w:rsid w:val="002F30DA"/>
    <w:rsid w:val="00300F3D"/>
    <w:rsid w:val="0030173B"/>
    <w:rsid w:val="0030202B"/>
    <w:rsid w:val="003038C1"/>
    <w:rsid w:val="0030700A"/>
    <w:rsid w:val="00310253"/>
    <w:rsid w:val="00310C34"/>
    <w:rsid w:val="003138F4"/>
    <w:rsid w:val="00313C53"/>
    <w:rsid w:val="0031551D"/>
    <w:rsid w:val="003158F5"/>
    <w:rsid w:val="00320DEA"/>
    <w:rsid w:val="00320F26"/>
    <w:rsid w:val="00322C2E"/>
    <w:rsid w:val="00323C9A"/>
    <w:rsid w:val="00324782"/>
    <w:rsid w:val="00326588"/>
    <w:rsid w:val="00331B7F"/>
    <w:rsid w:val="00333A40"/>
    <w:rsid w:val="00334898"/>
    <w:rsid w:val="00336771"/>
    <w:rsid w:val="00336E09"/>
    <w:rsid w:val="0033724B"/>
    <w:rsid w:val="00341EF9"/>
    <w:rsid w:val="00344091"/>
    <w:rsid w:val="003512E3"/>
    <w:rsid w:val="003526DD"/>
    <w:rsid w:val="00352910"/>
    <w:rsid w:val="003565DD"/>
    <w:rsid w:val="00356E8C"/>
    <w:rsid w:val="00364517"/>
    <w:rsid w:val="003657F9"/>
    <w:rsid w:val="0036591E"/>
    <w:rsid w:val="00381CE4"/>
    <w:rsid w:val="003832E5"/>
    <w:rsid w:val="0038491E"/>
    <w:rsid w:val="00385743"/>
    <w:rsid w:val="00385796"/>
    <w:rsid w:val="003860FB"/>
    <w:rsid w:val="00386DCE"/>
    <w:rsid w:val="00390FF8"/>
    <w:rsid w:val="00391011"/>
    <w:rsid w:val="003A54C8"/>
    <w:rsid w:val="003B01BC"/>
    <w:rsid w:val="003B5060"/>
    <w:rsid w:val="003B602D"/>
    <w:rsid w:val="003C12C6"/>
    <w:rsid w:val="003C3B33"/>
    <w:rsid w:val="003C40DF"/>
    <w:rsid w:val="003C4918"/>
    <w:rsid w:val="003C4A80"/>
    <w:rsid w:val="003D0EC9"/>
    <w:rsid w:val="003D0F72"/>
    <w:rsid w:val="003D1E98"/>
    <w:rsid w:val="003D34E8"/>
    <w:rsid w:val="003E22A3"/>
    <w:rsid w:val="003E3C07"/>
    <w:rsid w:val="003E3CA1"/>
    <w:rsid w:val="003F24FA"/>
    <w:rsid w:val="003F3EAD"/>
    <w:rsid w:val="003F4916"/>
    <w:rsid w:val="003F64EA"/>
    <w:rsid w:val="003F69D6"/>
    <w:rsid w:val="003F6DD6"/>
    <w:rsid w:val="003F73CE"/>
    <w:rsid w:val="00401761"/>
    <w:rsid w:val="00404FB7"/>
    <w:rsid w:val="0040530C"/>
    <w:rsid w:val="0040656C"/>
    <w:rsid w:val="00407DBA"/>
    <w:rsid w:val="00410134"/>
    <w:rsid w:val="004152DA"/>
    <w:rsid w:val="004166D9"/>
    <w:rsid w:val="00420F05"/>
    <w:rsid w:val="004220B1"/>
    <w:rsid w:val="0042387B"/>
    <w:rsid w:val="004243D0"/>
    <w:rsid w:val="004265FB"/>
    <w:rsid w:val="004268AD"/>
    <w:rsid w:val="004276E7"/>
    <w:rsid w:val="004308FB"/>
    <w:rsid w:val="004351F5"/>
    <w:rsid w:val="00440CC2"/>
    <w:rsid w:val="0044265F"/>
    <w:rsid w:val="00443311"/>
    <w:rsid w:val="00443F77"/>
    <w:rsid w:val="004502D3"/>
    <w:rsid w:val="004508C0"/>
    <w:rsid w:val="00450B6A"/>
    <w:rsid w:val="00450D3A"/>
    <w:rsid w:val="0045605A"/>
    <w:rsid w:val="004575E0"/>
    <w:rsid w:val="00461A48"/>
    <w:rsid w:val="004620E4"/>
    <w:rsid w:val="0046229B"/>
    <w:rsid w:val="00464900"/>
    <w:rsid w:val="004655E2"/>
    <w:rsid w:val="004665D9"/>
    <w:rsid w:val="0047202C"/>
    <w:rsid w:val="00472E56"/>
    <w:rsid w:val="00476E72"/>
    <w:rsid w:val="00481CB5"/>
    <w:rsid w:val="00482525"/>
    <w:rsid w:val="004836E8"/>
    <w:rsid w:val="00484571"/>
    <w:rsid w:val="00485035"/>
    <w:rsid w:val="004850FD"/>
    <w:rsid w:val="004862A2"/>
    <w:rsid w:val="004864B3"/>
    <w:rsid w:val="00486DAB"/>
    <w:rsid w:val="00491A05"/>
    <w:rsid w:val="00491BAC"/>
    <w:rsid w:val="00495F1E"/>
    <w:rsid w:val="004A0661"/>
    <w:rsid w:val="004A6057"/>
    <w:rsid w:val="004A6640"/>
    <w:rsid w:val="004A67C8"/>
    <w:rsid w:val="004A791B"/>
    <w:rsid w:val="004B1978"/>
    <w:rsid w:val="004B20F4"/>
    <w:rsid w:val="004B400E"/>
    <w:rsid w:val="004B4365"/>
    <w:rsid w:val="004B786B"/>
    <w:rsid w:val="004B7EEF"/>
    <w:rsid w:val="004C00AB"/>
    <w:rsid w:val="004C04B4"/>
    <w:rsid w:val="004C11DF"/>
    <w:rsid w:val="004C1351"/>
    <w:rsid w:val="004C3738"/>
    <w:rsid w:val="004C7906"/>
    <w:rsid w:val="004D4849"/>
    <w:rsid w:val="004E4D53"/>
    <w:rsid w:val="004E7F4C"/>
    <w:rsid w:val="004F03CD"/>
    <w:rsid w:val="004F0E2F"/>
    <w:rsid w:val="004F0F0A"/>
    <w:rsid w:val="004F1CF2"/>
    <w:rsid w:val="004F3EE6"/>
    <w:rsid w:val="004F5CA5"/>
    <w:rsid w:val="004F5E59"/>
    <w:rsid w:val="005021AE"/>
    <w:rsid w:val="00506EE2"/>
    <w:rsid w:val="0051013F"/>
    <w:rsid w:val="00513050"/>
    <w:rsid w:val="005146B7"/>
    <w:rsid w:val="00514DE4"/>
    <w:rsid w:val="005154F4"/>
    <w:rsid w:val="00516071"/>
    <w:rsid w:val="005163F8"/>
    <w:rsid w:val="005168CE"/>
    <w:rsid w:val="005225BF"/>
    <w:rsid w:val="00523CA3"/>
    <w:rsid w:val="00525E20"/>
    <w:rsid w:val="0052622A"/>
    <w:rsid w:val="0053123C"/>
    <w:rsid w:val="00532E60"/>
    <w:rsid w:val="005332B4"/>
    <w:rsid w:val="00533C0B"/>
    <w:rsid w:val="00535822"/>
    <w:rsid w:val="00537EC4"/>
    <w:rsid w:val="00542CD7"/>
    <w:rsid w:val="00546E94"/>
    <w:rsid w:val="00546FFF"/>
    <w:rsid w:val="00547D7D"/>
    <w:rsid w:val="00552498"/>
    <w:rsid w:val="00552CAB"/>
    <w:rsid w:val="0055359D"/>
    <w:rsid w:val="0055482E"/>
    <w:rsid w:val="00555D30"/>
    <w:rsid w:val="00556364"/>
    <w:rsid w:val="00560A8C"/>
    <w:rsid w:val="005639E8"/>
    <w:rsid w:val="005646A0"/>
    <w:rsid w:val="00566767"/>
    <w:rsid w:val="00571B89"/>
    <w:rsid w:val="0058475C"/>
    <w:rsid w:val="00585028"/>
    <w:rsid w:val="00586056"/>
    <w:rsid w:val="00586EEC"/>
    <w:rsid w:val="00590E5D"/>
    <w:rsid w:val="005915FA"/>
    <w:rsid w:val="0059562E"/>
    <w:rsid w:val="005A04EA"/>
    <w:rsid w:val="005A2828"/>
    <w:rsid w:val="005A4816"/>
    <w:rsid w:val="005A568B"/>
    <w:rsid w:val="005B48A8"/>
    <w:rsid w:val="005B4CB8"/>
    <w:rsid w:val="005B501D"/>
    <w:rsid w:val="005C0455"/>
    <w:rsid w:val="005C1095"/>
    <w:rsid w:val="005C50DD"/>
    <w:rsid w:val="005C5F57"/>
    <w:rsid w:val="005C7B8A"/>
    <w:rsid w:val="005D0120"/>
    <w:rsid w:val="005D05DF"/>
    <w:rsid w:val="005D0F8C"/>
    <w:rsid w:val="005D1C7E"/>
    <w:rsid w:val="005D58FE"/>
    <w:rsid w:val="005D59BF"/>
    <w:rsid w:val="005D5E30"/>
    <w:rsid w:val="005E3435"/>
    <w:rsid w:val="005E4C82"/>
    <w:rsid w:val="005E78E1"/>
    <w:rsid w:val="005F2F07"/>
    <w:rsid w:val="005F4EAB"/>
    <w:rsid w:val="00604D5C"/>
    <w:rsid w:val="00605B2E"/>
    <w:rsid w:val="0060715A"/>
    <w:rsid w:val="0061159D"/>
    <w:rsid w:val="00613D8F"/>
    <w:rsid w:val="0061523A"/>
    <w:rsid w:val="00615C19"/>
    <w:rsid w:val="00621345"/>
    <w:rsid w:val="0062205D"/>
    <w:rsid w:val="0062622A"/>
    <w:rsid w:val="0062657F"/>
    <w:rsid w:val="0062744E"/>
    <w:rsid w:val="00630A1A"/>
    <w:rsid w:val="00630E03"/>
    <w:rsid w:val="00632B9A"/>
    <w:rsid w:val="00634AE8"/>
    <w:rsid w:val="00634F8D"/>
    <w:rsid w:val="00640E70"/>
    <w:rsid w:val="00642751"/>
    <w:rsid w:val="0064368A"/>
    <w:rsid w:val="0064370A"/>
    <w:rsid w:val="00645B5C"/>
    <w:rsid w:val="00646D93"/>
    <w:rsid w:val="00646DC9"/>
    <w:rsid w:val="00650DC4"/>
    <w:rsid w:val="00654153"/>
    <w:rsid w:val="00654F29"/>
    <w:rsid w:val="00655525"/>
    <w:rsid w:val="00657742"/>
    <w:rsid w:val="00657AF3"/>
    <w:rsid w:val="00657E66"/>
    <w:rsid w:val="00662BF7"/>
    <w:rsid w:val="00662F28"/>
    <w:rsid w:val="00664010"/>
    <w:rsid w:val="00665997"/>
    <w:rsid w:val="00667129"/>
    <w:rsid w:val="00670D2E"/>
    <w:rsid w:val="00671CBC"/>
    <w:rsid w:val="006734B7"/>
    <w:rsid w:val="00674F1F"/>
    <w:rsid w:val="00685EB5"/>
    <w:rsid w:val="00686621"/>
    <w:rsid w:val="006879F8"/>
    <w:rsid w:val="00690304"/>
    <w:rsid w:val="006937C7"/>
    <w:rsid w:val="006979D5"/>
    <w:rsid w:val="00697C50"/>
    <w:rsid w:val="006A126D"/>
    <w:rsid w:val="006A5352"/>
    <w:rsid w:val="006A5CDB"/>
    <w:rsid w:val="006B2157"/>
    <w:rsid w:val="006B2E71"/>
    <w:rsid w:val="006C203E"/>
    <w:rsid w:val="006C3CDB"/>
    <w:rsid w:val="006D1C9E"/>
    <w:rsid w:val="006D36F8"/>
    <w:rsid w:val="006D3AB2"/>
    <w:rsid w:val="006D5B53"/>
    <w:rsid w:val="006D6FB5"/>
    <w:rsid w:val="006E37BC"/>
    <w:rsid w:val="006E49A2"/>
    <w:rsid w:val="006E6681"/>
    <w:rsid w:val="006E6FE8"/>
    <w:rsid w:val="006E7B9E"/>
    <w:rsid w:val="006E7F77"/>
    <w:rsid w:val="006F4675"/>
    <w:rsid w:val="006F5B3D"/>
    <w:rsid w:val="00700022"/>
    <w:rsid w:val="007016BD"/>
    <w:rsid w:val="007023E5"/>
    <w:rsid w:val="00704657"/>
    <w:rsid w:val="00704E78"/>
    <w:rsid w:val="00705BC5"/>
    <w:rsid w:val="00706D06"/>
    <w:rsid w:val="00707C0B"/>
    <w:rsid w:val="00710326"/>
    <w:rsid w:val="0071363D"/>
    <w:rsid w:val="00713D98"/>
    <w:rsid w:val="007149D9"/>
    <w:rsid w:val="00715A8B"/>
    <w:rsid w:val="00716D5D"/>
    <w:rsid w:val="007175C3"/>
    <w:rsid w:val="00720937"/>
    <w:rsid w:val="00722CF5"/>
    <w:rsid w:val="0072398B"/>
    <w:rsid w:val="007253DD"/>
    <w:rsid w:val="00730ACF"/>
    <w:rsid w:val="00733D2B"/>
    <w:rsid w:val="00734764"/>
    <w:rsid w:val="007376D7"/>
    <w:rsid w:val="00737B2E"/>
    <w:rsid w:val="00743E97"/>
    <w:rsid w:val="00746385"/>
    <w:rsid w:val="00746505"/>
    <w:rsid w:val="007466F9"/>
    <w:rsid w:val="00746F4E"/>
    <w:rsid w:val="0075131B"/>
    <w:rsid w:val="007524E2"/>
    <w:rsid w:val="00752B67"/>
    <w:rsid w:val="00756BD9"/>
    <w:rsid w:val="00764BAD"/>
    <w:rsid w:val="00770086"/>
    <w:rsid w:val="0077230A"/>
    <w:rsid w:val="00772EE4"/>
    <w:rsid w:val="00773524"/>
    <w:rsid w:val="0077391C"/>
    <w:rsid w:val="0078010E"/>
    <w:rsid w:val="00790E43"/>
    <w:rsid w:val="00794B18"/>
    <w:rsid w:val="00796224"/>
    <w:rsid w:val="00797D2D"/>
    <w:rsid w:val="00797DB2"/>
    <w:rsid w:val="007A0A19"/>
    <w:rsid w:val="007A0F0B"/>
    <w:rsid w:val="007A125F"/>
    <w:rsid w:val="007A3B2E"/>
    <w:rsid w:val="007A4D3D"/>
    <w:rsid w:val="007A7695"/>
    <w:rsid w:val="007A7DB8"/>
    <w:rsid w:val="007B2F3A"/>
    <w:rsid w:val="007B3CC2"/>
    <w:rsid w:val="007C0183"/>
    <w:rsid w:val="007C0DEC"/>
    <w:rsid w:val="007C31D7"/>
    <w:rsid w:val="007C3D5C"/>
    <w:rsid w:val="007C5829"/>
    <w:rsid w:val="007D1BD1"/>
    <w:rsid w:val="007D3945"/>
    <w:rsid w:val="007D6002"/>
    <w:rsid w:val="007D7C13"/>
    <w:rsid w:val="007E734B"/>
    <w:rsid w:val="007E773B"/>
    <w:rsid w:val="007F0483"/>
    <w:rsid w:val="007F1C6C"/>
    <w:rsid w:val="007F6B96"/>
    <w:rsid w:val="007F6D91"/>
    <w:rsid w:val="007F74B1"/>
    <w:rsid w:val="00803D94"/>
    <w:rsid w:val="00806E7B"/>
    <w:rsid w:val="00812273"/>
    <w:rsid w:val="008138EC"/>
    <w:rsid w:val="00815C5B"/>
    <w:rsid w:val="0081616B"/>
    <w:rsid w:val="00820A1C"/>
    <w:rsid w:val="00826885"/>
    <w:rsid w:val="00831842"/>
    <w:rsid w:val="008346D5"/>
    <w:rsid w:val="00835B04"/>
    <w:rsid w:val="008371E9"/>
    <w:rsid w:val="0084044F"/>
    <w:rsid w:val="00841015"/>
    <w:rsid w:val="008438F2"/>
    <w:rsid w:val="00843EC1"/>
    <w:rsid w:val="00845045"/>
    <w:rsid w:val="0084797E"/>
    <w:rsid w:val="00850A24"/>
    <w:rsid w:val="00857CC5"/>
    <w:rsid w:val="00857CEE"/>
    <w:rsid w:val="0086025A"/>
    <w:rsid w:val="0086101B"/>
    <w:rsid w:val="00863AFB"/>
    <w:rsid w:val="00863CAD"/>
    <w:rsid w:val="00867452"/>
    <w:rsid w:val="0087113A"/>
    <w:rsid w:val="00871753"/>
    <w:rsid w:val="00873534"/>
    <w:rsid w:val="0087545E"/>
    <w:rsid w:val="008813AB"/>
    <w:rsid w:val="00885114"/>
    <w:rsid w:val="00890D95"/>
    <w:rsid w:val="00891FD2"/>
    <w:rsid w:val="008930DB"/>
    <w:rsid w:val="00895BA6"/>
    <w:rsid w:val="00895EDD"/>
    <w:rsid w:val="008A0D33"/>
    <w:rsid w:val="008A1155"/>
    <w:rsid w:val="008A2879"/>
    <w:rsid w:val="008A42CC"/>
    <w:rsid w:val="008A477A"/>
    <w:rsid w:val="008A4B51"/>
    <w:rsid w:val="008A7D79"/>
    <w:rsid w:val="008B156C"/>
    <w:rsid w:val="008B498D"/>
    <w:rsid w:val="008C19EE"/>
    <w:rsid w:val="008C2930"/>
    <w:rsid w:val="008C3CEC"/>
    <w:rsid w:val="008C53D1"/>
    <w:rsid w:val="008C59EC"/>
    <w:rsid w:val="008C731F"/>
    <w:rsid w:val="008D199A"/>
    <w:rsid w:val="008D5858"/>
    <w:rsid w:val="008D7629"/>
    <w:rsid w:val="008E29F3"/>
    <w:rsid w:val="008E4BF4"/>
    <w:rsid w:val="008E7DD9"/>
    <w:rsid w:val="008F2B5B"/>
    <w:rsid w:val="008F4086"/>
    <w:rsid w:val="008F40BA"/>
    <w:rsid w:val="008F4B7D"/>
    <w:rsid w:val="008F51C2"/>
    <w:rsid w:val="00900BEE"/>
    <w:rsid w:val="009013ED"/>
    <w:rsid w:val="00902BB2"/>
    <w:rsid w:val="00902DA7"/>
    <w:rsid w:val="00902F53"/>
    <w:rsid w:val="00904469"/>
    <w:rsid w:val="00906F2D"/>
    <w:rsid w:val="009155E3"/>
    <w:rsid w:val="00917AD0"/>
    <w:rsid w:val="009223B7"/>
    <w:rsid w:val="00926312"/>
    <w:rsid w:val="00927E19"/>
    <w:rsid w:val="00931E8A"/>
    <w:rsid w:val="009323CC"/>
    <w:rsid w:val="0093427A"/>
    <w:rsid w:val="0093498F"/>
    <w:rsid w:val="00937FDA"/>
    <w:rsid w:val="00940CC8"/>
    <w:rsid w:val="00943011"/>
    <w:rsid w:val="00943141"/>
    <w:rsid w:val="00946648"/>
    <w:rsid w:val="00946C9A"/>
    <w:rsid w:val="0095112B"/>
    <w:rsid w:val="00951345"/>
    <w:rsid w:val="0095262E"/>
    <w:rsid w:val="009556EE"/>
    <w:rsid w:val="00961D9D"/>
    <w:rsid w:val="009625A6"/>
    <w:rsid w:val="0096288F"/>
    <w:rsid w:val="00962E4B"/>
    <w:rsid w:val="00964538"/>
    <w:rsid w:val="00964BB6"/>
    <w:rsid w:val="009665D4"/>
    <w:rsid w:val="00970702"/>
    <w:rsid w:val="00973076"/>
    <w:rsid w:val="009738C3"/>
    <w:rsid w:val="00973C9A"/>
    <w:rsid w:val="009779E3"/>
    <w:rsid w:val="00977B51"/>
    <w:rsid w:val="00981147"/>
    <w:rsid w:val="00982DF9"/>
    <w:rsid w:val="00984E30"/>
    <w:rsid w:val="009855B2"/>
    <w:rsid w:val="0098774D"/>
    <w:rsid w:val="00990386"/>
    <w:rsid w:val="009914C7"/>
    <w:rsid w:val="00993ADC"/>
    <w:rsid w:val="009956FF"/>
    <w:rsid w:val="00997005"/>
    <w:rsid w:val="009A2071"/>
    <w:rsid w:val="009A3475"/>
    <w:rsid w:val="009B56CE"/>
    <w:rsid w:val="009C1611"/>
    <w:rsid w:val="009C17F8"/>
    <w:rsid w:val="009C41EE"/>
    <w:rsid w:val="009C60B8"/>
    <w:rsid w:val="009D0074"/>
    <w:rsid w:val="009D0524"/>
    <w:rsid w:val="009D4060"/>
    <w:rsid w:val="009D54FC"/>
    <w:rsid w:val="009E4216"/>
    <w:rsid w:val="009E5C8D"/>
    <w:rsid w:val="009E7C46"/>
    <w:rsid w:val="009F622C"/>
    <w:rsid w:val="009F6B40"/>
    <w:rsid w:val="009F7FA7"/>
    <w:rsid w:val="00A009B1"/>
    <w:rsid w:val="00A017F8"/>
    <w:rsid w:val="00A02C6C"/>
    <w:rsid w:val="00A04A36"/>
    <w:rsid w:val="00A10890"/>
    <w:rsid w:val="00A12663"/>
    <w:rsid w:val="00A15EDB"/>
    <w:rsid w:val="00A16824"/>
    <w:rsid w:val="00A20254"/>
    <w:rsid w:val="00A2068E"/>
    <w:rsid w:val="00A21263"/>
    <w:rsid w:val="00A212FA"/>
    <w:rsid w:val="00A24E2E"/>
    <w:rsid w:val="00A2549A"/>
    <w:rsid w:val="00A26D85"/>
    <w:rsid w:val="00A31DB1"/>
    <w:rsid w:val="00A3471E"/>
    <w:rsid w:val="00A361DD"/>
    <w:rsid w:val="00A422B9"/>
    <w:rsid w:val="00A437F0"/>
    <w:rsid w:val="00A4397C"/>
    <w:rsid w:val="00A43CC0"/>
    <w:rsid w:val="00A44EC3"/>
    <w:rsid w:val="00A45277"/>
    <w:rsid w:val="00A4705A"/>
    <w:rsid w:val="00A477C7"/>
    <w:rsid w:val="00A504DC"/>
    <w:rsid w:val="00A50721"/>
    <w:rsid w:val="00A51F56"/>
    <w:rsid w:val="00A547AB"/>
    <w:rsid w:val="00A6146F"/>
    <w:rsid w:val="00A61D89"/>
    <w:rsid w:val="00A64C2A"/>
    <w:rsid w:val="00A67117"/>
    <w:rsid w:val="00A71F26"/>
    <w:rsid w:val="00A733C1"/>
    <w:rsid w:val="00A751C5"/>
    <w:rsid w:val="00A76085"/>
    <w:rsid w:val="00A77300"/>
    <w:rsid w:val="00A80939"/>
    <w:rsid w:val="00A84B0A"/>
    <w:rsid w:val="00A85B6F"/>
    <w:rsid w:val="00A86C9E"/>
    <w:rsid w:val="00A90A1F"/>
    <w:rsid w:val="00A91384"/>
    <w:rsid w:val="00A91DC4"/>
    <w:rsid w:val="00A930CB"/>
    <w:rsid w:val="00A9584F"/>
    <w:rsid w:val="00A976D8"/>
    <w:rsid w:val="00A978A7"/>
    <w:rsid w:val="00AA0EAB"/>
    <w:rsid w:val="00AA2162"/>
    <w:rsid w:val="00AA2A3C"/>
    <w:rsid w:val="00AA2CE8"/>
    <w:rsid w:val="00AA6F1B"/>
    <w:rsid w:val="00AA75D0"/>
    <w:rsid w:val="00AB1F35"/>
    <w:rsid w:val="00AB22A0"/>
    <w:rsid w:val="00AB2338"/>
    <w:rsid w:val="00AB39D3"/>
    <w:rsid w:val="00AB4149"/>
    <w:rsid w:val="00AC37E1"/>
    <w:rsid w:val="00AC42E1"/>
    <w:rsid w:val="00AC59E7"/>
    <w:rsid w:val="00AD00DB"/>
    <w:rsid w:val="00AD3A1B"/>
    <w:rsid w:val="00AD505B"/>
    <w:rsid w:val="00AD5EF8"/>
    <w:rsid w:val="00AD5F94"/>
    <w:rsid w:val="00AD64A7"/>
    <w:rsid w:val="00AE32BE"/>
    <w:rsid w:val="00AE6156"/>
    <w:rsid w:val="00AE6560"/>
    <w:rsid w:val="00AE79EE"/>
    <w:rsid w:val="00AE7A76"/>
    <w:rsid w:val="00AF0FE3"/>
    <w:rsid w:val="00AF16BD"/>
    <w:rsid w:val="00AF2026"/>
    <w:rsid w:val="00AF6107"/>
    <w:rsid w:val="00AF6B3E"/>
    <w:rsid w:val="00B014F2"/>
    <w:rsid w:val="00B02818"/>
    <w:rsid w:val="00B040D2"/>
    <w:rsid w:val="00B04525"/>
    <w:rsid w:val="00B10080"/>
    <w:rsid w:val="00B10148"/>
    <w:rsid w:val="00B1041C"/>
    <w:rsid w:val="00B1138C"/>
    <w:rsid w:val="00B11B1F"/>
    <w:rsid w:val="00B158FC"/>
    <w:rsid w:val="00B220CB"/>
    <w:rsid w:val="00B2507C"/>
    <w:rsid w:val="00B26118"/>
    <w:rsid w:val="00B263DC"/>
    <w:rsid w:val="00B26C7E"/>
    <w:rsid w:val="00B26CFE"/>
    <w:rsid w:val="00B273D4"/>
    <w:rsid w:val="00B31262"/>
    <w:rsid w:val="00B37F21"/>
    <w:rsid w:val="00B4013C"/>
    <w:rsid w:val="00B412E4"/>
    <w:rsid w:val="00B414CD"/>
    <w:rsid w:val="00B5097C"/>
    <w:rsid w:val="00B529CA"/>
    <w:rsid w:val="00B55907"/>
    <w:rsid w:val="00B56C5B"/>
    <w:rsid w:val="00B62C72"/>
    <w:rsid w:val="00B635E9"/>
    <w:rsid w:val="00B6475F"/>
    <w:rsid w:val="00B65F75"/>
    <w:rsid w:val="00B66225"/>
    <w:rsid w:val="00B70C6E"/>
    <w:rsid w:val="00B73E24"/>
    <w:rsid w:val="00B741B4"/>
    <w:rsid w:val="00B75924"/>
    <w:rsid w:val="00B76674"/>
    <w:rsid w:val="00B76F62"/>
    <w:rsid w:val="00B77230"/>
    <w:rsid w:val="00B77680"/>
    <w:rsid w:val="00B80528"/>
    <w:rsid w:val="00B849BC"/>
    <w:rsid w:val="00B927A0"/>
    <w:rsid w:val="00B92865"/>
    <w:rsid w:val="00B93F76"/>
    <w:rsid w:val="00B943BE"/>
    <w:rsid w:val="00B94F44"/>
    <w:rsid w:val="00B968F0"/>
    <w:rsid w:val="00B97D35"/>
    <w:rsid w:val="00BA41E2"/>
    <w:rsid w:val="00BA49F5"/>
    <w:rsid w:val="00BB07BE"/>
    <w:rsid w:val="00BB1E96"/>
    <w:rsid w:val="00BB43D2"/>
    <w:rsid w:val="00BC08FC"/>
    <w:rsid w:val="00BC2FA9"/>
    <w:rsid w:val="00BC300D"/>
    <w:rsid w:val="00BC30BF"/>
    <w:rsid w:val="00BC579A"/>
    <w:rsid w:val="00BC6AB9"/>
    <w:rsid w:val="00BD0571"/>
    <w:rsid w:val="00BD0C04"/>
    <w:rsid w:val="00BD1D95"/>
    <w:rsid w:val="00BD3AA5"/>
    <w:rsid w:val="00BD3DFD"/>
    <w:rsid w:val="00BD54C4"/>
    <w:rsid w:val="00BD66D1"/>
    <w:rsid w:val="00BE3889"/>
    <w:rsid w:val="00BE51AF"/>
    <w:rsid w:val="00BE7B3F"/>
    <w:rsid w:val="00BF0B2D"/>
    <w:rsid w:val="00BF13D9"/>
    <w:rsid w:val="00BF1949"/>
    <w:rsid w:val="00BF2A79"/>
    <w:rsid w:val="00BF2C08"/>
    <w:rsid w:val="00BF69C4"/>
    <w:rsid w:val="00C0174B"/>
    <w:rsid w:val="00C02F7B"/>
    <w:rsid w:val="00C032FF"/>
    <w:rsid w:val="00C040E5"/>
    <w:rsid w:val="00C066FA"/>
    <w:rsid w:val="00C123A4"/>
    <w:rsid w:val="00C12678"/>
    <w:rsid w:val="00C14F53"/>
    <w:rsid w:val="00C219DB"/>
    <w:rsid w:val="00C23C57"/>
    <w:rsid w:val="00C32716"/>
    <w:rsid w:val="00C336B1"/>
    <w:rsid w:val="00C35245"/>
    <w:rsid w:val="00C36BA4"/>
    <w:rsid w:val="00C37136"/>
    <w:rsid w:val="00C37543"/>
    <w:rsid w:val="00C40878"/>
    <w:rsid w:val="00C42F3B"/>
    <w:rsid w:val="00C44050"/>
    <w:rsid w:val="00C477CE"/>
    <w:rsid w:val="00C4782B"/>
    <w:rsid w:val="00C502DF"/>
    <w:rsid w:val="00C50AEB"/>
    <w:rsid w:val="00C5143B"/>
    <w:rsid w:val="00C51AB0"/>
    <w:rsid w:val="00C52B8B"/>
    <w:rsid w:val="00C52C14"/>
    <w:rsid w:val="00C53B1A"/>
    <w:rsid w:val="00C54C68"/>
    <w:rsid w:val="00C56613"/>
    <w:rsid w:val="00C6369E"/>
    <w:rsid w:val="00C657A5"/>
    <w:rsid w:val="00C74EB7"/>
    <w:rsid w:val="00C76AF2"/>
    <w:rsid w:val="00C778F5"/>
    <w:rsid w:val="00C80AF8"/>
    <w:rsid w:val="00C810AA"/>
    <w:rsid w:val="00C840F2"/>
    <w:rsid w:val="00C91EA8"/>
    <w:rsid w:val="00C9412E"/>
    <w:rsid w:val="00C9463D"/>
    <w:rsid w:val="00C952D6"/>
    <w:rsid w:val="00C95720"/>
    <w:rsid w:val="00C975E2"/>
    <w:rsid w:val="00CA68F7"/>
    <w:rsid w:val="00CB2072"/>
    <w:rsid w:val="00CB7265"/>
    <w:rsid w:val="00CB7330"/>
    <w:rsid w:val="00CC15CC"/>
    <w:rsid w:val="00CC3068"/>
    <w:rsid w:val="00CC4B82"/>
    <w:rsid w:val="00CC6920"/>
    <w:rsid w:val="00CD028E"/>
    <w:rsid w:val="00CD0505"/>
    <w:rsid w:val="00CD115E"/>
    <w:rsid w:val="00CD2C5C"/>
    <w:rsid w:val="00CD3A57"/>
    <w:rsid w:val="00CD46F4"/>
    <w:rsid w:val="00CE0DD3"/>
    <w:rsid w:val="00CE1213"/>
    <w:rsid w:val="00CE1369"/>
    <w:rsid w:val="00CE40BF"/>
    <w:rsid w:val="00CF0224"/>
    <w:rsid w:val="00CF0379"/>
    <w:rsid w:val="00CF1492"/>
    <w:rsid w:val="00CF310A"/>
    <w:rsid w:val="00CF4534"/>
    <w:rsid w:val="00CF644C"/>
    <w:rsid w:val="00D01FF9"/>
    <w:rsid w:val="00D02CB3"/>
    <w:rsid w:val="00D06218"/>
    <w:rsid w:val="00D14EE0"/>
    <w:rsid w:val="00D15FF5"/>
    <w:rsid w:val="00D2291D"/>
    <w:rsid w:val="00D23044"/>
    <w:rsid w:val="00D234B2"/>
    <w:rsid w:val="00D24419"/>
    <w:rsid w:val="00D26860"/>
    <w:rsid w:val="00D303A1"/>
    <w:rsid w:val="00D30650"/>
    <w:rsid w:val="00D314BF"/>
    <w:rsid w:val="00D34B56"/>
    <w:rsid w:val="00D35DC9"/>
    <w:rsid w:val="00D37198"/>
    <w:rsid w:val="00D40888"/>
    <w:rsid w:val="00D41315"/>
    <w:rsid w:val="00D439D3"/>
    <w:rsid w:val="00D43E0B"/>
    <w:rsid w:val="00D44FAB"/>
    <w:rsid w:val="00D450BB"/>
    <w:rsid w:val="00D45BF0"/>
    <w:rsid w:val="00D4783F"/>
    <w:rsid w:val="00D47EF0"/>
    <w:rsid w:val="00D50A33"/>
    <w:rsid w:val="00D51AEF"/>
    <w:rsid w:val="00D520D8"/>
    <w:rsid w:val="00D53177"/>
    <w:rsid w:val="00D56E29"/>
    <w:rsid w:val="00D56E82"/>
    <w:rsid w:val="00D60D00"/>
    <w:rsid w:val="00D612A0"/>
    <w:rsid w:val="00D62104"/>
    <w:rsid w:val="00D62B28"/>
    <w:rsid w:val="00D63617"/>
    <w:rsid w:val="00D65686"/>
    <w:rsid w:val="00D67E1F"/>
    <w:rsid w:val="00D702C6"/>
    <w:rsid w:val="00D72863"/>
    <w:rsid w:val="00D73BF8"/>
    <w:rsid w:val="00D73CFC"/>
    <w:rsid w:val="00D7452A"/>
    <w:rsid w:val="00D765C3"/>
    <w:rsid w:val="00D7708E"/>
    <w:rsid w:val="00D814CC"/>
    <w:rsid w:val="00D843B3"/>
    <w:rsid w:val="00D8452B"/>
    <w:rsid w:val="00D84CF8"/>
    <w:rsid w:val="00D855F1"/>
    <w:rsid w:val="00D85915"/>
    <w:rsid w:val="00D85E25"/>
    <w:rsid w:val="00D868D3"/>
    <w:rsid w:val="00D86E9F"/>
    <w:rsid w:val="00D914E6"/>
    <w:rsid w:val="00D93709"/>
    <w:rsid w:val="00D957DC"/>
    <w:rsid w:val="00D969B8"/>
    <w:rsid w:val="00DA11B2"/>
    <w:rsid w:val="00DA204F"/>
    <w:rsid w:val="00DA3853"/>
    <w:rsid w:val="00DA7A90"/>
    <w:rsid w:val="00DA7FD4"/>
    <w:rsid w:val="00DB3456"/>
    <w:rsid w:val="00DB3D94"/>
    <w:rsid w:val="00DB4C1F"/>
    <w:rsid w:val="00DC0941"/>
    <w:rsid w:val="00DC45B9"/>
    <w:rsid w:val="00DC5C61"/>
    <w:rsid w:val="00DC7B9D"/>
    <w:rsid w:val="00DD0308"/>
    <w:rsid w:val="00DD0B28"/>
    <w:rsid w:val="00DD1F12"/>
    <w:rsid w:val="00DD3304"/>
    <w:rsid w:val="00DD4B12"/>
    <w:rsid w:val="00DE2757"/>
    <w:rsid w:val="00DE375C"/>
    <w:rsid w:val="00DE4F0C"/>
    <w:rsid w:val="00DE5E18"/>
    <w:rsid w:val="00DF07F2"/>
    <w:rsid w:val="00DF21D0"/>
    <w:rsid w:val="00DF3C6E"/>
    <w:rsid w:val="00DF7FC2"/>
    <w:rsid w:val="00E03F63"/>
    <w:rsid w:val="00E122BD"/>
    <w:rsid w:val="00E1341B"/>
    <w:rsid w:val="00E13FBF"/>
    <w:rsid w:val="00E14BF4"/>
    <w:rsid w:val="00E158C0"/>
    <w:rsid w:val="00E2172F"/>
    <w:rsid w:val="00E2320B"/>
    <w:rsid w:val="00E23FA7"/>
    <w:rsid w:val="00E24560"/>
    <w:rsid w:val="00E25C47"/>
    <w:rsid w:val="00E27209"/>
    <w:rsid w:val="00E27EC3"/>
    <w:rsid w:val="00E30356"/>
    <w:rsid w:val="00E32C3A"/>
    <w:rsid w:val="00E33205"/>
    <w:rsid w:val="00E3770F"/>
    <w:rsid w:val="00E401A3"/>
    <w:rsid w:val="00E43E97"/>
    <w:rsid w:val="00E45DB7"/>
    <w:rsid w:val="00E50262"/>
    <w:rsid w:val="00E5343E"/>
    <w:rsid w:val="00E535F9"/>
    <w:rsid w:val="00E571BF"/>
    <w:rsid w:val="00E642D3"/>
    <w:rsid w:val="00E65348"/>
    <w:rsid w:val="00E66CCD"/>
    <w:rsid w:val="00E67A89"/>
    <w:rsid w:val="00E71792"/>
    <w:rsid w:val="00E7486B"/>
    <w:rsid w:val="00E750E6"/>
    <w:rsid w:val="00E756A5"/>
    <w:rsid w:val="00E7673F"/>
    <w:rsid w:val="00E82EAC"/>
    <w:rsid w:val="00E8373F"/>
    <w:rsid w:val="00E840CF"/>
    <w:rsid w:val="00E846BB"/>
    <w:rsid w:val="00E85031"/>
    <w:rsid w:val="00E8674A"/>
    <w:rsid w:val="00E86FA6"/>
    <w:rsid w:val="00E9221F"/>
    <w:rsid w:val="00E9394F"/>
    <w:rsid w:val="00E96AD0"/>
    <w:rsid w:val="00EA0C01"/>
    <w:rsid w:val="00EA7711"/>
    <w:rsid w:val="00EB1FDF"/>
    <w:rsid w:val="00EB23F5"/>
    <w:rsid w:val="00EB3FA0"/>
    <w:rsid w:val="00EC35F0"/>
    <w:rsid w:val="00EC64A7"/>
    <w:rsid w:val="00EC674C"/>
    <w:rsid w:val="00ED0042"/>
    <w:rsid w:val="00ED00CC"/>
    <w:rsid w:val="00ED20D2"/>
    <w:rsid w:val="00ED21AE"/>
    <w:rsid w:val="00ED24F5"/>
    <w:rsid w:val="00ED4120"/>
    <w:rsid w:val="00ED51E6"/>
    <w:rsid w:val="00ED6979"/>
    <w:rsid w:val="00ED7150"/>
    <w:rsid w:val="00EE309D"/>
    <w:rsid w:val="00EE312C"/>
    <w:rsid w:val="00EE560A"/>
    <w:rsid w:val="00EE6136"/>
    <w:rsid w:val="00EF079B"/>
    <w:rsid w:val="00EF1EAA"/>
    <w:rsid w:val="00EF36CC"/>
    <w:rsid w:val="00EF3ED4"/>
    <w:rsid w:val="00EF40C8"/>
    <w:rsid w:val="00EF4B4D"/>
    <w:rsid w:val="00EF5A27"/>
    <w:rsid w:val="00EF7ACD"/>
    <w:rsid w:val="00F01F58"/>
    <w:rsid w:val="00F107B1"/>
    <w:rsid w:val="00F13FCA"/>
    <w:rsid w:val="00F2196D"/>
    <w:rsid w:val="00F22BE3"/>
    <w:rsid w:val="00F27406"/>
    <w:rsid w:val="00F334D8"/>
    <w:rsid w:val="00F339DC"/>
    <w:rsid w:val="00F357A5"/>
    <w:rsid w:val="00F35E8D"/>
    <w:rsid w:val="00F427C5"/>
    <w:rsid w:val="00F42D3E"/>
    <w:rsid w:val="00F43CC3"/>
    <w:rsid w:val="00F4439F"/>
    <w:rsid w:val="00F44A56"/>
    <w:rsid w:val="00F51D18"/>
    <w:rsid w:val="00F52244"/>
    <w:rsid w:val="00F5345E"/>
    <w:rsid w:val="00F53EF8"/>
    <w:rsid w:val="00F54CFD"/>
    <w:rsid w:val="00F55C27"/>
    <w:rsid w:val="00F6005A"/>
    <w:rsid w:val="00F6034B"/>
    <w:rsid w:val="00F60F7D"/>
    <w:rsid w:val="00F62761"/>
    <w:rsid w:val="00F638D1"/>
    <w:rsid w:val="00F63B9E"/>
    <w:rsid w:val="00F6559C"/>
    <w:rsid w:val="00F66CBD"/>
    <w:rsid w:val="00F7296D"/>
    <w:rsid w:val="00F75D71"/>
    <w:rsid w:val="00F76AB9"/>
    <w:rsid w:val="00F7792C"/>
    <w:rsid w:val="00F77CF7"/>
    <w:rsid w:val="00F81C9D"/>
    <w:rsid w:val="00F82E7E"/>
    <w:rsid w:val="00F87AF3"/>
    <w:rsid w:val="00F91E0A"/>
    <w:rsid w:val="00F91F18"/>
    <w:rsid w:val="00FA2A64"/>
    <w:rsid w:val="00FA3DD1"/>
    <w:rsid w:val="00FA3F78"/>
    <w:rsid w:val="00FA79AA"/>
    <w:rsid w:val="00FB2B92"/>
    <w:rsid w:val="00FB347C"/>
    <w:rsid w:val="00FB3C7D"/>
    <w:rsid w:val="00FB42C7"/>
    <w:rsid w:val="00FB45E2"/>
    <w:rsid w:val="00FC178D"/>
    <w:rsid w:val="00FC1A58"/>
    <w:rsid w:val="00FC2F5B"/>
    <w:rsid w:val="00FC2F8A"/>
    <w:rsid w:val="00FC3180"/>
    <w:rsid w:val="00FC3C5A"/>
    <w:rsid w:val="00FC4F27"/>
    <w:rsid w:val="00FC7A74"/>
    <w:rsid w:val="00FD1C8F"/>
    <w:rsid w:val="00FD2796"/>
    <w:rsid w:val="00FD3B12"/>
    <w:rsid w:val="00FD3C97"/>
    <w:rsid w:val="00FD596D"/>
    <w:rsid w:val="00FE0EFB"/>
    <w:rsid w:val="00FE12A5"/>
    <w:rsid w:val="00FE2EB2"/>
    <w:rsid w:val="00FE565A"/>
    <w:rsid w:val="00FE57E0"/>
    <w:rsid w:val="00FE5A4E"/>
    <w:rsid w:val="00FE6F0A"/>
    <w:rsid w:val="00FF094B"/>
    <w:rsid w:val="00FF3674"/>
    <w:rsid w:val="00FF7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4BF"/>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5C5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F57"/>
  </w:style>
  <w:style w:type="paragraph" w:styleId="NormalWeb">
    <w:name w:val="Normal (Web)"/>
    <w:basedOn w:val="Normal"/>
    <w:uiPriority w:val="99"/>
    <w:rsid w:val="007E773B"/>
    <w:pPr>
      <w:spacing w:before="100" w:after="100" w:line="240" w:lineRule="auto"/>
    </w:pPr>
    <w:rPr>
      <w:rFonts w:ascii="Times New Roman" w:eastAsia="Times New Roman" w:hAnsi="Times New Roman" w:cs="Times New Roman"/>
      <w:sz w:val="24"/>
      <w:szCs w:val="20"/>
    </w:rPr>
  </w:style>
  <w:style w:type="character" w:styleId="UnresolvedMention">
    <w:name w:val="Unresolved Mention"/>
    <w:basedOn w:val="DefaultParagraphFont"/>
    <w:uiPriority w:val="99"/>
    <w:semiHidden/>
    <w:unhideWhenUsed/>
    <w:rsid w:val="00F27406"/>
    <w:rPr>
      <w:color w:val="605E5C"/>
      <w:shd w:val="clear" w:color="auto" w:fill="E1DFDD"/>
    </w:rPr>
  </w:style>
  <w:style w:type="table" w:customStyle="1" w:styleId="TableGrid1">
    <w:name w:val="Table Grid1"/>
    <w:basedOn w:val="TableNormal"/>
    <w:next w:val="TableGrid"/>
    <w:uiPriority w:val="59"/>
    <w:rsid w:val="0064368A"/>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420B8"/>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9584F"/>
    <w:pPr>
      <w:spacing w:after="100"/>
    </w:pPr>
  </w:style>
  <w:style w:type="character" w:styleId="FollowedHyperlink">
    <w:name w:val="FollowedHyperlink"/>
    <w:basedOn w:val="DefaultParagraphFont"/>
    <w:uiPriority w:val="99"/>
    <w:semiHidden/>
    <w:unhideWhenUsed/>
    <w:rsid w:val="00835B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82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252974">
      <w:bodyDiv w:val="1"/>
      <w:marLeft w:val="0"/>
      <w:marRight w:val="0"/>
      <w:marTop w:val="0"/>
      <w:marBottom w:val="0"/>
      <w:divBdr>
        <w:top w:val="none" w:sz="0" w:space="0" w:color="auto"/>
        <w:left w:val="none" w:sz="0" w:space="0" w:color="auto"/>
        <w:bottom w:val="none" w:sz="0" w:space="0" w:color="auto"/>
        <w:right w:val="none" w:sz="0" w:space="0" w:color="auto"/>
      </w:divBdr>
    </w:div>
    <w:div w:id="273709901">
      <w:bodyDiv w:val="1"/>
      <w:marLeft w:val="0"/>
      <w:marRight w:val="0"/>
      <w:marTop w:val="0"/>
      <w:marBottom w:val="0"/>
      <w:divBdr>
        <w:top w:val="none" w:sz="0" w:space="0" w:color="auto"/>
        <w:left w:val="none" w:sz="0" w:space="0" w:color="auto"/>
        <w:bottom w:val="none" w:sz="0" w:space="0" w:color="auto"/>
        <w:right w:val="none" w:sz="0" w:space="0" w:color="auto"/>
      </w:divBdr>
    </w:div>
    <w:div w:id="309946034">
      <w:bodyDiv w:val="1"/>
      <w:marLeft w:val="0"/>
      <w:marRight w:val="0"/>
      <w:marTop w:val="0"/>
      <w:marBottom w:val="0"/>
      <w:divBdr>
        <w:top w:val="none" w:sz="0" w:space="0" w:color="auto"/>
        <w:left w:val="none" w:sz="0" w:space="0" w:color="auto"/>
        <w:bottom w:val="none" w:sz="0" w:space="0" w:color="auto"/>
        <w:right w:val="none" w:sz="0" w:space="0" w:color="auto"/>
      </w:divBdr>
    </w:div>
    <w:div w:id="353073057">
      <w:bodyDiv w:val="1"/>
      <w:marLeft w:val="0"/>
      <w:marRight w:val="0"/>
      <w:marTop w:val="0"/>
      <w:marBottom w:val="0"/>
      <w:divBdr>
        <w:top w:val="none" w:sz="0" w:space="0" w:color="auto"/>
        <w:left w:val="none" w:sz="0" w:space="0" w:color="auto"/>
        <w:bottom w:val="none" w:sz="0" w:space="0" w:color="auto"/>
        <w:right w:val="none" w:sz="0" w:space="0" w:color="auto"/>
      </w:divBdr>
    </w:div>
    <w:div w:id="370544576">
      <w:bodyDiv w:val="1"/>
      <w:marLeft w:val="0"/>
      <w:marRight w:val="0"/>
      <w:marTop w:val="0"/>
      <w:marBottom w:val="0"/>
      <w:divBdr>
        <w:top w:val="none" w:sz="0" w:space="0" w:color="auto"/>
        <w:left w:val="none" w:sz="0" w:space="0" w:color="auto"/>
        <w:bottom w:val="none" w:sz="0" w:space="0" w:color="auto"/>
        <w:right w:val="none" w:sz="0" w:space="0" w:color="auto"/>
      </w:divBdr>
    </w:div>
    <w:div w:id="387999661">
      <w:bodyDiv w:val="1"/>
      <w:marLeft w:val="0"/>
      <w:marRight w:val="0"/>
      <w:marTop w:val="0"/>
      <w:marBottom w:val="0"/>
      <w:divBdr>
        <w:top w:val="none" w:sz="0" w:space="0" w:color="auto"/>
        <w:left w:val="none" w:sz="0" w:space="0" w:color="auto"/>
        <w:bottom w:val="none" w:sz="0" w:space="0" w:color="auto"/>
        <w:right w:val="none" w:sz="0" w:space="0" w:color="auto"/>
      </w:divBdr>
    </w:div>
    <w:div w:id="436406751">
      <w:bodyDiv w:val="1"/>
      <w:marLeft w:val="0"/>
      <w:marRight w:val="0"/>
      <w:marTop w:val="0"/>
      <w:marBottom w:val="0"/>
      <w:divBdr>
        <w:top w:val="none" w:sz="0" w:space="0" w:color="auto"/>
        <w:left w:val="none" w:sz="0" w:space="0" w:color="auto"/>
        <w:bottom w:val="none" w:sz="0" w:space="0" w:color="auto"/>
        <w:right w:val="none" w:sz="0" w:space="0" w:color="auto"/>
      </w:divBdr>
    </w:div>
    <w:div w:id="473525180">
      <w:bodyDiv w:val="1"/>
      <w:marLeft w:val="0"/>
      <w:marRight w:val="0"/>
      <w:marTop w:val="0"/>
      <w:marBottom w:val="0"/>
      <w:divBdr>
        <w:top w:val="none" w:sz="0" w:space="0" w:color="auto"/>
        <w:left w:val="none" w:sz="0" w:space="0" w:color="auto"/>
        <w:bottom w:val="none" w:sz="0" w:space="0" w:color="auto"/>
        <w:right w:val="none" w:sz="0" w:space="0" w:color="auto"/>
      </w:divBdr>
      <w:divsChild>
        <w:div w:id="1446729531">
          <w:marLeft w:val="0"/>
          <w:marRight w:val="0"/>
          <w:marTop w:val="0"/>
          <w:marBottom w:val="0"/>
          <w:divBdr>
            <w:top w:val="single" w:sz="2" w:space="0" w:color="auto"/>
            <w:left w:val="single" w:sz="2" w:space="0" w:color="auto"/>
            <w:bottom w:val="single" w:sz="2" w:space="0" w:color="auto"/>
            <w:right w:val="single" w:sz="2" w:space="0" w:color="auto"/>
          </w:divBdr>
        </w:div>
      </w:divsChild>
    </w:div>
    <w:div w:id="489176969">
      <w:bodyDiv w:val="1"/>
      <w:marLeft w:val="0"/>
      <w:marRight w:val="0"/>
      <w:marTop w:val="0"/>
      <w:marBottom w:val="0"/>
      <w:divBdr>
        <w:top w:val="none" w:sz="0" w:space="0" w:color="auto"/>
        <w:left w:val="none" w:sz="0" w:space="0" w:color="auto"/>
        <w:bottom w:val="none" w:sz="0" w:space="0" w:color="auto"/>
        <w:right w:val="none" w:sz="0" w:space="0" w:color="auto"/>
      </w:divBdr>
    </w:div>
    <w:div w:id="493649582">
      <w:bodyDiv w:val="1"/>
      <w:marLeft w:val="0"/>
      <w:marRight w:val="0"/>
      <w:marTop w:val="0"/>
      <w:marBottom w:val="0"/>
      <w:divBdr>
        <w:top w:val="none" w:sz="0" w:space="0" w:color="auto"/>
        <w:left w:val="none" w:sz="0" w:space="0" w:color="auto"/>
        <w:bottom w:val="none" w:sz="0" w:space="0" w:color="auto"/>
        <w:right w:val="none" w:sz="0" w:space="0" w:color="auto"/>
      </w:divBdr>
    </w:div>
    <w:div w:id="536510232">
      <w:bodyDiv w:val="1"/>
      <w:marLeft w:val="0"/>
      <w:marRight w:val="0"/>
      <w:marTop w:val="0"/>
      <w:marBottom w:val="0"/>
      <w:divBdr>
        <w:top w:val="none" w:sz="0" w:space="0" w:color="auto"/>
        <w:left w:val="none" w:sz="0" w:space="0" w:color="auto"/>
        <w:bottom w:val="none" w:sz="0" w:space="0" w:color="auto"/>
        <w:right w:val="none" w:sz="0" w:space="0" w:color="auto"/>
      </w:divBdr>
    </w:div>
    <w:div w:id="545800533">
      <w:bodyDiv w:val="1"/>
      <w:marLeft w:val="0"/>
      <w:marRight w:val="0"/>
      <w:marTop w:val="0"/>
      <w:marBottom w:val="0"/>
      <w:divBdr>
        <w:top w:val="none" w:sz="0" w:space="0" w:color="auto"/>
        <w:left w:val="none" w:sz="0" w:space="0" w:color="auto"/>
        <w:bottom w:val="none" w:sz="0" w:space="0" w:color="auto"/>
        <w:right w:val="none" w:sz="0" w:space="0" w:color="auto"/>
      </w:divBdr>
    </w:div>
    <w:div w:id="628898478">
      <w:bodyDiv w:val="1"/>
      <w:marLeft w:val="0"/>
      <w:marRight w:val="0"/>
      <w:marTop w:val="0"/>
      <w:marBottom w:val="0"/>
      <w:divBdr>
        <w:top w:val="none" w:sz="0" w:space="0" w:color="auto"/>
        <w:left w:val="none" w:sz="0" w:space="0" w:color="auto"/>
        <w:bottom w:val="none" w:sz="0" w:space="0" w:color="auto"/>
        <w:right w:val="none" w:sz="0" w:space="0" w:color="auto"/>
      </w:divBdr>
    </w:div>
    <w:div w:id="696931634">
      <w:bodyDiv w:val="1"/>
      <w:marLeft w:val="0"/>
      <w:marRight w:val="0"/>
      <w:marTop w:val="0"/>
      <w:marBottom w:val="0"/>
      <w:divBdr>
        <w:top w:val="none" w:sz="0" w:space="0" w:color="auto"/>
        <w:left w:val="none" w:sz="0" w:space="0" w:color="auto"/>
        <w:bottom w:val="none" w:sz="0" w:space="0" w:color="auto"/>
        <w:right w:val="none" w:sz="0" w:space="0" w:color="auto"/>
      </w:divBdr>
    </w:div>
    <w:div w:id="796412229">
      <w:bodyDiv w:val="1"/>
      <w:marLeft w:val="0"/>
      <w:marRight w:val="0"/>
      <w:marTop w:val="0"/>
      <w:marBottom w:val="0"/>
      <w:divBdr>
        <w:top w:val="none" w:sz="0" w:space="0" w:color="auto"/>
        <w:left w:val="none" w:sz="0" w:space="0" w:color="auto"/>
        <w:bottom w:val="none" w:sz="0" w:space="0" w:color="auto"/>
        <w:right w:val="none" w:sz="0" w:space="0" w:color="auto"/>
      </w:divBdr>
    </w:div>
    <w:div w:id="812061767">
      <w:bodyDiv w:val="1"/>
      <w:marLeft w:val="0"/>
      <w:marRight w:val="0"/>
      <w:marTop w:val="0"/>
      <w:marBottom w:val="0"/>
      <w:divBdr>
        <w:top w:val="none" w:sz="0" w:space="0" w:color="auto"/>
        <w:left w:val="none" w:sz="0" w:space="0" w:color="auto"/>
        <w:bottom w:val="none" w:sz="0" w:space="0" w:color="auto"/>
        <w:right w:val="none" w:sz="0" w:space="0" w:color="auto"/>
      </w:divBdr>
    </w:div>
    <w:div w:id="832374981">
      <w:bodyDiv w:val="1"/>
      <w:marLeft w:val="0"/>
      <w:marRight w:val="0"/>
      <w:marTop w:val="0"/>
      <w:marBottom w:val="0"/>
      <w:divBdr>
        <w:top w:val="none" w:sz="0" w:space="0" w:color="auto"/>
        <w:left w:val="none" w:sz="0" w:space="0" w:color="auto"/>
        <w:bottom w:val="none" w:sz="0" w:space="0" w:color="auto"/>
        <w:right w:val="none" w:sz="0" w:space="0" w:color="auto"/>
      </w:divBdr>
    </w:div>
    <w:div w:id="916593056">
      <w:bodyDiv w:val="1"/>
      <w:marLeft w:val="0"/>
      <w:marRight w:val="0"/>
      <w:marTop w:val="0"/>
      <w:marBottom w:val="0"/>
      <w:divBdr>
        <w:top w:val="none" w:sz="0" w:space="0" w:color="auto"/>
        <w:left w:val="none" w:sz="0" w:space="0" w:color="auto"/>
        <w:bottom w:val="none" w:sz="0" w:space="0" w:color="auto"/>
        <w:right w:val="none" w:sz="0" w:space="0" w:color="auto"/>
      </w:divBdr>
    </w:div>
    <w:div w:id="948663914">
      <w:bodyDiv w:val="1"/>
      <w:marLeft w:val="0"/>
      <w:marRight w:val="0"/>
      <w:marTop w:val="0"/>
      <w:marBottom w:val="0"/>
      <w:divBdr>
        <w:top w:val="none" w:sz="0" w:space="0" w:color="auto"/>
        <w:left w:val="none" w:sz="0" w:space="0" w:color="auto"/>
        <w:bottom w:val="none" w:sz="0" w:space="0" w:color="auto"/>
        <w:right w:val="none" w:sz="0" w:space="0" w:color="auto"/>
      </w:divBdr>
    </w:div>
    <w:div w:id="958224685">
      <w:bodyDiv w:val="1"/>
      <w:marLeft w:val="0"/>
      <w:marRight w:val="0"/>
      <w:marTop w:val="0"/>
      <w:marBottom w:val="0"/>
      <w:divBdr>
        <w:top w:val="none" w:sz="0" w:space="0" w:color="auto"/>
        <w:left w:val="none" w:sz="0" w:space="0" w:color="auto"/>
        <w:bottom w:val="none" w:sz="0" w:space="0" w:color="auto"/>
        <w:right w:val="none" w:sz="0" w:space="0" w:color="auto"/>
      </w:divBdr>
    </w:div>
    <w:div w:id="993332827">
      <w:bodyDiv w:val="1"/>
      <w:marLeft w:val="0"/>
      <w:marRight w:val="0"/>
      <w:marTop w:val="0"/>
      <w:marBottom w:val="0"/>
      <w:divBdr>
        <w:top w:val="none" w:sz="0" w:space="0" w:color="auto"/>
        <w:left w:val="none" w:sz="0" w:space="0" w:color="auto"/>
        <w:bottom w:val="none" w:sz="0" w:space="0" w:color="auto"/>
        <w:right w:val="none" w:sz="0" w:space="0" w:color="auto"/>
      </w:divBdr>
    </w:div>
    <w:div w:id="1011907051">
      <w:bodyDiv w:val="1"/>
      <w:marLeft w:val="0"/>
      <w:marRight w:val="0"/>
      <w:marTop w:val="0"/>
      <w:marBottom w:val="0"/>
      <w:divBdr>
        <w:top w:val="none" w:sz="0" w:space="0" w:color="auto"/>
        <w:left w:val="none" w:sz="0" w:space="0" w:color="auto"/>
        <w:bottom w:val="none" w:sz="0" w:space="0" w:color="auto"/>
        <w:right w:val="none" w:sz="0" w:space="0" w:color="auto"/>
      </w:divBdr>
    </w:div>
    <w:div w:id="1051415877">
      <w:bodyDiv w:val="1"/>
      <w:marLeft w:val="0"/>
      <w:marRight w:val="0"/>
      <w:marTop w:val="0"/>
      <w:marBottom w:val="0"/>
      <w:divBdr>
        <w:top w:val="none" w:sz="0" w:space="0" w:color="auto"/>
        <w:left w:val="none" w:sz="0" w:space="0" w:color="auto"/>
        <w:bottom w:val="none" w:sz="0" w:space="0" w:color="auto"/>
        <w:right w:val="none" w:sz="0" w:space="0" w:color="auto"/>
      </w:divBdr>
    </w:div>
    <w:div w:id="1160077230">
      <w:bodyDiv w:val="1"/>
      <w:marLeft w:val="0"/>
      <w:marRight w:val="0"/>
      <w:marTop w:val="0"/>
      <w:marBottom w:val="0"/>
      <w:divBdr>
        <w:top w:val="none" w:sz="0" w:space="0" w:color="auto"/>
        <w:left w:val="none" w:sz="0" w:space="0" w:color="auto"/>
        <w:bottom w:val="none" w:sz="0" w:space="0" w:color="auto"/>
        <w:right w:val="none" w:sz="0" w:space="0" w:color="auto"/>
      </w:divBdr>
    </w:div>
    <w:div w:id="1197623001">
      <w:bodyDiv w:val="1"/>
      <w:marLeft w:val="0"/>
      <w:marRight w:val="0"/>
      <w:marTop w:val="0"/>
      <w:marBottom w:val="0"/>
      <w:divBdr>
        <w:top w:val="none" w:sz="0" w:space="0" w:color="auto"/>
        <w:left w:val="none" w:sz="0" w:space="0" w:color="auto"/>
        <w:bottom w:val="none" w:sz="0" w:space="0" w:color="auto"/>
        <w:right w:val="none" w:sz="0" w:space="0" w:color="auto"/>
      </w:divBdr>
    </w:div>
    <w:div w:id="1237936236">
      <w:bodyDiv w:val="1"/>
      <w:marLeft w:val="0"/>
      <w:marRight w:val="0"/>
      <w:marTop w:val="0"/>
      <w:marBottom w:val="0"/>
      <w:divBdr>
        <w:top w:val="none" w:sz="0" w:space="0" w:color="auto"/>
        <w:left w:val="none" w:sz="0" w:space="0" w:color="auto"/>
        <w:bottom w:val="none" w:sz="0" w:space="0" w:color="auto"/>
        <w:right w:val="none" w:sz="0" w:space="0" w:color="auto"/>
      </w:divBdr>
    </w:div>
    <w:div w:id="1242177757">
      <w:bodyDiv w:val="1"/>
      <w:marLeft w:val="0"/>
      <w:marRight w:val="0"/>
      <w:marTop w:val="0"/>
      <w:marBottom w:val="0"/>
      <w:divBdr>
        <w:top w:val="none" w:sz="0" w:space="0" w:color="auto"/>
        <w:left w:val="none" w:sz="0" w:space="0" w:color="auto"/>
        <w:bottom w:val="none" w:sz="0" w:space="0" w:color="auto"/>
        <w:right w:val="none" w:sz="0" w:space="0" w:color="auto"/>
      </w:divBdr>
    </w:div>
    <w:div w:id="1248804465">
      <w:bodyDiv w:val="1"/>
      <w:marLeft w:val="0"/>
      <w:marRight w:val="0"/>
      <w:marTop w:val="0"/>
      <w:marBottom w:val="0"/>
      <w:divBdr>
        <w:top w:val="none" w:sz="0" w:space="0" w:color="auto"/>
        <w:left w:val="none" w:sz="0" w:space="0" w:color="auto"/>
        <w:bottom w:val="none" w:sz="0" w:space="0" w:color="auto"/>
        <w:right w:val="none" w:sz="0" w:space="0" w:color="auto"/>
      </w:divBdr>
    </w:div>
    <w:div w:id="1272471133">
      <w:bodyDiv w:val="1"/>
      <w:marLeft w:val="0"/>
      <w:marRight w:val="0"/>
      <w:marTop w:val="0"/>
      <w:marBottom w:val="0"/>
      <w:divBdr>
        <w:top w:val="none" w:sz="0" w:space="0" w:color="auto"/>
        <w:left w:val="none" w:sz="0" w:space="0" w:color="auto"/>
        <w:bottom w:val="none" w:sz="0" w:space="0" w:color="auto"/>
        <w:right w:val="none" w:sz="0" w:space="0" w:color="auto"/>
      </w:divBdr>
    </w:div>
    <w:div w:id="1315720119">
      <w:bodyDiv w:val="1"/>
      <w:marLeft w:val="0"/>
      <w:marRight w:val="0"/>
      <w:marTop w:val="0"/>
      <w:marBottom w:val="0"/>
      <w:divBdr>
        <w:top w:val="none" w:sz="0" w:space="0" w:color="auto"/>
        <w:left w:val="none" w:sz="0" w:space="0" w:color="auto"/>
        <w:bottom w:val="none" w:sz="0" w:space="0" w:color="auto"/>
        <w:right w:val="none" w:sz="0" w:space="0" w:color="auto"/>
      </w:divBdr>
    </w:div>
    <w:div w:id="1360424031">
      <w:bodyDiv w:val="1"/>
      <w:marLeft w:val="0"/>
      <w:marRight w:val="0"/>
      <w:marTop w:val="0"/>
      <w:marBottom w:val="0"/>
      <w:divBdr>
        <w:top w:val="none" w:sz="0" w:space="0" w:color="auto"/>
        <w:left w:val="none" w:sz="0" w:space="0" w:color="auto"/>
        <w:bottom w:val="none" w:sz="0" w:space="0" w:color="auto"/>
        <w:right w:val="none" w:sz="0" w:space="0" w:color="auto"/>
      </w:divBdr>
    </w:div>
    <w:div w:id="1365060454">
      <w:bodyDiv w:val="1"/>
      <w:marLeft w:val="0"/>
      <w:marRight w:val="0"/>
      <w:marTop w:val="0"/>
      <w:marBottom w:val="0"/>
      <w:divBdr>
        <w:top w:val="none" w:sz="0" w:space="0" w:color="auto"/>
        <w:left w:val="none" w:sz="0" w:space="0" w:color="auto"/>
        <w:bottom w:val="none" w:sz="0" w:space="0" w:color="auto"/>
        <w:right w:val="none" w:sz="0" w:space="0" w:color="auto"/>
      </w:divBdr>
    </w:div>
    <w:div w:id="1403748059">
      <w:bodyDiv w:val="1"/>
      <w:marLeft w:val="0"/>
      <w:marRight w:val="0"/>
      <w:marTop w:val="0"/>
      <w:marBottom w:val="0"/>
      <w:divBdr>
        <w:top w:val="none" w:sz="0" w:space="0" w:color="auto"/>
        <w:left w:val="none" w:sz="0" w:space="0" w:color="auto"/>
        <w:bottom w:val="none" w:sz="0" w:space="0" w:color="auto"/>
        <w:right w:val="none" w:sz="0" w:space="0" w:color="auto"/>
      </w:divBdr>
      <w:divsChild>
        <w:div w:id="1776904640">
          <w:marLeft w:val="0"/>
          <w:marRight w:val="0"/>
          <w:marTop w:val="0"/>
          <w:marBottom w:val="0"/>
          <w:divBdr>
            <w:top w:val="none" w:sz="0" w:space="0" w:color="auto"/>
            <w:left w:val="none" w:sz="0" w:space="0" w:color="auto"/>
            <w:bottom w:val="none" w:sz="0" w:space="0" w:color="auto"/>
            <w:right w:val="none" w:sz="0" w:space="0" w:color="auto"/>
          </w:divBdr>
        </w:div>
        <w:div w:id="21907206">
          <w:marLeft w:val="0"/>
          <w:marRight w:val="0"/>
          <w:marTop w:val="0"/>
          <w:marBottom w:val="0"/>
          <w:divBdr>
            <w:top w:val="none" w:sz="0" w:space="0" w:color="auto"/>
            <w:left w:val="none" w:sz="0" w:space="0" w:color="auto"/>
            <w:bottom w:val="none" w:sz="0" w:space="0" w:color="auto"/>
            <w:right w:val="none" w:sz="0" w:space="0" w:color="auto"/>
          </w:divBdr>
        </w:div>
        <w:div w:id="200826379">
          <w:marLeft w:val="0"/>
          <w:marRight w:val="0"/>
          <w:marTop w:val="0"/>
          <w:marBottom w:val="0"/>
          <w:divBdr>
            <w:top w:val="none" w:sz="0" w:space="0" w:color="auto"/>
            <w:left w:val="none" w:sz="0" w:space="0" w:color="auto"/>
            <w:bottom w:val="none" w:sz="0" w:space="0" w:color="auto"/>
            <w:right w:val="none" w:sz="0" w:space="0" w:color="auto"/>
          </w:divBdr>
          <w:divsChild>
            <w:div w:id="900140620">
              <w:marLeft w:val="-75"/>
              <w:marRight w:val="0"/>
              <w:marTop w:val="30"/>
              <w:marBottom w:val="30"/>
              <w:divBdr>
                <w:top w:val="none" w:sz="0" w:space="0" w:color="auto"/>
                <w:left w:val="none" w:sz="0" w:space="0" w:color="auto"/>
                <w:bottom w:val="none" w:sz="0" w:space="0" w:color="auto"/>
                <w:right w:val="none" w:sz="0" w:space="0" w:color="auto"/>
              </w:divBdr>
              <w:divsChild>
                <w:div w:id="391077280">
                  <w:marLeft w:val="0"/>
                  <w:marRight w:val="0"/>
                  <w:marTop w:val="0"/>
                  <w:marBottom w:val="0"/>
                  <w:divBdr>
                    <w:top w:val="none" w:sz="0" w:space="0" w:color="auto"/>
                    <w:left w:val="none" w:sz="0" w:space="0" w:color="auto"/>
                    <w:bottom w:val="none" w:sz="0" w:space="0" w:color="auto"/>
                    <w:right w:val="none" w:sz="0" w:space="0" w:color="auto"/>
                  </w:divBdr>
                  <w:divsChild>
                    <w:div w:id="288587328">
                      <w:marLeft w:val="0"/>
                      <w:marRight w:val="0"/>
                      <w:marTop w:val="0"/>
                      <w:marBottom w:val="0"/>
                      <w:divBdr>
                        <w:top w:val="none" w:sz="0" w:space="0" w:color="auto"/>
                        <w:left w:val="none" w:sz="0" w:space="0" w:color="auto"/>
                        <w:bottom w:val="none" w:sz="0" w:space="0" w:color="auto"/>
                        <w:right w:val="none" w:sz="0" w:space="0" w:color="auto"/>
                      </w:divBdr>
                      <w:divsChild>
                        <w:div w:id="1587810358">
                          <w:marLeft w:val="0"/>
                          <w:marRight w:val="0"/>
                          <w:marTop w:val="0"/>
                          <w:marBottom w:val="0"/>
                          <w:divBdr>
                            <w:top w:val="none" w:sz="0" w:space="0" w:color="auto"/>
                            <w:left w:val="none" w:sz="0" w:space="0" w:color="auto"/>
                            <w:bottom w:val="none" w:sz="0" w:space="0" w:color="auto"/>
                            <w:right w:val="none" w:sz="0" w:space="0" w:color="auto"/>
                          </w:divBdr>
                        </w:div>
                        <w:div w:id="202232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61097">
                  <w:marLeft w:val="0"/>
                  <w:marRight w:val="0"/>
                  <w:marTop w:val="0"/>
                  <w:marBottom w:val="0"/>
                  <w:divBdr>
                    <w:top w:val="none" w:sz="0" w:space="0" w:color="auto"/>
                    <w:left w:val="none" w:sz="0" w:space="0" w:color="auto"/>
                    <w:bottom w:val="none" w:sz="0" w:space="0" w:color="auto"/>
                    <w:right w:val="none" w:sz="0" w:space="0" w:color="auto"/>
                  </w:divBdr>
                  <w:divsChild>
                    <w:div w:id="784734839">
                      <w:marLeft w:val="0"/>
                      <w:marRight w:val="0"/>
                      <w:marTop w:val="0"/>
                      <w:marBottom w:val="0"/>
                      <w:divBdr>
                        <w:top w:val="none" w:sz="0" w:space="0" w:color="auto"/>
                        <w:left w:val="none" w:sz="0" w:space="0" w:color="auto"/>
                        <w:bottom w:val="none" w:sz="0" w:space="0" w:color="auto"/>
                        <w:right w:val="none" w:sz="0" w:space="0" w:color="auto"/>
                      </w:divBdr>
                      <w:divsChild>
                        <w:div w:id="2000230361">
                          <w:marLeft w:val="0"/>
                          <w:marRight w:val="0"/>
                          <w:marTop w:val="0"/>
                          <w:marBottom w:val="0"/>
                          <w:divBdr>
                            <w:top w:val="none" w:sz="0" w:space="0" w:color="auto"/>
                            <w:left w:val="none" w:sz="0" w:space="0" w:color="auto"/>
                            <w:bottom w:val="none" w:sz="0" w:space="0" w:color="auto"/>
                            <w:right w:val="none" w:sz="0" w:space="0" w:color="auto"/>
                          </w:divBdr>
                        </w:div>
                        <w:div w:id="201486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83007">
                  <w:marLeft w:val="0"/>
                  <w:marRight w:val="0"/>
                  <w:marTop w:val="0"/>
                  <w:marBottom w:val="0"/>
                  <w:divBdr>
                    <w:top w:val="none" w:sz="0" w:space="0" w:color="auto"/>
                    <w:left w:val="none" w:sz="0" w:space="0" w:color="auto"/>
                    <w:bottom w:val="none" w:sz="0" w:space="0" w:color="auto"/>
                    <w:right w:val="none" w:sz="0" w:space="0" w:color="auto"/>
                  </w:divBdr>
                  <w:divsChild>
                    <w:div w:id="1789662486">
                      <w:marLeft w:val="0"/>
                      <w:marRight w:val="0"/>
                      <w:marTop w:val="0"/>
                      <w:marBottom w:val="0"/>
                      <w:divBdr>
                        <w:top w:val="none" w:sz="0" w:space="0" w:color="auto"/>
                        <w:left w:val="none" w:sz="0" w:space="0" w:color="auto"/>
                        <w:bottom w:val="none" w:sz="0" w:space="0" w:color="auto"/>
                        <w:right w:val="none" w:sz="0" w:space="0" w:color="auto"/>
                      </w:divBdr>
                      <w:divsChild>
                        <w:div w:id="9543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72229">
                  <w:marLeft w:val="0"/>
                  <w:marRight w:val="0"/>
                  <w:marTop w:val="0"/>
                  <w:marBottom w:val="0"/>
                  <w:divBdr>
                    <w:top w:val="none" w:sz="0" w:space="0" w:color="auto"/>
                    <w:left w:val="none" w:sz="0" w:space="0" w:color="auto"/>
                    <w:bottom w:val="none" w:sz="0" w:space="0" w:color="auto"/>
                    <w:right w:val="none" w:sz="0" w:space="0" w:color="auto"/>
                  </w:divBdr>
                  <w:divsChild>
                    <w:div w:id="791050963">
                      <w:marLeft w:val="0"/>
                      <w:marRight w:val="0"/>
                      <w:marTop w:val="0"/>
                      <w:marBottom w:val="0"/>
                      <w:divBdr>
                        <w:top w:val="none" w:sz="0" w:space="0" w:color="auto"/>
                        <w:left w:val="none" w:sz="0" w:space="0" w:color="auto"/>
                        <w:bottom w:val="none" w:sz="0" w:space="0" w:color="auto"/>
                        <w:right w:val="none" w:sz="0" w:space="0" w:color="auto"/>
                      </w:divBdr>
                      <w:divsChild>
                        <w:div w:id="124278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321443">
                  <w:marLeft w:val="0"/>
                  <w:marRight w:val="0"/>
                  <w:marTop w:val="0"/>
                  <w:marBottom w:val="0"/>
                  <w:divBdr>
                    <w:top w:val="none" w:sz="0" w:space="0" w:color="auto"/>
                    <w:left w:val="none" w:sz="0" w:space="0" w:color="auto"/>
                    <w:bottom w:val="none" w:sz="0" w:space="0" w:color="auto"/>
                    <w:right w:val="none" w:sz="0" w:space="0" w:color="auto"/>
                  </w:divBdr>
                  <w:divsChild>
                    <w:div w:id="1638755101">
                      <w:marLeft w:val="0"/>
                      <w:marRight w:val="0"/>
                      <w:marTop w:val="0"/>
                      <w:marBottom w:val="0"/>
                      <w:divBdr>
                        <w:top w:val="none" w:sz="0" w:space="0" w:color="auto"/>
                        <w:left w:val="none" w:sz="0" w:space="0" w:color="auto"/>
                        <w:bottom w:val="none" w:sz="0" w:space="0" w:color="auto"/>
                        <w:right w:val="none" w:sz="0" w:space="0" w:color="auto"/>
                      </w:divBdr>
                      <w:divsChild>
                        <w:div w:id="2085645752">
                          <w:marLeft w:val="0"/>
                          <w:marRight w:val="0"/>
                          <w:marTop w:val="0"/>
                          <w:marBottom w:val="0"/>
                          <w:divBdr>
                            <w:top w:val="none" w:sz="0" w:space="0" w:color="auto"/>
                            <w:left w:val="none" w:sz="0" w:space="0" w:color="auto"/>
                            <w:bottom w:val="none" w:sz="0" w:space="0" w:color="auto"/>
                            <w:right w:val="none" w:sz="0" w:space="0" w:color="auto"/>
                          </w:divBdr>
                        </w:div>
                        <w:div w:id="152922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5521">
                  <w:marLeft w:val="0"/>
                  <w:marRight w:val="0"/>
                  <w:marTop w:val="0"/>
                  <w:marBottom w:val="0"/>
                  <w:divBdr>
                    <w:top w:val="none" w:sz="0" w:space="0" w:color="auto"/>
                    <w:left w:val="none" w:sz="0" w:space="0" w:color="auto"/>
                    <w:bottom w:val="none" w:sz="0" w:space="0" w:color="auto"/>
                    <w:right w:val="none" w:sz="0" w:space="0" w:color="auto"/>
                  </w:divBdr>
                  <w:divsChild>
                    <w:div w:id="1358965303">
                      <w:marLeft w:val="0"/>
                      <w:marRight w:val="0"/>
                      <w:marTop w:val="0"/>
                      <w:marBottom w:val="0"/>
                      <w:divBdr>
                        <w:top w:val="none" w:sz="0" w:space="0" w:color="auto"/>
                        <w:left w:val="none" w:sz="0" w:space="0" w:color="auto"/>
                        <w:bottom w:val="none" w:sz="0" w:space="0" w:color="auto"/>
                        <w:right w:val="none" w:sz="0" w:space="0" w:color="auto"/>
                      </w:divBdr>
                      <w:divsChild>
                        <w:div w:id="91432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2346">
                  <w:marLeft w:val="0"/>
                  <w:marRight w:val="0"/>
                  <w:marTop w:val="0"/>
                  <w:marBottom w:val="0"/>
                  <w:divBdr>
                    <w:top w:val="none" w:sz="0" w:space="0" w:color="auto"/>
                    <w:left w:val="none" w:sz="0" w:space="0" w:color="auto"/>
                    <w:bottom w:val="none" w:sz="0" w:space="0" w:color="auto"/>
                    <w:right w:val="none" w:sz="0" w:space="0" w:color="auto"/>
                  </w:divBdr>
                  <w:divsChild>
                    <w:div w:id="1490052757">
                      <w:marLeft w:val="0"/>
                      <w:marRight w:val="0"/>
                      <w:marTop w:val="0"/>
                      <w:marBottom w:val="0"/>
                      <w:divBdr>
                        <w:top w:val="none" w:sz="0" w:space="0" w:color="auto"/>
                        <w:left w:val="none" w:sz="0" w:space="0" w:color="auto"/>
                        <w:bottom w:val="none" w:sz="0" w:space="0" w:color="auto"/>
                        <w:right w:val="none" w:sz="0" w:space="0" w:color="auto"/>
                      </w:divBdr>
                      <w:divsChild>
                        <w:div w:id="214403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243983">
                  <w:marLeft w:val="0"/>
                  <w:marRight w:val="0"/>
                  <w:marTop w:val="0"/>
                  <w:marBottom w:val="0"/>
                  <w:divBdr>
                    <w:top w:val="none" w:sz="0" w:space="0" w:color="auto"/>
                    <w:left w:val="none" w:sz="0" w:space="0" w:color="auto"/>
                    <w:bottom w:val="none" w:sz="0" w:space="0" w:color="auto"/>
                    <w:right w:val="none" w:sz="0" w:space="0" w:color="auto"/>
                  </w:divBdr>
                  <w:divsChild>
                    <w:div w:id="527374700">
                      <w:marLeft w:val="0"/>
                      <w:marRight w:val="0"/>
                      <w:marTop w:val="0"/>
                      <w:marBottom w:val="0"/>
                      <w:divBdr>
                        <w:top w:val="none" w:sz="0" w:space="0" w:color="auto"/>
                        <w:left w:val="none" w:sz="0" w:space="0" w:color="auto"/>
                        <w:bottom w:val="none" w:sz="0" w:space="0" w:color="auto"/>
                        <w:right w:val="none" w:sz="0" w:space="0" w:color="auto"/>
                      </w:divBdr>
                      <w:divsChild>
                        <w:div w:id="1963267003">
                          <w:marLeft w:val="0"/>
                          <w:marRight w:val="0"/>
                          <w:marTop w:val="0"/>
                          <w:marBottom w:val="0"/>
                          <w:divBdr>
                            <w:top w:val="none" w:sz="0" w:space="0" w:color="auto"/>
                            <w:left w:val="none" w:sz="0" w:space="0" w:color="auto"/>
                            <w:bottom w:val="none" w:sz="0" w:space="0" w:color="auto"/>
                            <w:right w:val="none" w:sz="0" w:space="0" w:color="auto"/>
                          </w:divBdr>
                        </w:div>
                        <w:div w:id="202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44041">
                  <w:marLeft w:val="0"/>
                  <w:marRight w:val="0"/>
                  <w:marTop w:val="0"/>
                  <w:marBottom w:val="0"/>
                  <w:divBdr>
                    <w:top w:val="none" w:sz="0" w:space="0" w:color="auto"/>
                    <w:left w:val="none" w:sz="0" w:space="0" w:color="auto"/>
                    <w:bottom w:val="none" w:sz="0" w:space="0" w:color="auto"/>
                    <w:right w:val="none" w:sz="0" w:space="0" w:color="auto"/>
                  </w:divBdr>
                  <w:divsChild>
                    <w:div w:id="715012390">
                      <w:marLeft w:val="0"/>
                      <w:marRight w:val="0"/>
                      <w:marTop w:val="0"/>
                      <w:marBottom w:val="0"/>
                      <w:divBdr>
                        <w:top w:val="none" w:sz="0" w:space="0" w:color="auto"/>
                        <w:left w:val="none" w:sz="0" w:space="0" w:color="auto"/>
                        <w:bottom w:val="none" w:sz="0" w:space="0" w:color="auto"/>
                        <w:right w:val="none" w:sz="0" w:space="0" w:color="auto"/>
                      </w:divBdr>
                      <w:divsChild>
                        <w:div w:id="1399279850">
                          <w:marLeft w:val="0"/>
                          <w:marRight w:val="0"/>
                          <w:marTop w:val="0"/>
                          <w:marBottom w:val="0"/>
                          <w:divBdr>
                            <w:top w:val="none" w:sz="0" w:space="0" w:color="auto"/>
                            <w:left w:val="none" w:sz="0" w:space="0" w:color="auto"/>
                            <w:bottom w:val="none" w:sz="0" w:space="0" w:color="auto"/>
                            <w:right w:val="none" w:sz="0" w:space="0" w:color="auto"/>
                          </w:divBdr>
                        </w:div>
                        <w:div w:id="90206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988617">
                  <w:marLeft w:val="0"/>
                  <w:marRight w:val="0"/>
                  <w:marTop w:val="0"/>
                  <w:marBottom w:val="0"/>
                  <w:divBdr>
                    <w:top w:val="none" w:sz="0" w:space="0" w:color="auto"/>
                    <w:left w:val="none" w:sz="0" w:space="0" w:color="auto"/>
                    <w:bottom w:val="none" w:sz="0" w:space="0" w:color="auto"/>
                    <w:right w:val="none" w:sz="0" w:space="0" w:color="auto"/>
                  </w:divBdr>
                  <w:divsChild>
                    <w:div w:id="522476891">
                      <w:marLeft w:val="0"/>
                      <w:marRight w:val="0"/>
                      <w:marTop w:val="0"/>
                      <w:marBottom w:val="0"/>
                      <w:divBdr>
                        <w:top w:val="none" w:sz="0" w:space="0" w:color="auto"/>
                        <w:left w:val="none" w:sz="0" w:space="0" w:color="auto"/>
                        <w:bottom w:val="none" w:sz="0" w:space="0" w:color="auto"/>
                        <w:right w:val="none" w:sz="0" w:space="0" w:color="auto"/>
                      </w:divBdr>
                      <w:divsChild>
                        <w:div w:id="144908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13458">
                  <w:marLeft w:val="0"/>
                  <w:marRight w:val="0"/>
                  <w:marTop w:val="0"/>
                  <w:marBottom w:val="0"/>
                  <w:divBdr>
                    <w:top w:val="none" w:sz="0" w:space="0" w:color="auto"/>
                    <w:left w:val="none" w:sz="0" w:space="0" w:color="auto"/>
                    <w:bottom w:val="none" w:sz="0" w:space="0" w:color="auto"/>
                    <w:right w:val="none" w:sz="0" w:space="0" w:color="auto"/>
                  </w:divBdr>
                  <w:divsChild>
                    <w:div w:id="232816633">
                      <w:marLeft w:val="0"/>
                      <w:marRight w:val="0"/>
                      <w:marTop w:val="0"/>
                      <w:marBottom w:val="0"/>
                      <w:divBdr>
                        <w:top w:val="none" w:sz="0" w:space="0" w:color="auto"/>
                        <w:left w:val="none" w:sz="0" w:space="0" w:color="auto"/>
                        <w:bottom w:val="none" w:sz="0" w:space="0" w:color="auto"/>
                        <w:right w:val="none" w:sz="0" w:space="0" w:color="auto"/>
                      </w:divBdr>
                      <w:divsChild>
                        <w:div w:id="1399673276">
                          <w:marLeft w:val="0"/>
                          <w:marRight w:val="0"/>
                          <w:marTop w:val="0"/>
                          <w:marBottom w:val="0"/>
                          <w:divBdr>
                            <w:top w:val="none" w:sz="0" w:space="0" w:color="auto"/>
                            <w:left w:val="none" w:sz="0" w:space="0" w:color="auto"/>
                            <w:bottom w:val="none" w:sz="0" w:space="0" w:color="auto"/>
                            <w:right w:val="none" w:sz="0" w:space="0" w:color="auto"/>
                          </w:divBdr>
                        </w:div>
                        <w:div w:id="102691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19429">
                  <w:marLeft w:val="0"/>
                  <w:marRight w:val="0"/>
                  <w:marTop w:val="0"/>
                  <w:marBottom w:val="0"/>
                  <w:divBdr>
                    <w:top w:val="none" w:sz="0" w:space="0" w:color="auto"/>
                    <w:left w:val="none" w:sz="0" w:space="0" w:color="auto"/>
                    <w:bottom w:val="none" w:sz="0" w:space="0" w:color="auto"/>
                    <w:right w:val="none" w:sz="0" w:space="0" w:color="auto"/>
                  </w:divBdr>
                  <w:divsChild>
                    <w:div w:id="1113205161">
                      <w:marLeft w:val="0"/>
                      <w:marRight w:val="0"/>
                      <w:marTop w:val="0"/>
                      <w:marBottom w:val="0"/>
                      <w:divBdr>
                        <w:top w:val="none" w:sz="0" w:space="0" w:color="auto"/>
                        <w:left w:val="none" w:sz="0" w:space="0" w:color="auto"/>
                        <w:bottom w:val="none" w:sz="0" w:space="0" w:color="auto"/>
                        <w:right w:val="none" w:sz="0" w:space="0" w:color="auto"/>
                      </w:divBdr>
                      <w:divsChild>
                        <w:div w:id="76522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66631">
                  <w:marLeft w:val="0"/>
                  <w:marRight w:val="0"/>
                  <w:marTop w:val="0"/>
                  <w:marBottom w:val="0"/>
                  <w:divBdr>
                    <w:top w:val="none" w:sz="0" w:space="0" w:color="auto"/>
                    <w:left w:val="none" w:sz="0" w:space="0" w:color="auto"/>
                    <w:bottom w:val="none" w:sz="0" w:space="0" w:color="auto"/>
                    <w:right w:val="none" w:sz="0" w:space="0" w:color="auto"/>
                  </w:divBdr>
                  <w:divsChild>
                    <w:div w:id="1752241571">
                      <w:marLeft w:val="0"/>
                      <w:marRight w:val="0"/>
                      <w:marTop w:val="0"/>
                      <w:marBottom w:val="0"/>
                      <w:divBdr>
                        <w:top w:val="none" w:sz="0" w:space="0" w:color="auto"/>
                        <w:left w:val="none" w:sz="0" w:space="0" w:color="auto"/>
                        <w:bottom w:val="none" w:sz="0" w:space="0" w:color="auto"/>
                        <w:right w:val="none" w:sz="0" w:space="0" w:color="auto"/>
                      </w:divBdr>
                      <w:divsChild>
                        <w:div w:id="286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889750">
          <w:marLeft w:val="0"/>
          <w:marRight w:val="0"/>
          <w:marTop w:val="0"/>
          <w:marBottom w:val="0"/>
          <w:divBdr>
            <w:top w:val="none" w:sz="0" w:space="0" w:color="auto"/>
            <w:left w:val="none" w:sz="0" w:space="0" w:color="auto"/>
            <w:bottom w:val="none" w:sz="0" w:space="0" w:color="auto"/>
            <w:right w:val="none" w:sz="0" w:space="0" w:color="auto"/>
          </w:divBdr>
        </w:div>
        <w:div w:id="1164974179">
          <w:marLeft w:val="0"/>
          <w:marRight w:val="0"/>
          <w:marTop w:val="0"/>
          <w:marBottom w:val="0"/>
          <w:divBdr>
            <w:top w:val="none" w:sz="0" w:space="0" w:color="auto"/>
            <w:left w:val="none" w:sz="0" w:space="0" w:color="auto"/>
            <w:bottom w:val="none" w:sz="0" w:space="0" w:color="auto"/>
            <w:right w:val="none" w:sz="0" w:space="0" w:color="auto"/>
          </w:divBdr>
        </w:div>
        <w:div w:id="399257999">
          <w:marLeft w:val="0"/>
          <w:marRight w:val="0"/>
          <w:marTop w:val="0"/>
          <w:marBottom w:val="0"/>
          <w:divBdr>
            <w:top w:val="none" w:sz="0" w:space="0" w:color="auto"/>
            <w:left w:val="none" w:sz="0" w:space="0" w:color="auto"/>
            <w:bottom w:val="none" w:sz="0" w:space="0" w:color="auto"/>
            <w:right w:val="none" w:sz="0" w:space="0" w:color="auto"/>
          </w:divBdr>
        </w:div>
        <w:div w:id="1563560729">
          <w:marLeft w:val="0"/>
          <w:marRight w:val="0"/>
          <w:marTop w:val="0"/>
          <w:marBottom w:val="0"/>
          <w:divBdr>
            <w:top w:val="none" w:sz="0" w:space="0" w:color="auto"/>
            <w:left w:val="none" w:sz="0" w:space="0" w:color="auto"/>
            <w:bottom w:val="none" w:sz="0" w:space="0" w:color="auto"/>
            <w:right w:val="none" w:sz="0" w:space="0" w:color="auto"/>
          </w:divBdr>
        </w:div>
        <w:div w:id="601882781">
          <w:marLeft w:val="0"/>
          <w:marRight w:val="0"/>
          <w:marTop w:val="0"/>
          <w:marBottom w:val="0"/>
          <w:divBdr>
            <w:top w:val="none" w:sz="0" w:space="0" w:color="auto"/>
            <w:left w:val="none" w:sz="0" w:space="0" w:color="auto"/>
            <w:bottom w:val="none" w:sz="0" w:space="0" w:color="auto"/>
            <w:right w:val="none" w:sz="0" w:space="0" w:color="auto"/>
          </w:divBdr>
          <w:divsChild>
            <w:div w:id="1887403828">
              <w:marLeft w:val="-75"/>
              <w:marRight w:val="0"/>
              <w:marTop w:val="30"/>
              <w:marBottom w:val="30"/>
              <w:divBdr>
                <w:top w:val="none" w:sz="0" w:space="0" w:color="auto"/>
                <w:left w:val="none" w:sz="0" w:space="0" w:color="auto"/>
                <w:bottom w:val="none" w:sz="0" w:space="0" w:color="auto"/>
                <w:right w:val="none" w:sz="0" w:space="0" w:color="auto"/>
              </w:divBdr>
              <w:divsChild>
                <w:div w:id="830677643">
                  <w:marLeft w:val="0"/>
                  <w:marRight w:val="0"/>
                  <w:marTop w:val="0"/>
                  <w:marBottom w:val="0"/>
                  <w:divBdr>
                    <w:top w:val="none" w:sz="0" w:space="0" w:color="auto"/>
                    <w:left w:val="none" w:sz="0" w:space="0" w:color="auto"/>
                    <w:bottom w:val="none" w:sz="0" w:space="0" w:color="auto"/>
                    <w:right w:val="none" w:sz="0" w:space="0" w:color="auto"/>
                  </w:divBdr>
                  <w:divsChild>
                    <w:div w:id="813720798">
                      <w:marLeft w:val="0"/>
                      <w:marRight w:val="0"/>
                      <w:marTop w:val="0"/>
                      <w:marBottom w:val="0"/>
                      <w:divBdr>
                        <w:top w:val="none" w:sz="0" w:space="0" w:color="auto"/>
                        <w:left w:val="none" w:sz="0" w:space="0" w:color="auto"/>
                        <w:bottom w:val="none" w:sz="0" w:space="0" w:color="auto"/>
                        <w:right w:val="none" w:sz="0" w:space="0" w:color="auto"/>
                      </w:divBdr>
                      <w:divsChild>
                        <w:div w:id="1167283223">
                          <w:marLeft w:val="0"/>
                          <w:marRight w:val="0"/>
                          <w:marTop w:val="0"/>
                          <w:marBottom w:val="0"/>
                          <w:divBdr>
                            <w:top w:val="none" w:sz="0" w:space="0" w:color="auto"/>
                            <w:left w:val="none" w:sz="0" w:space="0" w:color="auto"/>
                            <w:bottom w:val="none" w:sz="0" w:space="0" w:color="auto"/>
                            <w:right w:val="none" w:sz="0" w:space="0" w:color="auto"/>
                          </w:divBdr>
                        </w:div>
                        <w:div w:id="261838556">
                          <w:marLeft w:val="0"/>
                          <w:marRight w:val="0"/>
                          <w:marTop w:val="0"/>
                          <w:marBottom w:val="0"/>
                          <w:divBdr>
                            <w:top w:val="none" w:sz="0" w:space="0" w:color="auto"/>
                            <w:left w:val="none" w:sz="0" w:space="0" w:color="auto"/>
                            <w:bottom w:val="none" w:sz="0" w:space="0" w:color="auto"/>
                            <w:right w:val="none" w:sz="0" w:space="0" w:color="auto"/>
                          </w:divBdr>
                        </w:div>
                        <w:div w:id="145132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03998">
                  <w:marLeft w:val="0"/>
                  <w:marRight w:val="0"/>
                  <w:marTop w:val="0"/>
                  <w:marBottom w:val="0"/>
                  <w:divBdr>
                    <w:top w:val="none" w:sz="0" w:space="0" w:color="auto"/>
                    <w:left w:val="none" w:sz="0" w:space="0" w:color="auto"/>
                    <w:bottom w:val="none" w:sz="0" w:space="0" w:color="auto"/>
                    <w:right w:val="none" w:sz="0" w:space="0" w:color="auto"/>
                  </w:divBdr>
                  <w:divsChild>
                    <w:div w:id="248125469">
                      <w:marLeft w:val="0"/>
                      <w:marRight w:val="0"/>
                      <w:marTop w:val="0"/>
                      <w:marBottom w:val="0"/>
                      <w:divBdr>
                        <w:top w:val="none" w:sz="0" w:space="0" w:color="auto"/>
                        <w:left w:val="none" w:sz="0" w:space="0" w:color="auto"/>
                        <w:bottom w:val="none" w:sz="0" w:space="0" w:color="auto"/>
                        <w:right w:val="none" w:sz="0" w:space="0" w:color="auto"/>
                      </w:divBdr>
                      <w:divsChild>
                        <w:div w:id="1346401726">
                          <w:marLeft w:val="0"/>
                          <w:marRight w:val="0"/>
                          <w:marTop w:val="0"/>
                          <w:marBottom w:val="0"/>
                          <w:divBdr>
                            <w:top w:val="none" w:sz="0" w:space="0" w:color="auto"/>
                            <w:left w:val="none" w:sz="0" w:space="0" w:color="auto"/>
                            <w:bottom w:val="none" w:sz="0" w:space="0" w:color="auto"/>
                            <w:right w:val="none" w:sz="0" w:space="0" w:color="auto"/>
                          </w:divBdr>
                        </w:div>
                        <w:div w:id="588806192">
                          <w:marLeft w:val="0"/>
                          <w:marRight w:val="0"/>
                          <w:marTop w:val="0"/>
                          <w:marBottom w:val="0"/>
                          <w:divBdr>
                            <w:top w:val="none" w:sz="0" w:space="0" w:color="auto"/>
                            <w:left w:val="none" w:sz="0" w:space="0" w:color="auto"/>
                            <w:bottom w:val="none" w:sz="0" w:space="0" w:color="auto"/>
                            <w:right w:val="none" w:sz="0" w:space="0" w:color="auto"/>
                          </w:divBdr>
                        </w:div>
                        <w:div w:id="1125581459">
                          <w:marLeft w:val="0"/>
                          <w:marRight w:val="0"/>
                          <w:marTop w:val="0"/>
                          <w:marBottom w:val="0"/>
                          <w:divBdr>
                            <w:top w:val="none" w:sz="0" w:space="0" w:color="auto"/>
                            <w:left w:val="none" w:sz="0" w:space="0" w:color="auto"/>
                            <w:bottom w:val="none" w:sz="0" w:space="0" w:color="auto"/>
                            <w:right w:val="none" w:sz="0" w:space="0" w:color="auto"/>
                          </w:divBdr>
                        </w:div>
                        <w:div w:id="572351382">
                          <w:marLeft w:val="0"/>
                          <w:marRight w:val="0"/>
                          <w:marTop w:val="0"/>
                          <w:marBottom w:val="0"/>
                          <w:divBdr>
                            <w:top w:val="none" w:sz="0" w:space="0" w:color="auto"/>
                            <w:left w:val="none" w:sz="0" w:space="0" w:color="auto"/>
                            <w:bottom w:val="none" w:sz="0" w:space="0" w:color="auto"/>
                            <w:right w:val="none" w:sz="0" w:space="0" w:color="auto"/>
                          </w:divBdr>
                        </w:div>
                        <w:div w:id="429009525">
                          <w:marLeft w:val="0"/>
                          <w:marRight w:val="0"/>
                          <w:marTop w:val="0"/>
                          <w:marBottom w:val="0"/>
                          <w:divBdr>
                            <w:top w:val="none" w:sz="0" w:space="0" w:color="auto"/>
                            <w:left w:val="none" w:sz="0" w:space="0" w:color="auto"/>
                            <w:bottom w:val="none" w:sz="0" w:space="0" w:color="auto"/>
                            <w:right w:val="none" w:sz="0" w:space="0" w:color="auto"/>
                          </w:divBdr>
                        </w:div>
                        <w:div w:id="1442995516">
                          <w:marLeft w:val="0"/>
                          <w:marRight w:val="0"/>
                          <w:marTop w:val="0"/>
                          <w:marBottom w:val="0"/>
                          <w:divBdr>
                            <w:top w:val="none" w:sz="0" w:space="0" w:color="auto"/>
                            <w:left w:val="none" w:sz="0" w:space="0" w:color="auto"/>
                            <w:bottom w:val="none" w:sz="0" w:space="0" w:color="auto"/>
                            <w:right w:val="none" w:sz="0" w:space="0" w:color="auto"/>
                          </w:divBdr>
                        </w:div>
                        <w:div w:id="1722316130">
                          <w:marLeft w:val="0"/>
                          <w:marRight w:val="0"/>
                          <w:marTop w:val="0"/>
                          <w:marBottom w:val="0"/>
                          <w:divBdr>
                            <w:top w:val="none" w:sz="0" w:space="0" w:color="auto"/>
                            <w:left w:val="none" w:sz="0" w:space="0" w:color="auto"/>
                            <w:bottom w:val="none" w:sz="0" w:space="0" w:color="auto"/>
                            <w:right w:val="none" w:sz="0" w:space="0" w:color="auto"/>
                          </w:divBdr>
                        </w:div>
                        <w:div w:id="1272012542">
                          <w:marLeft w:val="0"/>
                          <w:marRight w:val="0"/>
                          <w:marTop w:val="0"/>
                          <w:marBottom w:val="0"/>
                          <w:divBdr>
                            <w:top w:val="none" w:sz="0" w:space="0" w:color="auto"/>
                            <w:left w:val="none" w:sz="0" w:space="0" w:color="auto"/>
                            <w:bottom w:val="none" w:sz="0" w:space="0" w:color="auto"/>
                            <w:right w:val="none" w:sz="0" w:space="0" w:color="auto"/>
                          </w:divBdr>
                        </w:div>
                        <w:div w:id="141335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16766">
                  <w:marLeft w:val="0"/>
                  <w:marRight w:val="0"/>
                  <w:marTop w:val="0"/>
                  <w:marBottom w:val="0"/>
                  <w:divBdr>
                    <w:top w:val="none" w:sz="0" w:space="0" w:color="auto"/>
                    <w:left w:val="none" w:sz="0" w:space="0" w:color="auto"/>
                    <w:bottom w:val="none" w:sz="0" w:space="0" w:color="auto"/>
                    <w:right w:val="none" w:sz="0" w:space="0" w:color="auto"/>
                  </w:divBdr>
                  <w:divsChild>
                    <w:div w:id="1496145388">
                      <w:marLeft w:val="0"/>
                      <w:marRight w:val="0"/>
                      <w:marTop w:val="0"/>
                      <w:marBottom w:val="0"/>
                      <w:divBdr>
                        <w:top w:val="none" w:sz="0" w:space="0" w:color="auto"/>
                        <w:left w:val="none" w:sz="0" w:space="0" w:color="auto"/>
                        <w:bottom w:val="none" w:sz="0" w:space="0" w:color="auto"/>
                        <w:right w:val="none" w:sz="0" w:space="0" w:color="auto"/>
                      </w:divBdr>
                      <w:divsChild>
                        <w:div w:id="2073964070">
                          <w:marLeft w:val="0"/>
                          <w:marRight w:val="0"/>
                          <w:marTop w:val="0"/>
                          <w:marBottom w:val="0"/>
                          <w:divBdr>
                            <w:top w:val="none" w:sz="0" w:space="0" w:color="auto"/>
                            <w:left w:val="none" w:sz="0" w:space="0" w:color="auto"/>
                            <w:bottom w:val="none" w:sz="0" w:space="0" w:color="auto"/>
                            <w:right w:val="none" w:sz="0" w:space="0" w:color="auto"/>
                          </w:divBdr>
                        </w:div>
                        <w:div w:id="2132044344">
                          <w:marLeft w:val="0"/>
                          <w:marRight w:val="0"/>
                          <w:marTop w:val="0"/>
                          <w:marBottom w:val="0"/>
                          <w:divBdr>
                            <w:top w:val="none" w:sz="0" w:space="0" w:color="auto"/>
                            <w:left w:val="none" w:sz="0" w:space="0" w:color="auto"/>
                            <w:bottom w:val="none" w:sz="0" w:space="0" w:color="auto"/>
                            <w:right w:val="none" w:sz="0" w:space="0" w:color="auto"/>
                          </w:divBdr>
                        </w:div>
                        <w:div w:id="1169324840">
                          <w:marLeft w:val="0"/>
                          <w:marRight w:val="0"/>
                          <w:marTop w:val="0"/>
                          <w:marBottom w:val="0"/>
                          <w:divBdr>
                            <w:top w:val="none" w:sz="0" w:space="0" w:color="auto"/>
                            <w:left w:val="none" w:sz="0" w:space="0" w:color="auto"/>
                            <w:bottom w:val="none" w:sz="0" w:space="0" w:color="auto"/>
                            <w:right w:val="none" w:sz="0" w:space="0" w:color="auto"/>
                          </w:divBdr>
                        </w:div>
                        <w:div w:id="1593708494">
                          <w:marLeft w:val="0"/>
                          <w:marRight w:val="0"/>
                          <w:marTop w:val="0"/>
                          <w:marBottom w:val="0"/>
                          <w:divBdr>
                            <w:top w:val="none" w:sz="0" w:space="0" w:color="auto"/>
                            <w:left w:val="none" w:sz="0" w:space="0" w:color="auto"/>
                            <w:bottom w:val="none" w:sz="0" w:space="0" w:color="auto"/>
                            <w:right w:val="none" w:sz="0" w:space="0" w:color="auto"/>
                          </w:divBdr>
                        </w:div>
                        <w:div w:id="183772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595591">
                  <w:marLeft w:val="0"/>
                  <w:marRight w:val="0"/>
                  <w:marTop w:val="0"/>
                  <w:marBottom w:val="0"/>
                  <w:divBdr>
                    <w:top w:val="none" w:sz="0" w:space="0" w:color="auto"/>
                    <w:left w:val="none" w:sz="0" w:space="0" w:color="auto"/>
                    <w:bottom w:val="none" w:sz="0" w:space="0" w:color="auto"/>
                    <w:right w:val="none" w:sz="0" w:space="0" w:color="auto"/>
                  </w:divBdr>
                  <w:divsChild>
                    <w:div w:id="499151994">
                      <w:marLeft w:val="0"/>
                      <w:marRight w:val="0"/>
                      <w:marTop w:val="0"/>
                      <w:marBottom w:val="0"/>
                      <w:divBdr>
                        <w:top w:val="none" w:sz="0" w:space="0" w:color="auto"/>
                        <w:left w:val="none" w:sz="0" w:space="0" w:color="auto"/>
                        <w:bottom w:val="none" w:sz="0" w:space="0" w:color="auto"/>
                        <w:right w:val="none" w:sz="0" w:space="0" w:color="auto"/>
                      </w:divBdr>
                      <w:divsChild>
                        <w:div w:id="35855458">
                          <w:marLeft w:val="0"/>
                          <w:marRight w:val="0"/>
                          <w:marTop w:val="0"/>
                          <w:marBottom w:val="0"/>
                          <w:divBdr>
                            <w:top w:val="none" w:sz="0" w:space="0" w:color="auto"/>
                            <w:left w:val="none" w:sz="0" w:space="0" w:color="auto"/>
                            <w:bottom w:val="none" w:sz="0" w:space="0" w:color="auto"/>
                            <w:right w:val="none" w:sz="0" w:space="0" w:color="auto"/>
                          </w:divBdr>
                        </w:div>
                        <w:div w:id="2062433756">
                          <w:marLeft w:val="0"/>
                          <w:marRight w:val="0"/>
                          <w:marTop w:val="0"/>
                          <w:marBottom w:val="0"/>
                          <w:divBdr>
                            <w:top w:val="none" w:sz="0" w:space="0" w:color="auto"/>
                            <w:left w:val="none" w:sz="0" w:space="0" w:color="auto"/>
                            <w:bottom w:val="none" w:sz="0" w:space="0" w:color="auto"/>
                            <w:right w:val="none" w:sz="0" w:space="0" w:color="auto"/>
                          </w:divBdr>
                        </w:div>
                        <w:div w:id="1175143599">
                          <w:marLeft w:val="0"/>
                          <w:marRight w:val="0"/>
                          <w:marTop w:val="0"/>
                          <w:marBottom w:val="0"/>
                          <w:divBdr>
                            <w:top w:val="none" w:sz="0" w:space="0" w:color="auto"/>
                            <w:left w:val="none" w:sz="0" w:space="0" w:color="auto"/>
                            <w:bottom w:val="none" w:sz="0" w:space="0" w:color="auto"/>
                            <w:right w:val="none" w:sz="0" w:space="0" w:color="auto"/>
                          </w:divBdr>
                        </w:div>
                        <w:div w:id="350225291">
                          <w:marLeft w:val="0"/>
                          <w:marRight w:val="0"/>
                          <w:marTop w:val="0"/>
                          <w:marBottom w:val="0"/>
                          <w:divBdr>
                            <w:top w:val="none" w:sz="0" w:space="0" w:color="auto"/>
                            <w:left w:val="none" w:sz="0" w:space="0" w:color="auto"/>
                            <w:bottom w:val="none" w:sz="0" w:space="0" w:color="auto"/>
                            <w:right w:val="none" w:sz="0" w:space="0" w:color="auto"/>
                          </w:divBdr>
                        </w:div>
                        <w:div w:id="185533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29944">
                  <w:marLeft w:val="0"/>
                  <w:marRight w:val="0"/>
                  <w:marTop w:val="0"/>
                  <w:marBottom w:val="0"/>
                  <w:divBdr>
                    <w:top w:val="none" w:sz="0" w:space="0" w:color="auto"/>
                    <w:left w:val="none" w:sz="0" w:space="0" w:color="auto"/>
                    <w:bottom w:val="none" w:sz="0" w:space="0" w:color="auto"/>
                    <w:right w:val="none" w:sz="0" w:space="0" w:color="auto"/>
                  </w:divBdr>
                  <w:divsChild>
                    <w:div w:id="392780908">
                      <w:marLeft w:val="0"/>
                      <w:marRight w:val="0"/>
                      <w:marTop w:val="0"/>
                      <w:marBottom w:val="0"/>
                      <w:divBdr>
                        <w:top w:val="none" w:sz="0" w:space="0" w:color="auto"/>
                        <w:left w:val="none" w:sz="0" w:space="0" w:color="auto"/>
                        <w:bottom w:val="none" w:sz="0" w:space="0" w:color="auto"/>
                        <w:right w:val="none" w:sz="0" w:space="0" w:color="auto"/>
                      </w:divBdr>
                      <w:divsChild>
                        <w:div w:id="1537893540">
                          <w:marLeft w:val="0"/>
                          <w:marRight w:val="0"/>
                          <w:marTop w:val="0"/>
                          <w:marBottom w:val="0"/>
                          <w:divBdr>
                            <w:top w:val="none" w:sz="0" w:space="0" w:color="auto"/>
                            <w:left w:val="none" w:sz="0" w:space="0" w:color="auto"/>
                            <w:bottom w:val="none" w:sz="0" w:space="0" w:color="auto"/>
                            <w:right w:val="none" w:sz="0" w:space="0" w:color="auto"/>
                          </w:divBdr>
                        </w:div>
                        <w:div w:id="253707475">
                          <w:marLeft w:val="0"/>
                          <w:marRight w:val="0"/>
                          <w:marTop w:val="0"/>
                          <w:marBottom w:val="0"/>
                          <w:divBdr>
                            <w:top w:val="none" w:sz="0" w:space="0" w:color="auto"/>
                            <w:left w:val="none" w:sz="0" w:space="0" w:color="auto"/>
                            <w:bottom w:val="none" w:sz="0" w:space="0" w:color="auto"/>
                            <w:right w:val="none" w:sz="0" w:space="0" w:color="auto"/>
                          </w:divBdr>
                        </w:div>
                        <w:div w:id="2140954314">
                          <w:marLeft w:val="0"/>
                          <w:marRight w:val="0"/>
                          <w:marTop w:val="0"/>
                          <w:marBottom w:val="0"/>
                          <w:divBdr>
                            <w:top w:val="none" w:sz="0" w:space="0" w:color="auto"/>
                            <w:left w:val="none" w:sz="0" w:space="0" w:color="auto"/>
                            <w:bottom w:val="none" w:sz="0" w:space="0" w:color="auto"/>
                            <w:right w:val="none" w:sz="0" w:space="0" w:color="auto"/>
                          </w:divBdr>
                        </w:div>
                        <w:div w:id="1649941651">
                          <w:marLeft w:val="0"/>
                          <w:marRight w:val="0"/>
                          <w:marTop w:val="0"/>
                          <w:marBottom w:val="0"/>
                          <w:divBdr>
                            <w:top w:val="none" w:sz="0" w:space="0" w:color="auto"/>
                            <w:left w:val="none" w:sz="0" w:space="0" w:color="auto"/>
                            <w:bottom w:val="none" w:sz="0" w:space="0" w:color="auto"/>
                            <w:right w:val="none" w:sz="0" w:space="0" w:color="auto"/>
                          </w:divBdr>
                        </w:div>
                        <w:div w:id="1054306296">
                          <w:marLeft w:val="0"/>
                          <w:marRight w:val="0"/>
                          <w:marTop w:val="0"/>
                          <w:marBottom w:val="0"/>
                          <w:divBdr>
                            <w:top w:val="none" w:sz="0" w:space="0" w:color="auto"/>
                            <w:left w:val="none" w:sz="0" w:space="0" w:color="auto"/>
                            <w:bottom w:val="none" w:sz="0" w:space="0" w:color="auto"/>
                            <w:right w:val="none" w:sz="0" w:space="0" w:color="auto"/>
                          </w:divBdr>
                        </w:div>
                        <w:div w:id="1004167994">
                          <w:marLeft w:val="0"/>
                          <w:marRight w:val="0"/>
                          <w:marTop w:val="0"/>
                          <w:marBottom w:val="0"/>
                          <w:divBdr>
                            <w:top w:val="none" w:sz="0" w:space="0" w:color="auto"/>
                            <w:left w:val="none" w:sz="0" w:space="0" w:color="auto"/>
                            <w:bottom w:val="none" w:sz="0" w:space="0" w:color="auto"/>
                            <w:right w:val="none" w:sz="0" w:space="0" w:color="auto"/>
                          </w:divBdr>
                        </w:div>
                        <w:div w:id="1333610350">
                          <w:marLeft w:val="0"/>
                          <w:marRight w:val="0"/>
                          <w:marTop w:val="0"/>
                          <w:marBottom w:val="0"/>
                          <w:divBdr>
                            <w:top w:val="none" w:sz="0" w:space="0" w:color="auto"/>
                            <w:left w:val="none" w:sz="0" w:space="0" w:color="auto"/>
                            <w:bottom w:val="none" w:sz="0" w:space="0" w:color="auto"/>
                            <w:right w:val="none" w:sz="0" w:space="0" w:color="auto"/>
                          </w:divBdr>
                        </w:div>
                        <w:div w:id="177216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206856">
          <w:marLeft w:val="0"/>
          <w:marRight w:val="0"/>
          <w:marTop w:val="0"/>
          <w:marBottom w:val="0"/>
          <w:divBdr>
            <w:top w:val="none" w:sz="0" w:space="0" w:color="auto"/>
            <w:left w:val="none" w:sz="0" w:space="0" w:color="auto"/>
            <w:bottom w:val="none" w:sz="0" w:space="0" w:color="auto"/>
            <w:right w:val="none" w:sz="0" w:space="0" w:color="auto"/>
          </w:divBdr>
        </w:div>
      </w:divsChild>
    </w:div>
    <w:div w:id="1445034743">
      <w:bodyDiv w:val="1"/>
      <w:marLeft w:val="0"/>
      <w:marRight w:val="0"/>
      <w:marTop w:val="0"/>
      <w:marBottom w:val="0"/>
      <w:divBdr>
        <w:top w:val="none" w:sz="0" w:space="0" w:color="auto"/>
        <w:left w:val="none" w:sz="0" w:space="0" w:color="auto"/>
        <w:bottom w:val="none" w:sz="0" w:space="0" w:color="auto"/>
        <w:right w:val="none" w:sz="0" w:space="0" w:color="auto"/>
      </w:divBdr>
    </w:div>
    <w:div w:id="1452480852">
      <w:bodyDiv w:val="1"/>
      <w:marLeft w:val="0"/>
      <w:marRight w:val="0"/>
      <w:marTop w:val="0"/>
      <w:marBottom w:val="0"/>
      <w:divBdr>
        <w:top w:val="none" w:sz="0" w:space="0" w:color="auto"/>
        <w:left w:val="none" w:sz="0" w:space="0" w:color="auto"/>
        <w:bottom w:val="none" w:sz="0" w:space="0" w:color="auto"/>
        <w:right w:val="none" w:sz="0" w:space="0" w:color="auto"/>
      </w:divBdr>
    </w:div>
    <w:div w:id="1462337416">
      <w:bodyDiv w:val="1"/>
      <w:marLeft w:val="0"/>
      <w:marRight w:val="0"/>
      <w:marTop w:val="0"/>
      <w:marBottom w:val="0"/>
      <w:divBdr>
        <w:top w:val="none" w:sz="0" w:space="0" w:color="auto"/>
        <w:left w:val="none" w:sz="0" w:space="0" w:color="auto"/>
        <w:bottom w:val="none" w:sz="0" w:space="0" w:color="auto"/>
        <w:right w:val="none" w:sz="0" w:space="0" w:color="auto"/>
      </w:divBdr>
    </w:div>
    <w:div w:id="1500347261">
      <w:bodyDiv w:val="1"/>
      <w:marLeft w:val="0"/>
      <w:marRight w:val="0"/>
      <w:marTop w:val="0"/>
      <w:marBottom w:val="0"/>
      <w:divBdr>
        <w:top w:val="none" w:sz="0" w:space="0" w:color="auto"/>
        <w:left w:val="none" w:sz="0" w:space="0" w:color="auto"/>
        <w:bottom w:val="none" w:sz="0" w:space="0" w:color="auto"/>
        <w:right w:val="none" w:sz="0" w:space="0" w:color="auto"/>
      </w:divBdr>
    </w:div>
    <w:div w:id="1503933371">
      <w:bodyDiv w:val="1"/>
      <w:marLeft w:val="0"/>
      <w:marRight w:val="0"/>
      <w:marTop w:val="0"/>
      <w:marBottom w:val="0"/>
      <w:divBdr>
        <w:top w:val="none" w:sz="0" w:space="0" w:color="auto"/>
        <w:left w:val="none" w:sz="0" w:space="0" w:color="auto"/>
        <w:bottom w:val="none" w:sz="0" w:space="0" w:color="auto"/>
        <w:right w:val="none" w:sz="0" w:space="0" w:color="auto"/>
      </w:divBdr>
    </w:div>
    <w:div w:id="1544558360">
      <w:bodyDiv w:val="1"/>
      <w:marLeft w:val="0"/>
      <w:marRight w:val="0"/>
      <w:marTop w:val="0"/>
      <w:marBottom w:val="0"/>
      <w:divBdr>
        <w:top w:val="none" w:sz="0" w:space="0" w:color="auto"/>
        <w:left w:val="none" w:sz="0" w:space="0" w:color="auto"/>
        <w:bottom w:val="none" w:sz="0" w:space="0" w:color="auto"/>
        <w:right w:val="none" w:sz="0" w:space="0" w:color="auto"/>
      </w:divBdr>
    </w:div>
    <w:div w:id="1548566793">
      <w:bodyDiv w:val="1"/>
      <w:marLeft w:val="0"/>
      <w:marRight w:val="0"/>
      <w:marTop w:val="0"/>
      <w:marBottom w:val="0"/>
      <w:divBdr>
        <w:top w:val="none" w:sz="0" w:space="0" w:color="auto"/>
        <w:left w:val="none" w:sz="0" w:space="0" w:color="auto"/>
        <w:bottom w:val="none" w:sz="0" w:space="0" w:color="auto"/>
        <w:right w:val="none" w:sz="0" w:space="0" w:color="auto"/>
      </w:divBdr>
    </w:div>
    <w:div w:id="159567303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519616">
      <w:bodyDiv w:val="1"/>
      <w:marLeft w:val="0"/>
      <w:marRight w:val="0"/>
      <w:marTop w:val="0"/>
      <w:marBottom w:val="0"/>
      <w:divBdr>
        <w:top w:val="none" w:sz="0" w:space="0" w:color="auto"/>
        <w:left w:val="none" w:sz="0" w:space="0" w:color="auto"/>
        <w:bottom w:val="none" w:sz="0" w:space="0" w:color="auto"/>
        <w:right w:val="none" w:sz="0" w:space="0" w:color="auto"/>
      </w:divBdr>
    </w:div>
    <w:div w:id="1624648694">
      <w:bodyDiv w:val="1"/>
      <w:marLeft w:val="0"/>
      <w:marRight w:val="0"/>
      <w:marTop w:val="0"/>
      <w:marBottom w:val="0"/>
      <w:divBdr>
        <w:top w:val="none" w:sz="0" w:space="0" w:color="auto"/>
        <w:left w:val="none" w:sz="0" w:space="0" w:color="auto"/>
        <w:bottom w:val="none" w:sz="0" w:space="0" w:color="auto"/>
        <w:right w:val="none" w:sz="0" w:space="0" w:color="auto"/>
      </w:divBdr>
    </w:div>
    <w:div w:id="1658682925">
      <w:bodyDiv w:val="1"/>
      <w:marLeft w:val="0"/>
      <w:marRight w:val="0"/>
      <w:marTop w:val="0"/>
      <w:marBottom w:val="0"/>
      <w:divBdr>
        <w:top w:val="none" w:sz="0" w:space="0" w:color="auto"/>
        <w:left w:val="none" w:sz="0" w:space="0" w:color="auto"/>
        <w:bottom w:val="none" w:sz="0" w:space="0" w:color="auto"/>
        <w:right w:val="none" w:sz="0" w:space="0" w:color="auto"/>
      </w:divBdr>
    </w:div>
    <w:div w:id="1666976399">
      <w:bodyDiv w:val="1"/>
      <w:marLeft w:val="0"/>
      <w:marRight w:val="0"/>
      <w:marTop w:val="0"/>
      <w:marBottom w:val="0"/>
      <w:divBdr>
        <w:top w:val="none" w:sz="0" w:space="0" w:color="auto"/>
        <w:left w:val="none" w:sz="0" w:space="0" w:color="auto"/>
        <w:bottom w:val="none" w:sz="0" w:space="0" w:color="auto"/>
        <w:right w:val="none" w:sz="0" w:space="0" w:color="auto"/>
      </w:divBdr>
    </w:div>
    <w:div w:id="1843547666">
      <w:bodyDiv w:val="1"/>
      <w:marLeft w:val="0"/>
      <w:marRight w:val="0"/>
      <w:marTop w:val="0"/>
      <w:marBottom w:val="0"/>
      <w:divBdr>
        <w:top w:val="none" w:sz="0" w:space="0" w:color="auto"/>
        <w:left w:val="none" w:sz="0" w:space="0" w:color="auto"/>
        <w:bottom w:val="none" w:sz="0" w:space="0" w:color="auto"/>
        <w:right w:val="none" w:sz="0" w:space="0" w:color="auto"/>
      </w:divBdr>
    </w:div>
    <w:div w:id="1862009639">
      <w:bodyDiv w:val="1"/>
      <w:marLeft w:val="0"/>
      <w:marRight w:val="0"/>
      <w:marTop w:val="0"/>
      <w:marBottom w:val="0"/>
      <w:divBdr>
        <w:top w:val="none" w:sz="0" w:space="0" w:color="auto"/>
        <w:left w:val="none" w:sz="0" w:space="0" w:color="auto"/>
        <w:bottom w:val="none" w:sz="0" w:space="0" w:color="auto"/>
        <w:right w:val="none" w:sz="0" w:space="0" w:color="auto"/>
      </w:divBdr>
    </w:div>
    <w:div w:id="1881240048">
      <w:bodyDiv w:val="1"/>
      <w:marLeft w:val="0"/>
      <w:marRight w:val="0"/>
      <w:marTop w:val="0"/>
      <w:marBottom w:val="0"/>
      <w:divBdr>
        <w:top w:val="none" w:sz="0" w:space="0" w:color="auto"/>
        <w:left w:val="none" w:sz="0" w:space="0" w:color="auto"/>
        <w:bottom w:val="none" w:sz="0" w:space="0" w:color="auto"/>
        <w:right w:val="none" w:sz="0" w:space="0" w:color="auto"/>
      </w:divBdr>
    </w:div>
    <w:div w:id="203819759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rlingbank.com/investors/2026/annual-report-2026/" TargetMode="External"/><Relationship Id="rId18" Type="http://schemas.openxmlformats.org/officeDocument/2006/relationships/hyperlink" Target="https://www.ons.gov.uk/businessindustryandtrade/business/businessservices/bulletins/businessinsightsandimpactontheukeconomy/8october2026" TargetMode="External"/><Relationship Id="rId26" Type="http://schemas.openxmlformats.org/officeDocument/2006/relationships/hyperlink" Target="https://www.iea.org/reports/energy-and-ai" TargetMode="External"/><Relationship Id="rId39" Type="http://schemas.openxmlformats.org/officeDocument/2006/relationships/hyperlink" Target="https://doi.org/10.2307/258786" TargetMode="External"/><Relationship Id="rId21" Type="http://schemas.openxmlformats.org/officeDocument/2006/relationships/hyperlink" Target="https://www.fca.org.uk/publication/financial-lives/financial-lives-survey-2024-key-findings.pdf" TargetMode="External"/><Relationship Id="rId34" Type="http://schemas.openxmlformats.org/officeDocument/2006/relationships/hyperlink" Target="https://doi.org/https://doi.org/10.2190/DUGG-P24E-52WK-6CDG" TargetMode="External"/><Relationship Id="rId42" Type="http://schemas.openxmlformats.org/officeDocument/2006/relationships/hyperlink" Target="https://doi.org/10.1023/B:JOBU.0000028449.99127.f7" TargetMode="External"/><Relationship Id="rId47" Type="http://schemas.openxmlformats.org/officeDocument/2006/relationships/hyperlink" Target="https://www.starlingbank.com/news/starling-launches-agentic-ai-assistant/" TargetMode="External"/><Relationship Id="rId50" Type="http://schemas.openxmlformats.org/officeDocument/2006/relationships/hyperlink" Target="https://doi.org/10.1023/B:JOBU.0000028449.99127.f7"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23/b:jobu.0000028449.99127.f7" TargetMode="External"/><Relationship Id="rId29" Type="http://schemas.openxmlformats.org/officeDocument/2006/relationships/hyperlink" Target="https://doi.org/10.1177/001872674700100103" TargetMode="External"/><Relationship Id="rId11" Type="http://schemas.openxmlformats.org/officeDocument/2006/relationships/image" Target="media/image1.jpeg"/><Relationship Id="rId24" Type="http://schemas.openxmlformats.org/officeDocument/2006/relationships/hyperlink" Target="https://ico.org.uk/for-organisations/uk-gdpr-guidance-and-resources/lawful-basis/biometric-data-guidance-biometric-recognition/how-do-we-process-biometric-data-lawfully" TargetMode="External"/><Relationship Id="rId32" Type="http://schemas.openxmlformats.org/officeDocument/2006/relationships/hyperlink" Target="https://doi.org/https://doi.org/10.5465/amr.2018.0072" TargetMode="External"/><Relationship Id="rId37" Type="http://schemas.openxmlformats.org/officeDocument/2006/relationships/hyperlink" Target="https://doi.org/10.1002/(SICI)1097-0266(199708)18:7" TargetMode="External"/><Relationship Id="rId40" Type="http://schemas.openxmlformats.org/officeDocument/2006/relationships/hyperlink" Target="https://online.visual-paradigm.com/diagrams/templates/lewins-change-model/" TargetMode="External"/><Relationship Id="rId45" Type="http://schemas.openxmlformats.org/officeDocument/2006/relationships/hyperlink" Target="https://www.bankofengland.co.uk/report/2024/artificial-intelligence-in-uk-financial-services-2024"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ons.gov.uk/economy/inflationandpriceindices/bulletins/consumerpriceinflation/august2026" TargetMode="External"/><Relationship Id="rId31" Type="http://schemas.openxmlformats.org/officeDocument/2006/relationships/hyperlink" Target="https://mutomorro.com/kotters-8-step-change-model/" TargetMode="External"/><Relationship Id="rId44" Type="http://schemas.openxmlformats.org/officeDocument/2006/relationships/hyperlink" Target="https://doi.org/10.1002/(SICI)1097-0266(199708)18:7%3C509::AID-SMJ882%3E3.0.CO;2-Z" TargetMode="External"/><Relationship Id="rId52" Type="http://schemas.openxmlformats.org/officeDocument/2006/relationships/hyperlink" Target="https://doi.org/10.5465/amr.1997.97110221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rlingbank.com/news/starling-launches-agentic-ai-assistant/" TargetMode="External"/><Relationship Id="rId22" Type="http://schemas.openxmlformats.org/officeDocument/2006/relationships/hyperlink" Target="https://doi.org/10.1126/science.aea3884" TargetMode="External"/><Relationship Id="rId27" Type="http://schemas.openxmlformats.org/officeDocument/2006/relationships/hyperlink" Target="https://www.stir.ac.uk/research/hub/publication/608132" TargetMode="External"/><Relationship Id="rId30" Type="http://schemas.openxmlformats.org/officeDocument/2006/relationships/hyperlink" Target="https://doi.org/https://doi.org/10.5465/amr.1997.9711022105" TargetMode="External"/><Relationship Id="rId35" Type="http://schemas.openxmlformats.org/officeDocument/2006/relationships/hyperlink" Target="https://books.google.com/books?id=DlGhlT34jCUC" TargetMode="External"/><Relationship Id="rId43" Type="http://schemas.openxmlformats.org/officeDocument/2006/relationships/hyperlink" Target="https://doi.org/10.5465/amr.2018.0072?utm_source=chatgpt.com" TargetMode="External"/><Relationship Id="rId48" Type="http://schemas.openxmlformats.org/officeDocument/2006/relationships/image" Target="media/image2.png"/><Relationship Id="rId8" Type="http://schemas.openxmlformats.org/officeDocument/2006/relationships/webSettings" Target="webSettings.xml"/><Relationship Id="rId51" Type="http://schemas.openxmlformats.org/officeDocument/2006/relationships/hyperlink" Target="https://doi.org/10.2307/2666999" TargetMode="External"/><Relationship Id="rId3" Type="http://schemas.openxmlformats.org/officeDocument/2006/relationships/customXml" Target="../customXml/item3.xml"/><Relationship Id="rId12" Type="http://schemas.openxmlformats.org/officeDocument/2006/relationships/hyperlink" Target="https://www.bankofengland.co.uk/report/2024/artificial-intelligence-in-uk-financial-services-2024" TargetMode="External"/><Relationship Id="rId17" Type="http://schemas.openxmlformats.org/officeDocument/2006/relationships/hyperlink" Target="https://doi.org/10.1111/j.1467-6486.2004.00463.x" TargetMode="External"/><Relationship Id="rId25" Type="http://schemas.openxmlformats.org/officeDocument/2006/relationships/hyperlink" Target="https://www.iea.org/reports/energy-and-ai/energy-demand-from-ai" TargetMode="External"/><Relationship Id="rId33" Type="http://schemas.openxmlformats.org/officeDocument/2006/relationships/hyperlink" Target="https://doi.org/10.2190/DUGG-P24E-52WK-6CDG&#8216;%3ehttps://dx.doi.org/10.2190/DUGG-P24E-52WK-6CDG%3c/a" TargetMode="External"/><Relationship Id="rId38" Type="http://schemas.openxmlformats.org/officeDocument/2006/relationships/hyperlink" Target="https://www.legislation.gov.uk/uksi/2017/692/regulation/28" TargetMode="External"/><Relationship Id="rId46" Type="http://schemas.openxmlformats.org/officeDocument/2006/relationships/hyperlink" Target="https://www.starlingbank.com/investors/2026/annual-report-2026/" TargetMode="External"/><Relationship Id="rId20" Type="http://schemas.openxmlformats.org/officeDocument/2006/relationships/hyperlink" Target="https://doi.org/https://doi.org/10.2307/2666999" TargetMode="External"/><Relationship Id="rId41" Type="http://schemas.openxmlformats.org/officeDocument/2006/relationships/hyperlink" Target="https://doi.org/10.1016/s0737-6782(97)90048-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https://doi.org/10.1177/014920639101700108" TargetMode="External"/><Relationship Id="rId23" Type="http://schemas.openxmlformats.org/officeDocument/2006/relationships/hyperlink" Target="https://doi.org/10.1177/1742715015571393" TargetMode="External"/><Relationship Id="rId28" Type="http://schemas.openxmlformats.org/officeDocument/2006/relationships/hyperlink" Target="https://www.kotterinc.com/methodology/8-steps/" TargetMode="External"/><Relationship Id="rId36" Type="http://schemas.openxmlformats.org/officeDocument/2006/relationships/hyperlink" Target="https://www.starlingbank.com/about/" TargetMode="External"/><Relationship Id="rId4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2" ma:contentTypeDescription="Create a new document." ma:contentTypeScope="" ma:versionID="34e609dae96c4b5e7944e9488ab00877">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6db8bdaf6e2dc0920d0f9e22960643a"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E830E11D-E020-4010-977D-06209A6FA0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44</Pages>
  <Words>11515</Words>
  <Characters>65641</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77002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m k</cp:lastModifiedBy>
  <cp:revision>256</cp:revision>
  <cp:lastPrinted>2025-10-12T13:55:00Z</cp:lastPrinted>
  <dcterms:created xsi:type="dcterms:W3CDTF">2026-10-10T19:19:00Z</dcterms:created>
  <dcterms:modified xsi:type="dcterms:W3CDTF">2026-10-11T19:17:00Z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