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C742C" w14:textId="77777777" w:rsidR="00856B56" w:rsidRPr="00856B56" w:rsidRDefault="00856B56" w:rsidP="00856B56">
      <w:pPr>
        <w:spacing w:line="360" w:lineRule="auto"/>
        <w:jc w:val="both"/>
        <w:rPr>
          <w:rFonts w:ascii="Times New Roman" w:eastAsia="Times New Roman" w:hAnsi="Times New Roman" w:cs="Times New Roman"/>
          <w:b/>
          <w:sz w:val="24"/>
          <w:szCs w:val="24"/>
        </w:rPr>
      </w:pPr>
    </w:p>
    <w:p w14:paraId="15B8D4BF" w14:textId="77777777" w:rsidR="00856B56" w:rsidRPr="00856B56" w:rsidRDefault="00856B56" w:rsidP="00856B56">
      <w:pPr>
        <w:spacing w:line="360" w:lineRule="auto"/>
        <w:jc w:val="both"/>
        <w:rPr>
          <w:rFonts w:ascii="Times New Roman" w:eastAsia="Times New Roman" w:hAnsi="Times New Roman" w:cs="Times New Roman"/>
          <w:b/>
          <w:sz w:val="24"/>
          <w:szCs w:val="24"/>
        </w:rPr>
      </w:pPr>
    </w:p>
    <w:p w14:paraId="4B6C3D88" w14:textId="77777777" w:rsidR="00856B56" w:rsidRPr="00856B56" w:rsidRDefault="00856B56" w:rsidP="00856B56">
      <w:pPr>
        <w:spacing w:line="360" w:lineRule="auto"/>
        <w:jc w:val="both"/>
        <w:rPr>
          <w:rFonts w:ascii="Times New Roman" w:eastAsia="Times New Roman" w:hAnsi="Times New Roman" w:cs="Times New Roman"/>
          <w:b/>
          <w:sz w:val="24"/>
          <w:szCs w:val="24"/>
        </w:rPr>
      </w:pPr>
    </w:p>
    <w:p w14:paraId="0AEF3F8B" w14:textId="77777777" w:rsidR="00856B56" w:rsidRPr="00856B56" w:rsidRDefault="00856B56" w:rsidP="00856B56">
      <w:pPr>
        <w:spacing w:line="360" w:lineRule="auto"/>
        <w:jc w:val="both"/>
        <w:rPr>
          <w:rFonts w:ascii="Times New Roman" w:eastAsia="Times New Roman" w:hAnsi="Times New Roman" w:cs="Times New Roman"/>
          <w:b/>
          <w:sz w:val="24"/>
          <w:szCs w:val="24"/>
        </w:rPr>
      </w:pPr>
    </w:p>
    <w:p w14:paraId="28022CED" w14:textId="77777777" w:rsidR="00856B56" w:rsidRPr="00856B56" w:rsidRDefault="00856B56" w:rsidP="00856B56">
      <w:pPr>
        <w:spacing w:line="360" w:lineRule="auto"/>
        <w:jc w:val="both"/>
        <w:rPr>
          <w:rFonts w:ascii="Times New Roman" w:eastAsia="Times New Roman" w:hAnsi="Times New Roman" w:cs="Times New Roman"/>
          <w:b/>
          <w:sz w:val="24"/>
          <w:szCs w:val="24"/>
        </w:rPr>
      </w:pPr>
    </w:p>
    <w:p w14:paraId="2A287AEB" w14:textId="77777777" w:rsidR="00557C3E" w:rsidRDefault="00557C3E" w:rsidP="00BF4540">
      <w:pPr>
        <w:spacing w:line="360" w:lineRule="auto"/>
        <w:rPr>
          <w:rFonts w:ascii="Times New Roman" w:eastAsia="Times New Roman" w:hAnsi="Times New Roman" w:cs="Times New Roman"/>
          <w:b/>
          <w:sz w:val="72"/>
          <w:szCs w:val="72"/>
        </w:rPr>
      </w:pPr>
    </w:p>
    <w:p w14:paraId="1BDA4F1C" w14:textId="77777777" w:rsidR="00557C3E" w:rsidRDefault="00557C3E" w:rsidP="00557C3E">
      <w:pPr>
        <w:spacing w:line="360" w:lineRule="auto"/>
        <w:jc w:val="center"/>
        <w:rPr>
          <w:rFonts w:ascii="Times New Roman" w:eastAsia="Times New Roman" w:hAnsi="Times New Roman" w:cs="Times New Roman"/>
          <w:b/>
          <w:sz w:val="72"/>
          <w:szCs w:val="72"/>
        </w:rPr>
      </w:pPr>
    </w:p>
    <w:p w14:paraId="1CBF6872" w14:textId="77777777" w:rsidR="00BF4540" w:rsidRDefault="00856B56" w:rsidP="00557C3E">
      <w:pPr>
        <w:spacing w:line="360" w:lineRule="auto"/>
        <w:jc w:val="center"/>
        <w:rPr>
          <w:rFonts w:ascii="Times New Roman" w:eastAsia="Times New Roman" w:hAnsi="Times New Roman" w:cs="Times New Roman"/>
          <w:b/>
          <w:sz w:val="72"/>
          <w:szCs w:val="72"/>
        </w:rPr>
      </w:pPr>
      <w:r w:rsidRPr="00557C3E">
        <w:rPr>
          <w:rFonts w:ascii="Times New Roman" w:eastAsia="Times New Roman" w:hAnsi="Times New Roman" w:cs="Times New Roman"/>
          <w:b/>
          <w:sz w:val="72"/>
          <w:szCs w:val="72"/>
        </w:rPr>
        <w:t>Accounting Fundamentals</w:t>
      </w:r>
    </w:p>
    <w:p w14:paraId="5AC3051B" w14:textId="77777777" w:rsidR="00BF4540" w:rsidRPr="00BF4540" w:rsidRDefault="00BF4540" w:rsidP="00557C3E">
      <w:pPr>
        <w:spacing w:line="360" w:lineRule="auto"/>
        <w:jc w:val="center"/>
        <w:rPr>
          <w:rFonts w:ascii="Times New Roman" w:eastAsia="Times New Roman" w:hAnsi="Times New Roman" w:cs="Times New Roman"/>
          <w:b/>
          <w:sz w:val="48"/>
          <w:szCs w:val="48"/>
        </w:rPr>
      </w:pPr>
      <w:r w:rsidRPr="00BF4540">
        <w:rPr>
          <w:rFonts w:ascii="Times New Roman" w:eastAsia="Times New Roman" w:hAnsi="Times New Roman" w:cs="Times New Roman"/>
          <w:b/>
          <w:sz w:val="48"/>
          <w:szCs w:val="48"/>
        </w:rPr>
        <w:t>Student name: Aurelia Istrati</w:t>
      </w:r>
    </w:p>
    <w:p w14:paraId="78B06619" w14:textId="099EE5F2" w:rsidR="00856B56" w:rsidRPr="00856B56" w:rsidRDefault="00BF4540" w:rsidP="00557C3E">
      <w:pPr>
        <w:spacing w:line="360" w:lineRule="auto"/>
        <w:jc w:val="center"/>
        <w:rPr>
          <w:rFonts w:ascii="Times New Roman" w:eastAsia="Times New Roman" w:hAnsi="Times New Roman" w:cs="Times New Roman"/>
          <w:b/>
          <w:sz w:val="24"/>
          <w:szCs w:val="24"/>
        </w:rPr>
      </w:pPr>
      <w:r w:rsidRPr="00BF4540">
        <w:rPr>
          <w:rFonts w:ascii="Times New Roman" w:eastAsia="Times New Roman" w:hAnsi="Times New Roman" w:cs="Times New Roman"/>
          <w:b/>
          <w:sz w:val="48"/>
          <w:szCs w:val="48"/>
        </w:rPr>
        <w:t>Student ID: 1917712</w:t>
      </w:r>
      <w:r w:rsidR="00856B56" w:rsidRPr="00856B56">
        <w:rPr>
          <w:rFonts w:ascii="Times New Roman" w:eastAsia="Times New Roman" w:hAnsi="Times New Roman" w:cs="Times New Roman"/>
          <w:b/>
          <w:sz w:val="24"/>
          <w:szCs w:val="24"/>
        </w:rPr>
        <w:br w:type="page"/>
      </w:r>
    </w:p>
    <w:p w14:paraId="1F168211" w14:textId="77777777" w:rsidR="00557C3E" w:rsidRPr="00856B56" w:rsidRDefault="00856B56" w:rsidP="00557C3E">
      <w:pPr>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lastRenderedPageBreak/>
        <w:t>Table of contents</w:t>
      </w:r>
    </w:p>
    <w:sdt>
      <w:sdtPr>
        <w:rPr>
          <w:rFonts w:ascii="Arial" w:eastAsia="Arial" w:hAnsi="Arial" w:cs="Arial"/>
          <w:color w:val="auto"/>
          <w:sz w:val="22"/>
          <w:szCs w:val="22"/>
          <w:lang w:val=""/>
        </w:rPr>
        <w:id w:val="54209185"/>
        <w:docPartObj>
          <w:docPartGallery w:val="Table of Contents"/>
          <w:docPartUnique/>
        </w:docPartObj>
      </w:sdtPr>
      <w:sdtEndPr>
        <w:rPr>
          <w:b/>
          <w:bCs/>
          <w:noProof/>
        </w:rPr>
      </w:sdtEndPr>
      <w:sdtContent>
        <w:p w14:paraId="3D888438" w14:textId="0FD51F1A" w:rsidR="00557C3E" w:rsidRPr="00557C3E" w:rsidRDefault="00557C3E" w:rsidP="00557C3E">
          <w:pPr>
            <w:pStyle w:val="a5"/>
            <w:spacing w:line="360" w:lineRule="auto"/>
            <w:rPr>
              <w:rFonts w:ascii="Times New Roman" w:hAnsi="Times New Roman" w:cs="Times New Roman"/>
              <w:sz w:val="24"/>
              <w:szCs w:val="24"/>
            </w:rPr>
          </w:pPr>
        </w:p>
        <w:p w14:paraId="23E9C0C7" w14:textId="658EC151" w:rsidR="00557C3E" w:rsidRPr="00557C3E" w:rsidRDefault="00557C3E" w:rsidP="00557C3E">
          <w:pPr>
            <w:pStyle w:val="10"/>
            <w:tabs>
              <w:tab w:val="right" w:leader="dot" w:pos="9019"/>
            </w:tabs>
            <w:spacing w:line="360" w:lineRule="auto"/>
            <w:rPr>
              <w:rFonts w:ascii="Times New Roman" w:hAnsi="Times New Roman" w:cs="Times New Roman"/>
              <w:noProof/>
              <w:sz w:val="24"/>
              <w:szCs w:val="24"/>
            </w:rPr>
          </w:pPr>
          <w:r w:rsidRPr="00557C3E">
            <w:rPr>
              <w:rFonts w:ascii="Times New Roman" w:hAnsi="Times New Roman" w:cs="Times New Roman"/>
              <w:sz w:val="24"/>
              <w:szCs w:val="24"/>
            </w:rPr>
            <w:fldChar w:fldCharType="begin"/>
          </w:r>
          <w:r w:rsidRPr="00557C3E">
            <w:rPr>
              <w:rFonts w:ascii="Times New Roman" w:hAnsi="Times New Roman" w:cs="Times New Roman"/>
              <w:sz w:val="24"/>
              <w:szCs w:val="24"/>
            </w:rPr>
            <w:instrText xml:space="preserve"> TOC \o "1-3" \h \z \u </w:instrText>
          </w:r>
          <w:r w:rsidRPr="00557C3E">
            <w:rPr>
              <w:rFonts w:ascii="Times New Roman" w:hAnsi="Times New Roman" w:cs="Times New Roman"/>
              <w:sz w:val="24"/>
              <w:szCs w:val="24"/>
            </w:rPr>
            <w:fldChar w:fldCharType="separate"/>
          </w:r>
          <w:hyperlink w:anchor="_Toc133422356" w:history="1">
            <w:r w:rsidRPr="00557C3E">
              <w:rPr>
                <w:rStyle w:val="a6"/>
                <w:rFonts w:ascii="Times New Roman" w:hAnsi="Times New Roman" w:cs="Times New Roman"/>
                <w:noProof/>
                <w:sz w:val="24"/>
                <w:szCs w:val="24"/>
              </w:rPr>
              <w:t>Introduction</w:t>
            </w:r>
            <w:r w:rsidRPr="00557C3E">
              <w:rPr>
                <w:rFonts w:ascii="Times New Roman" w:hAnsi="Times New Roman" w:cs="Times New Roman"/>
                <w:noProof/>
                <w:webHidden/>
                <w:sz w:val="24"/>
                <w:szCs w:val="24"/>
              </w:rPr>
              <w:tab/>
            </w:r>
            <w:r w:rsidRPr="00557C3E">
              <w:rPr>
                <w:rFonts w:ascii="Times New Roman" w:hAnsi="Times New Roman" w:cs="Times New Roman"/>
                <w:noProof/>
                <w:webHidden/>
                <w:sz w:val="24"/>
                <w:szCs w:val="24"/>
              </w:rPr>
              <w:fldChar w:fldCharType="begin"/>
            </w:r>
            <w:r w:rsidRPr="00557C3E">
              <w:rPr>
                <w:rFonts w:ascii="Times New Roman" w:hAnsi="Times New Roman" w:cs="Times New Roman"/>
                <w:noProof/>
                <w:webHidden/>
                <w:sz w:val="24"/>
                <w:szCs w:val="24"/>
              </w:rPr>
              <w:instrText xml:space="preserve"> PAGEREF _Toc133422356 \h </w:instrText>
            </w:r>
            <w:r w:rsidRPr="00557C3E">
              <w:rPr>
                <w:rFonts w:ascii="Times New Roman" w:hAnsi="Times New Roman" w:cs="Times New Roman"/>
                <w:noProof/>
                <w:webHidden/>
                <w:sz w:val="24"/>
                <w:szCs w:val="24"/>
              </w:rPr>
            </w:r>
            <w:r w:rsidRPr="00557C3E">
              <w:rPr>
                <w:rFonts w:ascii="Times New Roman" w:hAnsi="Times New Roman" w:cs="Times New Roman"/>
                <w:noProof/>
                <w:webHidden/>
                <w:sz w:val="24"/>
                <w:szCs w:val="24"/>
              </w:rPr>
              <w:fldChar w:fldCharType="separate"/>
            </w:r>
            <w:r w:rsidRPr="00557C3E">
              <w:rPr>
                <w:rFonts w:ascii="Times New Roman" w:hAnsi="Times New Roman" w:cs="Times New Roman"/>
                <w:noProof/>
                <w:webHidden/>
                <w:sz w:val="24"/>
                <w:szCs w:val="24"/>
              </w:rPr>
              <w:t>3</w:t>
            </w:r>
            <w:r w:rsidRPr="00557C3E">
              <w:rPr>
                <w:rFonts w:ascii="Times New Roman" w:hAnsi="Times New Roman" w:cs="Times New Roman"/>
                <w:noProof/>
                <w:webHidden/>
                <w:sz w:val="24"/>
                <w:szCs w:val="24"/>
              </w:rPr>
              <w:fldChar w:fldCharType="end"/>
            </w:r>
          </w:hyperlink>
        </w:p>
        <w:p w14:paraId="5995465E" w14:textId="6298593D" w:rsidR="00557C3E" w:rsidRPr="00557C3E" w:rsidRDefault="00000000" w:rsidP="00557C3E">
          <w:pPr>
            <w:pStyle w:val="10"/>
            <w:tabs>
              <w:tab w:val="right" w:leader="dot" w:pos="9019"/>
            </w:tabs>
            <w:spacing w:line="360" w:lineRule="auto"/>
            <w:rPr>
              <w:rFonts w:ascii="Times New Roman" w:hAnsi="Times New Roman" w:cs="Times New Roman"/>
              <w:noProof/>
              <w:sz w:val="24"/>
              <w:szCs w:val="24"/>
            </w:rPr>
          </w:pPr>
          <w:hyperlink w:anchor="_Toc133422357" w:history="1">
            <w:r w:rsidR="00557C3E" w:rsidRPr="00557C3E">
              <w:rPr>
                <w:rStyle w:val="a6"/>
                <w:rFonts w:ascii="Times New Roman" w:hAnsi="Times New Roman" w:cs="Times New Roman"/>
                <w:noProof/>
                <w:sz w:val="24"/>
                <w:szCs w:val="24"/>
              </w:rPr>
              <w:t>Question 1</w:t>
            </w:r>
            <w:r w:rsidR="00557C3E" w:rsidRPr="00557C3E">
              <w:rPr>
                <w:rFonts w:ascii="Times New Roman" w:hAnsi="Times New Roman" w:cs="Times New Roman"/>
                <w:noProof/>
                <w:webHidden/>
                <w:sz w:val="24"/>
                <w:szCs w:val="24"/>
              </w:rPr>
              <w:tab/>
            </w:r>
            <w:r w:rsidR="00557C3E" w:rsidRPr="00557C3E">
              <w:rPr>
                <w:rFonts w:ascii="Times New Roman" w:hAnsi="Times New Roman" w:cs="Times New Roman"/>
                <w:noProof/>
                <w:webHidden/>
                <w:sz w:val="24"/>
                <w:szCs w:val="24"/>
              </w:rPr>
              <w:fldChar w:fldCharType="begin"/>
            </w:r>
            <w:r w:rsidR="00557C3E" w:rsidRPr="00557C3E">
              <w:rPr>
                <w:rFonts w:ascii="Times New Roman" w:hAnsi="Times New Roman" w:cs="Times New Roman"/>
                <w:noProof/>
                <w:webHidden/>
                <w:sz w:val="24"/>
                <w:szCs w:val="24"/>
              </w:rPr>
              <w:instrText xml:space="preserve"> PAGEREF _Toc133422357 \h </w:instrText>
            </w:r>
            <w:r w:rsidR="00557C3E" w:rsidRPr="00557C3E">
              <w:rPr>
                <w:rFonts w:ascii="Times New Roman" w:hAnsi="Times New Roman" w:cs="Times New Roman"/>
                <w:noProof/>
                <w:webHidden/>
                <w:sz w:val="24"/>
                <w:szCs w:val="24"/>
              </w:rPr>
            </w:r>
            <w:r w:rsidR="00557C3E" w:rsidRPr="00557C3E">
              <w:rPr>
                <w:rFonts w:ascii="Times New Roman" w:hAnsi="Times New Roman" w:cs="Times New Roman"/>
                <w:noProof/>
                <w:webHidden/>
                <w:sz w:val="24"/>
                <w:szCs w:val="24"/>
              </w:rPr>
              <w:fldChar w:fldCharType="separate"/>
            </w:r>
            <w:r w:rsidR="00557C3E" w:rsidRPr="00557C3E">
              <w:rPr>
                <w:rFonts w:ascii="Times New Roman" w:hAnsi="Times New Roman" w:cs="Times New Roman"/>
                <w:noProof/>
                <w:webHidden/>
                <w:sz w:val="24"/>
                <w:szCs w:val="24"/>
              </w:rPr>
              <w:t>3</w:t>
            </w:r>
            <w:r w:rsidR="00557C3E" w:rsidRPr="00557C3E">
              <w:rPr>
                <w:rFonts w:ascii="Times New Roman" w:hAnsi="Times New Roman" w:cs="Times New Roman"/>
                <w:noProof/>
                <w:webHidden/>
                <w:sz w:val="24"/>
                <w:szCs w:val="24"/>
              </w:rPr>
              <w:fldChar w:fldCharType="end"/>
            </w:r>
          </w:hyperlink>
        </w:p>
        <w:p w14:paraId="4EB96734" w14:textId="17F6AFAE" w:rsidR="00557C3E" w:rsidRPr="00557C3E" w:rsidRDefault="00000000" w:rsidP="00557C3E">
          <w:pPr>
            <w:pStyle w:val="10"/>
            <w:tabs>
              <w:tab w:val="right" w:leader="dot" w:pos="9019"/>
            </w:tabs>
            <w:spacing w:line="360" w:lineRule="auto"/>
            <w:rPr>
              <w:rFonts w:ascii="Times New Roman" w:hAnsi="Times New Roman" w:cs="Times New Roman"/>
              <w:noProof/>
              <w:sz w:val="24"/>
              <w:szCs w:val="24"/>
            </w:rPr>
          </w:pPr>
          <w:hyperlink w:anchor="_Toc133422358" w:history="1">
            <w:r w:rsidR="00557C3E" w:rsidRPr="00557C3E">
              <w:rPr>
                <w:rStyle w:val="a6"/>
                <w:rFonts w:ascii="Times New Roman" w:hAnsi="Times New Roman" w:cs="Times New Roman"/>
                <w:noProof/>
                <w:sz w:val="24"/>
                <w:szCs w:val="24"/>
              </w:rPr>
              <w:t>Question 2</w:t>
            </w:r>
            <w:r w:rsidR="00557C3E" w:rsidRPr="00557C3E">
              <w:rPr>
                <w:rFonts w:ascii="Times New Roman" w:hAnsi="Times New Roman" w:cs="Times New Roman"/>
                <w:noProof/>
                <w:webHidden/>
                <w:sz w:val="24"/>
                <w:szCs w:val="24"/>
              </w:rPr>
              <w:tab/>
            </w:r>
            <w:r w:rsidR="00557C3E" w:rsidRPr="00557C3E">
              <w:rPr>
                <w:rFonts w:ascii="Times New Roman" w:hAnsi="Times New Roman" w:cs="Times New Roman"/>
                <w:noProof/>
                <w:webHidden/>
                <w:sz w:val="24"/>
                <w:szCs w:val="24"/>
              </w:rPr>
              <w:fldChar w:fldCharType="begin"/>
            </w:r>
            <w:r w:rsidR="00557C3E" w:rsidRPr="00557C3E">
              <w:rPr>
                <w:rFonts w:ascii="Times New Roman" w:hAnsi="Times New Roman" w:cs="Times New Roman"/>
                <w:noProof/>
                <w:webHidden/>
                <w:sz w:val="24"/>
                <w:szCs w:val="24"/>
              </w:rPr>
              <w:instrText xml:space="preserve"> PAGEREF _Toc133422358 \h </w:instrText>
            </w:r>
            <w:r w:rsidR="00557C3E" w:rsidRPr="00557C3E">
              <w:rPr>
                <w:rFonts w:ascii="Times New Roman" w:hAnsi="Times New Roman" w:cs="Times New Roman"/>
                <w:noProof/>
                <w:webHidden/>
                <w:sz w:val="24"/>
                <w:szCs w:val="24"/>
              </w:rPr>
            </w:r>
            <w:r w:rsidR="00557C3E" w:rsidRPr="00557C3E">
              <w:rPr>
                <w:rFonts w:ascii="Times New Roman" w:hAnsi="Times New Roman" w:cs="Times New Roman"/>
                <w:noProof/>
                <w:webHidden/>
                <w:sz w:val="24"/>
                <w:szCs w:val="24"/>
              </w:rPr>
              <w:fldChar w:fldCharType="separate"/>
            </w:r>
            <w:r w:rsidR="00557C3E" w:rsidRPr="00557C3E">
              <w:rPr>
                <w:rFonts w:ascii="Times New Roman" w:hAnsi="Times New Roman" w:cs="Times New Roman"/>
                <w:noProof/>
                <w:webHidden/>
                <w:sz w:val="24"/>
                <w:szCs w:val="24"/>
              </w:rPr>
              <w:t>6</w:t>
            </w:r>
            <w:r w:rsidR="00557C3E" w:rsidRPr="00557C3E">
              <w:rPr>
                <w:rFonts w:ascii="Times New Roman" w:hAnsi="Times New Roman" w:cs="Times New Roman"/>
                <w:noProof/>
                <w:webHidden/>
                <w:sz w:val="24"/>
                <w:szCs w:val="24"/>
              </w:rPr>
              <w:fldChar w:fldCharType="end"/>
            </w:r>
          </w:hyperlink>
        </w:p>
        <w:p w14:paraId="39B914AD" w14:textId="4DFA5262" w:rsidR="00557C3E" w:rsidRPr="00557C3E" w:rsidRDefault="00000000" w:rsidP="00557C3E">
          <w:pPr>
            <w:pStyle w:val="10"/>
            <w:tabs>
              <w:tab w:val="right" w:leader="dot" w:pos="9019"/>
            </w:tabs>
            <w:spacing w:line="360" w:lineRule="auto"/>
            <w:rPr>
              <w:rFonts w:ascii="Times New Roman" w:hAnsi="Times New Roman" w:cs="Times New Roman"/>
              <w:noProof/>
              <w:sz w:val="24"/>
              <w:szCs w:val="24"/>
            </w:rPr>
          </w:pPr>
          <w:hyperlink w:anchor="_Toc133422359" w:history="1">
            <w:r w:rsidR="00557C3E" w:rsidRPr="00557C3E">
              <w:rPr>
                <w:rStyle w:val="a6"/>
                <w:rFonts w:ascii="Times New Roman" w:hAnsi="Times New Roman" w:cs="Times New Roman"/>
                <w:noProof/>
                <w:sz w:val="24"/>
                <w:szCs w:val="24"/>
              </w:rPr>
              <w:t>Conclusion</w:t>
            </w:r>
            <w:r w:rsidR="00557C3E" w:rsidRPr="00557C3E">
              <w:rPr>
                <w:rFonts w:ascii="Times New Roman" w:hAnsi="Times New Roman" w:cs="Times New Roman"/>
                <w:noProof/>
                <w:webHidden/>
                <w:sz w:val="24"/>
                <w:szCs w:val="24"/>
              </w:rPr>
              <w:tab/>
            </w:r>
            <w:r w:rsidR="00557C3E" w:rsidRPr="00557C3E">
              <w:rPr>
                <w:rFonts w:ascii="Times New Roman" w:hAnsi="Times New Roman" w:cs="Times New Roman"/>
                <w:noProof/>
                <w:webHidden/>
                <w:sz w:val="24"/>
                <w:szCs w:val="24"/>
              </w:rPr>
              <w:fldChar w:fldCharType="begin"/>
            </w:r>
            <w:r w:rsidR="00557C3E" w:rsidRPr="00557C3E">
              <w:rPr>
                <w:rFonts w:ascii="Times New Roman" w:hAnsi="Times New Roman" w:cs="Times New Roman"/>
                <w:noProof/>
                <w:webHidden/>
                <w:sz w:val="24"/>
                <w:szCs w:val="24"/>
              </w:rPr>
              <w:instrText xml:space="preserve"> PAGEREF _Toc133422359 \h </w:instrText>
            </w:r>
            <w:r w:rsidR="00557C3E" w:rsidRPr="00557C3E">
              <w:rPr>
                <w:rFonts w:ascii="Times New Roman" w:hAnsi="Times New Roman" w:cs="Times New Roman"/>
                <w:noProof/>
                <w:webHidden/>
                <w:sz w:val="24"/>
                <w:szCs w:val="24"/>
              </w:rPr>
            </w:r>
            <w:r w:rsidR="00557C3E" w:rsidRPr="00557C3E">
              <w:rPr>
                <w:rFonts w:ascii="Times New Roman" w:hAnsi="Times New Roman" w:cs="Times New Roman"/>
                <w:noProof/>
                <w:webHidden/>
                <w:sz w:val="24"/>
                <w:szCs w:val="24"/>
              </w:rPr>
              <w:fldChar w:fldCharType="separate"/>
            </w:r>
            <w:r w:rsidR="00557C3E" w:rsidRPr="00557C3E">
              <w:rPr>
                <w:rFonts w:ascii="Times New Roman" w:hAnsi="Times New Roman" w:cs="Times New Roman"/>
                <w:noProof/>
                <w:webHidden/>
                <w:sz w:val="24"/>
                <w:szCs w:val="24"/>
              </w:rPr>
              <w:t>11</w:t>
            </w:r>
            <w:r w:rsidR="00557C3E" w:rsidRPr="00557C3E">
              <w:rPr>
                <w:rFonts w:ascii="Times New Roman" w:hAnsi="Times New Roman" w:cs="Times New Roman"/>
                <w:noProof/>
                <w:webHidden/>
                <w:sz w:val="24"/>
                <w:szCs w:val="24"/>
              </w:rPr>
              <w:fldChar w:fldCharType="end"/>
            </w:r>
          </w:hyperlink>
        </w:p>
        <w:p w14:paraId="0C5B0213" w14:textId="4743C6DE" w:rsidR="00557C3E" w:rsidRPr="00557C3E" w:rsidRDefault="00000000" w:rsidP="00557C3E">
          <w:pPr>
            <w:pStyle w:val="10"/>
            <w:tabs>
              <w:tab w:val="right" w:leader="dot" w:pos="9019"/>
            </w:tabs>
            <w:spacing w:line="360" w:lineRule="auto"/>
            <w:rPr>
              <w:rFonts w:ascii="Times New Roman" w:hAnsi="Times New Roman" w:cs="Times New Roman"/>
              <w:noProof/>
              <w:sz w:val="24"/>
              <w:szCs w:val="24"/>
            </w:rPr>
          </w:pPr>
          <w:hyperlink w:anchor="_Toc133422360" w:history="1">
            <w:r w:rsidR="00557C3E" w:rsidRPr="00557C3E">
              <w:rPr>
                <w:rStyle w:val="a6"/>
                <w:rFonts w:ascii="Times New Roman" w:hAnsi="Times New Roman" w:cs="Times New Roman"/>
                <w:noProof/>
                <w:sz w:val="24"/>
                <w:szCs w:val="24"/>
              </w:rPr>
              <w:t>References</w:t>
            </w:r>
            <w:r w:rsidR="00557C3E" w:rsidRPr="00557C3E">
              <w:rPr>
                <w:rFonts w:ascii="Times New Roman" w:hAnsi="Times New Roman" w:cs="Times New Roman"/>
                <w:noProof/>
                <w:webHidden/>
                <w:sz w:val="24"/>
                <w:szCs w:val="24"/>
              </w:rPr>
              <w:tab/>
            </w:r>
            <w:r w:rsidR="00557C3E" w:rsidRPr="00557C3E">
              <w:rPr>
                <w:rFonts w:ascii="Times New Roman" w:hAnsi="Times New Roman" w:cs="Times New Roman"/>
                <w:noProof/>
                <w:webHidden/>
                <w:sz w:val="24"/>
                <w:szCs w:val="24"/>
              </w:rPr>
              <w:fldChar w:fldCharType="begin"/>
            </w:r>
            <w:r w:rsidR="00557C3E" w:rsidRPr="00557C3E">
              <w:rPr>
                <w:rFonts w:ascii="Times New Roman" w:hAnsi="Times New Roman" w:cs="Times New Roman"/>
                <w:noProof/>
                <w:webHidden/>
                <w:sz w:val="24"/>
                <w:szCs w:val="24"/>
              </w:rPr>
              <w:instrText xml:space="preserve"> PAGEREF _Toc133422360 \h </w:instrText>
            </w:r>
            <w:r w:rsidR="00557C3E" w:rsidRPr="00557C3E">
              <w:rPr>
                <w:rFonts w:ascii="Times New Roman" w:hAnsi="Times New Roman" w:cs="Times New Roman"/>
                <w:noProof/>
                <w:webHidden/>
                <w:sz w:val="24"/>
                <w:szCs w:val="24"/>
              </w:rPr>
            </w:r>
            <w:r w:rsidR="00557C3E" w:rsidRPr="00557C3E">
              <w:rPr>
                <w:rFonts w:ascii="Times New Roman" w:hAnsi="Times New Roman" w:cs="Times New Roman"/>
                <w:noProof/>
                <w:webHidden/>
                <w:sz w:val="24"/>
                <w:szCs w:val="24"/>
              </w:rPr>
              <w:fldChar w:fldCharType="separate"/>
            </w:r>
            <w:r w:rsidR="00557C3E" w:rsidRPr="00557C3E">
              <w:rPr>
                <w:rFonts w:ascii="Times New Roman" w:hAnsi="Times New Roman" w:cs="Times New Roman"/>
                <w:noProof/>
                <w:webHidden/>
                <w:sz w:val="24"/>
                <w:szCs w:val="24"/>
              </w:rPr>
              <w:t>12</w:t>
            </w:r>
            <w:r w:rsidR="00557C3E" w:rsidRPr="00557C3E">
              <w:rPr>
                <w:rFonts w:ascii="Times New Roman" w:hAnsi="Times New Roman" w:cs="Times New Roman"/>
                <w:noProof/>
                <w:webHidden/>
                <w:sz w:val="24"/>
                <w:szCs w:val="24"/>
              </w:rPr>
              <w:fldChar w:fldCharType="end"/>
            </w:r>
          </w:hyperlink>
        </w:p>
        <w:p w14:paraId="39451B1B" w14:textId="0E3113D5" w:rsidR="00557C3E" w:rsidRDefault="00557C3E" w:rsidP="00557C3E">
          <w:pPr>
            <w:spacing w:line="360" w:lineRule="auto"/>
          </w:pPr>
          <w:r w:rsidRPr="00557C3E">
            <w:rPr>
              <w:rFonts w:ascii="Times New Roman" w:hAnsi="Times New Roman" w:cs="Times New Roman"/>
              <w:b/>
              <w:bCs/>
              <w:noProof/>
              <w:sz w:val="24"/>
              <w:szCs w:val="24"/>
            </w:rPr>
            <w:fldChar w:fldCharType="end"/>
          </w:r>
        </w:p>
      </w:sdtContent>
    </w:sdt>
    <w:p w14:paraId="6CE425D2" w14:textId="5F857CED" w:rsidR="00856B56" w:rsidRPr="00856B56" w:rsidRDefault="00856B56" w:rsidP="00557C3E">
      <w:pPr>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br w:type="page"/>
      </w:r>
    </w:p>
    <w:p w14:paraId="21957FC7" w14:textId="2981A002" w:rsidR="00196218" w:rsidRPr="00856B56" w:rsidRDefault="00000000" w:rsidP="00856B56">
      <w:pPr>
        <w:pStyle w:val="1"/>
        <w:spacing w:line="360" w:lineRule="auto"/>
        <w:jc w:val="both"/>
        <w:rPr>
          <w:rFonts w:cs="Times New Roman"/>
          <w:b w:val="0"/>
          <w:szCs w:val="24"/>
        </w:rPr>
      </w:pPr>
      <w:bookmarkStart w:id="0" w:name="_Toc133422356"/>
      <w:r w:rsidRPr="00856B56">
        <w:rPr>
          <w:rFonts w:cs="Times New Roman"/>
          <w:szCs w:val="24"/>
        </w:rPr>
        <w:lastRenderedPageBreak/>
        <w:t>Introduction</w:t>
      </w:r>
      <w:bookmarkEnd w:id="0"/>
    </w:p>
    <w:p w14:paraId="7F53CADC"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The utmost concern of this assessment is to focus on the financial statements and analyse the ratios. Financial statements help to depict the financial position of a company and compare it with the previous year's activities. Financial statements are also used to compare the business position with other same-type businesses in a specific period. The income statement is considered one of the financial statements that can reflect the financial position and performance of a company. The financial ratios can determine the efficiency of an organisation or firm to define its operating activities. The financial Ratios help to evaluate the liquidity, efficiency, profitability, solvency, operation activities, risk, and other abilities. This assessment is going to make an Income Statement and Statement of the Financial Position of Wales Plc and analyse the essential ratios of Sweet Plc to evaluate its profitability, efficiency, liquidity, and so on.</w:t>
      </w:r>
    </w:p>
    <w:p w14:paraId="4C9A4465" w14:textId="77777777" w:rsidR="00196218" w:rsidRPr="00856B56" w:rsidRDefault="00000000" w:rsidP="00856B56">
      <w:pPr>
        <w:pStyle w:val="1"/>
        <w:spacing w:line="360" w:lineRule="auto"/>
        <w:jc w:val="both"/>
        <w:rPr>
          <w:rFonts w:cs="Times New Roman"/>
          <w:szCs w:val="24"/>
        </w:rPr>
      </w:pPr>
      <w:bookmarkStart w:id="1" w:name="_Toc133422357"/>
      <w:r w:rsidRPr="00856B56">
        <w:rPr>
          <w:rFonts w:cs="Times New Roman"/>
          <w:szCs w:val="24"/>
        </w:rPr>
        <w:t>Question 1</w:t>
      </w:r>
      <w:bookmarkEnd w:id="1"/>
    </w:p>
    <w:p w14:paraId="553EB4E0" w14:textId="77777777" w:rsidR="00196218" w:rsidRPr="00856B56" w:rsidRDefault="00000000" w:rsidP="00856B56">
      <w:pPr>
        <w:pStyle w:val="Normal1"/>
        <w:numPr>
          <w:ilvl w:val="0"/>
          <w:numId w:val="3"/>
        </w:numPr>
        <w:spacing w:line="360" w:lineRule="auto"/>
        <w:jc w:val="both"/>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u w:val="single"/>
        </w:rPr>
        <w:t>Preparation of Income Statement and Statement of Financial Position of Wales Plc</w:t>
      </w:r>
    </w:p>
    <w:p w14:paraId="61ADDB93"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An income statement is considered one of the essential statements of finance that can show the financial position of a company. An Income Statement can show the Expenses, profitability, and revenue of a company in a particular period (</w:t>
      </w:r>
      <w:r w:rsidRPr="00856B56">
        <w:rPr>
          <w:rFonts w:ascii="Times New Roman" w:eastAsia="Times New Roman" w:hAnsi="Times New Roman" w:cs="Times New Roman"/>
          <w:color w:val="222222"/>
          <w:sz w:val="24"/>
          <w:szCs w:val="24"/>
          <w:highlight w:val="white"/>
        </w:rPr>
        <w:t>Huang, 2019)</w:t>
      </w:r>
      <w:r w:rsidRPr="00856B56">
        <w:rPr>
          <w:rFonts w:ascii="Times New Roman" w:eastAsia="Times New Roman" w:hAnsi="Times New Roman" w:cs="Times New Roman"/>
          <w:sz w:val="24"/>
          <w:szCs w:val="24"/>
        </w:rPr>
        <w:t>. An Income Statement can help business owners to decide whether the business generates their profit by expanding their revenue or reducing their costs or performing both. The Income Statement is also able to show the outcomes of strategies that are followed by the business. In an Income statement, Net Profit is the most important element that can figure out the exact profit after subtracting all the indirect expenses (</w:t>
      </w:r>
      <w:r w:rsidRPr="00856B56">
        <w:rPr>
          <w:rFonts w:ascii="Times New Roman" w:eastAsia="Times New Roman" w:hAnsi="Times New Roman" w:cs="Times New Roman"/>
          <w:color w:val="222222"/>
          <w:sz w:val="24"/>
          <w:szCs w:val="24"/>
          <w:highlight w:val="white"/>
        </w:rPr>
        <w:t>Zoho, 2021)</w:t>
      </w:r>
      <w:r w:rsidRPr="00856B56">
        <w:rPr>
          <w:rFonts w:ascii="Times New Roman" w:eastAsia="Times New Roman" w:hAnsi="Times New Roman" w:cs="Times New Roman"/>
          <w:sz w:val="24"/>
          <w:szCs w:val="24"/>
        </w:rPr>
        <w:t>.</w:t>
      </w:r>
    </w:p>
    <w:p w14:paraId="65CD8D50"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Based on the balances of Wales Plc an Income Statement is made below to evaluate its financial activities.</w:t>
      </w:r>
    </w:p>
    <w:tbl>
      <w:tblPr>
        <w:tblStyle w:val="Table1"/>
        <w:tblW w:w="718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185"/>
        <w:gridCol w:w="1500"/>
        <w:gridCol w:w="1500"/>
      </w:tblGrid>
      <w:tr w:rsidR="00196218" w:rsidRPr="00856B56" w14:paraId="06F9F122" w14:textId="77777777" w:rsidTr="00FF0B63">
        <w:trPr>
          <w:trHeight w:val="345"/>
          <w:jc w:val="center"/>
        </w:trPr>
        <w:tc>
          <w:tcPr>
            <w:tcW w:w="7185" w:type="dxa"/>
            <w:gridSpan w:val="3"/>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9B31A05"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In the books of Wales Plc</w:t>
            </w:r>
          </w:p>
        </w:tc>
      </w:tr>
      <w:tr w:rsidR="00196218" w:rsidRPr="00856B56" w14:paraId="67BC4E7C" w14:textId="77777777" w:rsidTr="00FF0B63">
        <w:trPr>
          <w:trHeight w:val="345"/>
          <w:jc w:val="center"/>
        </w:trPr>
        <w:tc>
          <w:tcPr>
            <w:tcW w:w="7185" w:type="dxa"/>
            <w:gridSpan w:val="3"/>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DA46B7C"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Income Statement</w:t>
            </w:r>
          </w:p>
        </w:tc>
      </w:tr>
      <w:tr w:rsidR="00196218" w:rsidRPr="00856B56" w14:paraId="4BBE9A3B" w14:textId="77777777" w:rsidTr="00FF0B63">
        <w:trPr>
          <w:trHeight w:val="345"/>
          <w:jc w:val="center"/>
        </w:trPr>
        <w:tc>
          <w:tcPr>
            <w:tcW w:w="7185" w:type="dxa"/>
            <w:gridSpan w:val="3"/>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E1BCE1A"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For the year ended 31st December, 2022</w:t>
            </w:r>
          </w:p>
        </w:tc>
      </w:tr>
      <w:tr w:rsidR="00196218" w:rsidRPr="00856B56" w14:paraId="001414A7"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A2F9AA7"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Particulars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F4CF4F9"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Amount (£)</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65EDB6A"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Amount (£)</w:t>
            </w:r>
          </w:p>
        </w:tc>
      </w:tr>
      <w:tr w:rsidR="00196218" w:rsidRPr="00856B56" w14:paraId="663BA674"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D69056A"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Revenue</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1017691"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02E95F6"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800000</w:t>
            </w:r>
          </w:p>
        </w:tc>
      </w:tr>
      <w:tr w:rsidR="00196218" w:rsidRPr="00856B56" w14:paraId="131E87F5"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96D90CD"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lastRenderedPageBreak/>
              <w:t>Cost of Goods Sold</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B58C817"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800D600"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578650</w:t>
            </w:r>
          </w:p>
        </w:tc>
      </w:tr>
      <w:tr w:rsidR="00196218" w:rsidRPr="00856B56" w14:paraId="1C936C00"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bottom"/>
          </w:tcPr>
          <w:p w14:paraId="15528033"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Gross Profit</w:t>
            </w:r>
          </w:p>
        </w:tc>
        <w:tc>
          <w:tcPr>
            <w:tcW w:w="1500" w:type="dxa"/>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bottom"/>
          </w:tcPr>
          <w:p w14:paraId="190CCEDD"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bottom"/>
          </w:tcPr>
          <w:p w14:paraId="1B68BFD1"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221350</w:t>
            </w:r>
          </w:p>
        </w:tc>
      </w:tr>
      <w:tr w:rsidR="00196218" w:rsidRPr="00856B56" w14:paraId="6A365D7F"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EA302E1"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Gross Profit Margin (%)</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2EB26B80"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0DD2C759"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27.67</w:t>
            </w:r>
          </w:p>
        </w:tc>
      </w:tr>
      <w:tr w:rsidR="00196218" w:rsidRPr="00856B56" w14:paraId="1D106B80"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42ADCBDF"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u w:val="single"/>
              </w:rPr>
              <w:t>Operating Expenses</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2072F1B8"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74AFF329"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2C20336F"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9F8CDDE"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Administrative Expenses</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78FE723F"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30000</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471C85B"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3B0E2E0F"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A620423"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Distribution Cost</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4D45923F"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28000</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01086B6F"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59D5771F"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2A09B9C9"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Directors Remuneration</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2292C22"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5000</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08F0592"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3B89FF41"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D47CC3B"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Outstanding commissions</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7672E9D1"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3000</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180F6D4"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25B2C64D"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8122B18"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Ordinary Dividend Paid</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2C0C0053"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20000</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3754A5D"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45EB4BAF"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66E3CC1"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Preference Dividend paid</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E1DAE93"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30000</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3BF1DE9"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r>
      <w:tr w:rsidR="00196218" w:rsidRPr="00856B56" w14:paraId="500A23F2"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EC362D2"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8B301DB"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65B1A3B"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116000</w:t>
            </w:r>
          </w:p>
        </w:tc>
      </w:tr>
      <w:tr w:rsidR="00196218" w:rsidRPr="00856B56" w14:paraId="6433D72A"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011E4F0"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Operating Profit</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988A5DA"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4A4F6DCB"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105350</w:t>
            </w:r>
          </w:p>
        </w:tc>
      </w:tr>
      <w:tr w:rsidR="00196218" w:rsidRPr="00856B56" w14:paraId="6AC817A0"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3D25EF8"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Interest Paid</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28921B79"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0834C076"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2000</w:t>
            </w:r>
          </w:p>
        </w:tc>
      </w:tr>
      <w:tr w:rsidR="00196218" w:rsidRPr="00856B56" w14:paraId="44F7DCAA"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193F4E23"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Profit after Interest (PBT)</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2CA555AE"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5DD4BA31"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103350</w:t>
            </w:r>
          </w:p>
        </w:tc>
      </w:tr>
      <w:tr w:rsidR="00196218" w:rsidRPr="00856B56" w14:paraId="6AADE0C7"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73D9510D"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Corporation Tax</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7307641E"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7D98D199"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100000</w:t>
            </w:r>
          </w:p>
        </w:tc>
      </w:tr>
      <w:tr w:rsidR="00196218" w:rsidRPr="00856B56" w14:paraId="567A6984"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2B95186C"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Profit after Interest and Tax (PAT)</w:t>
            </w:r>
          </w:p>
        </w:tc>
        <w:tc>
          <w:tcPr>
            <w:tcW w:w="1500"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11D6B0D1"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744A03A3"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3350</w:t>
            </w:r>
          </w:p>
        </w:tc>
      </w:tr>
      <w:tr w:rsidR="00196218" w:rsidRPr="00856B56" w14:paraId="04F371AA" w14:textId="77777777" w:rsidTr="00FF0B63">
        <w:trPr>
          <w:trHeight w:val="345"/>
          <w:jc w:val="center"/>
        </w:trPr>
        <w:tc>
          <w:tcPr>
            <w:tcW w:w="4185"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312EDCF9"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Net Profit Ratio (%)</w:t>
            </w: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6DE00523" w14:textId="77777777" w:rsidR="00196218" w:rsidRPr="00856B56" w:rsidRDefault="00196218" w:rsidP="00856B56">
            <w:pPr>
              <w:pStyle w:val="Normal1"/>
              <w:widowControl w:val="0"/>
              <w:spacing w:line="360" w:lineRule="auto"/>
              <w:jc w:val="center"/>
              <w:rPr>
                <w:rFonts w:ascii="Times New Roman" w:eastAsia="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bottom"/>
          </w:tcPr>
          <w:p w14:paraId="4631F0E6" w14:textId="77777777" w:rsidR="00196218" w:rsidRPr="00856B56" w:rsidRDefault="00000000" w:rsidP="00856B56">
            <w:pPr>
              <w:pStyle w:val="Normal1"/>
              <w:widowControl w:val="0"/>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b/>
                <w:sz w:val="24"/>
                <w:szCs w:val="24"/>
              </w:rPr>
              <w:t>0.42</w:t>
            </w:r>
          </w:p>
        </w:tc>
      </w:tr>
    </w:tbl>
    <w:p w14:paraId="0A5C2C86" w14:textId="77777777" w:rsidR="00196218" w:rsidRPr="00856B56" w:rsidRDefault="00000000" w:rsidP="00856B56">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1: Income Statement of Wales Plc</w:t>
      </w:r>
    </w:p>
    <w:p w14:paraId="0D24D924" w14:textId="77777777" w:rsidR="00196218" w:rsidRPr="00856B56" w:rsidRDefault="00000000" w:rsidP="00856B56">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59AADFFE"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As per the above table, it is shown that on 31st December, 2022 Wales Plc earned a Gross profit of £221,350 which means a 27.67% profit margin. The company has achieved an operating profit of £105,350. The PBT of this company is £103350 and the PAT is £3350. The Net profit ratio of Wales Plc is 0.42% which implies the financial position of this company is not satisfactory due to huge operating expenses. Therefore the company has to focus on reducing operating expenses and trying to enhance revenue. </w:t>
      </w:r>
    </w:p>
    <w:p w14:paraId="0B5FE9AB"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A Statement of Financial Position can define the capital, liabilities, and assets at a specific point in time and detail the balance of the Income Statement (</w:t>
      </w:r>
      <w:r w:rsidRPr="00856B56">
        <w:rPr>
          <w:rFonts w:ascii="Times New Roman" w:eastAsia="Times New Roman" w:hAnsi="Times New Roman" w:cs="Times New Roman"/>
          <w:color w:val="222222"/>
          <w:sz w:val="24"/>
          <w:szCs w:val="24"/>
          <w:highlight w:val="white"/>
        </w:rPr>
        <w:t>Meyer-Cirkel and Huertas, 2021)</w:t>
      </w:r>
      <w:r w:rsidRPr="00856B56">
        <w:rPr>
          <w:rFonts w:ascii="Times New Roman" w:eastAsia="Times New Roman" w:hAnsi="Times New Roman" w:cs="Times New Roman"/>
          <w:sz w:val="24"/>
          <w:szCs w:val="24"/>
        </w:rPr>
        <w:t xml:space="preserve">. It can also be used to recover the short-term obligations of a company. Based on the statement of the Financial Position bank can know the financial position of any business and can provide </w:t>
      </w:r>
      <w:r w:rsidRPr="00856B56">
        <w:rPr>
          <w:rFonts w:ascii="Times New Roman" w:eastAsia="Times New Roman" w:hAnsi="Times New Roman" w:cs="Times New Roman"/>
          <w:sz w:val="24"/>
          <w:szCs w:val="24"/>
        </w:rPr>
        <w:lastRenderedPageBreak/>
        <w:t>them with a loan. Moreover, a Statement of Financial Position can show the position of assets and liabilities of a company (</w:t>
      </w:r>
      <w:r w:rsidRPr="00856B56">
        <w:rPr>
          <w:rFonts w:ascii="Times New Roman" w:eastAsia="Times New Roman" w:hAnsi="Times New Roman" w:cs="Times New Roman"/>
          <w:color w:val="222222"/>
          <w:sz w:val="24"/>
          <w:szCs w:val="24"/>
          <w:highlight w:val="white"/>
        </w:rPr>
        <w:t>Sweeney, 2023)</w:t>
      </w:r>
      <w:r w:rsidRPr="00856B56">
        <w:rPr>
          <w:rFonts w:ascii="Times New Roman" w:eastAsia="Times New Roman" w:hAnsi="Times New Roman" w:cs="Times New Roman"/>
          <w:sz w:val="24"/>
          <w:szCs w:val="24"/>
        </w:rPr>
        <w:t>.</w:t>
      </w:r>
    </w:p>
    <w:p w14:paraId="79940927"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Depending upon the balances of Wales Plc a Statement of Financial Position is made below to evaluate its financial position.</w:t>
      </w:r>
    </w:p>
    <w:tbl>
      <w:tblPr>
        <w:tblStyle w:val="Table2"/>
        <w:tblW w:w="802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5025"/>
        <w:gridCol w:w="1500"/>
        <w:gridCol w:w="1500"/>
      </w:tblGrid>
      <w:tr w:rsidR="00196218" w:rsidRPr="00856B56" w14:paraId="337C1BEA" w14:textId="77777777" w:rsidTr="00856B56">
        <w:trPr>
          <w:trHeight w:val="345"/>
          <w:jc w:val="center"/>
        </w:trPr>
        <w:tc>
          <w:tcPr>
            <w:tcW w:w="8025" w:type="dxa"/>
            <w:gridSpan w:val="3"/>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F301AAC"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In the books of Wales Plc</w:t>
            </w:r>
          </w:p>
        </w:tc>
      </w:tr>
      <w:tr w:rsidR="00196218" w:rsidRPr="00856B56" w14:paraId="49E8290C" w14:textId="77777777" w:rsidTr="00856B56">
        <w:trPr>
          <w:trHeight w:val="345"/>
          <w:jc w:val="center"/>
        </w:trPr>
        <w:tc>
          <w:tcPr>
            <w:tcW w:w="8025" w:type="dxa"/>
            <w:gridSpan w:val="3"/>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B47BB45"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Statement of Financial Position</w:t>
            </w:r>
          </w:p>
        </w:tc>
      </w:tr>
      <w:tr w:rsidR="00196218" w:rsidRPr="00856B56" w14:paraId="204A58B1" w14:textId="77777777" w:rsidTr="00856B56">
        <w:trPr>
          <w:trHeight w:val="345"/>
          <w:jc w:val="center"/>
        </w:trPr>
        <w:tc>
          <w:tcPr>
            <w:tcW w:w="8025" w:type="dxa"/>
            <w:gridSpan w:val="3"/>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A7B892C"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As on 31st December, 2022</w:t>
            </w:r>
          </w:p>
        </w:tc>
      </w:tr>
      <w:tr w:rsidR="00196218" w:rsidRPr="00856B56" w14:paraId="18D638C0"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F3953DE"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Particulars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553561F"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color w:val="1F1F1F"/>
                <w:sz w:val="24"/>
                <w:szCs w:val="24"/>
              </w:rPr>
              <w:t>Amount (£)</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91BC15F"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color w:val="1F1F1F"/>
                <w:sz w:val="24"/>
                <w:szCs w:val="24"/>
              </w:rPr>
              <w:t>Amount (£)</w:t>
            </w:r>
          </w:p>
        </w:tc>
      </w:tr>
      <w:tr w:rsidR="00196218" w:rsidRPr="00856B56" w14:paraId="7B5CE39C"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D4BCC0E"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EQUITY AND LIABILITIES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FE018AB"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31F1B09"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192C4E45"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594D27B"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i/>
                <w:sz w:val="24"/>
                <w:szCs w:val="24"/>
              </w:rPr>
              <w:t>(a) Shareholders Fund</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95B876F"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767837E"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5C702078"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3C36A35"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 Ordinary Share</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ACE557D"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900000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8B254E8"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5F2820E3"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49A93C7"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(ii) Preference Share</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924209E"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500000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A0439C0"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3325A25F"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1828FC4"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8D209E0"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CD1AEA5"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1400000</w:t>
            </w:r>
          </w:p>
        </w:tc>
      </w:tr>
      <w:tr w:rsidR="00196218" w:rsidRPr="00856B56" w14:paraId="54E2FEE3"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5D2D35A"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i/>
                <w:sz w:val="24"/>
                <w:szCs w:val="24"/>
              </w:rPr>
              <w:t>(b) Reserves and Securities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403106B"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499A1DA"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4AB7418C"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3592A60"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 Balance of Profit and Loss Account</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EBB6B89"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3350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7192542"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276CD086"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35A7943"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(ii) Retained Earnings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0EB04A2"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132000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31DC074"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68990E08"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48868DF"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02BE25E"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E980232"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135350</w:t>
            </w:r>
          </w:p>
        </w:tc>
      </w:tr>
      <w:tr w:rsidR="00196218" w:rsidRPr="00856B56" w14:paraId="14DDD1F6"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2BC28E3"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i/>
                <w:sz w:val="24"/>
                <w:szCs w:val="24"/>
              </w:rPr>
              <w:t>(c) Long-term Liabilities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7798075"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B41C2E0"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339D5BD8"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CCC81E4"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 2% Debenture</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C9FD228"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A4E2990"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200000</w:t>
            </w:r>
          </w:p>
        </w:tc>
      </w:tr>
      <w:tr w:rsidR="00196218" w:rsidRPr="00856B56" w14:paraId="317B7958"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6D941D7"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i/>
                <w:sz w:val="24"/>
                <w:szCs w:val="24"/>
              </w:rPr>
              <w:t>(d) Current Liabilities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7BF9CD0"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CEFAAE3"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4DCC1880"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8EAE541"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 Trade Payable</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669E8F9"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188625</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81B63AF"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0FC3EED0"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9D4BDF1"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(ii) Outstanding Commission</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1879F6A"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3000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AFB8FAF"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28493001"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AAD6AEA"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(iii) Corporate Tax</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9EB8C8B"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100000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C7B7BCC"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54477AC5"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AC3699C"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5B757F1"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5B5A352"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291625</w:t>
            </w:r>
          </w:p>
        </w:tc>
      </w:tr>
      <w:tr w:rsidR="00196218" w:rsidRPr="00856B56" w14:paraId="7C34FC6F"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553DCCAE"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Total Equity and Liabilities</w:t>
            </w:r>
          </w:p>
        </w:tc>
        <w:tc>
          <w:tcPr>
            <w:tcW w:w="1500"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3EE20561"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7FF52FBA"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2026975</w:t>
            </w:r>
          </w:p>
        </w:tc>
      </w:tr>
      <w:tr w:rsidR="00196218" w:rsidRPr="00856B56" w14:paraId="664F1CD6"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7C536EC"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ASSETS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3D8B44F"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B89F37F"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5AE90F05"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4122572"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i/>
                <w:sz w:val="24"/>
                <w:szCs w:val="24"/>
              </w:rPr>
              <w:t>(a) Non-current Assets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73348E0"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57F97A3"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2A870E67"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9F2259B"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lastRenderedPageBreak/>
              <w:t>(i) Plant and Equipment</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9998FA4"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328425F"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1250000</w:t>
            </w:r>
          </w:p>
        </w:tc>
      </w:tr>
      <w:tr w:rsidR="00196218" w:rsidRPr="00856B56" w14:paraId="2C16FE95"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A4061BB"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i/>
                <w:sz w:val="24"/>
                <w:szCs w:val="24"/>
              </w:rPr>
              <w:t>(b) Current Assets</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2F21462"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C04B817"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3EA2A648"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93164C3"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 Stock</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6F33D05"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510850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C78BAC9"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0FA67511"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0D1FC57"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(ii) Trade receivable</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2CA4377"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170125</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48AE600"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3CE13AF4"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FE5CDFC"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(iii) Cash and Bank</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E1C4152"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96000</w:t>
            </w: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D02BB89"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r>
      <w:tr w:rsidR="00196218" w:rsidRPr="00856B56" w14:paraId="01A2C06C"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79F87B9"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E2678F5"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4FB240D"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776975</w:t>
            </w:r>
          </w:p>
        </w:tc>
      </w:tr>
      <w:tr w:rsidR="00196218" w:rsidRPr="00856B56" w14:paraId="3ED6772D" w14:textId="77777777" w:rsidTr="00856B56">
        <w:trPr>
          <w:trHeight w:val="345"/>
          <w:jc w:val="center"/>
        </w:trPr>
        <w:tc>
          <w:tcPr>
            <w:tcW w:w="5025"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5BBC9D77"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Total Assets</w:t>
            </w:r>
          </w:p>
        </w:tc>
        <w:tc>
          <w:tcPr>
            <w:tcW w:w="1500"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6DF1BAD7" w14:textId="77777777" w:rsidR="00196218" w:rsidRPr="00856B56" w:rsidRDefault="00196218" w:rsidP="00856B56">
            <w:pPr>
              <w:pStyle w:val="Normal1"/>
              <w:widowControl w:val="0"/>
              <w:spacing w:line="360" w:lineRule="auto"/>
              <w:jc w:val="center"/>
              <w:rPr>
                <w:rFonts w:ascii="Times New Roman" w:hAnsi="Times New Roman" w:cs="Times New Roman"/>
                <w:sz w:val="24"/>
                <w:szCs w:val="24"/>
              </w:rPr>
            </w:pPr>
          </w:p>
        </w:tc>
        <w:tc>
          <w:tcPr>
            <w:tcW w:w="1500" w:type="dxa"/>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bottom"/>
          </w:tcPr>
          <w:p w14:paraId="6D99C2E3" w14:textId="77777777" w:rsidR="00196218" w:rsidRPr="00856B56" w:rsidRDefault="00000000" w:rsidP="00856B56">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2026975</w:t>
            </w:r>
          </w:p>
        </w:tc>
      </w:tr>
    </w:tbl>
    <w:p w14:paraId="44A6C4CD" w14:textId="77777777" w:rsidR="00196218" w:rsidRPr="00856B56" w:rsidRDefault="00000000" w:rsidP="00856B56">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2: Statement of Financial Position of Wales Plc</w:t>
      </w:r>
    </w:p>
    <w:p w14:paraId="4CD8C2F0" w14:textId="77777777" w:rsidR="00196218" w:rsidRPr="00856B56" w:rsidRDefault="00000000" w:rsidP="00856B56">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32BB628E" w14:textId="7E1D1CEB" w:rsidR="00196218" w:rsidRPr="00856B56" w:rsidRDefault="002722D8"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Pr="00856B56">
        <w:rPr>
          <w:rFonts w:ascii="Times New Roman" w:eastAsia="Times New Roman" w:hAnsi="Times New Roman" w:cs="Times New Roman"/>
          <w:sz w:val="24"/>
          <w:szCs w:val="24"/>
        </w:rPr>
        <w:t xml:space="preserve"> Statement of Wales Plc has implied the financial position and condition on 31st December, 2022. From the above table, it is shown that the earned profit from the Income Statement is very low compared to Retained Earnings. The company has borrowed debentures with an interest of 2%. Financial </w:t>
      </w:r>
      <w:r w:rsidR="00E305C8" w:rsidRPr="00856B56">
        <w:rPr>
          <w:rFonts w:ascii="Times New Roman" w:eastAsia="Times New Roman" w:hAnsi="Times New Roman" w:cs="Times New Roman"/>
          <w:sz w:val="24"/>
          <w:szCs w:val="24"/>
        </w:rPr>
        <w:t>Position</w:t>
      </w:r>
      <w:r w:rsidRPr="00856B56">
        <w:rPr>
          <w:rFonts w:ascii="Times New Roman" w:eastAsia="Times New Roman" w:hAnsi="Times New Roman" w:cs="Times New Roman"/>
          <w:sz w:val="24"/>
          <w:szCs w:val="24"/>
        </w:rPr>
        <w:t xml:space="preserve"> has depicted the satisfactory financial position of Wales Plc.</w:t>
      </w:r>
    </w:p>
    <w:p w14:paraId="59C0B49B" w14:textId="0AB6ABCF" w:rsidR="00196218" w:rsidRPr="00856B56" w:rsidRDefault="00000000" w:rsidP="00856B56">
      <w:pPr>
        <w:pStyle w:val="Normal1"/>
        <w:numPr>
          <w:ilvl w:val="0"/>
          <w:numId w:val="3"/>
        </w:numPr>
        <w:spacing w:line="360" w:lineRule="auto"/>
        <w:jc w:val="both"/>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u w:val="single"/>
        </w:rPr>
        <w:t xml:space="preserve">Reason for balancing </w:t>
      </w:r>
      <w:r w:rsidR="002722D8" w:rsidRPr="00856B56">
        <w:rPr>
          <w:rFonts w:ascii="Times New Roman" w:eastAsia="Times New Roman" w:hAnsi="Times New Roman" w:cs="Times New Roman"/>
          <w:b/>
          <w:sz w:val="24"/>
          <w:szCs w:val="24"/>
          <w:u w:val="single"/>
        </w:rPr>
        <w:t xml:space="preserve">Financial </w:t>
      </w:r>
      <w:r w:rsidR="00E305C8" w:rsidRPr="00856B56">
        <w:rPr>
          <w:rFonts w:ascii="Times New Roman" w:eastAsia="Times New Roman" w:hAnsi="Times New Roman" w:cs="Times New Roman"/>
          <w:b/>
          <w:sz w:val="24"/>
          <w:szCs w:val="24"/>
          <w:u w:val="single"/>
        </w:rPr>
        <w:t>Position</w:t>
      </w:r>
      <w:r w:rsidR="002722D8" w:rsidRPr="00856B56">
        <w:rPr>
          <w:rFonts w:ascii="Times New Roman" w:eastAsia="Times New Roman" w:hAnsi="Times New Roman" w:cs="Times New Roman"/>
          <w:b/>
          <w:sz w:val="24"/>
          <w:szCs w:val="24"/>
          <w:u w:val="single"/>
        </w:rPr>
        <w:t xml:space="preserve"> Statement</w:t>
      </w:r>
    </w:p>
    <w:p w14:paraId="50DD820A" w14:textId="137EFFEE"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The vital reason for balancing in </w:t>
      </w:r>
      <w:r w:rsidR="002722D8"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002722D8" w:rsidRPr="00856B56">
        <w:rPr>
          <w:rFonts w:ascii="Times New Roman" w:eastAsia="Times New Roman" w:hAnsi="Times New Roman" w:cs="Times New Roman"/>
          <w:sz w:val="24"/>
          <w:szCs w:val="24"/>
        </w:rPr>
        <w:t xml:space="preserve"> Statement</w:t>
      </w:r>
      <w:r w:rsidRPr="00856B56">
        <w:rPr>
          <w:rFonts w:ascii="Times New Roman" w:eastAsia="Times New Roman" w:hAnsi="Times New Roman" w:cs="Times New Roman"/>
          <w:sz w:val="24"/>
          <w:szCs w:val="24"/>
        </w:rPr>
        <w:t xml:space="preserve"> is the double entry system which is an accounting principle that has been followed by every organisation. All the accounting transactions have been recorded in a minimum of two different ledger accounts. As the concept of a double entry system has stated that all the financial transactions have opposite and equal effects in minimum two different ledger accounts, </w:t>
      </w:r>
      <w:r w:rsidR="002722D8"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Pr="00856B56">
        <w:rPr>
          <w:rFonts w:ascii="Times New Roman" w:eastAsia="Times New Roman" w:hAnsi="Times New Roman" w:cs="Times New Roman"/>
          <w:sz w:val="24"/>
          <w:szCs w:val="24"/>
        </w:rPr>
        <w:t xml:space="preserve"> is automatically matched. Luca Pacioli has introduced the double entry system that helps </w:t>
      </w:r>
      <w:r w:rsidR="002722D8"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Pr="00856B56">
        <w:rPr>
          <w:rFonts w:ascii="Times New Roman" w:eastAsia="Times New Roman" w:hAnsi="Times New Roman" w:cs="Times New Roman"/>
          <w:sz w:val="24"/>
          <w:szCs w:val="24"/>
        </w:rPr>
        <w:t xml:space="preserve"> to balance (</w:t>
      </w:r>
      <w:r w:rsidRPr="00856B56">
        <w:rPr>
          <w:rFonts w:ascii="Times New Roman" w:eastAsia="Times New Roman" w:hAnsi="Times New Roman" w:cs="Times New Roman"/>
          <w:color w:val="222222"/>
          <w:sz w:val="24"/>
          <w:szCs w:val="24"/>
          <w:highlight w:val="white"/>
        </w:rPr>
        <w:t>Schmitz and Leoni, 2019)</w:t>
      </w:r>
      <w:r w:rsidRPr="00856B56">
        <w:rPr>
          <w:rFonts w:ascii="Times New Roman" w:eastAsia="Times New Roman" w:hAnsi="Times New Roman" w:cs="Times New Roman"/>
          <w:sz w:val="24"/>
          <w:szCs w:val="24"/>
        </w:rPr>
        <w:t xml:space="preserve">. Undoubtedly it creates a great revolution in accounting. This Statement always follows the accounting equation that is </w:t>
      </w:r>
      <w:r w:rsidRPr="00856B56">
        <w:rPr>
          <w:rFonts w:ascii="Times New Roman" w:eastAsia="Times New Roman" w:hAnsi="Times New Roman" w:cs="Times New Roman"/>
          <w:b/>
          <w:sz w:val="24"/>
          <w:szCs w:val="24"/>
        </w:rPr>
        <w:t xml:space="preserve">Capital+Liabilities= Assets. </w:t>
      </w:r>
      <w:r w:rsidRPr="00856B56">
        <w:rPr>
          <w:rFonts w:ascii="Times New Roman" w:eastAsia="Times New Roman" w:hAnsi="Times New Roman" w:cs="Times New Roman"/>
          <w:sz w:val="24"/>
          <w:szCs w:val="24"/>
        </w:rPr>
        <w:t xml:space="preserve">Therefore all the correct Statements of Financial Position are always in a balanced position (GoCardless, 2021). </w:t>
      </w:r>
    </w:p>
    <w:p w14:paraId="5CD28A67" w14:textId="77777777" w:rsidR="00196218" w:rsidRPr="00856B56" w:rsidRDefault="00000000" w:rsidP="00856B56">
      <w:pPr>
        <w:pStyle w:val="1"/>
        <w:spacing w:line="360" w:lineRule="auto"/>
        <w:jc w:val="both"/>
        <w:rPr>
          <w:rFonts w:cs="Times New Roman"/>
          <w:szCs w:val="24"/>
        </w:rPr>
      </w:pPr>
      <w:bookmarkStart w:id="2" w:name="_Toc133422358"/>
      <w:r w:rsidRPr="00856B56">
        <w:rPr>
          <w:rFonts w:cs="Times New Roman"/>
          <w:szCs w:val="24"/>
        </w:rPr>
        <w:t>Question 2</w:t>
      </w:r>
      <w:bookmarkEnd w:id="2"/>
    </w:p>
    <w:p w14:paraId="14148A48" w14:textId="77777777" w:rsidR="00196218" w:rsidRPr="00856B56" w:rsidRDefault="00000000" w:rsidP="00856B56">
      <w:pPr>
        <w:pStyle w:val="Normal1"/>
        <w:numPr>
          <w:ilvl w:val="0"/>
          <w:numId w:val="2"/>
        </w:numPr>
        <w:spacing w:line="360" w:lineRule="auto"/>
        <w:jc w:val="both"/>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u w:val="single"/>
        </w:rPr>
        <w:t>Calculation of Ratios</w:t>
      </w:r>
    </w:p>
    <w:p w14:paraId="73099F1B" w14:textId="7D139723"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Based on the Income Statement and </w:t>
      </w:r>
      <w:r w:rsidR="002722D8"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002722D8" w:rsidRPr="00856B56">
        <w:rPr>
          <w:rFonts w:ascii="Times New Roman" w:eastAsia="Times New Roman" w:hAnsi="Times New Roman" w:cs="Times New Roman"/>
          <w:sz w:val="24"/>
          <w:szCs w:val="24"/>
        </w:rPr>
        <w:t xml:space="preserve"> Statement</w:t>
      </w:r>
      <w:r w:rsidRPr="00856B56">
        <w:rPr>
          <w:rFonts w:ascii="Times New Roman" w:eastAsia="Times New Roman" w:hAnsi="Times New Roman" w:cs="Times New Roman"/>
          <w:sz w:val="24"/>
          <w:szCs w:val="24"/>
        </w:rPr>
        <w:t xml:space="preserve"> on 31st December 2020 and 2021 Sweet Plc, the important ratios are calculated below.</w:t>
      </w:r>
    </w:p>
    <w:p w14:paraId="5329BC6E"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ROCE</w:t>
      </w:r>
    </w:p>
    <w:tbl>
      <w:tblPr>
        <w:tblStyle w:val="Table3"/>
        <w:tblW w:w="879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185"/>
        <w:gridCol w:w="3315"/>
        <w:gridCol w:w="2550"/>
        <w:gridCol w:w="945"/>
        <w:gridCol w:w="795"/>
      </w:tblGrid>
      <w:tr w:rsidR="00196218" w:rsidRPr="00856B56" w14:paraId="7E66C892" w14:textId="77777777" w:rsidTr="004F75A6">
        <w:trPr>
          <w:trHeight w:val="345"/>
          <w:jc w:val="center"/>
        </w:trPr>
        <w:tc>
          <w:tcPr>
            <w:tcW w:w="118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32E97EA" w14:textId="77777777" w:rsidR="00196218" w:rsidRPr="00856B56" w:rsidRDefault="00000000" w:rsidP="00856B56">
            <w:pPr>
              <w:pStyle w:val="Normal1"/>
              <w:widowControl w:val="0"/>
              <w:spacing w:line="360" w:lineRule="auto"/>
              <w:jc w:val="both"/>
              <w:rPr>
                <w:rFonts w:ascii="Times New Roman" w:hAnsi="Times New Roman" w:cs="Times New Roman"/>
                <w:sz w:val="24"/>
                <w:szCs w:val="24"/>
              </w:rPr>
            </w:pPr>
            <w:r w:rsidRPr="00856B56">
              <w:rPr>
                <w:rFonts w:ascii="Times New Roman" w:eastAsia="Times New Roman" w:hAnsi="Times New Roman" w:cs="Times New Roman"/>
                <w:sz w:val="24"/>
                <w:szCs w:val="24"/>
              </w:rPr>
              <w:lastRenderedPageBreak/>
              <w:t>Ratio</w:t>
            </w:r>
          </w:p>
        </w:tc>
        <w:tc>
          <w:tcPr>
            <w:tcW w:w="331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D869838" w14:textId="77777777" w:rsidR="00196218" w:rsidRPr="00856B56" w:rsidRDefault="00000000" w:rsidP="00856B56">
            <w:pPr>
              <w:pStyle w:val="Normal1"/>
              <w:widowControl w:val="0"/>
              <w:spacing w:line="360" w:lineRule="auto"/>
              <w:jc w:val="both"/>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255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F8A5645" w14:textId="77777777" w:rsidR="00196218" w:rsidRPr="00856B56" w:rsidRDefault="00000000" w:rsidP="00856B56">
            <w:pPr>
              <w:pStyle w:val="Normal1"/>
              <w:widowControl w:val="0"/>
              <w:spacing w:line="360" w:lineRule="auto"/>
              <w:jc w:val="both"/>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94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91C48D8" w14:textId="77777777" w:rsidR="00196218" w:rsidRPr="00856B56" w:rsidRDefault="00000000" w:rsidP="00856B56">
            <w:pPr>
              <w:pStyle w:val="Normal1"/>
              <w:widowControl w:val="0"/>
              <w:spacing w:line="360" w:lineRule="auto"/>
              <w:jc w:val="both"/>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79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D234DA6" w14:textId="77777777" w:rsidR="00196218" w:rsidRPr="00856B56" w:rsidRDefault="00000000" w:rsidP="00856B56">
            <w:pPr>
              <w:pStyle w:val="Normal1"/>
              <w:widowControl w:val="0"/>
              <w:spacing w:line="360" w:lineRule="auto"/>
              <w:jc w:val="both"/>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53D75D75" w14:textId="77777777" w:rsidTr="004F75A6">
        <w:trPr>
          <w:trHeight w:val="345"/>
          <w:jc w:val="center"/>
        </w:trPr>
        <w:tc>
          <w:tcPr>
            <w:tcW w:w="1185" w:type="dxa"/>
            <w:vMerge w:val="restart"/>
            <w:tcBorders>
              <w:top w:val="single" w:sz="12" w:space="0" w:color="000000"/>
              <w:left w:val="single" w:sz="12" w:space="0" w:color="000000"/>
              <w:bottom w:val="single" w:sz="12" w:space="0" w:color="000000"/>
              <w:right w:val="single" w:sz="12" w:space="0" w:color="000000"/>
            </w:tcBorders>
            <w:shd w:val="clear" w:color="auto" w:fill="F4CCCC"/>
            <w:tcMar>
              <w:top w:w="40" w:type="dxa"/>
              <w:left w:w="40" w:type="dxa"/>
              <w:bottom w:w="40" w:type="dxa"/>
              <w:right w:w="40" w:type="dxa"/>
            </w:tcMar>
            <w:vAlign w:val="center"/>
          </w:tcPr>
          <w:p w14:paraId="48297F33"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ROCE</w:t>
            </w:r>
          </w:p>
        </w:tc>
        <w:tc>
          <w:tcPr>
            <w:tcW w:w="3315" w:type="dxa"/>
            <w:vMerge w:val="restart"/>
            <w:tcBorders>
              <w:top w:val="single" w:sz="12" w:space="0" w:color="000000"/>
              <w:left w:val="single" w:sz="12" w:space="0" w:color="000000"/>
              <w:bottom w:val="single" w:sz="12" w:space="0" w:color="000000"/>
              <w:right w:val="single" w:sz="12" w:space="0" w:color="000000"/>
            </w:tcBorders>
            <w:shd w:val="clear" w:color="auto" w:fill="A2C4C9"/>
            <w:tcMar>
              <w:top w:w="40" w:type="dxa"/>
              <w:left w:w="40" w:type="dxa"/>
              <w:bottom w:w="40" w:type="dxa"/>
              <w:right w:w="40" w:type="dxa"/>
            </w:tcMar>
            <w:vAlign w:val="center"/>
          </w:tcPr>
          <w:p w14:paraId="7B01B299"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(Earning before Interest and tax/ capital employed)*100</w:t>
            </w:r>
          </w:p>
        </w:tc>
        <w:tc>
          <w:tcPr>
            <w:tcW w:w="25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B2D871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Earning before interest and tax</w:t>
            </w:r>
          </w:p>
        </w:tc>
        <w:tc>
          <w:tcPr>
            <w:tcW w:w="9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CA3C88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805</w:t>
            </w:r>
          </w:p>
        </w:tc>
        <w:tc>
          <w:tcPr>
            <w:tcW w:w="79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250E11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699</w:t>
            </w:r>
          </w:p>
        </w:tc>
      </w:tr>
      <w:tr w:rsidR="00196218" w:rsidRPr="00856B56" w14:paraId="0C962C1E" w14:textId="77777777" w:rsidTr="004F75A6">
        <w:trPr>
          <w:trHeight w:val="345"/>
          <w:jc w:val="center"/>
        </w:trPr>
        <w:tc>
          <w:tcPr>
            <w:tcW w:w="118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8293D41"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31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1FA1BC"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5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58C68D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Total assets</w:t>
            </w:r>
          </w:p>
        </w:tc>
        <w:tc>
          <w:tcPr>
            <w:tcW w:w="9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69EB4C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9736</w:t>
            </w:r>
          </w:p>
        </w:tc>
        <w:tc>
          <w:tcPr>
            <w:tcW w:w="79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18A2AB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10087</w:t>
            </w:r>
          </w:p>
        </w:tc>
      </w:tr>
      <w:tr w:rsidR="00196218" w:rsidRPr="00856B56" w14:paraId="12471A1A" w14:textId="77777777" w:rsidTr="004F75A6">
        <w:trPr>
          <w:trHeight w:val="345"/>
          <w:jc w:val="center"/>
        </w:trPr>
        <w:tc>
          <w:tcPr>
            <w:tcW w:w="118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82728C0"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31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1535440"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5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44D3D08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current Liabilities</w:t>
            </w:r>
          </w:p>
        </w:tc>
        <w:tc>
          <w:tcPr>
            <w:tcW w:w="9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CF3842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2511</w:t>
            </w:r>
          </w:p>
        </w:tc>
        <w:tc>
          <w:tcPr>
            <w:tcW w:w="79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75211C4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3046</w:t>
            </w:r>
          </w:p>
        </w:tc>
      </w:tr>
      <w:tr w:rsidR="00196218" w:rsidRPr="00856B56" w14:paraId="4061E0E8" w14:textId="77777777" w:rsidTr="004F75A6">
        <w:trPr>
          <w:trHeight w:val="345"/>
          <w:jc w:val="center"/>
        </w:trPr>
        <w:tc>
          <w:tcPr>
            <w:tcW w:w="118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CC11B68"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31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74534F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5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50D5C1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capital employed</w:t>
            </w:r>
          </w:p>
        </w:tc>
        <w:tc>
          <w:tcPr>
            <w:tcW w:w="9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C93BED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7225</w:t>
            </w:r>
          </w:p>
        </w:tc>
        <w:tc>
          <w:tcPr>
            <w:tcW w:w="79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B0C428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7041</w:t>
            </w:r>
          </w:p>
        </w:tc>
      </w:tr>
      <w:tr w:rsidR="00196218" w:rsidRPr="00856B56" w14:paraId="37497727" w14:textId="77777777" w:rsidTr="004F75A6">
        <w:trPr>
          <w:trHeight w:val="345"/>
          <w:jc w:val="center"/>
        </w:trPr>
        <w:tc>
          <w:tcPr>
            <w:tcW w:w="118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5FDFB47"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31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B9D81D8"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55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648B3E5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ROCE</w:t>
            </w:r>
          </w:p>
        </w:tc>
        <w:tc>
          <w:tcPr>
            <w:tcW w:w="94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4CE4829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11.1419</w:t>
            </w:r>
          </w:p>
        </w:tc>
        <w:tc>
          <w:tcPr>
            <w:tcW w:w="79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757226D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9.9276</w:t>
            </w:r>
          </w:p>
        </w:tc>
      </w:tr>
    </w:tbl>
    <w:p w14:paraId="186CD3AF"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3: ROCE</w:t>
      </w:r>
    </w:p>
    <w:p w14:paraId="2201A31D"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33DB4E67"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ROCE can describe the profitability of a business. The ROCE ratio of Sweet Plc is 9.9276% and 11.1419% for 2020 and 2021 respectively. It implies that Sweet Plc properly utilised its capital efficiency to generate a high return in 2021 compared to 2020.</w:t>
      </w:r>
    </w:p>
    <w:p w14:paraId="7F5B881A"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ROE</w:t>
      </w:r>
    </w:p>
    <w:tbl>
      <w:tblPr>
        <w:tblStyle w:val="Table4"/>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275"/>
        <w:gridCol w:w="3570"/>
        <w:gridCol w:w="2565"/>
        <w:gridCol w:w="810"/>
        <w:gridCol w:w="810"/>
      </w:tblGrid>
      <w:tr w:rsidR="00196218" w:rsidRPr="00856B56" w14:paraId="4A9CD76D" w14:textId="77777777" w:rsidTr="003147A9">
        <w:trPr>
          <w:trHeight w:val="345"/>
          <w:jc w:val="center"/>
        </w:trPr>
        <w:tc>
          <w:tcPr>
            <w:tcW w:w="127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581409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57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A98818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256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7AEF92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E9A366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D25B4F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689F949E" w14:textId="77777777" w:rsidTr="003147A9">
        <w:trPr>
          <w:trHeight w:val="345"/>
          <w:jc w:val="center"/>
        </w:trPr>
        <w:tc>
          <w:tcPr>
            <w:tcW w:w="1275"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7E014D0E"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ROE</w:t>
            </w:r>
          </w:p>
        </w:tc>
        <w:tc>
          <w:tcPr>
            <w:tcW w:w="3570" w:type="dxa"/>
            <w:vMerge w:val="restart"/>
            <w:tcBorders>
              <w:top w:val="single" w:sz="12" w:space="0" w:color="000000"/>
              <w:left w:val="single" w:sz="12" w:space="0" w:color="000000"/>
              <w:bottom w:val="single" w:sz="12" w:space="0" w:color="000000"/>
              <w:right w:val="single" w:sz="12" w:space="0" w:color="000000"/>
            </w:tcBorders>
            <w:shd w:val="clear" w:color="auto" w:fill="A2C4C9"/>
            <w:tcMar>
              <w:top w:w="40" w:type="dxa"/>
              <w:left w:w="40" w:type="dxa"/>
              <w:bottom w:w="40" w:type="dxa"/>
              <w:right w:w="40" w:type="dxa"/>
            </w:tcMar>
            <w:vAlign w:val="center"/>
          </w:tcPr>
          <w:p w14:paraId="12F617D6"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Net income/ Shareholder's equity</w:t>
            </w:r>
          </w:p>
        </w:tc>
        <w:tc>
          <w:tcPr>
            <w:tcW w:w="256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5FD291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Net income</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C1D06C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431</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098FFF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366</w:t>
            </w:r>
          </w:p>
        </w:tc>
      </w:tr>
      <w:tr w:rsidR="00196218" w:rsidRPr="00856B56" w14:paraId="7190901E" w14:textId="77777777" w:rsidTr="003147A9">
        <w:trPr>
          <w:trHeight w:val="345"/>
          <w:jc w:val="center"/>
        </w:trPr>
        <w:tc>
          <w:tcPr>
            <w:tcW w:w="127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D1569F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57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98EBFCF"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56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4613FF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Shareholder's equity</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1DECEE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300</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7BB533C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300</w:t>
            </w:r>
          </w:p>
        </w:tc>
      </w:tr>
      <w:tr w:rsidR="00196218" w:rsidRPr="00856B56" w14:paraId="4358DD7D" w14:textId="77777777" w:rsidTr="003147A9">
        <w:trPr>
          <w:trHeight w:val="345"/>
          <w:jc w:val="center"/>
        </w:trPr>
        <w:tc>
          <w:tcPr>
            <w:tcW w:w="127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1F5B087"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57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9821EF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56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6FEA76C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ROE</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0DB2E4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1.4367</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438AEAA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1.2200</w:t>
            </w:r>
          </w:p>
        </w:tc>
      </w:tr>
    </w:tbl>
    <w:p w14:paraId="4335CF90"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4: ROE</w:t>
      </w:r>
    </w:p>
    <w:p w14:paraId="0268A846"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040C3A8F"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Like ROCE, ROE also can define the profitability of any company. The ROE ratio of Sweet Plc is 1.2200 and 1.4367 for 2020 and 2021 respectively. It implies that the company has generated more profit efficiency in 2021 compared to 2020.</w:t>
      </w:r>
    </w:p>
    <w:p w14:paraId="642F2B1C"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Earnings per Share</w:t>
      </w:r>
    </w:p>
    <w:tbl>
      <w:tblPr>
        <w:tblStyle w:val="Table5"/>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275"/>
        <w:gridCol w:w="3090"/>
        <w:gridCol w:w="3045"/>
        <w:gridCol w:w="810"/>
        <w:gridCol w:w="810"/>
      </w:tblGrid>
      <w:tr w:rsidR="00196218" w:rsidRPr="00856B56" w14:paraId="2A2F3DEC" w14:textId="77777777" w:rsidTr="003147A9">
        <w:trPr>
          <w:trHeight w:val="345"/>
          <w:jc w:val="center"/>
        </w:trPr>
        <w:tc>
          <w:tcPr>
            <w:tcW w:w="127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095B39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09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A1898E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304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CADB97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FB10BB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61C63D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69B83514" w14:textId="77777777" w:rsidTr="003147A9">
        <w:trPr>
          <w:trHeight w:val="345"/>
          <w:jc w:val="center"/>
        </w:trPr>
        <w:tc>
          <w:tcPr>
            <w:tcW w:w="1275"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71674226"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Earnings per Share</w:t>
            </w:r>
          </w:p>
        </w:tc>
        <w:tc>
          <w:tcPr>
            <w:tcW w:w="3090" w:type="dxa"/>
            <w:vMerge w:val="restart"/>
            <w:tcBorders>
              <w:top w:val="single" w:sz="12" w:space="0" w:color="000000"/>
              <w:left w:val="single" w:sz="12" w:space="0" w:color="000000"/>
              <w:bottom w:val="single" w:sz="12" w:space="0" w:color="000000"/>
              <w:right w:val="single" w:sz="12" w:space="0" w:color="000000"/>
            </w:tcBorders>
            <w:shd w:val="clear" w:color="auto" w:fill="A2C4C9"/>
            <w:tcMar>
              <w:top w:w="40" w:type="dxa"/>
              <w:left w:w="40" w:type="dxa"/>
              <w:bottom w:w="40" w:type="dxa"/>
              <w:right w:w="40" w:type="dxa"/>
            </w:tcMar>
            <w:vAlign w:val="center"/>
          </w:tcPr>
          <w:p w14:paraId="2161AD95"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Net income-preferred dividend / Weighted average of common shares</w:t>
            </w:r>
          </w:p>
        </w:tc>
        <w:tc>
          <w:tcPr>
            <w:tcW w:w="30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B4CF7A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Net Income</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2C6C42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431</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E5FBBE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366</w:t>
            </w:r>
          </w:p>
        </w:tc>
      </w:tr>
      <w:tr w:rsidR="00196218" w:rsidRPr="00856B56" w14:paraId="0A5F0ACA" w14:textId="77777777" w:rsidTr="003147A9">
        <w:trPr>
          <w:trHeight w:val="345"/>
          <w:jc w:val="center"/>
        </w:trPr>
        <w:tc>
          <w:tcPr>
            <w:tcW w:w="127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AD927E4"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9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7DC37AF"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65116F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Outstanding shares</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FEA7B6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300</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418E47A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300</w:t>
            </w:r>
          </w:p>
        </w:tc>
      </w:tr>
      <w:tr w:rsidR="00196218" w:rsidRPr="00856B56" w14:paraId="54305CB4" w14:textId="77777777" w:rsidTr="003147A9">
        <w:trPr>
          <w:trHeight w:val="345"/>
          <w:jc w:val="center"/>
        </w:trPr>
        <w:tc>
          <w:tcPr>
            <w:tcW w:w="127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B2DA14D"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9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091F079"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9C3223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Average outstanding shares</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E04135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300</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D669A0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150</w:t>
            </w:r>
          </w:p>
        </w:tc>
      </w:tr>
      <w:tr w:rsidR="00196218" w:rsidRPr="00856B56" w14:paraId="585E5A96" w14:textId="77777777" w:rsidTr="003147A9">
        <w:trPr>
          <w:trHeight w:val="345"/>
          <w:jc w:val="center"/>
        </w:trPr>
        <w:tc>
          <w:tcPr>
            <w:tcW w:w="127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E6154E2"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9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70246BB"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4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D604B9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Common shares</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42411A5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600</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69CCC8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450</w:t>
            </w:r>
          </w:p>
        </w:tc>
      </w:tr>
      <w:tr w:rsidR="00196218" w:rsidRPr="00856B56" w14:paraId="16709471" w14:textId="77777777" w:rsidTr="003147A9">
        <w:trPr>
          <w:trHeight w:val="345"/>
          <w:jc w:val="center"/>
        </w:trPr>
        <w:tc>
          <w:tcPr>
            <w:tcW w:w="127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6C611A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9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79FC90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04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77EFBC1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Earnings per share</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431011E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0.7183</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5A8AB5E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0.8133</w:t>
            </w:r>
          </w:p>
        </w:tc>
      </w:tr>
    </w:tbl>
    <w:p w14:paraId="77FB77C2"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5: Earnings per Share</w:t>
      </w:r>
    </w:p>
    <w:p w14:paraId="052E3CF9"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59E5DAB9"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EPS also helps a company to define its profitability. The EPS of Sweet Plc is 0.8133 and 0.7183 for 2020 and 2021 respectively. Though there is not a huge difference in the EPS of both the year, it can be stated that the company can not yield equal or more returns in 2021 compared to 2020. But the EPS in both the years is not satisfactory.</w:t>
      </w:r>
    </w:p>
    <w:p w14:paraId="6204C2DF"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Net Profit Margin</w:t>
      </w:r>
    </w:p>
    <w:tbl>
      <w:tblPr>
        <w:tblStyle w:val="Table6"/>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20"/>
        <w:gridCol w:w="3780"/>
        <w:gridCol w:w="2310"/>
        <w:gridCol w:w="810"/>
        <w:gridCol w:w="810"/>
      </w:tblGrid>
      <w:tr w:rsidR="00196218" w:rsidRPr="00856B56" w14:paraId="1C4641F1" w14:textId="77777777" w:rsidTr="003147A9">
        <w:trPr>
          <w:trHeight w:val="345"/>
          <w:jc w:val="center"/>
        </w:trPr>
        <w:tc>
          <w:tcPr>
            <w:tcW w:w="132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BB4D2C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78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307207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23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3755EF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8C89BC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30D9CD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3CA3F541" w14:textId="77777777" w:rsidTr="003147A9">
        <w:trPr>
          <w:trHeight w:val="345"/>
          <w:jc w:val="center"/>
        </w:trPr>
        <w:tc>
          <w:tcPr>
            <w:tcW w:w="1320"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4E5C749F"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Net profit margin</w:t>
            </w:r>
          </w:p>
        </w:tc>
        <w:tc>
          <w:tcPr>
            <w:tcW w:w="3780" w:type="dxa"/>
            <w:vMerge w:val="restart"/>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center"/>
          </w:tcPr>
          <w:p w14:paraId="4BF2C8D5"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(Net Profit/ Revenue)*100</w:t>
            </w:r>
          </w:p>
        </w:tc>
        <w:tc>
          <w:tcPr>
            <w:tcW w:w="23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C0F81C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Net profit</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9F16B9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431</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7DB8FBE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366</w:t>
            </w:r>
          </w:p>
        </w:tc>
      </w:tr>
      <w:tr w:rsidR="00196218" w:rsidRPr="00856B56" w14:paraId="368DE994" w14:textId="77777777" w:rsidTr="003147A9">
        <w:trPr>
          <w:trHeight w:val="345"/>
          <w:jc w:val="center"/>
        </w:trPr>
        <w:tc>
          <w:tcPr>
            <w:tcW w:w="132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90484AB"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78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D628DF4"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3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8ECB0F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Total Revenue</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7B4DE01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6738</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759A2BC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6441</w:t>
            </w:r>
          </w:p>
        </w:tc>
      </w:tr>
      <w:tr w:rsidR="00196218" w:rsidRPr="00856B56" w14:paraId="0A4AF85F" w14:textId="77777777" w:rsidTr="003147A9">
        <w:trPr>
          <w:trHeight w:val="345"/>
          <w:jc w:val="center"/>
        </w:trPr>
        <w:tc>
          <w:tcPr>
            <w:tcW w:w="132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D46917A"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78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747F6CD"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3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3ED3C52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Net Profit Margin</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5D3F493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6.3966</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5FE90AA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5.6823</w:t>
            </w:r>
          </w:p>
        </w:tc>
      </w:tr>
    </w:tbl>
    <w:p w14:paraId="79271B77"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6: Net Profit Margin</w:t>
      </w:r>
    </w:p>
    <w:p w14:paraId="6C55A4F4"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2CA6273E"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Net profit margin is calculated to show the profitability and financial performance of a company.  The Net profit margin of Sweet Plc is 5.6823% and 6.3966% for 2020 and 2021 respectively. It implies that the company uses a more effective cost structure and pricing strategies in 2021 compared to 2020.</w:t>
      </w:r>
    </w:p>
    <w:p w14:paraId="7D3C4013"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Asset Turnover</w:t>
      </w:r>
    </w:p>
    <w:tbl>
      <w:tblPr>
        <w:tblStyle w:val="Table7"/>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3765"/>
        <w:gridCol w:w="2250"/>
        <w:gridCol w:w="810"/>
        <w:gridCol w:w="810"/>
      </w:tblGrid>
      <w:tr w:rsidR="00196218" w:rsidRPr="00856B56" w14:paraId="373BE78F" w14:textId="77777777" w:rsidTr="003147A9">
        <w:trPr>
          <w:trHeight w:val="345"/>
          <w:jc w:val="center"/>
        </w:trPr>
        <w:tc>
          <w:tcPr>
            <w:tcW w:w="139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B730ED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76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80D245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225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B3846C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900B92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BCB099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09AF5F9A" w14:textId="77777777" w:rsidTr="003147A9">
        <w:trPr>
          <w:trHeight w:val="345"/>
          <w:jc w:val="center"/>
        </w:trPr>
        <w:tc>
          <w:tcPr>
            <w:tcW w:w="1395"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102F1C9D"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Asset turnover</w:t>
            </w:r>
          </w:p>
        </w:tc>
        <w:tc>
          <w:tcPr>
            <w:tcW w:w="3765" w:type="dxa"/>
            <w:vMerge w:val="restart"/>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center"/>
          </w:tcPr>
          <w:p w14:paraId="7A696755"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Net Sales/ Average Total Sales</w:t>
            </w:r>
          </w:p>
        </w:tc>
        <w:tc>
          <w:tcPr>
            <w:tcW w:w="22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8AE1FD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Total revenue</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B084D9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6738</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895E64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6441</w:t>
            </w:r>
          </w:p>
        </w:tc>
      </w:tr>
      <w:tr w:rsidR="00196218" w:rsidRPr="00856B56" w14:paraId="6886686E" w14:textId="77777777" w:rsidTr="003147A9">
        <w:trPr>
          <w:trHeight w:val="345"/>
          <w:jc w:val="center"/>
        </w:trPr>
        <w:tc>
          <w:tcPr>
            <w:tcW w:w="139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7F3407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76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9FC941B"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2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9CAB43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Total asset</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07064B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9736</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2D5A0C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10087</w:t>
            </w:r>
          </w:p>
        </w:tc>
      </w:tr>
      <w:tr w:rsidR="00196218" w:rsidRPr="00856B56" w14:paraId="277F59C4" w14:textId="77777777" w:rsidTr="003147A9">
        <w:trPr>
          <w:trHeight w:val="345"/>
          <w:jc w:val="center"/>
        </w:trPr>
        <w:tc>
          <w:tcPr>
            <w:tcW w:w="139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7613841"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76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7B7C57E"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25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0204F3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Average total asset</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28C902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9912</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584175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5043.5</w:t>
            </w:r>
          </w:p>
        </w:tc>
      </w:tr>
      <w:tr w:rsidR="00196218" w:rsidRPr="00856B56" w14:paraId="27ECE9FA" w14:textId="77777777" w:rsidTr="003147A9">
        <w:trPr>
          <w:trHeight w:val="345"/>
          <w:jc w:val="center"/>
        </w:trPr>
        <w:tc>
          <w:tcPr>
            <w:tcW w:w="139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BA377C9"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76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9375414"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25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4AA158F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Asset Turnover Ratio</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2ADF8D9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0.6798</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5D47D61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1.2771</w:t>
            </w:r>
          </w:p>
        </w:tc>
      </w:tr>
    </w:tbl>
    <w:p w14:paraId="46D8E972"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7: Asset Turnover</w:t>
      </w:r>
    </w:p>
    <w:p w14:paraId="0A809B26"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02CCC764"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lastRenderedPageBreak/>
        <w:t xml:space="preserve">In the analysis this is observed, the total revenue is 6738 and 6441. The total assets are 9736 and 10087. The asset Turnover Ratio can measure the efficiency of a company. The Asset turnover of Sweet Plc is 1.2771 and 0.6798 for 2020 and 2021 respectively. 2020 is better in this comparison. </w:t>
      </w:r>
    </w:p>
    <w:p w14:paraId="0509FEDB"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i/>
          <w:sz w:val="24"/>
          <w:szCs w:val="24"/>
        </w:rPr>
      </w:pPr>
      <w:r w:rsidRPr="00856B56">
        <w:rPr>
          <w:rFonts w:ascii="Times New Roman" w:eastAsia="Times New Roman" w:hAnsi="Times New Roman" w:cs="Times New Roman"/>
          <w:b/>
          <w:sz w:val="24"/>
          <w:szCs w:val="24"/>
        </w:rPr>
        <w:t xml:space="preserve"> Stock holding days</w:t>
      </w:r>
    </w:p>
    <w:tbl>
      <w:tblPr>
        <w:tblStyle w:val="Table8"/>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65"/>
        <w:gridCol w:w="3990"/>
        <w:gridCol w:w="1905"/>
        <w:gridCol w:w="870"/>
        <w:gridCol w:w="900"/>
      </w:tblGrid>
      <w:tr w:rsidR="00196218" w:rsidRPr="00856B56" w14:paraId="58649C64" w14:textId="77777777" w:rsidTr="003147A9">
        <w:trPr>
          <w:trHeight w:val="345"/>
          <w:jc w:val="center"/>
        </w:trPr>
        <w:tc>
          <w:tcPr>
            <w:tcW w:w="136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B82BB8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99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160FBB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190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0A5190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7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8BD3BC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9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EAB9AF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04CF4403" w14:textId="77777777" w:rsidTr="003147A9">
        <w:trPr>
          <w:trHeight w:val="345"/>
          <w:jc w:val="center"/>
        </w:trPr>
        <w:tc>
          <w:tcPr>
            <w:tcW w:w="1365"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26D09E0B"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Stock holding days</w:t>
            </w:r>
          </w:p>
        </w:tc>
        <w:tc>
          <w:tcPr>
            <w:tcW w:w="3990" w:type="dxa"/>
            <w:vMerge w:val="restart"/>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center"/>
          </w:tcPr>
          <w:p w14:paraId="2C4BCD2F"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(Closing Stock/ Cost of Goods Sold )*365</w:t>
            </w:r>
          </w:p>
        </w:tc>
        <w:tc>
          <w:tcPr>
            <w:tcW w:w="19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730B5EF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Closing stock</w:t>
            </w:r>
          </w:p>
        </w:tc>
        <w:tc>
          <w:tcPr>
            <w:tcW w:w="87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646E9D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708</w:t>
            </w:r>
          </w:p>
        </w:tc>
        <w:tc>
          <w:tcPr>
            <w:tcW w:w="90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986D61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659</w:t>
            </w:r>
          </w:p>
        </w:tc>
      </w:tr>
      <w:tr w:rsidR="00196218" w:rsidRPr="00856B56" w14:paraId="1147B87C" w14:textId="77777777" w:rsidTr="003147A9">
        <w:trPr>
          <w:trHeight w:val="345"/>
          <w:jc w:val="center"/>
        </w:trPr>
        <w:tc>
          <w:tcPr>
            <w:tcW w:w="136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E70E7E8"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99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C7D6753"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19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1F1D64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Cost of goods sold</w:t>
            </w:r>
          </w:p>
        </w:tc>
        <w:tc>
          <w:tcPr>
            <w:tcW w:w="87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5B58C9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3235</w:t>
            </w:r>
          </w:p>
        </w:tc>
        <w:tc>
          <w:tcPr>
            <w:tcW w:w="90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0DFB5A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3096</w:t>
            </w:r>
          </w:p>
        </w:tc>
      </w:tr>
      <w:tr w:rsidR="00196218" w:rsidRPr="00856B56" w14:paraId="21980D95" w14:textId="77777777" w:rsidTr="003147A9">
        <w:trPr>
          <w:trHeight w:val="345"/>
          <w:jc w:val="center"/>
        </w:trPr>
        <w:tc>
          <w:tcPr>
            <w:tcW w:w="136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77D1C1B"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99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5ABEDFB"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190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0FD59C8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Stock holding days</w:t>
            </w:r>
          </w:p>
        </w:tc>
        <w:tc>
          <w:tcPr>
            <w:tcW w:w="87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0E3124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79.8825</w:t>
            </w:r>
          </w:p>
        </w:tc>
        <w:tc>
          <w:tcPr>
            <w:tcW w:w="90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7240235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77.6922</w:t>
            </w:r>
          </w:p>
        </w:tc>
      </w:tr>
    </w:tbl>
    <w:p w14:paraId="614DCC4B"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8: Stock holding days</w:t>
      </w:r>
    </w:p>
    <w:p w14:paraId="00A337CF"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10A0BC85"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Stock turnover also can measure the efficiency of a company. In the analysis, the closing stock is 659 and 708 for 2020 and 2021 respectively. The cost of goods sold is also seen as 3096 and 3235. The stock holding days are estimated as 77.6922 in 2020 and 79.8825 in 2021. In comparing both of the statements the year 2021 can be preferred. </w:t>
      </w:r>
    </w:p>
    <w:p w14:paraId="016CF644"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Debtor collection period</w:t>
      </w:r>
    </w:p>
    <w:tbl>
      <w:tblPr>
        <w:tblStyle w:val="Table9"/>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10"/>
        <w:gridCol w:w="3570"/>
        <w:gridCol w:w="2205"/>
        <w:gridCol w:w="915"/>
        <w:gridCol w:w="930"/>
      </w:tblGrid>
      <w:tr w:rsidR="00196218" w:rsidRPr="00856B56" w14:paraId="16DE37F0" w14:textId="77777777" w:rsidTr="003147A9">
        <w:trPr>
          <w:trHeight w:val="345"/>
          <w:jc w:val="center"/>
        </w:trPr>
        <w:tc>
          <w:tcPr>
            <w:tcW w:w="14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C30334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57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02D1A0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220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D4D693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91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DC9826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93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69C57B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5FDE5BCE" w14:textId="77777777" w:rsidTr="003147A9">
        <w:trPr>
          <w:trHeight w:val="345"/>
          <w:jc w:val="center"/>
        </w:trPr>
        <w:tc>
          <w:tcPr>
            <w:tcW w:w="1410"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6614C2F5"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Debtors collection period</w:t>
            </w:r>
          </w:p>
        </w:tc>
        <w:tc>
          <w:tcPr>
            <w:tcW w:w="3570" w:type="dxa"/>
            <w:vMerge w:val="restart"/>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center"/>
          </w:tcPr>
          <w:p w14:paraId="458829DD"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365 days/ Account Receivable Turnover</w:t>
            </w:r>
          </w:p>
        </w:tc>
        <w:tc>
          <w:tcPr>
            <w:tcW w:w="22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3BADC9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The amount owed by Debtors</w:t>
            </w:r>
          </w:p>
        </w:tc>
        <w:tc>
          <w:tcPr>
            <w:tcW w:w="91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2ADC73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1249</w:t>
            </w:r>
          </w:p>
        </w:tc>
        <w:tc>
          <w:tcPr>
            <w:tcW w:w="93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FBFE5C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1287</w:t>
            </w:r>
          </w:p>
        </w:tc>
      </w:tr>
      <w:tr w:rsidR="00196218" w:rsidRPr="00856B56" w14:paraId="1A3F92A9" w14:textId="77777777" w:rsidTr="003147A9">
        <w:trPr>
          <w:trHeight w:val="345"/>
          <w:jc w:val="center"/>
        </w:trPr>
        <w:tc>
          <w:tcPr>
            <w:tcW w:w="141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074E93D"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57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024CF9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2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F3C5BE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Credit sales</w:t>
            </w:r>
          </w:p>
        </w:tc>
        <w:tc>
          <w:tcPr>
            <w:tcW w:w="91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99D648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6738</w:t>
            </w:r>
          </w:p>
        </w:tc>
        <w:tc>
          <w:tcPr>
            <w:tcW w:w="93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627A70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6441</w:t>
            </w:r>
          </w:p>
        </w:tc>
      </w:tr>
      <w:tr w:rsidR="00196218" w:rsidRPr="00856B56" w14:paraId="2E729D71" w14:textId="77777777" w:rsidTr="003147A9">
        <w:trPr>
          <w:trHeight w:val="345"/>
          <w:jc w:val="center"/>
        </w:trPr>
        <w:tc>
          <w:tcPr>
            <w:tcW w:w="141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3EA0C14"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57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4DE14F7"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20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26D6F5F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Debtors Collection Period</w:t>
            </w:r>
          </w:p>
        </w:tc>
        <w:tc>
          <w:tcPr>
            <w:tcW w:w="91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FA6BAF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67.6588</w:t>
            </w:r>
          </w:p>
        </w:tc>
        <w:tc>
          <w:tcPr>
            <w:tcW w:w="93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5A5FF62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72.9320</w:t>
            </w:r>
          </w:p>
        </w:tc>
      </w:tr>
    </w:tbl>
    <w:p w14:paraId="7E0ED422"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9: Debtors Collection Period</w:t>
      </w:r>
    </w:p>
    <w:p w14:paraId="19ED259F"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39C9159C"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This ratio also can define the efficiency of a company. The analysis of the debtor collection period tells that the amount owned by the debtors is 1287 and 1249 for 2020 and 2021 respectively. The credit sales in the company are 6441 and 6738. The debtor collection period formula is 72.9320 and 67.6588 for 2020 and 2021 respectively. The calculation says that the year 2020 is better for debt collections. </w:t>
      </w:r>
    </w:p>
    <w:p w14:paraId="724EDB22"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lastRenderedPageBreak/>
        <w:t>Current Ratio</w:t>
      </w:r>
    </w:p>
    <w:tbl>
      <w:tblPr>
        <w:tblStyle w:val="Table10"/>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3885"/>
        <w:gridCol w:w="2025"/>
        <w:gridCol w:w="810"/>
        <w:gridCol w:w="810"/>
      </w:tblGrid>
      <w:tr w:rsidR="00196218" w:rsidRPr="00856B56" w14:paraId="7628FEC8" w14:textId="77777777" w:rsidTr="003147A9">
        <w:trPr>
          <w:trHeight w:val="345"/>
          <w:jc w:val="center"/>
        </w:trPr>
        <w:tc>
          <w:tcPr>
            <w:tcW w:w="150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639A2E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388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C2B8C5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202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DB42C0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4096EB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10"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8E862F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64780B41" w14:textId="77777777" w:rsidTr="003147A9">
        <w:trPr>
          <w:trHeight w:val="345"/>
          <w:jc w:val="center"/>
        </w:trPr>
        <w:tc>
          <w:tcPr>
            <w:tcW w:w="1500"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1DC33E30"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Current ratio</w:t>
            </w:r>
          </w:p>
        </w:tc>
        <w:tc>
          <w:tcPr>
            <w:tcW w:w="3885" w:type="dxa"/>
            <w:vMerge w:val="restart"/>
            <w:tcBorders>
              <w:top w:val="single" w:sz="12" w:space="0" w:color="000000"/>
              <w:left w:val="single" w:sz="12" w:space="0" w:color="000000"/>
              <w:bottom w:val="single" w:sz="12" w:space="0" w:color="000000"/>
              <w:right w:val="single" w:sz="12" w:space="0" w:color="000000"/>
            </w:tcBorders>
            <w:shd w:val="clear" w:color="auto" w:fill="A4C2F4"/>
            <w:tcMar>
              <w:top w:w="40" w:type="dxa"/>
              <w:left w:w="40" w:type="dxa"/>
              <w:bottom w:w="40" w:type="dxa"/>
              <w:right w:w="40" w:type="dxa"/>
            </w:tcMar>
            <w:vAlign w:val="center"/>
          </w:tcPr>
          <w:p w14:paraId="663570E8"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Current Asset/ Current Liabilities</w:t>
            </w:r>
          </w:p>
        </w:tc>
        <w:tc>
          <w:tcPr>
            <w:tcW w:w="202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B395A5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Current Assets</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24B57DA"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2303</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F76326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2355</w:t>
            </w:r>
          </w:p>
        </w:tc>
      </w:tr>
      <w:tr w:rsidR="00196218" w:rsidRPr="00856B56" w14:paraId="01506383" w14:textId="77777777" w:rsidTr="003147A9">
        <w:trPr>
          <w:trHeight w:val="345"/>
          <w:jc w:val="center"/>
        </w:trPr>
        <w:tc>
          <w:tcPr>
            <w:tcW w:w="150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C54B026"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88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7F6A575"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02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C36328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Current Liabilities</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63D214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2511</w:t>
            </w:r>
          </w:p>
        </w:tc>
        <w:tc>
          <w:tcPr>
            <w:tcW w:w="810"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232C8D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3046</w:t>
            </w:r>
          </w:p>
        </w:tc>
      </w:tr>
      <w:tr w:rsidR="00196218" w:rsidRPr="00856B56" w14:paraId="6DA32B81" w14:textId="77777777" w:rsidTr="003147A9">
        <w:trPr>
          <w:trHeight w:val="345"/>
          <w:jc w:val="center"/>
        </w:trPr>
        <w:tc>
          <w:tcPr>
            <w:tcW w:w="1500"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40645ED"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3885"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FB54473"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202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680FF3A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Current Ratio</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47045D8F"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0.9172</w:t>
            </w:r>
          </w:p>
        </w:tc>
        <w:tc>
          <w:tcPr>
            <w:tcW w:w="810"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0D8620C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0.7731</w:t>
            </w:r>
          </w:p>
        </w:tc>
      </w:tr>
    </w:tbl>
    <w:p w14:paraId="27C8F830"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10: Current Ratio</w:t>
      </w:r>
    </w:p>
    <w:p w14:paraId="63E61AE2" w14:textId="77777777" w:rsidR="00196218" w:rsidRPr="00856B56" w:rsidRDefault="00000000" w:rsidP="003147A9">
      <w:pPr>
        <w:pStyle w:val="Normal1"/>
        <w:spacing w:line="360" w:lineRule="auto"/>
        <w:jc w:val="center"/>
        <w:rPr>
          <w:rFonts w:ascii="Times New Roman" w:eastAsia="Times New Roman" w:hAnsi="Times New Roman" w:cs="Times New Roman"/>
          <w:sz w:val="24"/>
          <w:szCs w:val="24"/>
        </w:rPr>
      </w:pPr>
      <w:r w:rsidRPr="00856B56">
        <w:rPr>
          <w:rFonts w:ascii="Times New Roman" w:eastAsia="Times New Roman" w:hAnsi="Times New Roman" w:cs="Times New Roman"/>
          <w:i/>
          <w:sz w:val="24"/>
          <w:szCs w:val="24"/>
        </w:rPr>
        <w:t>(Source: Self-generated, 2023)</w:t>
      </w:r>
    </w:p>
    <w:p w14:paraId="0DA23AF4"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In the calculator of the current ratio, it is observed that the current assets in 2020 and 2021 are 2355 and 2303 for 2020 and 2021 respectively. The company's current liabilities are 3046 and 2511 for 2020 and 2021 respectively. By dividing the current asset by the current liability the current ratio is calculated. In the year 2020, the current ratio is 0.7731. In the year 2021, the current ratio is calculated as 0.9172. The current ratio can explain the liquidity of a company. </w:t>
      </w:r>
    </w:p>
    <w:p w14:paraId="23BC56DE"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Gearing ratio</w:t>
      </w:r>
    </w:p>
    <w:tbl>
      <w:tblPr>
        <w:tblStyle w:val="Table11"/>
        <w:tblW w:w="90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15"/>
        <w:gridCol w:w="4144"/>
        <w:gridCol w:w="1757"/>
        <w:gridCol w:w="805"/>
        <w:gridCol w:w="805"/>
      </w:tblGrid>
      <w:tr w:rsidR="00196218" w:rsidRPr="00856B56" w14:paraId="239552B9" w14:textId="77777777" w:rsidTr="003147A9">
        <w:trPr>
          <w:trHeight w:val="345"/>
          <w:jc w:val="center"/>
        </w:trPr>
        <w:tc>
          <w:tcPr>
            <w:tcW w:w="1514"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0B5D4D4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4142"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56A735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1756"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2FD77C37"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0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78C518E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0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C5853D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35466D03" w14:textId="77777777" w:rsidTr="003147A9">
        <w:trPr>
          <w:trHeight w:val="345"/>
          <w:jc w:val="center"/>
        </w:trPr>
        <w:tc>
          <w:tcPr>
            <w:tcW w:w="1514"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32934119"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Gearing ratio</w:t>
            </w:r>
          </w:p>
        </w:tc>
        <w:tc>
          <w:tcPr>
            <w:tcW w:w="4142" w:type="dxa"/>
            <w:vMerge w:val="restart"/>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center"/>
          </w:tcPr>
          <w:p w14:paraId="56353745"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Total Debt/Total Equity or EBIT/Total interest or Total debt/ Total assets</w:t>
            </w:r>
          </w:p>
        </w:tc>
        <w:tc>
          <w:tcPr>
            <w:tcW w:w="1756"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2962E1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Loans or Borrowings</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672913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4137</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54394CD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4129</w:t>
            </w:r>
          </w:p>
        </w:tc>
      </w:tr>
      <w:tr w:rsidR="00196218" w:rsidRPr="00856B56" w14:paraId="3461AEBF" w14:textId="77777777" w:rsidTr="003147A9">
        <w:trPr>
          <w:trHeight w:val="345"/>
          <w:jc w:val="center"/>
        </w:trPr>
        <w:tc>
          <w:tcPr>
            <w:tcW w:w="1514"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9D0E4CD"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4142"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DE68F13"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1756"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610B966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Shareholders' Equity</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494F63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3088</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31B62978"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2912</w:t>
            </w:r>
          </w:p>
        </w:tc>
      </w:tr>
      <w:tr w:rsidR="00196218" w:rsidRPr="00856B56" w14:paraId="7FDE54FD" w14:textId="77777777" w:rsidTr="003147A9">
        <w:trPr>
          <w:trHeight w:val="345"/>
          <w:jc w:val="center"/>
        </w:trPr>
        <w:tc>
          <w:tcPr>
            <w:tcW w:w="1514"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2799A2C"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4142"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E1C5A16"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1756"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0B8B82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Gearing Ratio</w:t>
            </w:r>
          </w:p>
        </w:tc>
        <w:tc>
          <w:tcPr>
            <w:tcW w:w="80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97CEEC2"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1.3397</w:t>
            </w:r>
          </w:p>
        </w:tc>
        <w:tc>
          <w:tcPr>
            <w:tcW w:w="80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68E04C5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1.4179</w:t>
            </w:r>
          </w:p>
        </w:tc>
      </w:tr>
    </w:tbl>
    <w:p w14:paraId="0F6F5983"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11: Gearing Ratio</w:t>
      </w:r>
    </w:p>
    <w:p w14:paraId="3DC9A3C6"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7B9CAAB5" w14:textId="77777777" w:rsidR="00196218" w:rsidRPr="00856B56" w:rsidRDefault="00196218" w:rsidP="00856B56">
      <w:pPr>
        <w:pStyle w:val="Normal1"/>
        <w:spacing w:line="360" w:lineRule="auto"/>
        <w:jc w:val="both"/>
        <w:rPr>
          <w:rFonts w:ascii="Times New Roman" w:eastAsia="Times New Roman" w:hAnsi="Times New Roman" w:cs="Times New Roman"/>
          <w:sz w:val="24"/>
          <w:szCs w:val="24"/>
        </w:rPr>
      </w:pPr>
    </w:p>
    <w:p w14:paraId="444DE268"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In estimating the gearing ratio the borrowing and loans in both years are 4129 and 4137. In the company, the shareholder's equity has been estimated as 2912 and 3088.  In this company, the gearing ratio in 2020 is 1.4179. In the year 2021, it is 1.3397. 2020 gain the advantage in the gearing ratio. </w:t>
      </w:r>
    </w:p>
    <w:p w14:paraId="7AF384F9" w14:textId="77777777" w:rsidR="00196218" w:rsidRPr="00856B56" w:rsidRDefault="00000000" w:rsidP="00856B56">
      <w:pPr>
        <w:pStyle w:val="Normal1"/>
        <w:numPr>
          <w:ilvl w:val="0"/>
          <w:numId w:val="1"/>
        </w:numPr>
        <w:spacing w:line="360" w:lineRule="auto"/>
        <w:jc w:val="both"/>
        <w:rPr>
          <w:rFonts w:ascii="Times New Roman" w:eastAsia="Times New Roman" w:hAnsi="Times New Roman" w:cs="Times New Roman"/>
          <w:b/>
          <w:i/>
          <w:sz w:val="24"/>
          <w:szCs w:val="24"/>
        </w:rPr>
      </w:pPr>
      <w:r w:rsidRPr="00856B56">
        <w:rPr>
          <w:rFonts w:ascii="Times New Roman" w:eastAsia="Times New Roman" w:hAnsi="Times New Roman" w:cs="Times New Roman"/>
          <w:b/>
          <w:i/>
          <w:sz w:val="24"/>
          <w:szCs w:val="24"/>
        </w:rPr>
        <w:t>Interest cover</w:t>
      </w:r>
    </w:p>
    <w:tbl>
      <w:tblPr>
        <w:tblStyle w:val="Table12"/>
        <w:tblW w:w="90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15"/>
        <w:gridCol w:w="4144"/>
        <w:gridCol w:w="1757"/>
        <w:gridCol w:w="805"/>
        <w:gridCol w:w="805"/>
      </w:tblGrid>
      <w:tr w:rsidR="00196218" w:rsidRPr="00856B56" w14:paraId="754D6F65" w14:textId="77777777" w:rsidTr="003147A9">
        <w:trPr>
          <w:trHeight w:val="345"/>
          <w:jc w:val="center"/>
        </w:trPr>
        <w:tc>
          <w:tcPr>
            <w:tcW w:w="1514"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6B41327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Ratio</w:t>
            </w:r>
          </w:p>
        </w:tc>
        <w:tc>
          <w:tcPr>
            <w:tcW w:w="4142"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3F39587E"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Formula</w:t>
            </w:r>
          </w:p>
        </w:tc>
        <w:tc>
          <w:tcPr>
            <w:tcW w:w="1756"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1604B736"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Particulars</w:t>
            </w:r>
          </w:p>
        </w:tc>
        <w:tc>
          <w:tcPr>
            <w:tcW w:w="80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4DF55980"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2021</w:t>
            </w:r>
          </w:p>
        </w:tc>
        <w:tc>
          <w:tcPr>
            <w:tcW w:w="805" w:type="dxa"/>
            <w:tcBorders>
              <w:top w:val="single" w:sz="12" w:space="0" w:color="000000"/>
              <w:left w:val="single" w:sz="12" w:space="0" w:color="000000"/>
              <w:bottom w:val="single" w:sz="12" w:space="0" w:color="000000"/>
              <w:right w:val="single" w:sz="12" w:space="0" w:color="000000"/>
            </w:tcBorders>
            <w:shd w:val="clear" w:color="auto" w:fill="F9F97B"/>
            <w:tcMar>
              <w:top w:w="40" w:type="dxa"/>
              <w:left w:w="40" w:type="dxa"/>
              <w:bottom w:w="40" w:type="dxa"/>
              <w:right w:w="40" w:type="dxa"/>
            </w:tcMar>
            <w:vAlign w:val="bottom"/>
          </w:tcPr>
          <w:p w14:paraId="587756E5"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2020</w:t>
            </w:r>
          </w:p>
        </w:tc>
      </w:tr>
      <w:tr w:rsidR="00196218" w:rsidRPr="00856B56" w14:paraId="5B656E86" w14:textId="77777777" w:rsidTr="003147A9">
        <w:trPr>
          <w:trHeight w:val="345"/>
          <w:jc w:val="center"/>
        </w:trPr>
        <w:tc>
          <w:tcPr>
            <w:tcW w:w="1514" w:type="dxa"/>
            <w:vMerge w:val="restart"/>
            <w:tcBorders>
              <w:top w:val="single" w:sz="12" w:space="0" w:color="000000"/>
              <w:left w:val="single" w:sz="12" w:space="0" w:color="000000"/>
              <w:bottom w:val="single" w:sz="12" w:space="0" w:color="000000"/>
              <w:right w:val="single" w:sz="12" w:space="0" w:color="000000"/>
            </w:tcBorders>
            <w:shd w:val="clear" w:color="auto" w:fill="E6B8AF"/>
            <w:tcMar>
              <w:top w:w="40" w:type="dxa"/>
              <w:left w:w="40" w:type="dxa"/>
              <w:bottom w:w="40" w:type="dxa"/>
              <w:right w:w="40" w:type="dxa"/>
            </w:tcMar>
            <w:vAlign w:val="center"/>
          </w:tcPr>
          <w:p w14:paraId="36B77E96"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Interest cover</w:t>
            </w:r>
          </w:p>
        </w:tc>
        <w:tc>
          <w:tcPr>
            <w:tcW w:w="4142" w:type="dxa"/>
            <w:vMerge w:val="restart"/>
            <w:tcBorders>
              <w:top w:val="single" w:sz="12" w:space="0" w:color="000000"/>
              <w:left w:val="single" w:sz="12" w:space="0" w:color="000000"/>
              <w:bottom w:val="single" w:sz="12" w:space="0" w:color="000000"/>
              <w:right w:val="single" w:sz="12" w:space="0" w:color="000000"/>
            </w:tcBorders>
            <w:shd w:val="clear" w:color="auto" w:fill="9FC5E8"/>
            <w:tcMar>
              <w:top w:w="40" w:type="dxa"/>
              <w:left w:w="40" w:type="dxa"/>
              <w:bottom w:w="40" w:type="dxa"/>
              <w:right w:w="40" w:type="dxa"/>
            </w:tcMar>
            <w:vAlign w:val="center"/>
          </w:tcPr>
          <w:p w14:paraId="388014F0" w14:textId="77777777" w:rsidR="00196218" w:rsidRPr="00856B56" w:rsidRDefault="00000000" w:rsidP="003147A9">
            <w:pPr>
              <w:pStyle w:val="Normal1"/>
              <w:widowControl w:val="0"/>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 xml:space="preserve">EBIT for the period/Total interest paid </w:t>
            </w:r>
            <w:r w:rsidRPr="00856B56">
              <w:rPr>
                <w:rFonts w:ascii="Times New Roman" w:eastAsia="Times New Roman" w:hAnsi="Times New Roman" w:cs="Times New Roman"/>
                <w:b/>
                <w:sz w:val="24"/>
                <w:szCs w:val="24"/>
              </w:rPr>
              <w:lastRenderedPageBreak/>
              <w:t>for the period</w:t>
            </w:r>
          </w:p>
        </w:tc>
        <w:tc>
          <w:tcPr>
            <w:tcW w:w="1756"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4B009D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lastRenderedPageBreak/>
              <w:t>EBIT</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1077327D"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805</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47D898A9"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699</w:t>
            </w:r>
          </w:p>
        </w:tc>
      </w:tr>
      <w:tr w:rsidR="00196218" w:rsidRPr="00856B56" w14:paraId="0133BE43" w14:textId="77777777" w:rsidTr="003147A9">
        <w:trPr>
          <w:trHeight w:val="345"/>
          <w:jc w:val="center"/>
        </w:trPr>
        <w:tc>
          <w:tcPr>
            <w:tcW w:w="1514"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D4DF06E"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4142"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20D9F6E"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1756"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FA9EEEB"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Interest Paid</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253F6A71"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226</w:t>
            </w:r>
          </w:p>
        </w:tc>
        <w:tc>
          <w:tcPr>
            <w:tcW w:w="805" w:type="dxa"/>
            <w:tcBorders>
              <w:top w:val="single" w:sz="12" w:space="0" w:color="000000"/>
              <w:left w:val="single" w:sz="12" w:space="0" w:color="000000"/>
              <w:bottom w:val="single" w:sz="12" w:space="0" w:color="000000"/>
              <w:right w:val="single" w:sz="12" w:space="0" w:color="000000"/>
            </w:tcBorders>
            <w:shd w:val="clear" w:color="auto" w:fill="ADF582"/>
            <w:tcMar>
              <w:top w:w="40" w:type="dxa"/>
              <w:left w:w="40" w:type="dxa"/>
              <w:bottom w:w="40" w:type="dxa"/>
              <w:right w:w="40" w:type="dxa"/>
            </w:tcMar>
            <w:vAlign w:val="bottom"/>
          </w:tcPr>
          <w:p w14:paraId="0CE325F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sz w:val="24"/>
                <w:szCs w:val="24"/>
              </w:rPr>
              <w:t>181</w:t>
            </w:r>
          </w:p>
        </w:tc>
      </w:tr>
      <w:tr w:rsidR="00196218" w:rsidRPr="00856B56" w14:paraId="6E1D9A0A" w14:textId="77777777" w:rsidTr="003147A9">
        <w:trPr>
          <w:trHeight w:val="345"/>
          <w:jc w:val="center"/>
        </w:trPr>
        <w:tc>
          <w:tcPr>
            <w:tcW w:w="1514"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916C1CB"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4142" w:type="dxa"/>
            <w:vMerge/>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9155E17" w14:textId="77777777" w:rsidR="00196218" w:rsidRPr="00856B56" w:rsidRDefault="00196218" w:rsidP="003147A9">
            <w:pPr>
              <w:pStyle w:val="Normal1"/>
              <w:widowControl w:val="0"/>
              <w:spacing w:line="360" w:lineRule="auto"/>
              <w:jc w:val="center"/>
              <w:rPr>
                <w:rFonts w:ascii="Times New Roman" w:hAnsi="Times New Roman" w:cs="Times New Roman"/>
                <w:sz w:val="24"/>
                <w:szCs w:val="24"/>
              </w:rPr>
            </w:pPr>
          </w:p>
        </w:tc>
        <w:tc>
          <w:tcPr>
            <w:tcW w:w="1756"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03C77964"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Interest Cover</w:t>
            </w:r>
          </w:p>
        </w:tc>
        <w:tc>
          <w:tcPr>
            <w:tcW w:w="80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688AD6C"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3.5619</w:t>
            </w:r>
          </w:p>
        </w:tc>
        <w:tc>
          <w:tcPr>
            <w:tcW w:w="805" w:type="dxa"/>
            <w:tcBorders>
              <w:top w:val="single" w:sz="12" w:space="0" w:color="000000"/>
              <w:left w:val="single" w:sz="12" w:space="0" w:color="000000"/>
              <w:bottom w:val="single" w:sz="12" w:space="0" w:color="000000"/>
              <w:right w:val="single" w:sz="12" w:space="0" w:color="000000"/>
            </w:tcBorders>
            <w:shd w:val="clear" w:color="auto" w:fill="EDC686"/>
            <w:tcMar>
              <w:top w:w="40" w:type="dxa"/>
              <w:left w:w="40" w:type="dxa"/>
              <w:bottom w:w="40" w:type="dxa"/>
              <w:right w:w="40" w:type="dxa"/>
            </w:tcMar>
            <w:vAlign w:val="bottom"/>
          </w:tcPr>
          <w:p w14:paraId="1471D5A3" w14:textId="77777777" w:rsidR="00196218" w:rsidRPr="00856B56" w:rsidRDefault="00000000" w:rsidP="003147A9">
            <w:pPr>
              <w:pStyle w:val="Normal1"/>
              <w:widowControl w:val="0"/>
              <w:spacing w:line="360" w:lineRule="auto"/>
              <w:jc w:val="center"/>
              <w:rPr>
                <w:rFonts w:ascii="Times New Roman" w:hAnsi="Times New Roman" w:cs="Times New Roman"/>
                <w:sz w:val="24"/>
                <w:szCs w:val="24"/>
              </w:rPr>
            </w:pPr>
            <w:r w:rsidRPr="00856B56">
              <w:rPr>
                <w:rFonts w:ascii="Times New Roman" w:eastAsia="Times New Roman" w:hAnsi="Times New Roman" w:cs="Times New Roman"/>
                <w:b/>
                <w:sz w:val="24"/>
                <w:szCs w:val="24"/>
              </w:rPr>
              <w:t>3.8619</w:t>
            </w:r>
          </w:p>
        </w:tc>
      </w:tr>
    </w:tbl>
    <w:p w14:paraId="00AB6AF2" w14:textId="77777777" w:rsidR="00196218" w:rsidRPr="00856B56" w:rsidRDefault="00000000" w:rsidP="003147A9">
      <w:pPr>
        <w:pStyle w:val="Normal1"/>
        <w:spacing w:line="360" w:lineRule="auto"/>
        <w:jc w:val="center"/>
        <w:rPr>
          <w:rFonts w:ascii="Times New Roman" w:eastAsia="Times New Roman" w:hAnsi="Times New Roman" w:cs="Times New Roman"/>
          <w:b/>
          <w:sz w:val="24"/>
          <w:szCs w:val="24"/>
        </w:rPr>
      </w:pPr>
      <w:r w:rsidRPr="00856B56">
        <w:rPr>
          <w:rFonts w:ascii="Times New Roman" w:eastAsia="Times New Roman" w:hAnsi="Times New Roman" w:cs="Times New Roman"/>
          <w:b/>
          <w:sz w:val="24"/>
          <w:szCs w:val="24"/>
        </w:rPr>
        <w:t>Table 12: Interest Cover</w:t>
      </w:r>
    </w:p>
    <w:p w14:paraId="4B327C63" w14:textId="77777777" w:rsidR="00196218" w:rsidRPr="00856B56" w:rsidRDefault="00000000" w:rsidP="003147A9">
      <w:pPr>
        <w:pStyle w:val="Normal1"/>
        <w:spacing w:line="360" w:lineRule="auto"/>
        <w:jc w:val="center"/>
        <w:rPr>
          <w:rFonts w:ascii="Times New Roman" w:eastAsia="Times New Roman" w:hAnsi="Times New Roman" w:cs="Times New Roman"/>
          <w:i/>
          <w:sz w:val="24"/>
          <w:szCs w:val="24"/>
        </w:rPr>
      </w:pPr>
      <w:r w:rsidRPr="00856B56">
        <w:rPr>
          <w:rFonts w:ascii="Times New Roman" w:eastAsia="Times New Roman" w:hAnsi="Times New Roman" w:cs="Times New Roman"/>
          <w:i/>
          <w:sz w:val="24"/>
          <w:szCs w:val="24"/>
        </w:rPr>
        <w:t>(Source: Self-generated, 2023)</w:t>
      </w:r>
    </w:p>
    <w:p w14:paraId="6ADABDD3"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In calculating the interest cover this is seen that the EBIT in both the years 2020 and 2021 is 699 and 805. The interest paid in the company is also estimated at 181 and 226. In making the interest cover formula it can be seen that both of the years gain their interest cover as 3.8619 and 3.5619 for 2020 and 2021 respectively. In the year 2020, the interest coverage is good for the company. </w:t>
      </w:r>
    </w:p>
    <w:p w14:paraId="64B1477A" w14:textId="77777777" w:rsidR="00196218" w:rsidRPr="00856B56" w:rsidRDefault="00000000" w:rsidP="00856B56">
      <w:pPr>
        <w:pStyle w:val="Normal1"/>
        <w:spacing w:line="360" w:lineRule="auto"/>
        <w:jc w:val="both"/>
        <w:rPr>
          <w:rFonts w:ascii="Times New Roman" w:eastAsia="Times New Roman" w:hAnsi="Times New Roman" w:cs="Times New Roman"/>
          <w:b/>
          <w:sz w:val="24"/>
          <w:szCs w:val="24"/>
          <w:u w:val="single"/>
        </w:rPr>
      </w:pPr>
      <w:r w:rsidRPr="00856B56">
        <w:rPr>
          <w:rFonts w:ascii="Times New Roman" w:eastAsia="Times New Roman" w:hAnsi="Times New Roman" w:cs="Times New Roman"/>
          <w:b/>
          <w:sz w:val="24"/>
          <w:szCs w:val="24"/>
        </w:rPr>
        <w:t>(b)</w:t>
      </w:r>
      <w:r w:rsidRPr="00856B56">
        <w:rPr>
          <w:rFonts w:ascii="Times New Roman" w:eastAsia="Times New Roman" w:hAnsi="Times New Roman" w:cs="Times New Roman"/>
          <w:b/>
          <w:sz w:val="24"/>
          <w:szCs w:val="24"/>
          <w:u w:val="single"/>
        </w:rPr>
        <w:t xml:space="preserve"> Financial position and performance of Sweet Plc</w:t>
      </w:r>
    </w:p>
    <w:p w14:paraId="00100F08" w14:textId="77777777" w:rsidR="00196218" w:rsidRPr="00856B56" w:rsidRDefault="00000000" w:rsidP="00856B56">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Analysing the above ratios of Sweet plc, it can be said that the financial position of this company is not quite satisfactory. The strategic management team of this company has to be concerned immediately about its financial position regarding its liquidity, efficiency, profitability, solvency, operation activities, risk, and other abilities.</w:t>
      </w:r>
    </w:p>
    <w:p w14:paraId="031D551D" w14:textId="77777777" w:rsidR="00196218" w:rsidRPr="00856B56" w:rsidRDefault="00000000" w:rsidP="00856B56">
      <w:pPr>
        <w:pStyle w:val="1"/>
        <w:spacing w:line="360" w:lineRule="auto"/>
        <w:jc w:val="both"/>
        <w:rPr>
          <w:rFonts w:cs="Times New Roman"/>
          <w:szCs w:val="24"/>
        </w:rPr>
      </w:pPr>
      <w:bookmarkStart w:id="3" w:name="_Toc133422359"/>
      <w:r w:rsidRPr="00856B56">
        <w:rPr>
          <w:rFonts w:cs="Times New Roman"/>
          <w:szCs w:val="24"/>
        </w:rPr>
        <w:t>Conclusion</w:t>
      </w:r>
      <w:bookmarkEnd w:id="3"/>
    </w:p>
    <w:p w14:paraId="1756FDA6" w14:textId="041F951B" w:rsidR="00196218" w:rsidRPr="00856B56" w:rsidRDefault="00000000" w:rsidP="00856B56">
      <w:pPr>
        <w:pStyle w:val="Normal1"/>
        <w:spacing w:line="360" w:lineRule="auto"/>
        <w:jc w:val="both"/>
        <w:rPr>
          <w:rFonts w:ascii="Times New Roman" w:eastAsia="Times New Roman" w:hAnsi="Times New Roman" w:cs="Times New Roman"/>
          <w:b/>
          <w:sz w:val="24"/>
          <w:szCs w:val="24"/>
        </w:rPr>
      </w:pPr>
      <w:r w:rsidRPr="00856B56">
        <w:rPr>
          <w:rFonts w:ascii="Times New Roman" w:eastAsia="Times New Roman" w:hAnsi="Times New Roman" w:cs="Times New Roman"/>
          <w:sz w:val="24"/>
          <w:szCs w:val="24"/>
        </w:rPr>
        <w:t xml:space="preserve">In the analysis of the company's financial data, there are many noticeable improvements. The income statement has defined the gross, operating, and net profit of Wales Plc. That helps to understand and improve financial activities in the future. </w:t>
      </w:r>
      <w:r w:rsidR="002722D8"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002722D8" w:rsidRPr="00856B56">
        <w:rPr>
          <w:rFonts w:ascii="Times New Roman" w:eastAsia="Times New Roman" w:hAnsi="Times New Roman" w:cs="Times New Roman"/>
          <w:sz w:val="24"/>
          <w:szCs w:val="24"/>
        </w:rPr>
        <w:t xml:space="preserve"> Statement</w:t>
      </w:r>
      <w:r w:rsidRPr="00856B56">
        <w:rPr>
          <w:rFonts w:ascii="Times New Roman" w:eastAsia="Times New Roman" w:hAnsi="Times New Roman" w:cs="Times New Roman"/>
          <w:sz w:val="24"/>
          <w:szCs w:val="24"/>
        </w:rPr>
        <w:t xml:space="preserve"> of Wales Plc has depicted the position of the assets and liabilities. Some essential ratios are calculated from the Statement of P/L and </w:t>
      </w:r>
      <w:r w:rsidR="002722D8" w:rsidRPr="00856B56">
        <w:rPr>
          <w:rFonts w:ascii="Times New Roman" w:eastAsia="Times New Roman" w:hAnsi="Times New Roman" w:cs="Times New Roman"/>
          <w:sz w:val="24"/>
          <w:szCs w:val="24"/>
        </w:rPr>
        <w:t xml:space="preserve">Financial </w:t>
      </w:r>
      <w:r w:rsidR="00E305C8" w:rsidRPr="00856B56">
        <w:rPr>
          <w:rFonts w:ascii="Times New Roman" w:eastAsia="Times New Roman" w:hAnsi="Times New Roman" w:cs="Times New Roman"/>
          <w:sz w:val="24"/>
          <w:szCs w:val="24"/>
        </w:rPr>
        <w:t>Position</w:t>
      </w:r>
      <w:r w:rsidR="002722D8" w:rsidRPr="00856B56">
        <w:rPr>
          <w:rFonts w:ascii="Times New Roman" w:eastAsia="Times New Roman" w:hAnsi="Times New Roman" w:cs="Times New Roman"/>
          <w:sz w:val="24"/>
          <w:szCs w:val="24"/>
        </w:rPr>
        <w:t xml:space="preserve"> Statement</w:t>
      </w:r>
      <w:r w:rsidRPr="00856B56">
        <w:rPr>
          <w:rFonts w:ascii="Times New Roman" w:eastAsia="Times New Roman" w:hAnsi="Times New Roman" w:cs="Times New Roman"/>
          <w:sz w:val="24"/>
          <w:szCs w:val="24"/>
        </w:rPr>
        <w:t xml:space="preserve"> of Sweet Plc. Moreover, the assessment analysed and discussed the accounting fundamentals of the two companies.</w:t>
      </w:r>
      <w:r w:rsidRPr="00856B56">
        <w:rPr>
          <w:rFonts w:ascii="Times New Roman" w:hAnsi="Times New Roman" w:cs="Times New Roman"/>
          <w:sz w:val="24"/>
          <w:szCs w:val="24"/>
        </w:rPr>
        <w:br w:type="page"/>
      </w:r>
    </w:p>
    <w:p w14:paraId="7F4D8EB4" w14:textId="77777777" w:rsidR="00196218" w:rsidRPr="00856B56" w:rsidRDefault="00000000" w:rsidP="00856B56">
      <w:pPr>
        <w:pStyle w:val="1"/>
        <w:spacing w:line="360" w:lineRule="auto"/>
        <w:jc w:val="both"/>
        <w:rPr>
          <w:rFonts w:cs="Times New Roman"/>
          <w:szCs w:val="24"/>
        </w:rPr>
      </w:pPr>
      <w:bookmarkStart w:id="4" w:name="_Toc133422360"/>
      <w:r w:rsidRPr="00856B56">
        <w:rPr>
          <w:rFonts w:cs="Times New Roman"/>
          <w:szCs w:val="24"/>
        </w:rPr>
        <w:lastRenderedPageBreak/>
        <w:t>References</w:t>
      </w:r>
      <w:bookmarkEnd w:id="4"/>
      <w:r w:rsidRPr="00856B56">
        <w:rPr>
          <w:rFonts w:cs="Times New Roman"/>
          <w:szCs w:val="24"/>
        </w:rPr>
        <w:t xml:space="preserve"> </w:t>
      </w:r>
    </w:p>
    <w:p w14:paraId="1D3055D1" w14:textId="77777777" w:rsidR="003D34BB" w:rsidRPr="00856B56" w:rsidRDefault="003D34BB" w:rsidP="003D34BB">
      <w:pPr>
        <w:pStyle w:val="Normal1"/>
        <w:spacing w:line="360" w:lineRule="auto"/>
        <w:jc w:val="both"/>
        <w:rPr>
          <w:rFonts w:ascii="Times New Roman" w:eastAsia="Times New Roman" w:hAnsi="Times New Roman" w:cs="Times New Roman"/>
          <w:sz w:val="24"/>
          <w:szCs w:val="24"/>
        </w:rPr>
      </w:pPr>
      <w:r w:rsidRPr="00856B56">
        <w:rPr>
          <w:rFonts w:ascii="Times New Roman" w:eastAsia="Times New Roman" w:hAnsi="Times New Roman" w:cs="Times New Roman"/>
          <w:sz w:val="24"/>
          <w:szCs w:val="24"/>
        </w:rPr>
        <w:t xml:space="preserve">GoCardless, (2021) </w:t>
      </w:r>
      <w:r w:rsidRPr="00856B56">
        <w:rPr>
          <w:rFonts w:ascii="Times New Roman" w:eastAsia="Times New Roman" w:hAnsi="Times New Roman" w:cs="Times New Roman"/>
          <w:i/>
          <w:sz w:val="24"/>
          <w:szCs w:val="24"/>
        </w:rPr>
        <w:t>Why does a balance sheet need to balance?</w:t>
      </w:r>
      <w:r w:rsidRPr="00856B56">
        <w:rPr>
          <w:rFonts w:ascii="Times New Roman" w:eastAsia="Times New Roman" w:hAnsi="Times New Roman" w:cs="Times New Roman"/>
          <w:sz w:val="24"/>
          <w:szCs w:val="24"/>
        </w:rPr>
        <w:t xml:space="preserve">, </w:t>
      </w:r>
      <w:r w:rsidRPr="00856B56">
        <w:rPr>
          <w:rFonts w:ascii="Times New Roman" w:eastAsia="Times New Roman" w:hAnsi="Times New Roman" w:cs="Times New Roman"/>
          <w:i/>
          <w:sz w:val="24"/>
          <w:szCs w:val="24"/>
        </w:rPr>
        <w:t>United Kingdom</w:t>
      </w:r>
      <w:r w:rsidRPr="00856B56">
        <w:rPr>
          <w:rFonts w:ascii="Times New Roman" w:eastAsia="Times New Roman" w:hAnsi="Times New Roman" w:cs="Times New Roman"/>
          <w:sz w:val="24"/>
          <w:szCs w:val="24"/>
        </w:rPr>
        <w:t xml:space="preserve">. GoCardless. Available at: https://gocardless.com/en-au/guides/posts/why-does-a-balance-sheet-need-to-balance/ (Accessed: April 26, 2023). </w:t>
      </w:r>
    </w:p>
    <w:p w14:paraId="6258E341" w14:textId="77777777" w:rsidR="003D34BB" w:rsidRPr="00856B56" w:rsidRDefault="003D34BB" w:rsidP="003D34BB">
      <w:pPr>
        <w:pStyle w:val="Normal1"/>
        <w:spacing w:line="360" w:lineRule="auto"/>
        <w:jc w:val="both"/>
        <w:rPr>
          <w:rFonts w:ascii="Times New Roman" w:eastAsia="Times New Roman" w:hAnsi="Times New Roman" w:cs="Times New Roman"/>
          <w:color w:val="222222"/>
          <w:sz w:val="24"/>
          <w:szCs w:val="24"/>
          <w:highlight w:val="white"/>
        </w:rPr>
      </w:pPr>
      <w:r w:rsidRPr="00856B56">
        <w:rPr>
          <w:rFonts w:ascii="Times New Roman" w:eastAsia="Times New Roman" w:hAnsi="Times New Roman" w:cs="Times New Roman"/>
          <w:color w:val="222222"/>
          <w:sz w:val="24"/>
          <w:szCs w:val="24"/>
          <w:highlight w:val="white"/>
        </w:rPr>
        <w:t xml:space="preserve">Huang, J., (2019). Data analysis of balance sheet and income statement. </w:t>
      </w:r>
      <w:r w:rsidRPr="00856B56">
        <w:rPr>
          <w:rFonts w:ascii="Times New Roman" w:eastAsia="Times New Roman" w:hAnsi="Times New Roman" w:cs="Times New Roman"/>
          <w:i/>
          <w:color w:val="222222"/>
          <w:sz w:val="24"/>
          <w:szCs w:val="24"/>
          <w:highlight w:val="white"/>
        </w:rPr>
        <w:t>Proceedings of Business and Economic Studies</w:t>
      </w:r>
      <w:r w:rsidRPr="00856B56">
        <w:rPr>
          <w:rFonts w:ascii="Times New Roman" w:eastAsia="Times New Roman" w:hAnsi="Times New Roman" w:cs="Times New Roman"/>
          <w:color w:val="222222"/>
          <w:sz w:val="24"/>
          <w:szCs w:val="24"/>
          <w:highlight w:val="white"/>
        </w:rPr>
        <w:t xml:space="preserve">, </w:t>
      </w:r>
      <w:r w:rsidRPr="00856B56">
        <w:rPr>
          <w:rFonts w:ascii="Times New Roman" w:eastAsia="Times New Roman" w:hAnsi="Times New Roman" w:cs="Times New Roman"/>
          <w:i/>
          <w:color w:val="222222"/>
          <w:sz w:val="24"/>
          <w:szCs w:val="24"/>
          <w:highlight w:val="white"/>
        </w:rPr>
        <w:t>2</w:t>
      </w:r>
      <w:r w:rsidRPr="00856B56">
        <w:rPr>
          <w:rFonts w:ascii="Times New Roman" w:eastAsia="Times New Roman" w:hAnsi="Times New Roman" w:cs="Times New Roman"/>
          <w:color w:val="222222"/>
          <w:sz w:val="24"/>
          <w:szCs w:val="24"/>
          <w:highlight w:val="white"/>
        </w:rPr>
        <w:t>(3).</w:t>
      </w:r>
    </w:p>
    <w:p w14:paraId="07131486" w14:textId="77777777" w:rsidR="003D34BB" w:rsidRPr="00856B56" w:rsidRDefault="003D34BB" w:rsidP="003D34BB">
      <w:pPr>
        <w:pStyle w:val="Normal1"/>
        <w:spacing w:line="360" w:lineRule="auto"/>
        <w:jc w:val="both"/>
        <w:rPr>
          <w:rFonts w:ascii="Times New Roman" w:eastAsia="Times New Roman" w:hAnsi="Times New Roman" w:cs="Times New Roman"/>
          <w:color w:val="222222"/>
          <w:sz w:val="24"/>
          <w:szCs w:val="24"/>
          <w:highlight w:val="white"/>
        </w:rPr>
      </w:pPr>
      <w:r w:rsidRPr="00856B56">
        <w:rPr>
          <w:rFonts w:ascii="Times New Roman" w:eastAsia="Times New Roman" w:hAnsi="Times New Roman" w:cs="Times New Roman"/>
          <w:color w:val="222222"/>
          <w:sz w:val="24"/>
          <w:szCs w:val="24"/>
          <w:highlight w:val="white"/>
        </w:rPr>
        <w:t xml:space="preserve">Meyer-Cirkel, A. and Huertas, G., (2021). </w:t>
      </w:r>
      <w:r w:rsidRPr="00856B56">
        <w:rPr>
          <w:rFonts w:ascii="Times New Roman" w:eastAsia="Times New Roman" w:hAnsi="Times New Roman" w:cs="Times New Roman"/>
          <w:i/>
          <w:color w:val="222222"/>
          <w:sz w:val="24"/>
          <w:szCs w:val="24"/>
          <w:highlight w:val="white"/>
        </w:rPr>
        <w:t>Balance Sheets and Debt Crises–Empirical Regularities for Modern Cases of Sovereign Distress</w:t>
      </w:r>
      <w:r w:rsidRPr="00856B56">
        <w:rPr>
          <w:rFonts w:ascii="Times New Roman" w:eastAsia="Times New Roman" w:hAnsi="Times New Roman" w:cs="Times New Roman"/>
          <w:color w:val="222222"/>
          <w:sz w:val="24"/>
          <w:szCs w:val="24"/>
          <w:highlight w:val="white"/>
        </w:rPr>
        <w:t>. International Monetary Fund.</w:t>
      </w:r>
    </w:p>
    <w:p w14:paraId="02071F57" w14:textId="77777777" w:rsidR="003D34BB" w:rsidRPr="00856B56" w:rsidRDefault="003D34BB" w:rsidP="003D34BB">
      <w:pPr>
        <w:pStyle w:val="Normal1"/>
        <w:spacing w:line="360" w:lineRule="auto"/>
        <w:jc w:val="both"/>
        <w:rPr>
          <w:rFonts w:ascii="Times New Roman" w:eastAsia="Times New Roman" w:hAnsi="Times New Roman" w:cs="Times New Roman"/>
          <w:color w:val="222222"/>
          <w:sz w:val="24"/>
          <w:szCs w:val="24"/>
          <w:highlight w:val="white"/>
        </w:rPr>
      </w:pPr>
      <w:r w:rsidRPr="00856B56">
        <w:rPr>
          <w:rFonts w:ascii="Times New Roman" w:eastAsia="Times New Roman" w:hAnsi="Times New Roman" w:cs="Times New Roman"/>
          <w:color w:val="222222"/>
          <w:sz w:val="24"/>
          <w:szCs w:val="24"/>
          <w:highlight w:val="white"/>
        </w:rPr>
        <w:t xml:space="preserve">Schmitz, J. and Leoni, G., (2019). Accounting and auditing at the time of blockchain technology: a research agenda. </w:t>
      </w:r>
      <w:r w:rsidRPr="00856B56">
        <w:rPr>
          <w:rFonts w:ascii="Times New Roman" w:eastAsia="Times New Roman" w:hAnsi="Times New Roman" w:cs="Times New Roman"/>
          <w:i/>
          <w:color w:val="222222"/>
          <w:sz w:val="24"/>
          <w:szCs w:val="24"/>
          <w:highlight w:val="white"/>
        </w:rPr>
        <w:t>Australian Accounting Review</w:t>
      </w:r>
      <w:r w:rsidRPr="00856B56">
        <w:rPr>
          <w:rFonts w:ascii="Times New Roman" w:eastAsia="Times New Roman" w:hAnsi="Times New Roman" w:cs="Times New Roman"/>
          <w:color w:val="222222"/>
          <w:sz w:val="24"/>
          <w:szCs w:val="24"/>
          <w:highlight w:val="white"/>
        </w:rPr>
        <w:t xml:space="preserve">, </w:t>
      </w:r>
      <w:r w:rsidRPr="00856B56">
        <w:rPr>
          <w:rFonts w:ascii="Times New Roman" w:eastAsia="Times New Roman" w:hAnsi="Times New Roman" w:cs="Times New Roman"/>
          <w:i/>
          <w:color w:val="222222"/>
          <w:sz w:val="24"/>
          <w:szCs w:val="24"/>
          <w:highlight w:val="white"/>
        </w:rPr>
        <w:t>29</w:t>
      </w:r>
      <w:r w:rsidRPr="00856B56">
        <w:rPr>
          <w:rFonts w:ascii="Times New Roman" w:eastAsia="Times New Roman" w:hAnsi="Times New Roman" w:cs="Times New Roman"/>
          <w:color w:val="222222"/>
          <w:sz w:val="24"/>
          <w:szCs w:val="24"/>
          <w:highlight w:val="white"/>
        </w:rPr>
        <w:t>(2), pp.331-342.</w:t>
      </w:r>
    </w:p>
    <w:p w14:paraId="664A0B18" w14:textId="77777777" w:rsidR="003D34BB" w:rsidRPr="00856B56" w:rsidRDefault="003D34BB" w:rsidP="003D34BB">
      <w:pPr>
        <w:pStyle w:val="Normal1"/>
        <w:spacing w:line="360" w:lineRule="auto"/>
        <w:jc w:val="both"/>
        <w:rPr>
          <w:rFonts w:ascii="Times New Roman" w:eastAsia="Times New Roman" w:hAnsi="Times New Roman" w:cs="Times New Roman"/>
          <w:color w:val="222222"/>
          <w:sz w:val="24"/>
          <w:szCs w:val="24"/>
          <w:highlight w:val="white"/>
        </w:rPr>
      </w:pPr>
      <w:r w:rsidRPr="00856B56">
        <w:rPr>
          <w:rFonts w:ascii="Times New Roman" w:eastAsia="Times New Roman" w:hAnsi="Times New Roman" w:cs="Times New Roman"/>
          <w:color w:val="222222"/>
          <w:sz w:val="24"/>
          <w:szCs w:val="24"/>
          <w:highlight w:val="white"/>
        </w:rPr>
        <w:t xml:space="preserve">Sweeney, O. (2023) </w:t>
      </w:r>
      <w:r w:rsidRPr="00856B56">
        <w:rPr>
          <w:rFonts w:ascii="Times New Roman" w:eastAsia="Times New Roman" w:hAnsi="Times New Roman" w:cs="Times New Roman"/>
          <w:i/>
          <w:color w:val="222222"/>
          <w:sz w:val="24"/>
          <w:szCs w:val="24"/>
          <w:highlight w:val="white"/>
        </w:rPr>
        <w:t>What are balance sheets and why are they important?</w:t>
      </w:r>
      <w:r w:rsidRPr="00856B56">
        <w:rPr>
          <w:rFonts w:ascii="Times New Roman" w:eastAsia="Times New Roman" w:hAnsi="Times New Roman" w:cs="Times New Roman"/>
          <w:color w:val="222222"/>
          <w:sz w:val="24"/>
          <w:szCs w:val="24"/>
          <w:highlight w:val="white"/>
        </w:rPr>
        <w:t xml:space="preserve">, </w:t>
      </w:r>
      <w:r w:rsidRPr="00856B56">
        <w:rPr>
          <w:rFonts w:ascii="Times New Roman" w:eastAsia="Times New Roman" w:hAnsi="Times New Roman" w:cs="Times New Roman"/>
          <w:i/>
          <w:color w:val="222222"/>
          <w:sz w:val="24"/>
          <w:szCs w:val="24"/>
          <w:highlight w:val="white"/>
        </w:rPr>
        <w:t>Sage Advice Canada English</w:t>
      </w:r>
      <w:r w:rsidRPr="00856B56">
        <w:rPr>
          <w:rFonts w:ascii="Times New Roman" w:eastAsia="Times New Roman" w:hAnsi="Times New Roman" w:cs="Times New Roman"/>
          <w:color w:val="222222"/>
          <w:sz w:val="24"/>
          <w:szCs w:val="24"/>
          <w:highlight w:val="white"/>
        </w:rPr>
        <w:t xml:space="preserve">. Available at: https://www.sage.com/en-ca/blog/what-why-balance-sheets-important/#:~:text=Balance%20sheets%20are%20also%20important,to%20receive%20in%20the%20future. (Accessed: April 26, 2023). </w:t>
      </w:r>
    </w:p>
    <w:p w14:paraId="4198844B" w14:textId="77777777" w:rsidR="003D34BB" w:rsidRPr="00856B56" w:rsidRDefault="003D34BB" w:rsidP="003D34BB">
      <w:pPr>
        <w:pStyle w:val="Normal1"/>
        <w:spacing w:line="360" w:lineRule="auto"/>
        <w:jc w:val="both"/>
        <w:rPr>
          <w:rFonts w:ascii="Times New Roman" w:eastAsia="Times New Roman" w:hAnsi="Times New Roman" w:cs="Times New Roman"/>
          <w:color w:val="222222"/>
          <w:sz w:val="24"/>
          <w:szCs w:val="24"/>
          <w:highlight w:val="white"/>
        </w:rPr>
      </w:pPr>
      <w:r w:rsidRPr="00856B56">
        <w:rPr>
          <w:rFonts w:ascii="Times New Roman" w:eastAsia="Times New Roman" w:hAnsi="Times New Roman" w:cs="Times New Roman"/>
          <w:color w:val="222222"/>
          <w:sz w:val="24"/>
          <w:szCs w:val="24"/>
          <w:highlight w:val="white"/>
        </w:rPr>
        <w:t xml:space="preserve">Zoho, (2021) </w:t>
      </w:r>
      <w:r w:rsidRPr="00856B56">
        <w:rPr>
          <w:rFonts w:ascii="Times New Roman" w:eastAsia="Times New Roman" w:hAnsi="Times New Roman" w:cs="Times New Roman"/>
          <w:i/>
          <w:color w:val="222222"/>
          <w:sz w:val="24"/>
          <w:szCs w:val="24"/>
          <w:highlight w:val="white"/>
        </w:rPr>
        <w:t>Income statement - definition, example &amp; format of income statement - zoho books</w:t>
      </w:r>
      <w:r w:rsidRPr="00856B56">
        <w:rPr>
          <w:rFonts w:ascii="Times New Roman" w:eastAsia="Times New Roman" w:hAnsi="Times New Roman" w:cs="Times New Roman"/>
          <w:color w:val="222222"/>
          <w:sz w:val="24"/>
          <w:szCs w:val="24"/>
          <w:highlight w:val="white"/>
        </w:rPr>
        <w:t xml:space="preserve">, </w:t>
      </w:r>
      <w:r w:rsidRPr="00856B56">
        <w:rPr>
          <w:rFonts w:ascii="Times New Roman" w:eastAsia="Times New Roman" w:hAnsi="Times New Roman" w:cs="Times New Roman"/>
          <w:i/>
          <w:color w:val="222222"/>
          <w:sz w:val="24"/>
          <w:szCs w:val="24"/>
          <w:highlight w:val="white"/>
        </w:rPr>
        <w:t>Essential Business Guides</w:t>
      </w:r>
      <w:r w:rsidRPr="00856B56">
        <w:rPr>
          <w:rFonts w:ascii="Times New Roman" w:eastAsia="Times New Roman" w:hAnsi="Times New Roman" w:cs="Times New Roman"/>
          <w:color w:val="222222"/>
          <w:sz w:val="24"/>
          <w:szCs w:val="24"/>
          <w:highlight w:val="white"/>
        </w:rPr>
        <w:t xml:space="preserve">. Available at: https://www.zoho.com/books/guides/what-is-an-income-statement.html#:~:text=Importance%20of%20an%20income%20statement,beginning%20of%20a%20financial%20period. (Accessed: April 26, 2023). </w:t>
      </w:r>
    </w:p>
    <w:sectPr w:rsidR="003D34BB" w:rsidRPr="00856B56" w:rsidSect="00557C3E">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6ED38" w14:textId="77777777" w:rsidR="00486E81" w:rsidRDefault="00486E81" w:rsidP="00557C3E">
      <w:pPr>
        <w:spacing w:line="240" w:lineRule="auto"/>
      </w:pPr>
      <w:r>
        <w:separator/>
      </w:r>
    </w:p>
  </w:endnote>
  <w:endnote w:type="continuationSeparator" w:id="0">
    <w:p w14:paraId="50601E9A" w14:textId="77777777" w:rsidR="00486E81" w:rsidRDefault="00486E81" w:rsidP="00557C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717358"/>
      <w:docPartObj>
        <w:docPartGallery w:val="Page Numbers (Bottom of Page)"/>
        <w:docPartUnique/>
      </w:docPartObj>
    </w:sdtPr>
    <w:sdtEndPr>
      <w:rPr>
        <w:noProof/>
      </w:rPr>
    </w:sdtEndPr>
    <w:sdtContent>
      <w:p w14:paraId="24AD37C5" w14:textId="3F3FC1BF" w:rsidR="00557C3E" w:rsidRDefault="00557C3E">
        <w:pPr>
          <w:pStyle w:val="a9"/>
          <w:jc w:val="right"/>
        </w:pPr>
        <w:r>
          <w:fldChar w:fldCharType="begin"/>
        </w:r>
        <w:r>
          <w:instrText xml:space="preserve"> PAGE   \* MERGEFORMAT </w:instrText>
        </w:r>
        <w:r>
          <w:fldChar w:fldCharType="separate"/>
        </w:r>
        <w:r>
          <w:rPr>
            <w:noProof/>
          </w:rPr>
          <w:t>2</w:t>
        </w:r>
        <w:r>
          <w:rPr>
            <w:noProof/>
          </w:rPr>
          <w:fldChar w:fldCharType="end"/>
        </w:r>
      </w:p>
    </w:sdtContent>
  </w:sdt>
  <w:p w14:paraId="20E12EE2" w14:textId="77777777" w:rsidR="00557C3E" w:rsidRDefault="00557C3E">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C2682" w14:textId="77777777" w:rsidR="00486E81" w:rsidRDefault="00486E81" w:rsidP="00557C3E">
      <w:pPr>
        <w:spacing w:line="240" w:lineRule="auto"/>
      </w:pPr>
      <w:r>
        <w:separator/>
      </w:r>
    </w:p>
  </w:footnote>
  <w:footnote w:type="continuationSeparator" w:id="0">
    <w:p w14:paraId="75A115C4" w14:textId="77777777" w:rsidR="00486E81" w:rsidRDefault="00486E81" w:rsidP="00557C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83B23"/>
    <w:multiLevelType w:val="hybridMultilevel"/>
    <w:tmpl w:val="00000000"/>
    <w:lvl w:ilvl="0" w:tplc="90360B24">
      <w:start w:val="1"/>
      <w:numFmt w:val="lowerLetter"/>
      <w:lvlText w:val="(%1)"/>
      <w:lvlJc w:val="left"/>
      <w:pPr>
        <w:ind w:left="720" w:hanging="360"/>
      </w:pPr>
      <w:rPr>
        <w:u w:val="none"/>
      </w:rPr>
    </w:lvl>
    <w:lvl w:ilvl="1" w:tplc="CEA2BDC6">
      <w:start w:val="1"/>
      <w:numFmt w:val="lowerRoman"/>
      <w:lvlText w:val="(%2)"/>
      <w:lvlJc w:val="right"/>
      <w:pPr>
        <w:ind w:left="1440" w:hanging="360"/>
      </w:pPr>
      <w:rPr>
        <w:u w:val="none"/>
      </w:rPr>
    </w:lvl>
    <w:lvl w:ilvl="2" w:tplc="C4BE1F02">
      <w:start w:val="1"/>
      <w:numFmt w:val="decimal"/>
      <w:lvlText w:val="(%3)"/>
      <w:lvlJc w:val="left"/>
      <w:pPr>
        <w:ind w:left="2160" w:hanging="360"/>
      </w:pPr>
      <w:rPr>
        <w:u w:val="none"/>
      </w:rPr>
    </w:lvl>
    <w:lvl w:ilvl="3" w:tplc="0FBAD144">
      <w:start w:val="1"/>
      <w:numFmt w:val="lowerLetter"/>
      <w:lvlText w:val="%4)"/>
      <w:lvlJc w:val="left"/>
      <w:pPr>
        <w:ind w:left="2880" w:hanging="360"/>
      </w:pPr>
      <w:rPr>
        <w:u w:val="none"/>
      </w:rPr>
    </w:lvl>
    <w:lvl w:ilvl="4" w:tplc="AD2E4C54">
      <w:start w:val="1"/>
      <w:numFmt w:val="lowerRoman"/>
      <w:lvlText w:val="%5)"/>
      <w:lvlJc w:val="right"/>
      <w:pPr>
        <w:ind w:left="3600" w:hanging="360"/>
      </w:pPr>
      <w:rPr>
        <w:u w:val="none"/>
      </w:rPr>
    </w:lvl>
    <w:lvl w:ilvl="5" w:tplc="8440F824">
      <w:start w:val="1"/>
      <w:numFmt w:val="decimal"/>
      <w:lvlText w:val="%6)"/>
      <w:lvlJc w:val="left"/>
      <w:pPr>
        <w:ind w:left="4320" w:hanging="360"/>
      </w:pPr>
      <w:rPr>
        <w:u w:val="none"/>
      </w:rPr>
    </w:lvl>
    <w:lvl w:ilvl="6" w:tplc="1F5697C4">
      <w:start w:val="1"/>
      <w:numFmt w:val="lowerLetter"/>
      <w:lvlText w:val="%7."/>
      <w:lvlJc w:val="left"/>
      <w:pPr>
        <w:ind w:left="5040" w:hanging="360"/>
      </w:pPr>
      <w:rPr>
        <w:u w:val="none"/>
      </w:rPr>
    </w:lvl>
    <w:lvl w:ilvl="7" w:tplc="CE16AB28">
      <w:start w:val="1"/>
      <w:numFmt w:val="lowerRoman"/>
      <w:lvlText w:val="%8."/>
      <w:lvlJc w:val="right"/>
      <w:pPr>
        <w:ind w:left="5760" w:hanging="360"/>
      </w:pPr>
      <w:rPr>
        <w:u w:val="none"/>
      </w:rPr>
    </w:lvl>
    <w:lvl w:ilvl="8" w:tplc="A1FE287A">
      <w:start w:val="1"/>
      <w:numFmt w:val="decimal"/>
      <w:lvlText w:val="%9."/>
      <w:lvlJc w:val="left"/>
      <w:pPr>
        <w:ind w:left="6480" w:hanging="360"/>
      </w:pPr>
      <w:rPr>
        <w:u w:val="none"/>
      </w:rPr>
    </w:lvl>
  </w:abstractNum>
  <w:abstractNum w:abstractNumId="1" w15:restartNumberingAfterBreak="0">
    <w:nsid w:val="252C40EA"/>
    <w:multiLevelType w:val="hybridMultilevel"/>
    <w:tmpl w:val="00000000"/>
    <w:lvl w:ilvl="0" w:tplc="C72460E0">
      <w:start w:val="1"/>
      <w:numFmt w:val="decimal"/>
      <w:lvlText w:val="(%1)"/>
      <w:lvlJc w:val="left"/>
      <w:pPr>
        <w:ind w:left="720" w:hanging="360"/>
      </w:pPr>
      <w:rPr>
        <w:u w:val="none"/>
      </w:rPr>
    </w:lvl>
    <w:lvl w:ilvl="1" w:tplc="E92E298E">
      <w:start w:val="1"/>
      <w:numFmt w:val="lowerLetter"/>
      <w:lvlText w:val="(%2)"/>
      <w:lvlJc w:val="left"/>
      <w:pPr>
        <w:ind w:left="1440" w:hanging="360"/>
      </w:pPr>
      <w:rPr>
        <w:u w:val="none"/>
      </w:rPr>
    </w:lvl>
    <w:lvl w:ilvl="2" w:tplc="74FC4C0E">
      <w:start w:val="1"/>
      <w:numFmt w:val="lowerRoman"/>
      <w:lvlText w:val="(%3)"/>
      <w:lvlJc w:val="right"/>
      <w:pPr>
        <w:ind w:left="2160" w:hanging="360"/>
      </w:pPr>
      <w:rPr>
        <w:u w:val="none"/>
      </w:rPr>
    </w:lvl>
    <w:lvl w:ilvl="3" w:tplc="1474E78A">
      <w:start w:val="1"/>
      <w:numFmt w:val="decimal"/>
      <w:lvlText w:val="%4)"/>
      <w:lvlJc w:val="left"/>
      <w:pPr>
        <w:ind w:left="2880" w:hanging="360"/>
      </w:pPr>
      <w:rPr>
        <w:u w:val="none"/>
      </w:rPr>
    </w:lvl>
    <w:lvl w:ilvl="4" w:tplc="4DECBAC2">
      <w:start w:val="1"/>
      <w:numFmt w:val="lowerLetter"/>
      <w:lvlText w:val="%5)"/>
      <w:lvlJc w:val="left"/>
      <w:pPr>
        <w:ind w:left="3600" w:hanging="360"/>
      </w:pPr>
      <w:rPr>
        <w:u w:val="none"/>
      </w:rPr>
    </w:lvl>
    <w:lvl w:ilvl="5" w:tplc="548E38CE">
      <w:start w:val="1"/>
      <w:numFmt w:val="lowerRoman"/>
      <w:lvlText w:val="%6)"/>
      <w:lvlJc w:val="right"/>
      <w:pPr>
        <w:ind w:left="4320" w:hanging="360"/>
      </w:pPr>
      <w:rPr>
        <w:u w:val="none"/>
      </w:rPr>
    </w:lvl>
    <w:lvl w:ilvl="6" w:tplc="82A6AE90">
      <w:start w:val="1"/>
      <w:numFmt w:val="decimal"/>
      <w:lvlText w:val="%7."/>
      <w:lvlJc w:val="left"/>
      <w:pPr>
        <w:ind w:left="5040" w:hanging="360"/>
      </w:pPr>
      <w:rPr>
        <w:u w:val="none"/>
      </w:rPr>
    </w:lvl>
    <w:lvl w:ilvl="7" w:tplc="7986881C">
      <w:start w:val="1"/>
      <w:numFmt w:val="lowerLetter"/>
      <w:lvlText w:val="%8."/>
      <w:lvlJc w:val="left"/>
      <w:pPr>
        <w:ind w:left="5760" w:hanging="360"/>
      </w:pPr>
      <w:rPr>
        <w:u w:val="none"/>
      </w:rPr>
    </w:lvl>
    <w:lvl w:ilvl="8" w:tplc="1B90A544">
      <w:start w:val="1"/>
      <w:numFmt w:val="lowerRoman"/>
      <w:lvlText w:val="%9."/>
      <w:lvlJc w:val="right"/>
      <w:pPr>
        <w:ind w:left="6480" w:hanging="360"/>
      </w:pPr>
      <w:rPr>
        <w:u w:val="none"/>
      </w:rPr>
    </w:lvl>
  </w:abstractNum>
  <w:abstractNum w:abstractNumId="2" w15:restartNumberingAfterBreak="0">
    <w:nsid w:val="28B2C805"/>
    <w:multiLevelType w:val="hybridMultilevel"/>
    <w:tmpl w:val="00000000"/>
    <w:lvl w:ilvl="0" w:tplc="C8701F5E">
      <w:start w:val="1"/>
      <w:numFmt w:val="lowerLetter"/>
      <w:lvlText w:val="(%1)"/>
      <w:lvlJc w:val="left"/>
      <w:pPr>
        <w:ind w:left="720" w:hanging="360"/>
      </w:pPr>
      <w:rPr>
        <w:u w:val="none"/>
      </w:rPr>
    </w:lvl>
    <w:lvl w:ilvl="1" w:tplc="E4DEA8E4">
      <w:start w:val="1"/>
      <w:numFmt w:val="lowerRoman"/>
      <w:lvlText w:val="(%2)"/>
      <w:lvlJc w:val="right"/>
      <w:pPr>
        <w:ind w:left="1440" w:hanging="360"/>
      </w:pPr>
      <w:rPr>
        <w:u w:val="none"/>
      </w:rPr>
    </w:lvl>
    <w:lvl w:ilvl="2" w:tplc="DE18F6BA">
      <w:start w:val="1"/>
      <w:numFmt w:val="decimal"/>
      <w:lvlText w:val="(%3)"/>
      <w:lvlJc w:val="left"/>
      <w:pPr>
        <w:ind w:left="2160" w:hanging="360"/>
      </w:pPr>
      <w:rPr>
        <w:u w:val="none"/>
      </w:rPr>
    </w:lvl>
    <w:lvl w:ilvl="3" w:tplc="F538F94C">
      <w:start w:val="1"/>
      <w:numFmt w:val="lowerLetter"/>
      <w:lvlText w:val="%4)"/>
      <w:lvlJc w:val="left"/>
      <w:pPr>
        <w:ind w:left="2880" w:hanging="360"/>
      </w:pPr>
      <w:rPr>
        <w:u w:val="none"/>
      </w:rPr>
    </w:lvl>
    <w:lvl w:ilvl="4" w:tplc="856E2E14">
      <w:start w:val="1"/>
      <w:numFmt w:val="lowerRoman"/>
      <w:lvlText w:val="%5)"/>
      <w:lvlJc w:val="right"/>
      <w:pPr>
        <w:ind w:left="3600" w:hanging="360"/>
      </w:pPr>
      <w:rPr>
        <w:u w:val="none"/>
      </w:rPr>
    </w:lvl>
    <w:lvl w:ilvl="5" w:tplc="31FE489A">
      <w:start w:val="1"/>
      <w:numFmt w:val="decimal"/>
      <w:lvlText w:val="%6)"/>
      <w:lvlJc w:val="left"/>
      <w:pPr>
        <w:ind w:left="4320" w:hanging="360"/>
      </w:pPr>
      <w:rPr>
        <w:u w:val="none"/>
      </w:rPr>
    </w:lvl>
    <w:lvl w:ilvl="6" w:tplc="C20A97DA">
      <w:start w:val="1"/>
      <w:numFmt w:val="lowerLetter"/>
      <w:lvlText w:val="%7."/>
      <w:lvlJc w:val="left"/>
      <w:pPr>
        <w:ind w:left="5040" w:hanging="360"/>
      </w:pPr>
      <w:rPr>
        <w:u w:val="none"/>
      </w:rPr>
    </w:lvl>
    <w:lvl w:ilvl="7" w:tplc="16CAB210">
      <w:start w:val="1"/>
      <w:numFmt w:val="lowerRoman"/>
      <w:lvlText w:val="%8."/>
      <w:lvlJc w:val="right"/>
      <w:pPr>
        <w:ind w:left="5760" w:hanging="360"/>
      </w:pPr>
      <w:rPr>
        <w:u w:val="none"/>
      </w:rPr>
    </w:lvl>
    <w:lvl w:ilvl="8" w:tplc="A6AC9974">
      <w:start w:val="1"/>
      <w:numFmt w:val="decimal"/>
      <w:lvlText w:val="%9."/>
      <w:lvlJc w:val="left"/>
      <w:pPr>
        <w:ind w:left="6480" w:hanging="360"/>
      </w:pPr>
      <w:rPr>
        <w:u w:val="none"/>
      </w:rPr>
    </w:lvl>
  </w:abstractNum>
  <w:num w:numId="1" w16cid:durableId="1078331560">
    <w:abstractNumId w:val="1"/>
  </w:num>
  <w:num w:numId="2" w16cid:durableId="2132507384">
    <w:abstractNumId w:val="2"/>
  </w:num>
  <w:num w:numId="3" w16cid:durableId="479344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218"/>
    <w:rsid w:val="00196218"/>
    <w:rsid w:val="002722D8"/>
    <w:rsid w:val="003147A9"/>
    <w:rsid w:val="003D34BB"/>
    <w:rsid w:val="00486E81"/>
    <w:rsid w:val="004F75A6"/>
    <w:rsid w:val="00557C3E"/>
    <w:rsid w:val="00856B56"/>
    <w:rsid w:val="00BF4540"/>
    <w:rsid w:val="00E305C8"/>
    <w:rsid w:val="00E36ED2"/>
    <w:rsid w:val="00FF0B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31FA1"/>
  <w15:docId w15:val="{B9593148-C27D-4026-875E-5CB2B019F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rsid w:val="00856B56"/>
    <w:pPr>
      <w:keepNext/>
      <w:keepLines/>
      <w:spacing w:before="400" w:after="120"/>
      <w:outlineLvl w:val="0"/>
    </w:pPr>
    <w:rPr>
      <w:rFonts w:ascii="Times New Roman" w:hAnsi="Times New Roman"/>
      <w:b/>
      <w:sz w:val="24"/>
      <w:szCs w:val="40"/>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table" w:customStyle="1" w:styleId="Table8">
    <w:name w:val="Table8"/>
    <w:basedOn w:val="TableNormal1"/>
    <w:tblPr>
      <w:tblStyleRowBandSize w:val="1"/>
      <w:tblStyleColBandSize w:val="1"/>
      <w:tblCellMar>
        <w:top w:w="100" w:type="dxa"/>
        <w:left w:w="100" w:type="dxa"/>
        <w:bottom w:w="100" w:type="dxa"/>
        <w:right w:w="100" w:type="dxa"/>
      </w:tblCellMar>
    </w:tblPr>
  </w:style>
  <w:style w:type="table" w:customStyle="1" w:styleId="Table9">
    <w:name w:val="Table9"/>
    <w:basedOn w:val="TableNormal1"/>
    <w:tblPr>
      <w:tblStyleRowBandSize w:val="1"/>
      <w:tblStyleColBandSize w:val="1"/>
      <w:tblCellMar>
        <w:top w:w="100" w:type="dxa"/>
        <w:left w:w="100" w:type="dxa"/>
        <w:bottom w:w="100" w:type="dxa"/>
        <w:right w:w="100" w:type="dxa"/>
      </w:tblCellMar>
    </w:tblPr>
  </w:style>
  <w:style w:type="table" w:customStyle="1" w:styleId="Table10">
    <w:name w:val="Table10"/>
    <w:basedOn w:val="TableNormal1"/>
    <w:tblPr>
      <w:tblStyleRowBandSize w:val="1"/>
      <w:tblStyleColBandSize w:val="1"/>
      <w:tblCellMar>
        <w:top w:w="100" w:type="dxa"/>
        <w:left w:w="100" w:type="dxa"/>
        <w:bottom w:w="100" w:type="dxa"/>
        <w:right w:w="100" w:type="dxa"/>
      </w:tblCellMar>
    </w:tblPr>
  </w:style>
  <w:style w:type="table" w:customStyle="1" w:styleId="Table11">
    <w:name w:val="Table11"/>
    <w:basedOn w:val="TableNormal1"/>
    <w:tblPr>
      <w:tblStyleRowBandSize w:val="1"/>
      <w:tblStyleColBandSize w:val="1"/>
      <w:tblCellMar>
        <w:top w:w="100" w:type="dxa"/>
        <w:left w:w="100" w:type="dxa"/>
        <w:bottom w:w="100" w:type="dxa"/>
        <w:right w:w="100" w:type="dxa"/>
      </w:tblCellMar>
    </w:tblPr>
  </w:style>
  <w:style w:type="table" w:customStyle="1" w:styleId="Table12">
    <w:name w:val="Table12"/>
    <w:basedOn w:val="TableNormal1"/>
    <w:tblPr>
      <w:tblStyleRowBandSize w:val="1"/>
      <w:tblStyleColBandSize w:val="1"/>
      <w:tblCellMar>
        <w:top w:w="100" w:type="dxa"/>
        <w:left w:w="100" w:type="dxa"/>
        <w:bottom w:w="100" w:type="dxa"/>
        <w:right w:w="100" w:type="dxa"/>
      </w:tblCellMar>
    </w:tblPr>
  </w:style>
  <w:style w:type="paragraph" w:styleId="a5">
    <w:name w:val="TOC Heading"/>
    <w:basedOn w:val="1"/>
    <w:next w:val="a"/>
    <w:uiPriority w:val="39"/>
    <w:unhideWhenUsed/>
    <w:qFormat/>
    <w:rsid w:val="00557C3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557C3E"/>
    <w:pPr>
      <w:spacing w:after="100"/>
    </w:pPr>
  </w:style>
  <w:style w:type="character" w:styleId="a6">
    <w:name w:val="Hyperlink"/>
    <w:basedOn w:val="a0"/>
    <w:uiPriority w:val="99"/>
    <w:unhideWhenUsed/>
    <w:rsid w:val="00557C3E"/>
    <w:rPr>
      <w:color w:val="0000FF" w:themeColor="hyperlink"/>
      <w:u w:val="single"/>
    </w:rPr>
  </w:style>
  <w:style w:type="paragraph" w:styleId="a7">
    <w:name w:val="header"/>
    <w:basedOn w:val="a"/>
    <w:link w:val="a8"/>
    <w:uiPriority w:val="99"/>
    <w:unhideWhenUsed/>
    <w:rsid w:val="00557C3E"/>
    <w:pPr>
      <w:tabs>
        <w:tab w:val="center" w:pos="4513"/>
        <w:tab w:val="right" w:pos="9026"/>
      </w:tabs>
      <w:spacing w:line="240" w:lineRule="auto"/>
    </w:pPr>
  </w:style>
  <w:style w:type="character" w:customStyle="1" w:styleId="a8">
    <w:name w:val="Верхний колонтитул Знак"/>
    <w:basedOn w:val="a0"/>
    <w:link w:val="a7"/>
    <w:uiPriority w:val="99"/>
    <w:rsid w:val="00557C3E"/>
  </w:style>
  <w:style w:type="paragraph" w:styleId="a9">
    <w:name w:val="footer"/>
    <w:basedOn w:val="a"/>
    <w:link w:val="aa"/>
    <w:uiPriority w:val="99"/>
    <w:unhideWhenUsed/>
    <w:rsid w:val="00557C3E"/>
    <w:pPr>
      <w:tabs>
        <w:tab w:val="center" w:pos="4513"/>
        <w:tab w:val="right" w:pos="9026"/>
      </w:tabs>
      <w:spacing w:line="240" w:lineRule="auto"/>
    </w:pPr>
  </w:style>
  <w:style w:type="character" w:customStyle="1" w:styleId="aa">
    <w:name w:val="Нижний колонтитул Знак"/>
    <w:basedOn w:val="a0"/>
    <w:link w:val="a9"/>
    <w:uiPriority w:val="99"/>
    <w:rsid w:val="00557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5076C-8A31-4D50-B150-B27F34B7C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2220</Words>
  <Characters>12659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2023-04-26T11:42:00Z</dcterms:created>
  <dcterms:modified xsi:type="dcterms:W3CDTF">2023-05-07T11:46:00Z</dcterms:modified>
</cp:coreProperties>
</file>