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345C6"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4902CCCB"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7FB37478"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5A13740C"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3EAFAFCB"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634563C6"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55C37702"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5250B8CB"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68B08562"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4F513844"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65976375"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5D724D54"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700B08A8"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10F0F7FB" w14:textId="77777777" w:rsidR="00BD052F" w:rsidRPr="007B4F89" w:rsidRDefault="00BD052F" w:rsidP="00BD052F">
      <w:pPr>
        <w:rPr>
          <w:b/>
          <w:bCs/>
          <w:sz w:val="44"/>
          <w:szCs w:val="44"/>
        </w:rPr>
      </w:pPr>
      <w:r w:rsidRPr="007B4F89">
        <w:rPr>
          <w:b/>
          <w:bCs/>
          <w:sz w:val="44"/>
          <w:szCs w:val="44"/>
        </w:rPr>
        <w:t>Rehana Kausar</w:t>
      </w:r>
    </w:p>
    <w:p w14:paraId="07660286" w14:textId="77777777" w:rsidR="00BD052F" w:rsidRPr="007B4F89" w:rsidRDefault="00BD052F" w:rsidP="00BD052F">
      <w:pPr>
        <w:rPr>
          <w:b/>
          <w:bCs/>
          <w:sz w:val="44"/>
          <w:szCs w:val="44"/>
        </w:rPr>
      </w:pPr>
      <w:r w:rsidRPr="007B4F89">
        <w:rPr>
          <w:b/>
          <w:bCs/>
          <w:sz w:val="44"/>
          <w:szCs w:val="44"/>
        </w:rPr>
        <w:t xml:space="preserve">Student ID: </w:t>
      </w:r>
      <w:r w:rsidRPr="007B4F89">
        <w:rPr>
          <w:sz w:val="44"/>
          <w:szCs w:val="44"/>
        </w:rPr>
        <w:t>2320001</w:t>
      </w:r>
    </w:p>
    <w:p w14:paraId="6F7B73D7" w14:textId="55621C76" w:rsidR="00BD052F" w:rsidRPr="00BD052F" w:rsidRDefault="00BD052F" w:rsidP="00BD052F">
      <w:pPr>
        <w:rPr>
          <w:b/>
          <w:bCs/>
          <w:sz w:val="44"/>
          <w:szCs w:val="44"/>
          <w:lang w:val="en-GB"/>
        </w:rPr>
      </w:pPr>
      <w:r w:rsidRPr="007B4F89">
        <w:rPr>
          <w:b/>
          <w:bCs/>
          <w:sz w:val="44"/>
          <w:szCs w:val="44"/>
        </w:rPr>
        <w:t xml:space="preserve">Module name: </w:t>
      </w:r>
      <w:r>
        <w:rPr>
          <w:sz w:val="44"/>
          <w:szCs w:val="44"/>
          <w:lang w:val="en-GB"/>
        </w:rPr>
        <w:t>Psychology in Health and Social Care</w:t>
      </w:r>
    </w:p>
    <w:p w14:paraId="6E1802E7" w14:textId="078BDAC5" w:rsidR="00BD052F" w:rsidRPr="00BD052F" w:rsidRDefault="00BD052F" w:rsidP="00BD052F">
      <w:pPr>
        <w:rPr>
          <w:b/>
          <w:bCs/>
          <w:sz w:val="44"/>
          <w:szCs w:val="44"/>
          <w:lang w:val="en-GB"/>
        </w:rPr>
      </w:pPr>
      <w:r w:rsidRPr="007B4F89">
        <w:rPr>
          <w:b/>
          <w:bCs/>
          <w:sz w:val="44"/>
          <w:szCs w:val="44"/>
        </w:rPr>
        <w:t>LCHS40</w:t>
      </w:r>
      <w:r>
        <w:rPr>
          <w:b/>
          <w:bCs/>
          <w:sz w:val="44"/>
          <w:szCs w:val="44"/>
          <w:lang w:val="en-GB"/>
        </w:rPr>
        <w:t>10</w:t>
      </w:r>
    </w:p>
    <w:p w14:paraId="3719BD38"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5E031BA9"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660F384A"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2B323FED"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2B989F1B" w14:textId="77777777" w:rsidR="00BD052F" w:rsidRDefault="00BD052F" w:rsidP="00476CFB">
      <w:pPr>
        <w:spacing w:before="100" w:beforeAutospacing="1" w:after="100" w:afterAutospacing="1"/>
        <w:jc w:val="center"/>
        <w:outlineLvl w:val="2"/>
        <w:rPr>
          <w:rFonts w:ascii="Times New Roman" w:eastAsia="Times New Roman" w:hAnsi="Times New Roman" w:cs="Times New Roman"/>
          <w:b/>
          <w:bCs/>
          <w:color w:val="000000"/>
          <w:kern w:val="0"/>
          <w:sz w:val="27"/>
          <w:szCs w:val="27"/>
          <w:lang w:val="en-GB" w:eastAsia="en-GB"/>
          <w14:ligatures w14:val="none"/>
        </w:rPr>
      </w:pPr>
    </w:p>
    <w:p w14:paraId="69089E32" w14:textId="5EA3D387" w:rsidR="00476CFB" w:rsidRPr="00476CFB" w:rsidRDefault="00476CFB" w:rsidP="00BD052F">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lastRenderedPageBreak/>
        <w:t>Applying Psychological Theory to Understand and Support Depression in Older Adults Living in Dementia Care Homes</w:t>
      </w:r>
    </w:p>
    <w:p w14:paraId="26C4469B" w14:textId="7B5E3AF4" w:rsidR="00476CFB" w:rsidRPr="00476CFB" w:rsidRDefault="00476CFB" w:rsidP="00476CFB">
      <w:pPr>
        <w:spacing w:before="100" w:beforeAutospacing="1" w:after="100" w:afterAutospacing="1"/>
        <w:jc w:val="both"/>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t xml:space="preserve">Introduction </w:t>
      </w:r>
    </w:p>
    <w:p w14:paraId="52D57137" w14:textId="26A63D6B"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Older adults living in dementia care homes often face complex psychological challenges that require informed, compassionate support from health and social care professionals. One prevalent issue in this population is depression, which is frequently underdiagnosed due to overlapping symptoms with cognitive decline (Wu et al., 2023)</w:t>
      </w:r>
      <w:r>
        <w:rPr>
          <w:rFonts w:ascii="Times New Roman" w:eastAsia="Times New Roman" w:hAnsi="Times New Roman" w:cs="Times New Roman"/>
          <w:color w:val="000000"/>
          <w:kern w:val="0"/>
          <w:lang w:eastAsia="en-GB"/>
          <w14:ligatures w14:val="none"/>
        </w:rPr>
        <w:t xml:space="preserve">. </w:t>
      </w:r>
      <w:r w:rsidRPr="00476CFB">
        <w:rPr>
          <w:rFonts w:ascii="Times New Roman" w:eastAsia="Times New Roman" w:hAnsi="Times New Roman" w:cs="Times New Roman"/>
          <w:color w:val="000000"/>
          <w:kern w:val="0"/>
          <w:lang w:eastAsia="en-GB"/>
          <w14:ligatures w14:val="none"/>
        </w:rPr>
        <w:t>Depression affects around 40% of older adults in care homes, yet many remain untreated (National Institute for Health and Care Excellence [NICE], 2022). The institutional setting—characterised by loss of independence, reduced social roles, and unfamiliar routines—can heighten emotional distress and feelings of isolation (Choi et al., 2021)</w:t>
      </w:r>
      <w:r>
        <w:rPr>
          <w:rFonts w:ascii="Times New Roman" w:eastAsia="Times New Roman" w:hAnsi="Times New Roman" w:cs="Times New Roman"/>
          <w:color w:val="000000"/>
          <w:kern w:val="0"/>
          <w:lang w:eastAsia="en-GB"/>
          <w14:ligatures w14:val="none"/>
        </w:rPr>
        <w:t xml:space="preserve">. </w:t>
      </w:r>
    </w:p>
    <w:p w14:paraId="61651AB4"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Understanding these dynamics is vital for effective, person-centred care. This report draws on Erikson’s psychosocial development theory and the Activity Theory of Ageing to explore how psychological insights can guide interventions. These frameworks will be critically examined in the context of a dementia care home to assess their relevance and application in supporting the mental well-being of older adults.</w:t>
      </w:r>
    </w:p>
    <w:p w14:paraId="0CD8D11C" w14:textId="77777777" w:rsidR="00476CFB" w:rsidRPr="00476CFB" w:rsidRDefault="00476CFB" w:rsidP="00476CFB">
      <w:pPr>
        <w:spacing w:before="100" w:beforeAutospacing="1" w:after="100" w:afterAutospacing="1"/>
        <w:jc w:val="both"/>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t>Overview of Relevant Psychological Theories</w:t>
      </w:r>
    </w:p>
    <w:p w14:paraId="74DADC9C" w14:textId="5CC60AAE"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Understanding the emotional and behavioural experiences of older adults with dementia requires a theoretical foundation grounded in lifespan development. Two key theories relevant to ageing are Erik Erikson’s </w:t>
      </w:r>
      <w:r w:rsidRPr="00476CFB">
        <w:rPr>
          <w:rFonts w:ascii="Times New Roman" w:eastAsia="Times New Roman" w:hAnsi="Times New Roman" w:cs="Times New Roman"/>
          <w:b/>
          <w:bCs/>
          <w:color w:val="000000"/>
          <w:kern w:val="0"/>
          <w:lang w:eastAsia="en-GB"/>
          <w14:ligatures w14:val="none"/>
        </w:rPr>
        <w:t>Psychosocial Development Theory</w:t>
      </w:r>
      <w:r w:rsidRPr="00476CFB">
        <w:rPr>
          <w:rFonts w:ascii="Times New Roman" w:eastAsia="Times New Roman" w:hAnsi="Times New Roman" w:cs="Times New Roman"/>
          <w:color w:val="000000"/>
          <w:kern w:val="0"/>
          <w:lang w:eastAsia="en-GB"/>
          <w14:ligatures w14:val="none"/>
        </w:rPr>
        <w:t>, particularly the stage of </w:t>
      </w:r>
      <w:r w:rsidRPr="00476CFB">
        <w:rPr>
          <w:rFonts w:ascii="Times New Roman" w:eastAsia="Times New Roman" w:hAnsi="Times New Roman" w:cs="Times New Roman"/>
          <w:b/>
          <w:bCs/>
          <w:color w:val="000000"/>
          <w:kern w:val="0"/>
          <w:lang w:eastAsia="en-GB"/>
          <w14:ligatures w14:val="none"/>
        </w:rPr>
        <w:t>Integrity vs. Despair</w:t>
      </w:r>
      <w:r w:rsidRPr="00476CFB">
        <w:rPr>
          <w:rFonts w:ascii="Times New Roman" w:eastAsia="Times New Roman" w:hAnsi="Times New Roman" w:cs="Times New Roman"/>
          <w:color w:val="000000"/>
          <w:kern w:val="0"/>
          <w:lang w:eastAsia="en-GB"/>
          <w14:ligatures w14:val="none"/>
        </w:rPr>
        <w:t>, and the </w:t>
      </w:r>
      <w:r w:rsidRPr="00476CFB">
        <w:rPr>
          <w:rFonts w:ascii="Times New Roman" w:eastAsia="Times New Roman" w:hAnsi="Times New Roman" w:cs="Times New Roman"/>
          <w:b/>
          <w:bCs/>
          <w:color w:val="000000"/>
          <w:kern w:val="0"/>
          <w:lang w:eastAsia="en-GB"/>
          <w14:ligatures w14:val="none"/>
        </w:rPr>
        <w:t>Activity Theory of Ageing</w:t>
      </w:r>
      <w:r w:rsidRPr="00476CFB">
        <w:rPr>
          <w:rFonts w:ascii="Times New Roman" w:eastAsia="Times New Roman" w:hAnsi="Times New Roman" w:cs="Times New Roman"/>
          <w:color w:val="000000"/>
          <w:kern w:val="0"/>
          <w:lang w:eastAsia="en-GB"/>
          <w14:ligatures w14:val="none"/>
        </w:rPr>
        <w:t>, developed by Havighurst (1961). Both offer insights into how older adults make sense of their lives and maintain psychological well</w:t>
      </w:r>
      <w:r>
        <w:rPr>
          <w:rFonts w:ascii="Times New Roman" w:eastAsia="Times New Roman" w:hAnsi="Times New Roman" w:cs="Times New Roman"/>
          <w:color w:val="000000"/>
          <w:kern w:val="0"/>
          <w:lang w:eastAsia="en-GB"/>
          <w14:ligatures w14:val="none"/>
        </w:rPr>
        <w:t>-</w:t>
      </w:r>
      <w:r w:rsidRPr="00476CFB">
        <w:rPr>
          <w:rFonts w:ascii="Times New Roman" w:eastAsia="Times New Roman" w:hAnsi="Times New Roman" w:cs="Times New Roman"/>
          <w:color w:val="000000"/>
          <w:kern w:val="0"/>
          <w:lang w:eastAsia="en-GB"/>
          <w14:ligatures w14:val="none"/>
        </w:rPr>
        <w:t>being in later life.</w:t>
      </w:r>
    </w:p>
    <w:p w14:paraId="0B4E4AC8" w14:textId="13772A3E"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Erikson’s theory outlines eight stages of psychosocial development across the lifespan. In late adulthood (typically 65+), individuals enter the final stage: </w:t>
      </w:r>
      <w:r w:rsidRPr="00476CFB">
        <w:rPr>
          <w:rFonts w:ascii="Times New Roman" w:eastAsia="Times New Roman" w:hAnsi="Times New Roman" w:cs="Times New Roman"/>
          <w:i/>
          <w:iCs/>
          <w:color w:val="000000"/>
          <w:kern w:val="0"/>
          <w:lang w:eastAsia="en-GB"/>
          <w14:ligatures w14:val="none"/>
        </w:rPr>
        <w:t>Ego Integrity vs. Despair</w:t>
      </w:r>
      <w:r w:rsidRPr="00476CFB">
        <w:rPr>
          <w:rFonts w:ascii="Times New Roman" w:eastAsia="Times New Roman" w:hAnsi="Times New Roman" w:cs="Times New Roman"/>
          <w:color w:val="000000"/>
          <w:kern w:val="0"/>
          <w:lang w:eastAsia="en-GB"/>
          <w14:ligatures w14:val="none"/>
        </w:rPr>
        <w:t>. At this stage, older adults reflect on their life experiences to determine whether they have lived a meaningful and fulfilling life. A sense of integrity arises when individuals accept their life’s journey with satisfaction and purpose, even amidst regrets or losses. In contrast, despair can emerge when individuals view their lives as unaccomplished or filled with missed opportunities, potentially triggering depression, hopelessness, and reduced quality of life (Knight, Nordhus, &amp; Satre, 2003).</w:t>
      </w:r>
      <w:r>
        <w:rPr>
          <w:rFonts w:ascii="-webkit-standard" w:hAnsi="-webkit-standard"/>
          <w:color w:val="000000"/>
          <w:sz w:val="27"/>
          <w:szCs w:val="27"/>
        </w:rPr>
        <w:t xml:space="preserve"> </w:t>
      </w:r>
      <w:r w:rsidRPr="00476CFB">
        <w:rPr>
          <w:rFonts w:ascii="Times New Roman" w:eastAsia="Times New Roman" w:hAnsi="Times New Roman" w:cs="Times New Roman"/>
          <w:color w:val="000000"/>
          <w:kern w:val="0"/>
          <w:lang w:eastAsia="en-GB"/>
          <w14:ligatures w14:val="none"/>
        </w:rPr>
        <w:t>For older adults in dementia care homes—many of whom face loss of autonomy, identity, and familiar roles—this psychosocial conflict can be particularly heightened.</w:t>
      </w:r>
    </w:p>
    <w:p w14:paraId="559782BE"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The </w:t>
      </w:r>
      <w:r w:rsidRPr="00476CFB">
        <w:rPr>
          <w:rFonts w:ascii="Times New Roman" w:eastAsia="Times New Roman" w:hAnsi="Times New Roman" w:cs="Times New Roman"/>
          <w:b/>
          <w:bCs/>
          <w:color w:val="000000"/>
          <w:kern w:val="0"/>
          <w:lang w:eastAsia="en-GB"/>
          <w14:ligatures w14:val="none"/>
        </w:rPr>
        <w:t>Activity Theory of Ageing</w:t>
      </w:r>
      <w:r w:rsidRPr="00476CFB">
        <w:rPr>
          <w:rFonts w:ascii="Times New Roman" w:eastAsia="Times New Roman" w:hAnsi="Times New Roman" w:cs="Times New Roman"/>
          <w:color w:val="000000"/>
          <w:kern w:val="0"/>
          <w:lang w:eastAsia="en-GB"/>
          <w14:ligatures w14:val="none"/>
        </w:rPr>
        <w:t> offers a complementary perspective by suggesting that successful ageing is linked to continued social engagement, role maintenance, and meaningful activity (Havighurst, 1961). Rather than viewing ageing as a period of inevitable decline and withdrawal (as proposed in earlier theories like disengagement theory), Activity Theory asserts that older adults who remain involved in structured, purposeful, and socially rewarding tasks tend to report higher life satisfaction and lower levels of depression (Lemon et al., 1972). This is especially relevant in residential care settings, where routines can be passive or institutionalised unless proactively structured to encourage participation.</w:t>
      </w:r>
    </w:p>
    <w:p w14:paraId="307F93AF"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lastRenderedPageBreak/>
        <w:t>Both theories are particularly applicable to people aged 65 and over, as they reflect common challenges faced in late life—including loss, health decline, and transitions in identity and independence. Used together, these frameworks provide a holistic lens for understanding the interplay between meaning, engagement, and psychological wellbeing in older adults experiencing depression.</w:t>
      </w:r>
    </w:p>
    <w:p w14:paraId="32599D9E" w14:textId="77777777" w:rsidR="00476CFB" w:rsidRPr="00476CFB" w:rsidRDefault="00476CFB" w:rsidP="00476CFB">
      <w:pPr>
        <w:spacing w:before="100" w:beforeAutospacing="1" w:after="100" w:afterAutospacing="1"/>
        <w:jc w:val="both"/>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t>Application of Psychological Theories in Dementia Care</w:t>
      </w:r>
    </w:p>
    <w:p w14:paraId="33008B12"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Applying psychological theory in practice can enhance the quality of care provided to older adults living with dementia and depression. Both Erikson’s Psychosocial Theory and Activity Theory offer frameworks that inform person-centred strategies and emotional support in dementia care settings.</w:t>
      </w:r>
    </w:p>
    <w:p w14:paraId="36E3EEC2" w14:textId="28DE0193"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According to Erikson’s stage of Integrity vs. Despair, older adults benefit emotionally when they feel their lives have meaning. In dementia care homes, where many residents struggle with memory loss and identity erosion, staff can support integrity by engaging residents in life story work or reminiscence therapy. These interventions help individuals reconnect with their personal histories and achievements, promoting continuity and self-worth</w:t>
      </w:r>
      <w:r>
        <w:rPr>
          <w:rFonts w:ascii="Times New Roman" w:eastAsia="Times New Roman" w:hAnsi="Times New Roman" w:cs="Times New Roman"/>
          <w:color w:val="000000"/>
          <w:kern w:val="0"/>
          <w:lang w:eastAsia="en-GB"/>
          <w14:ligatures w14:val="none"/>
        </w:rPr>
        <w:t xml:space="preserve"> (</w:t>
      </w:r>
      <w:r w:rsidRPr="00476CFB">
        <w:rPr>
          <w:rFonts w:ascii="Times New Roman" w:eastAsia="Times New Roman" w:hAnsi="Times New Roman" w:cs="Times New Roman"/>
          <w:color w:val="000000"/>
          <w:kern w:val="0"/>
          <w:lang w:eastAsia="en-GB"/>
          <w14:ligatures w14:val="none"/>
        </w:rPr>
        <w:t>Khan, Bleth, Bakpayev, &amp; Imtiaz, 2022)</w:t>
      </w:r>
      <w:r>
        <w:rPr>
          <w:rFonts w:ascii="Times New Roman" w:eastAsia="Times New Roman" w:hAnsi="Times New Roman" w:cs="Times New Roman"/>
          <w:color w:val="000000"/>
          <w:kern w:val="0"/>
          <w:lang w:eastAsia="en-GB"/>
          <w14:ligatures w14:val="none"/>
        </w:rPr>
        <w:t>.</w:t>
      </w:r>
      <w:r w:rsidRPr="00476CFB">
        <w:rPr>
          <w:rFonts w:ascii="Times New Roman" w:eastAsia="Times New Roman" w:hAnsi="Times New Roman" w:cs="Times New Roman"/>
          <w:color w:val="000000"/>
          <w:kern w:val="0"/>
          <w:lang w:eastAsia="en-GB"/>
          <w14:ligatures w14:val="none"/>
        </w:rPr>
        <w:t xml:space="preserve"> For example, a staff member might use a resident’s old photographs or cultural artefacts to spark conversations about meaningful events. Even when residents cannot recall details, the emotional validation and relational connection can foster dignity and emotional safety (McKeown et al., 2015).</w:t>
      </w:r>
    </w:p>
    <w:p w14:paraId="614B4B50"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However, applying Erikson’s theory in advanced dementia can be challenging. Individuals with severe cognitive decline may struggle to reflect or articulate meaning. In these cases, staff can adapt by using non-verbal validation techniques or focusing on emotional memory, which often persists longer than factual memory (Kitwood, 1997). Training in dementia communication—such as Validation Therapy or Naomi Feil’s techniques—can support staff in navigating these interactions empathetically.</w:t>
      </w:r>
    </w:p>
    <w:p w14:paraId="209516CE" w14:textId="615102D8"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Activity Theory highlights the importance of meaningful engagement in daily routines to preserve well-being. In residential settings, depression is often linked to inactivity, boredom, or role loss (Choi et al., 2021)</w:t>
      </w:r>
      <w:r>
        <w:rPr>
          <w:rFonts w:ascii="Times New Roman" w:eastAsia="Times New Roman" w:hAnsi="Times New Roman" w:cs="Times New Roman"/>
          <w:color w:val="000000"/>
          <w:kern w:val="0"/>
          <w:lang w:eastAsia="en-GB"/>
          <w14:ligatures w14:val="none"/>
        </w:rPr>
        <w:t xml:space="preserve">. </w:t>
      </w:r>
      <w:r w:rsidRPr="00476CFB">
        <w:rPr>
          <w:rFonts w:ascii="Times New Roman" w:eastAsia="Times New Roman" w:hAnsi="Times New Roman" w:cs="Times New Roman"/>
          <w:color w:val="000000"/>
          <w:kern w:val="0"/>
          <w:lang w:eastAsia="en-GB"/>
          <w14:ligatures w14:val="none"/>
        </w:rPr>
        <w:t>Staff can use this theory by co-developing personalised activity plans that reflect each resident’s interests and abilities—such as gardening, music sessions, or adapted crafts. These activities promote autonomy and reduce behavioural symptoms often misinterpreted as ‘non-compliance’ or ‘wandering’ (Brooker</w:t>
      </w:r>
      <w:r>
        <w:rPr>
          <w:rFonts w:ascii="Times New Roman" w:eastAsia="Times New Roman" w:hAnsi="Times New Roman" w:cs="Times New Roman"/>
          <w:color w:val="000000"/>
          <w:kern w:val="0"/>
          <w:lang w:eastAsia="en-GB"/>
          <w14:ligatures w14:val="none"/>
        </w:rPr>
        <w:t xml:space="preserve">, 2007). </w:t>
      </w:r>
      <w:r w:rsidRPr="00476CFB">
        <w:rPr>
          <w:rFonts w:ascii="Times New Roman" w:eastAsia="Times New Roman" w:hAnsi="Times New Roman" w:cs="Times New Roman"/>
          <w:color w:val="000000"/>
          <w:kern w:val="0"/>
          <w:lang w:eastAsia="en-GB"/>
          <w14:ligatures w14:val="none"/>
        </w:rPr>
        <w:t>For instance, a former teacher might respond positively to helping with reading groups or mentoring young visitors.</w:t>
      </w:r>
    </w:p>
    <w:p w14:paraId="12988F0A"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One challenge with Activity Theory is that it can assume residents are always able or willing to participate. In practice, factors like fatigue, pain, apathy, or fluctuating cognition may limit engagement. Staff might also face time constraints or lack confidence in adapting activities to complex needs. To address this, managers can offer training in activity adaptation, employ occupational therapists, and promote a whole-home approach where all team members contribute to meaningful engagement throughout the day (NICE, 2018).</w:t>
      </w:r>
    </w:p>
    <w:p w14:paraId="01B440F0"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Moreover, both theories require professionals to move beyond task-oriented care and adopt a relational, holistic approach. This may involve rethinking routine priorities—for example, pausing personal care tasks to allow a resident to finish a song or reminisce about a photo. While such flexibility may seem inefficient in fast-paced environments, it is essential for emotional connection and therapeutic support.</w:t>
      </w:r>
    </w:p>
    <w:p w14:paraId="7B2BE38B" w14:textId="77777777"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lastRenderedPageBreak/>
        <w:t>Ultimately, Erikson’s theory supports emotional integration, while Activity Theory promotes behavioural stimulation—together offering a dual lens to address depression in dementia care. Applied thoughtfully, they empower staff to support residents not just as patients, but as whole people with histories, preferences, and emotional needs.</w:t>
      </w:r>
    </w:p>
    <w:p w14:paraId="566F586D" w14:textId="77777777" w:rsidR="00476CFB" w:rsidRPr="00476CFB" w:rsidRDefault="00476CFB" w:rsidP="00476CFB">
      <w:pPr>
        <w:spacing w:before="100" w:beforeAutospacing="1" w:after="100" w:afterAutospacing="1"/>
        <w:jc w:val="both"/>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t>Conclusion</w:t>
      </w:r>
    </w:p>
    <w:p w14:paraId="08A01E99" w14:textId="13DDF7DA" w:rsidR="00476CFB" w:rsidRPr="00476CFB" w:rsidRDefault="00476CFB" w:rsidP="00476CFB">
      <w:pPr>
        <w:spacing w:before="100" w:beforeAutospacing="1" w:after="100" w:afterAutospacing="1"/>
        <w:jc w:val="both"/>
        <w:rPr>
          <w:rFonts w:ascii="Times New Roman" w:eastAsia="Times New Roman" w:hAnsi="Times New Roman" w:cs="Times New Roman"/>
          <w:color w:val="000000"/>
          <w:kern w:val="0"/>
          <w:lang w:eastAsia="en-GB"/>
          <w14:ligatures w14:val="none"/>
        </w:rPr>
      </w:pPr>
      <w:r w:rsidRPr="00476CFB">
        <w:rPr>
          <w:rFonts w:ascii="Times New Roman" w:eastAsia="Times New Roman" w:hAnsi="Times New Roman" w:cs="Times New Roman"/>
          <w:color w:val="000000"/>
          <w:kern w:val="0"/>
          <w:lang w:eastAsia="en-GB"/>
          <w14:ligatures w14:val="none"/>
        </w:rPr>
        <w:t xml:space="preserve">Supporting older adults with depression in dementia care homes requires more than medical treatment—it demands an understanding of their emotional histories, social roles, and personal meaning. This report has shown how Erikson’s Psychosocial Theory and Activity Theory offer valuable perspectives for care staff. While Erikson’s model highlights the importance of identity, reflection, and emotional validation, Activity Theory emphasises purposeful engagement and role continuity. Together, they provide a holistic framework for addressing psychological and behavioural challenges in later life. Though limitations exist—such as cognitive decline or resource constraints—adapted approaches and relational care can ensure that residents experience dignity, connection, and stimulation. Health and social care professionals who apply these theories with empathy and creativity can play a pivotal role in improving </w:t>
      </w:r>
      <w:r>
        <w:rPr>
          <w:rFonts w:ascii="Times New Roman" w:eastAsia="Times New Roman" w:hAnsi="Times New Roman" w:cs="Times New Roman"/>
          <w:color w:val="000000"/>
          <w:kern w:val="0"/>
          <w:lang w:eastAsia="en-GB"/>
          <w14:ligatures w14:val="none"/>
        </w:rPr>
        <w:t xml:space="preserve">the </w:t>
      </w:r>
      <w:r w:rsidRPr="00476CFB">
        <w:rPr>
          <w:rFonts w:ascii="Times New Roman" w:eastAsia="Times New Roman" w:hAnsi="Times New Roman" w:cs="Times New Roman"/>
          <w:color w:val="000000"/>
          <w:kern w:val="0"/>
          <w:lang w:eastAsia="en-GB"/>
          <w14:ligatures w14:val="none"/>
        </w:rPr>
        <w:t>quality of life for individuals living with both dementia and depression.</w:t>
      </w:r>
    </w:p>
    <w:p w14:paraId="1FBC542F" w14:textId="4608BE30" w:rsidR="00476CFB" w:rsidRPr="00476CFB" w:rsidRDefault="00476CFB" w:rsidP="00476CFB">
      <w:pPr>
        <w:spacing w:before="100" w:beforeAutospacing="1" w:after="100" w:afterAutospacing="1"/>
        <w:jc w:val="both"/>
        <w:outlineLvl w:val="2"/>
        <w:rPr>
          <w:rFonts w:ascii="Times New Roman" w:eastAsia="Times New Roman" w:hAnsi="Times New Roman" w:cs="Times New Roman"/>
          <w:b/>
          <w:bCs/>
          <w:color w:val="000000"/>
          <w:kern w:val="0"/>
          <w:sz w:val="27"/>
          <w:szCs w:val="27"/>
          <w:lang w:eastAsia="en-GB"/>
          <w14:ligatures w14:val="none"/>
        </w:rPr>
      </w:pPr>
      <w:r w:rsidRPr="00476CFB">
        <w:rPr>
          <w:rFonts w:ascii="Times New Roman" w:eastAsia="Times New Roman" w:hAnsi="Times New Roman" w:cs="Times New Roman"/>
          <w:b/>
          <w:bCs/>
          <w:color w:val="000000"/>
          <w:kern w:val="0"/>
          <w:sz w:val="27"/>
          <w:szCs w:val="27"/>
          <w:lang w:eastAsia="en-GB"/>
          <w14:ligatures w14:val="none"/>
        </w:rPr>
        <w:t xml:space="preserve">References: </w:t>
      </w:r>
    </w:p>
    <w:p w14:paraId="52DB61F9" w14:textId="1A0B4735" w:rsidR="00476CFB" w:rsidRPr="00BD052F" w:rsidRDefault="00476CFB" w:rsidP="00BD052F">
      <w:pPr>
        <w:pStyle w:val="NormalWeb"/>
        <w:numPr>
          <w:ilvl w:val="0"/>
          <w:numId w:val="11"/>
        </w:numPr>
        <w:jc w:val="both"/>
      </w:pPr>
      <w:r w:rsidRPr="00476CFB">
        <w:t>Brooker, D. (2007). </w:t>
      </w:r>
      <w:r w:rsidRPr="00476CFB">
        <w:rPr>
          <w:i/>
          <w:iCs/>
        </w:rPr>
        <w:t>Person-centred dementia care: Making services better</w:t>
      </w:r>
      <w:r w:rsidRPr="00476CFB">
        <w:t>. Jessica Kingsley Publishers.</w:t>
      </w:r>
      <w:r>
        <w:t xml:space="preserve"> </w:t>
      </w:r>
      <w:hyperlink r:id="rId5" w:anchor="v=onepage&amp;q&amp;f=false" w:history="1">
        <w:r w:rsidRPr="009C5538">
          <w:rPr>
            <w:rStyle w:val="Hyperlink"/>
          </w:rPr>
          <w:t>https://books.google.com.au/books?id=1ecPBQAAQBAJ&amp;pg=PA9&amp;source=gbs_toc_r&amp;cad=2#v=onepage&amp;q&amp;f=false</w:t>
        </w:r>
      </w:hyperlink>
    </w:p>
    <w:p w14:paraId="6BAEEE13" w14:textId="30F04F1B" w:rsidR="00BD052F" w:rsidRDefault="00BD052F" w:rsidP="00BD052F">
      <w:pPr>
        <w:pStyle w:val="NormalWeb"/>
        <w:numPr>
          <w:ilvl w:val="0"/>
          <w:numId w:val="11"/>
        </w:numPr>
        <w:jc w:val="both"/>
      </w:pPr>
      <w:r w:rsidRPr="00476CFB">
        <w:t>Choi, E., Han, K. M., Chang, J., Lee, Y. J., Choi, K. W., Han, C., &amp; Ham, B. J. (2021). Social participation and depressive symptoms in community-dwelling older adults: Emotional social support as a mediator. </w:t>
      </w:r>
      <w:r w:rsidRPr="00476CFB">
        <w:rPr>
          <w:i/>
          <w:iCs/>
        </w:rPr>
        <w:t>Journal of psychiatric research</w:t>
      </w:r>
      <w:r w:rsidRPr="00476CFB">
        <w:t xml:space="preserve">, 137, 589–596. </w:t>
      </w:r>
      <w:hyperlink r:id="rId6" w:history="1">
        <w:r w:rsidRPr="009C5538">
          <w:rPr>
            <w:rStyle w:val="Hyperlink"/>
            <w:rFonts w:ascii="Segoe UI" w:hAnsi="Segoe UI" w:cs="Segoe UI"/>
            <w:shd w:val="clear" w:color="auto" w:fill="FFFFFF"/>
          </w:rPr>
          <w:t>https://doi.org/10.1016/j.jpsychires.2020.10.043</w:t>
        </w:r>
      </w:hyperlink>
    </w:p>
    <w:p w14:paraId="448D395C" w14:textId="19C14C49" w:rsidR="00476CFB" w:rsidRDefault="00476CFB" w:rsidP="00BD052F">
      <w:pPr>
        <w:pStyle w:val="NormalWeb"/>
        <w:numPr>
          <w:ilvl w:val="0"/>
          <w:numId w:val="11"/>
        </w:numPr>
        <w:jc w:val="both"/>
      </w:pPr>
      <w:r>
        <w:t>Havighurst, R. J. (1961). Successful aging.</w:t>
      </w:r>
      <w:r>
        <w:rPr>
          <w:rStyle w:val="apple-converted-space"/>
          <w:rFonts w:eastAsiaTheme="majorEastAsia"/>
        </w:rPr>
        <w:t> </w:t>
      </w:r>
      <w:r>
        <w:rPr>
          <w:rStyle w:val="Emphasis"/>
          <w:rFonts w:eastAsiaTheme="majorEastAsia"/>
        </w:rPr>
        <w:t>The Gerontologist</w:t>
      </w:r>
      <w:r>
        <w:t>,</w:t>
      </w:r>
      <w:r>
        <w:rPr>
          <w:rStyle w:val="apple-converted-space"/>
          <w:rFonts w:eastAsiaTheme="majorEastAsia"/>
        </w:rPr>
        <w:t> </w:t>
      </w:r>
      <w:r>
        <w:rPr>
          <w:rStyle w:val="Emphasis"/>
          <w:rFonts w:eastAsiaTheme="majorEastAsia"/>
        </w:rPr>
        <w:t>1</w:t>
      </w:r>
      <w:r>
        <w:t>(1), 8–13.</w:t>
      </w:r>
      <w:r>
        <w:rPr>
          <w:rStyle w:val="apple-converted-space"/>
          <w:rFonts w:eastAsiaTheme="majorEastAsia"/>
        </w:rPr>
        <w:t> </w:t>
      </w:r>
      <w:hyperlink r:id="rId7" w:history="1">
        <w:r>
          <w:rPr>
            <w:rStyle w:val="Hyperlink"/>
            <w:rFonts w:ascii="Source Sans Pro" w:eastAsiaTheme="majorEastAsia" w:hAnsi="Source Sans Pro"/>
            <w:color w:val="006FB7"/>
            <w:sz w:val="26"/>
            <w:szCs w:val="26"/>
            <w:bdr w:val="none" w:sz="0" w:space="0" w:color="auto" w:frame="1"/>
          </w:rPr>
          <w:t>https://doi.org/10.1093/geront/1.1.8</w:t>
        </w:r>
      </w:hyperlink>
    </w:p>
    <w:p w14:paraId="312C62FA" w14:textId="77777777" w:rsidR="00476CFB" w:rsidRDefault="00476CFB" w:rsidP="00BD052F">
      <w:pPr>
        <w:pStyle w:val="NormalWeb"/>
        <w:numPr>
          <w:ilvl w:val="0"/>
          <w:numId w:val="11"/>
        </w:numPr>
        <w:jc w:val="both"/>
      </w:pPr>
      <w:r>
        <w:t>Kitwood, T. (1997).</w:t>
      </w:r>
      <w:r>
        <w:rPr>
          <w:rStyle w:val="apple-converted-space"/>
          <w:rFonts w:eastAsiaTheme="majorEastAsia"/>
        </w:rPr>
        <w:t> </w:t>
      </w:r>
      <w:r>
        <w:rPr>
          <w:rStyle w:val="Emphasis"/>
          <w:rFonts w:eastAsiaTheme="majorEastAsia"/>
        </w:rPr>
        <w:t>Dementia reconsidered: The person comes first.</w:t>
      </w:r>
      <w:r>
        <w:rPr>
          <w:rStyle w:val="apple-converted-space"/>
          <w:rFonts w:eastAsiaTheme="majorEastAsia"/>
        </w:rPr>
        <w:t> </w:t>
      </w:r>
      <w:r>
        <w:t xml:space="preserve">Open University Press. </w:t>
      </w:r>
      <w:hyperlink r:id="rId8" w:history="1">
        <w:r w:rsidRPr="009C5538">
          <w:rPr>
            <w:rStyle w:val="Hyperlink"/>
          </w:rPr>
          <w:t>https://www.scribd.com/document/675769057/dementia-reconsidered-the-person-comes-first-9780335198559-0335198554-9780335198566-0335198562-1</w:t>
        </w:r>
      </w:hyperlink>
    </w:p>
    <w:p w14:paraId="7A7B31BC" w14:textId="17CAC212" w:rsidR="00476CFB" w:rsidRPr="00BD052F" w:rsidRDefault="00476CFB" w:rsidP="00BD052F">
      <w:pPr>
        <w:pStyle w:val="NormalWeb"/>
        <w:numPr>
          <w:ilvl w:val="0"/>
          <w:numId w:val="11"/>
        </w:numPr>
        <w:jc w:val="both"/>
      </w:pPr>
      <w:r w:rsidRPr="00476CFB">
        <w:t>Knight, B. G., Nordhus, I. H., &amp; Satre, D. D. (2003). Psychotherapy with older adults. In I. B. Weiner (Ed.), </w:t>
      </w:r>
      <w:r w:rsidRPr="00476CFB">
        <w:rPr>
          <w:i/>
          <w:iCs/>
        </w:rPr>
        <w:t>Handbook of psychology: Clinical psychology</w:t>
      </w:r>
      <w:r w:rsidRPr="00476CFB">
        <w:t> (Vol. 8</w:t>
      </w:r>
      <w:r>
        <w:t xml:space="preserve">). </w:t>
      </w:r>
      <w:r w:rsidRPr="00476CFB">
        <w:t>Wiley</w:t>
      </w:r>
      <w:r>
        <w:t xml:space="preserve"> </w:t>
      </w:r>
      <w:r w:rsidRPr="00476CFB">
        <w:rPr>
          <w:rFonts w:ascii="Open Sans" w:hAnsi="Open Sans" w:cs="Open Sans"/>
          <w:color w:val="767676"/>
          <w:sz w:val="21"/>
          <w:szCs w:val="21"/>
          <w:shd w:val="clear" w:color="auto" w:fill="FFFFFF"/>
        </w:rPr>
        <w:t> </w:t>
      </w:r>
      <w:r>
        <w:rPr>
          <w:rFonts w:ascii="Open Sans" w:hAnsi="Open Sans" w:cs="Open Sans"/>
          <w:color w:val="767676"/>
          <w:sz w:val="21"/>
          <w:szCs w:val="21"/>
          <w:shd w:val="clear" w:color="auto" w:fill="FFFFFF"/>
        </w:rPr>
        <w:t xml:space="preserve"> </w:t>
      </w:r>
      <w:hyperlink r:id="rId9" w:history="1">
        <w:r w:rsidRPr="00476CFB">
          <w:rPr>
            <w:rStyle w:val="Hyperlink"/>
            <w:rFonts w:ascii="Open Sans" w:hAnsi="Open Sans" w:cs="Open Sans"/>
            <w:b/>
            <w:bCs/>
            <w:sz w:val="21"/>
            <w:szCs w:val="21"/>
          </w:rPr>
          <w:t>https://doi.org/10.1002/0471264385.wei0819</w:t>
        </w:r>
      </w:hyperlink>
    </w:p>
    <w:p w14:paraId="3498FE24" w14:textId="1246567D" w:rsidR="00BD052F" w:rsidRPr="00BD052F" w:rsidRDefault="00BD052F" w:rsidP="00BD052F">
      <w:pPr>
        <w:pStyle w:val="NormalWeb"/>
        <w:numPr>
          <w:ilvl w:val="0"/>
          <w:numId w:val="11"/>
        </w:numPr>
      </w:pPr>
      <w:r w:rsidRPr="00476CFB">
        <w:t>Khan, A., Bleth, A., Bakpayev, M., &amp; Imtiaz, N. (2022). Reminiscence therapy in the treatment of depression in the elderly: Current perspectives. </w:t>
      </w:r>
      <w:r w:rsidRPr="00476CFB">
        <w:rPr>
          <w:i/>
          <w:iCs/>
        </w:rPr>
        <w:t>Journal of Ageing and Longevity,</w:t>
      </w:r>
      <w:r w:rsidRPr="00476CFB">
        <w:t xml:space="preserve"> 2(1), 34–48. </w:t>
      </w:r>
      <w:hyperlink r:id="rId10" w:history="1">
        <w:r w:rsidRPr="00476CFB">
          <w:rPr>
            <w:rStyle w:val="Hyperlink"/>
            <w:rFonts w:eastAsiaTheme="majorEastAsia"/>
          </w:rPr>
          <w:t>https://doi.org/10.3390/jal2010004</w:t>
        </w:r>
      </w:hyperlink>
    </w:p>
    <w:p w14:paraId="38F72BF3" w14:textId="02A1D305" w:rsidR="00476CFB" w:rsidRDefault="00476CFB" w:rsidP="00BD052F">
      <w:pPr>
        <w:pStyle w:val="NormalWeb"/>
        <w:numPr>
          <w:ilvl w:val="0"/>
          <w:numId w:val="11"/>
        </w:numPr>
      </w:pPr>
      <w:r>
        <w:t>Lemon, B. W., Bengtson, V. L., &amp; Peterson, J. A. (1972). An exploration of the activity theory of aging: Activity types and life satisfaction among in-movers to a retirement community.</w:t>
      </w:r>
      <w:r>
        <w:rPr>
          <w:rStyle w:val="apple-converted-space"/>
          <w:rFonts w:eastAsiaTheme="majorEastAsia"/>
        </w:rPr>
        <w:t> </w:t>
      </w:r>
      <w:r>
        <w:rPr>
          <w:rStyle w:val="Emphasis"/>
          <w:rFonts w:eastAsiaTheme="majorEastAsia"/>
        </w:rPr>
        <w:t>Journal of Gerontology</w:t>
      </w:r>
      <w:r>
        <w:t>,</w:t>
      </w:r>
      <w:r>
        <w:rPr>
          <w:rStyle w:val="apple-converted-space"/>
          <w:rFonts w:eastAsiaTheme="majorEastAsia"/>
        </w:rPr>
        <w:t> </w:t>
      </w:r>
      <w:r>
        <w:rPr>
          <w:rStyle w:val="Emphasis"/>
          <w:rFonts w:eastAsiaTheme="majorEastAsia"/>
        </w:rPr>
        <w:t>27</w:t>
      </w:r>
      <w:r>
        <w:t>(4), 511-523.</w:t>
      </w:r>
      <w:r>
        <w:rPr>
          <w:rStyle w:val="apple-converted-space"/>
          <w:rFonts w:eastAsiaTheme="majorEastAsia"/>
        </w:rPr>
        <w:t> </w:t>
      </w:r>
      <w:hyperlink r:id="rId11" w:tgtFrame="_new" w:history="1">
        <w:r>
          <w:rPr>
            <w:rStyle w:val="Hyperlink"/>
            <w:rFonts w:eastAsiaTheme="majorEastAsia"/>
          </w:rPr>
          <w:t>https://doi.org/10.1093/geronj/27.4.511</w:t>
        </w:r>
      </w:hyperlink>
    </w:p>
    <w:p w14:paraId="4ACD4F7B" w14:textId="77777777" w:rsidR="00476CFB" w:rsidRDefault="00476CFB" w:rsidP="00BD052F">
      <w:pPr>
        <w:pStyle w:val="NormalWeb"/>
        <w:numPr>
          <w:ilvl w:val="0"/>
          <w:numId w:val="11"/>
        </w:numPr>
        <w:jc w:val="both"/>
      </w:pPr>
      <w:r w:rsidRPr="00476CFB">
        <w:t xml:space="preserve">McKeown, J., Clarke, A., Ingleton, C., Ryan, T., &amp; Repper, J. (2015). The use of life story work with people with dementia to enhance person-centred care. International Journal of Older People Nursing, 10(1), 58–71. </w:t>
      </w:r>
      <w:hyperlink r:id="rId12" w:tgtFrame="_blank" w:history="1">
        <w:r w:rsidRPr="00476CFB">
          <w:rPr>
            <w:rFonts w:ascii="Segoe UI" w:hAnsi="Segoe UI" w:cs="Segoe UI"/>
            <w:color w:val="0071BC"/>
            <w:u w:val="single"/>
          </w:rPr>
          <w:t>10.1111/j.1748-3743.2010.00219.x</w:t>
        </w:r>
      </w:hyperlink>
    </w:p>
    <w:p w14:paraId="7EF5A156" w14:textId="30370BD2" w:rsidR="00476CFB" w:rsidRDefault="00476CFB" w:rsidP="00BD052F">
      <w:pPr>
        <w:pStyle w:val="NormalWeb"/>
        <w:numPr>
          <w:ilvl w:val="0"/>
          <w:numId w:val="11"/>
        </w:numPr>
        <w:jc w:val="both"/>
      </w:pPr>
      <w:r>
        <w:lastRenderedPageBreak/>
        <w:t>National Institute for Health and Care Excellence (NICE). (2018).</w:t>
      </w:r>
      <w:r>
        <w:rPr>
          <w:rStyle w:val="apple-converted-space"/>
          <w:rFonts w:eastAsiaTheme="majorEastAsia"/>
        </w:rPr>
        <w:t> </w:t>
      </w:r>
      <w:r>
        <w:rPr>
          <w:rStyle w:val="Emphasis"/>
          <w:rFonts w:eastAsiaTheme="majorEastAsia"/>
        </w:rPr>
        <w:t>Dementia: Assessment, management and support for people living with dementia and their carers</w:t>
      </w:r>
      <w:r>
        <w:rPr>
          <w:rStyle w:val="apple-converted-space"/>
          <w:rFonts w:eastAsiaTheme="majorEastAsia"/>
        </w:rPr>
        <w:t> </w:t>
      </w:r>
      <w:r>
        <w:t>(NICE guideline NG97).</w:t>
      </w:r>
      <w:r>
        <w:rPr>
          <w:rStyle w:val="apple-converted-space"/>
          <w:rFonts w:eastAsiaTheme="majorEastAsia"/>
        </w:rPr>
        <w:t> </w:t>
      </w:r>
      <w:hyperlink r:id="rId13" w:tgtFrame="_new" w:history="1">
        <w:r>
          <w:rPr>
            <w:rStyle w:val="Hyperlink"/>
            <w:rFonts w:eastAsiaTheme="majorEastAsia"/>
          </w:rPr>
          <w:t>https://www.nice.org.uk/guidance/ng97</w:t>
        </w:r>
      </w:hyperlink>
    </w:p>
    <w:p w14:paraId="303B4A31" w14:textId="416EF381" w:rsidR="00476CFB" w:rsidRPr="00BD052F" w:rsidRDefault="00476CFB" w:rsidP="00BD052F">
      <w:pPr>
        <w:pStyle w:val="NormalWeb"/>
        <w:numPr>
          <w:ilvl w:val="0"/>
          <w:numId w:val="11"/>
        </w:numPr>
      </w:pPr>
      <w:r>
        <w:t>National Institute for Health and Care Excellence (NICE). (2022).</w:t>
      </w:r>
      <w:r>
        <w:rPr>
          <w:rStyle w:val="apple-converted-space"/>
          <w:rFonts w:eastAsiaTheme="majorEastAsia"/>
        </w:rPr>
        <w:t> </w:t>
      </w:r>
      <w:r>
        <w:rPr>
          <w:rStyle w:val="Emphasis"/>
          <w:rFonts w:eastAsiaTheme="majorEastAsia"/>
        </w:rPr>
        <w:t xml:space="preserve">Depression in adults: Treatment and management </w:t>
      </w:r>
      <w:r>
        <w:t>(NICE guideline NG222).</w:t>
      </w:r>
      <w:r>
        <w:rPr>
          <w:rStyle w:val="apple-converted-space"/>
          <w:rFonts w:eastAsiaTheme="majorEastAsia"/>
        </w:rPr>
        <w:t> </w:t>
      </w:r>
      <w:hyperlink r:id="rId14" w:tgtFrame="_new" w:history="1">
        <w:r>
          <w:rPr>
            <w:rStyle w:val="Hyperlink"/>
            <w:rFonts w:eastAsiaTheme="majorEastAsia"/>
          </w:rPr>
          <w:t>https://www.nice.org.uk/guidance/ng222</w:t>
        </w:r>
      </w:hyperlink>
    </w:p>
    <w:p w14:paraId="6DB7710D" w14:textId="77777777" w:rsidR="00BD052F" w:rsidRDefault="00BD052F" w:rsidP="00BD052F">
      <w:pPr>
        <w:pStyle w:val="NormalWeb"/>
        <w:numPr>
          <w:ilvl w:val="0"/>
          <w:numId w:val="11"/>
        </w:numPr>
        <w:jc w:val="both"/>
      </w:pPr>
      <w:r w:rsidRPr="00476CFB">
        <w:t>Wu, C.-C., Tsai, H.-H., Huang, H.-L., Wang, Y.-W., Huang, C.-H., &amp; Liu, C.-Y. (2023). </w:t>
      </w:r>
      <w:r w:rsidRPr="00476CFB">
        <w:rPr>
          <w:i/>
          <w:iCs/>
        </w:rPr>
        <w:t>Depression in nursing home residents and its correlation with meaning of family involvement and depression of family</w:t>
      </w:r>
      <w:r w:rsidRPr="00476CFB">
        <w:t>. International Psychogeriatrics, 35(2), 67–75.</w:t>
      </w:r>
      <w:r>
        <w:t xml:space="preserve"> </w:t>
      </w:r>
      <w:hyperlink r:id="rId15" w:history="1">
        <w:r w:rsidRPr="009C5538">
          <w:rPr>
            <w:rStyle w:val="Hyperlink"/>
          </w:rPr>
          <w:t>https://doi.org/10.1017/S1041610221002842</w:t>
        </w:r>
      </w:hyperlink>
    </w:p>
    <w:p w14:paraId="4B1131FC" w14:textId="77777777" w:rsidR="00BD052F" w:rsidRDefault="00BD052F" w:rsidP="00BD052F">
      <w:pPr>
        <w:pStyle w:val="NormalWeb"/>
        <w:ind w:left="1080"/>
      </w:pPr>
    </w:p>
    <w:sectPr w:rsidR="00BD0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B29CB"/>
    <w:multiLevelType w:val="hybridMultilevel"/>
    <w:tmpl w:val="65F4A33E"/>
    <w:lvl w:ilvl="0" w:tplc="AB78AA4A">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21722"/>
    <w:multiLevelType w:val="multilevel"/>
    <w:tmpl w:val="5FD2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4D1F7D"/>
    <w:multiLevelType w:val="hybridMultilevel"/>
    <w:tmpl w:val="77DA668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72F4861"/>
    <w:multiLevelType w:val="hybridMultilevel"/>
    <w:tmpl w:val="C546B4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A92A7D"/>
    <w:multiLevelType w:val="multilevel"/>
    <w:tmpl w:val="7B72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531A4D"/>
    <w:multiLevelType w:val="multilevel"/>
    <w:tmpl w:val="5990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435F16"/>
    <w:multiLevelType w:val="multilevel"/>
    <w:tmpl w:val="293C6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E10609"/>
    <w:multiLevelType w:val="multilevel"/>
    <w:tmpl w:val="843C5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DB0FB0"/>
    <w:multiLevelType w:val="multilevel"/>
    <w:tmpl w:val="148EC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C8181F"/>
    <w:multiLevelType w:val="multilevel"/>
    <w:tmpl w:val="32B6E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742140"/>
    <w:multiLevelType w:val="multilevel"/>
    <w:tmpl w:val="B766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086671">
    <w:abstractNumId w:val="5"/>
  </w:num>
  <w:num w:numId="2" w16cid:durableId="1270315680">
    <w:abstractNumId w:val="4"/>
  </w:num>
  <w:num w:numId="3" w16cid:durableId="1104617985">
    <w:abstractNumId w:val="1"/>
  </w:num>
  <w:num w:numId="4" w16cid:durableId="168063228">
    <w:abstractNumId w:val="6"/>
  </w:num>
  <w:num w:numId="5" w16cid:durableId="1690791598">
    <w:abstractNumId w:val="9"/>
  </w:num>
  <w:num w:numId="6" w16cid:durableId="1044645809">
    <w:abstractNumId w:val="8"/>
  </w:num>
  <w:num w:numId="7" w16cid:durableId="2106223215">
    <w:abstractNumId w:val="7"/>
  </w:num>
  <w:num w:numId="8" w16cid:durableId="2107923249">
    <w:abstractNumId w:val="3"/>
  </w:num>
  <w:num w:numId="9" w16cid:durableId="1877497213">
    <w:abstractNumId w:val="0"/>
  </w:num>
  <w:num w:numId="10" w16cid:durableId="831674379">
    <w:abstractNumId w:val="10"/>
  </w:num>
  <w:num w:numId="11" w16cid:durableId="14549083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CFB"/>
    <w:rsid w:val="00005987"/>
    <w:rsid w:val="0006494B"/>
    <w:rsid w:val="0006528F"/>
    <w:rsid w:val="00093B1C"/>
    <w:rsid w:val="000A0C0A"/>
    <w:rsid w:val="000C518C"/>
    <w:rsid w:val="000D2B04"/>
    <w:rsid w:val="000D6091"/>
    <w:rsid w:val="000E724B"/>
    <w:rsid w:val="00117B4D"/>
    <w:rsid w:val="001409A9"/>
    <w:rsid w:val="00143C7E"/>
    <w:rsid w:val="001751EE"/>
    <w:rsid w:val="001A4684"/>
    <w:rsid w:val="001B40DF"/>
    <w:rsid w:val="001B56B4"/>
    <w:rsid w:val="00201885"/>
    <w:rsid w:val="002175A7"/>
    <w:rsid w:val="002521A5"/>
    <w:rsid w:val="002538D9"/>
    <w:rsid w:val="00281C30"/>
    <w:rsid w:val="00290899"/>
    <w:rsid w:val="002B0C71"/>
    <w:rsid w:val="002C5775"/>
    <w:rsid w:val="002C58BC"/>
    <w:rsid w:val="002C7227"/>
    <w:rsid w:val="002E10FA"/>
    <w:rsid w:val="002E3134"/>
    <w:rsid w:val="003030E9"/>
    <w:rsid w:val="003142F4"/>
    <w:rsid w:val="00354901"/>
    <w:rsid w:val="003761D7"/>
    <w:rsid w:val="003D16B9"/>
    <w:rsid w:val="003F0925"/>
    <w:rsid w:val="004143FC"/>
    <w:rsid w:val="00425DB0"/>
    <w:rsid w:val="00451264"/>
    <w:rsid w:val="00476CFB"/>
    <w:rsid w:val="00485DDD"/>
    <w:rsid w:val="004A0F6A"/>
    <w:rsid w:val="004A371C"/>
    <w:rsid w:val="004D644F"/>
    <w:rsid w:val="004F29E6"/>
    <w:rsid w:val="004F7630"/>
    <w:rsid w:val="0050671F"/>
    <w:rsid w:val="005218FE"/>
    <w:rsid w:val="005352B8"/>
    <w:rsid w:val="00537078"/>
    <w:rsid w:val="00545DB7"/>
    <w:rsid w:val="00565AB2"/>
    <w:rsid w:val="00584DB2"/>
    <w:rsid w:val="005A5BB9"/>
    <w:rsid w:val="005B4985"/>
    <w:rsid w:val="005C6703"/>
    <w:rsid w:val="005D7ABF"/>
    <w:rsid w:val="005F209C"/>
    <w:rsid w:val="00626BC3"/>
    <w:rsid w:val="00645041"/>
    <w:rsid w:val="006748BD"/>
    <w:rsid w:val="006A0F19"/>
    <w:rsid w:val="006A7BBD"/>
    <w:rsid w:val="006C65A7"/>
    <w:rsid w:val="006C69A6"/>
    <w:rsid w:val="006D03D3"/>
    <w:rsid w:val="006D4516"/>
    <w:rsid w:val="006D6611"/>
    <w:rsid w:val="006F52FD"/>
    <w:rsid w:val="00707004"/>
    <w:rsid w:val="00712FDE"/>
    <w:rsid w:val="007525D5"/>
    <w:rsid w:val="00785B1A"/>
    <w:rsid w:val="007929D2"/>
    <w:rsid w:val="00843622"/>
    <w:rsid w:val="00894B5D"/>
    <w:rsid w:val="008A1B9D"/>
    <w:rsid w:val="008A37CF"/>
    <w:rsid w:val="008B37B6"/>
    <w:rsid w:val="008C552A"/>
    <w:rsid w:val="008C56B8"/>
    <w:rsid w:val="008D3932"/>
    <w:rsid w:val="00910AA5"/>
    <w:rsid w:val="009252AB"/>
    <w:rsid w:val="009461BA"/>
    <w:rsid w:val="009810D0"/>
    <w:rsid w:val="00995B8D"/>
    <w:rsid w:val="009A61CE"/>
    <w:rsid w:val="009B08C8"/>
    <w:rsid w:val="009B2F80"/>
    <w:rsid w:val="009D7FD5"/>
    <w:rsid w:val="009E35B3"/>
    <w:rsid w:val="00A16FE1"/>
    <w:rsid w:val="00A21391"/>
    <w:rsid w:val="00A97982"/>
    <w:rsid w:val="00AA6C2D"/>
    <w:rsid w:val="00AB5447"/>
    <w:rsid w:val="00AD3694"/>
    <w:rsid w:val="00AE1A95"/>
    <w:rsid w:val="00AE386B"/>
    <w:rsid w:val="00B26FC0"/>
    <w:rsid w:val="00B3294D"/>
    <w:rsid w:val="00B525D8"/>
    <w:rsid w:val="00B569BB"/>
    <w:rsid w:val="00B72567"/>
    <w:rsid w:val="00B84B30"/>
    <w:rsid w:val="00BA1EA3"/>
    <w:rsid w:val="00BD052F"/>
    <w:rsid w:val="00BE03F0"/>
    <w:rsid w:val="00BE5654"/>
    <w:rsid w:val="00C35926"/>
    <w:rsid w:val="00C50B8F"/>
    <w:rsid w:val="00CA1C62"/>
    <w:rsid w:val="00CA57F0"/>
    <w:rsid w:val="00CA5C78"/>
    <w:rsid w:val="00CC452B"/>
    <w:rsid w:val="00CE2B43"/>
    <w:rsid w:val="00CF5F17"/>
    <w:rsid w:val="00D02D9B"/>
    <w:rsid w:val="00D2380D"/>
    <w:rsid w:val="00D2615D"/>
    <w:rsid w:val="00D77135"/>
    <w:rsid w:val="00DA278A"/>
    <w:rsid w:val="00DC4564"/>
    <w:rsid w:val="00DD521D"/>
    <w:rsid w:val="00DE7DD3"/>
    <w:rsid w:val="00DF217F"/>
    <w:rsid w:val="00E053D7"/>
    <w:rsid w:val="00E12265"/>
    <w:rsid w:val="00E522BA"/>
    <w:rsid w:val="00E63748"/>
    <w:rsid w:val="00EA60C3"/>
    <w:rsid w:val="00EB0A07"/>
    <w:rsid w:val="00EC2127"/>
    <w:rsid w:val="00EE4628"/>
    <w:rsid w:val="00EE53BC"/>
    <w:rsid w:val="00F02700"/>
    <w:rsid w:val="00F165CB"/>
    <w:rsid w:val="00F50C59"/>
    <w:rsid w:val="00F522CB"/>
    <w:rsid w:val="00F6642F"/>
    <w:rsid w:val="00FA6C52"/>
    <w:rsid w:val="00FE3D30"/>
    <w:rsid w:val="00FF78A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2EF9B6"/>
  <w15:chartTrackingRefBased/>
  <w15:docId w15:val="{6C1BAE71-CBE5-AE4D-B032-A0343E09F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C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6C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6C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C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C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C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C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C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C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C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6C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6C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C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C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C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C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C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CFB"/>
    <w:rPr>
      <w:rFonts w:eastAsiaTheme="majorEastAsia" w:cstheme="majorBidi"/>
      <w:color w:val="272727" w:themeColor="text1" w:themeTint="D8"/>
    </w:rPr>
  </w:style>
  <w:style w:type="paragraph" w:styleId="Title">
    <w:name w:val="Title"/>
    <w:basedOn w:val="Normal"/>
    <w:next w:val="Normal"/>
    <w:link w:val="TitleChar"/>
    <w:uiPriority w:val="10"/>
    <w:qFormat/>
    <w:rsid w:val="00476C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C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C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C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C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6CFB"/>
    <w:rPr>
      <w:i/>
      <w:iCs/>
      <w:color w:val="404040" w:themeColor="text1" w:themeTint="BF"/>
    </w:rPr>
  </w:style>
  <w:style w:type="paragraph" w:styleId="ListParagraph">
    <w:name w:val="List Paragraph"/>
    <w:basedOn w:val="Normal"/>
    <w:uiPriority w:val="34"/>
    <w:qFormat/>
    <w:rsid w:val="00476CFB"/>
    <w:pPr>
      <w:ind w:left="720"/>
      <w:contextualSpacing/>
    </w:pPr>
  </w:style>
  <w:style w:type="character" w:styleId="IntenseEmphasis">
    <w:name w:val="Intense Emphasis"/>
    <w:basedOn w:val="DefaultParagraphFont"/>
    <w:uiPriority w:val="21"/>
    <w:qFormat/>
    <w:rsid w:val="00476CFB"/>
    <w:rPr>
      <w:i/>
      <w:iCs/>
      <w:color w:val="0F4761" w:themeColor="accent1" w:themeShade="BF"/>
    </w:rPr>
  </w:style>
  <w:style w:type="paragraph" w:styleId="IntenseQuote">
    <w:name w:val="Intense Quote"/>
    <w:basedOn w:val="Normal"/>
    <w:next w:val="Normal"/>
    <w:link w:val="IntenseQuoteChar"/>
    <w:uiPriority w:val="30"/>
    <w:qFormat/>
    <w:rsid w:val="00476C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CFB"/>
    <w:rPr>
      <w:i/>
      <w:iCs/>
      <w:color w:val="0F4761" w:themeColor="accent1" w:themeShade="BF"/>
    </w:rPr>
  </w:style>
  <w:style w:type="character" w:styleId="IntenseReference">
    <w:name w:val="Intense Reference"/>
    <w:basedOn w:val="DefaultParagraphFont"/>
    <w:uiPriority w:val="32"/>
    <w:qFormat/>
    <w:rsid w:val="00476CFB"/>
    <w:rPr>
      <w:b/>
      <w:bCs/>
      <w:smallCaps/>
      <w:color w:val="0F4761" w:themeColor="accent1" w:themeShade="BF"/>
      <w:spacing w:val="5"/>
    </w:rPr>
  </w:style>
  <w:style w:type="paragraph" w:styleId="NormalWeb">
    <w:name w:val="Normal (Web)"/>
    <w:basedOn w:val="Normal"/>
    <w:uiPriority w:val="99"/>
    <w:unhideWhenUsed/>
    <w:rsid w:val="00476CF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76CFB"/>
  </w:style>
  <w:style w:type="character" w:styleId="Strong">
    <w:name w:val="Strong"/>
    <w:basedOn w:val="DefaultParagraphFont"/>
    <w:uiPriority w:val="22"/>
    <w:qFormat/>
    <w:rsid w:val="00476CFB"/>
    <w:rPr>
      <w:b/>
      <w:bCs/>
    </w:rPr>
  </w:style>
  <w:style w:type="character" w:customStyle="1" w:styleId="ms-1">
    <w:name w:val="ms-1"/>
    <w:basedOn w:val="DefaultParagraphFont"/>
    <w:rsid w:val="00476CFB"/>
  </w:style>
  <w:style w:type="character" w:customStyle="1" w:styleId="max-w-15ch">
    <w:name w:val="max-w-[15ch]"/>
    <w:basedOn w:val="DefaultParagraphFont"/>
    <w:rsid w:val="00476CFB"/>
  </w:style>
  <w:style w:type="character" w:styleId="Emphasis">
    <w:name w:val="Emphasis"/>
    <w:basedOn w:val="DefaultParagraphFont"/>
    <w:uiPriority w:val="20"/>
    <w:qFormat/>
    <w:rsid w:val="00476CFB"/>
    <w:rPr>
      <w:i/>
      <w:iCs/>
    </w:rPr>
  </w:style>
  <w:style w:type="character" w:styleId="Hyperlink">
    <w:name w:val="Hyperlink"/>
    <w:basedOn w:val="DefaultParagraphFont"/>
    <w:uiPriority w:val="99"/>
    <w:unhideWhenUsed/>
    <w:rsid w:val="00476CFB"/>
    <w:rPr>
      <w:color w:val="0000FF"/>
      <w:u w:val="single"/>
    </w:rPr>
  </w:style>
  <w:style w:type="character" w:styleId="UnresolvedMention">
    <w:name w:val="Unresolved Mention"/>
    <w:basedOn w:val="DefaultParagraphFont"/>
    <w:uiPriority w:val="99"/>
    <w:semiHidden/>
    <w:unhideWhenUsed/>
    <w:rsid w:val="00476CFB"/>
    <w:rPr>
      <w:color w:val="605E5C"/>
      <w:shd w:val="clear" w:color="auto" w:fill="E1DFDD"/>
    </w:rPr>
  </w:style>
  <w:style w:type="character" w:styleId="FollowedHyperlink">
    <w:name w:val="FollowedHyperlink"/>
    <w:basedOn w:val="DefaultParagraphFont"/>
    <w:uiPriority w:val="99"/>
    <w:semiHidden/>
    <w:unhideWhenUsed/>
    <w:rsid w:val="00476CFB"/>
    <w:rPr>
      <w:color w:val="96607D" w:themeColor="followedHyperlink"/>
      <w:u w:val="single"/>
    </w:rPr>
  </w:style>
  <w:style w:type="character" w:customStyle="1" w:styleId="identifier">
    <w:name w:val="identifier"/>
    <w:basedOn w:val="DefaultParagraphFont"/>
    <w:rsid w:val="00476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675769057/dementia-reconsidered-the-person-comes-first-9780335198559-0335198554-9780335198566-0335198562-1" TargetMode="External"/><Relationship Id="rId13" Type="http://schemas.openxmlformats.org/officeDocument/2006/relationships/hyperlink" Target="https://www.nice.org.uk/guidance/ng97" TargetMode="External"/><Relationship Id="rId3" Type="http://schemas.openxmlformats.org/officeDocument/2006/relationships/settings" Target="settings.xml"/><Relationship Id="rId7" Type="http://schemas.openxmlformats.org/officeDocument/2006/relationships/hyperlink" Target="https://doi.org/10.1093/geront/1.1.8" TargetMode="External"/><Relationship Id="rId12" Type="http://schemas.openxmlformats.org/officeDocument/2006/relationships/hyperlink" Target="https://doi.org/10.1111/j.1748-3743.2010.00219.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16/j.jpsychires.2020.10.043" TargetMode="External"/><Relationship Id="rId11" Type="http://schemas.openxmlformats.org/officeDocument/2006/relationships/hyperlink" Target="https://doi.org/10.1093/geronj/27.4.511" TargetMode="External"/><Relationship Id="rId5" Type="http://schemas.openxmlformats.org/officeDocument/2006/relationships/hyperlink" Target="https://books.google.com.au/books?id=1ecPBQAAQBAJ&amp;pg=PA9&amp;source=gbs_toc_r&amp;cad=2" TargetMode="External"/><Relationship Id="rId15" Type="http://schemas.openxmlformats.org/officeDocument/2006/relationships/hyperlink" Target="https://doi.org/10.1017/S1041610221002842" TargetMode="External"/><Relationship Id="rId10" Type="http://schemas.openxmlformats.org/officeDocument/2006/relationships/hyperlink" Target="https://doi.org/10.3390/jal2010004" TargetMode="External"/><Relationship Id="rId4" Type="http://schemas.openxmlformats.org/officeDocument/2006/relationships/webSettings" Target="webSettings.xml"/><Relationship Id="rId9" Type="http://schemas.openxmlformats.org/officeDocument/2006/relationships/hyperlink" Target="https://doi.org/10.1002/0471264385.wei0819" TargetMode="External"/><Relationship Id="rId14" Type="http://schemas.openxmlformats.org/officeDocument/2006/relationships/hyperlink" Target="https://www.nice.org.uk/guidance/ng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1468</Words>
  <Characters>9445</Characters>
  <Application>Microsoft Office Word</Application>
  <DocSecurity>0</DocSecurity>
  <Lines>162</Lines>
  <Paragraphs>35</Paragraphs>
  <ScaleCrop>false</ScaleCrop>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Hamda Aslam</dc:creator>
  <cp:keywords/>
  <dc:description/>
  <cp:lastModifiedBy>Waqas Zeb</cp:lastModifiedBy>
  <cp:revision>2</cp:revision>
  <dcterms:created xsi:type="dcterms:W3CDTF">2025-11-17T21:28:00Z</dcterms:created>
  <dcterms:modified xsi:type="dcterms:W3CDTF">2025-11-17T21:28:00Z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8d0f5035-d739-4e5c-9cd4-b2a999725eef</vt:lpwstr>
  </property>
</Properties>
</file>