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E44F673" wp14:paraId="6444E5D3" wp14:textId="23E42FDD">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6E44F673" w:rsidR="57769DF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Wellbeing, Care and Healthy Lifestyles: ECEY5009</w:t>
      </w:r>
    </w:p>
    <w:p xmlns:wp14="http://schemas.microsoft.com/office/word/2010/wordml" w:rsidP="6E44F673" wp14:paraId="27C5D187" wp14:textId="7D72658F">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E44F673" wp14:paraId="17A0CF65" wp14:textId="414084B2">
      <w:pPr>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E44F673" w:rsidR="57769DF4">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US"/>
        </w:rPr>
        <w:t>Portfolio Contents:</w:t>
      </w:r>
    </w:p>
    <w:p xmlns:wp14="http://schemas.microsoft.com/office/word/2010/wordml" w:rsidP="54EA4777" wp14:paraId="1AF43EC6" wp14:textId="57B10BE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EA4777" w:rsidR="57769DF4">
        <w:rPr>
          <w:rFonts w:ascii="Arial" w:hAnsi="Arial" w:eastAsia="Arial" w:cs="Arial"/>
          <w:b w:val="0"/>
          <w:bCs w:val="0"/>
          <w:i w:val="0"/>
          <w:iCs w:val="0"/>
          <w:caps w:val="0"/>
          <w:smallCaps w:val="0"/>
          <w:noProof w:val="0"/>
          <w:color w:val="000000" w:themeColor="text1" w:themeTint="FF" w:themeShade="FF"/>
          <w:sz w:val="24"/>
          <w:szCs w:val="24"/>
          <w:lang w:val="en-US"/>
        </w:rPr>
        <w:t>Student AI Declaration (page 2)</w:t>
      </w:r>
    </w:p>
    <w:p xmlns:wp14="http://schemas.microsoft.com/office/word/2010/wordml" w:rsidP="54EA4777" wp14:paraId="5E5787A5" wp14:textId="07978C54">
      <w:pPr>
        <w:spacing w:line="360" w:lineRule="auto"/>
        <w:rPr>
          <w:rFonts w:ascii="Arial" w:hAnsi="Arial" w:eastAsia="Arial" w:cs="Arial"/>
        </w:rPr>
      </w:pPr>
      <w:r w:rsidRPr="54EA4777" w:rsidR="09BA5A70">
        <w:rPr>
          <w:rFonts w:ascii="Arial" w:hAnsi="Arial" w:eastAsia="Arial" w:cs="Arial"/>
        </w:rPr>
        <w:t>Pages 3-11: Academic Poster</w:t>
      </w:r>
    </w:p>
    <w:p w:rsidR="09BA5A70" w:rsidP="54EA4777" w:rsidRDefault="09BA5A70" w14:paraId="029067EE" w14:textId="31C8F347">
      <w:pPr>
        <w:spacing w:line="360" w:lineRule="auto"/>
        <w:rPr>
          <w:rFonts w:ascii="Arial" w:hAnsi="Arial" w:eastAsia="Arial" w:cs="Arial"/>
        </w:rPr>
      </w:pPr>
      <w:r w:rsidRPr="54EA4777" w:rsidR="09BA5A70">
        <w:rPr>
          <w:rFonts w:ascii="Arial" w:hAnsi="Arial" w:eastAsia="Arial" w:cs="Arial"/>
        </w:rPr>
        <w:t>Pages 12 – 19: Reference List</w:t>
      </w:r>
    </w:p>
    <w:p w:rsidR="6E44F673" w:rsidRDefault="6E44F673" w14:paraId="791F7C8D" w14:textId="06C88654"/>
    <w:p w:rsidR="6E44F673" w:rsidRDefault="6E44F673" w14:paraId="29B85A3F" w14:textId="034868FB"/>
    <w:p w:rsidR="6E44F673" w:rsidRDefault="6E44F673" w14:paraId="26796493" w14:textId="1DF26EF8"/>
    <w:p w:rsidR="6E44F673" w:rsidRDefault="6E44F673" w14:paraId="50E5197B" w14:textId="457DD6B1"/>
    <w:p w:rsidR="6E44F673" w:rsidRDefault="6E44F673" w14:paraId="284082AD" w14:textId="147B0994"/>
    <w:p w:rsidR="6E44F673" w:rsidRDefault="6E44F673" w14:paraId="4CE1BDAA" w14:textId="1A727EF7"/>
    <w:p w:rsidR="6E44F673" w:rsidRDefault="6E44F673" w14:paraId="04785AA3" w14:textId="395D426C"/>
    <w:p w:rsidR="6E44F673" w:rsidRDefault="6E44F673" w14:paraId="22664C05" w14:textId="057559FA"/>
    <w:p w:rsidR="6E44F673" w:rsidRDefault="6E44F673" w14:paraId="44B66DDD" w14:textId="42BAE29A"/>
    <w:p w:rsidR="6E44F673" w:rsidRDefault="6E44F673" w14:paraId="27960B8E" w14:textId="25240C21"/>
    <w:p w:rsidR="6E44F673" w:rsidRDefault="6E44F673" w14:paraId="565D1DEF" w14:textId="211C4D91"/>
    <w:p w:rsidR="6E44F673" w:rsidRDefault="6E44F673" w14:paraId="65DDD82E" w14:textId="45F028BC"/>
    <w:p w:rsidR="57769DF4" w:rsidP="6226E71D" w:rsidRDefault="57769DF4" w14:paraId="21B1087A" w14:textId="5F07C033">
      <w:pPr>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226E71D" w:rsidR="57769DF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 xml:space="preserve">AI Declaration - </w:t>
      </w:r>
    </w:p>
    <w:p w:rsidR="57769DF4" w:rsidP="6226E71D" w:rsidRDefault="57769DF4" w14:paraId="3F23B394" w14:textId="5BD29078">
      <w:pPr>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226E71D" w:rsidR="57769DF4">
        <w:rPr>
          <w:rFonts w:ascii="Arial" w:hAnsi="Arial" w:eastAsia="Arial" w:cs="Arial"/>
          <w:b w:val="0"/>
          <w:bCs w:val="0"/>
          <w:i w:val="0"/>
          <w:iCs w:val="0"/>
          <w:caps w:val="0"/>
          <w:smallCaps w:val="0"/>
          <w:noProof w:val="0"/>
          <w:color w:val="000000" w:themeColor="text1" w:themeTint="FF" w:themeShade="FF"/>
          <w:sz w:val="24"/>
          <w:szCs w:val="24"/>
          <w:u w:val="none"/>
          <w:lang w:val="en-US"/>
        </w:rPr>
        <w:t>I acknowledge the use of Google Scholar [</w:t>
      </w:r>
      <w:hyperlink r:id="R68dda21cf9e44578">
        <w:r w:rsidRPr="6226E71D" w:rsidR="57769DF4">
          <w:rPr>
            <w:rStyle w:val="Hyperlink"/>
            <w:rFonts w:ascii="Arial" w:hAnsi="Arial" w:eastAsia="Arial" w:cs="Arial"/>
            <w:b w:val="0"/>
            <w:bCs w:val="0"/>
            <w:i w:val="0"/>
            <w:iCs w:val="0"/>
            <w:caps w:val="0"/>
            <w:smallCaps w:val="0"/>
            <w:noProof w:val="0"/>
            <w:color w:val="000000" w:themeColor="text1" w:themeTint="FF" w:themeShade="FF"/>
            <w:sz w:val="24"/>
            <w:szCs w:val="24"/>
            <w:u w:val="none"/>
            <w:lang w:val="en-US"/>
          </w:rPr>
          <w:t>https://</w:t>
        </w:r>
        <w:r w:rsidRPr="6226E71D" w:rsidR="57769DF4">
          <w:rPr>
            <w:rStyle w:val="Hyperlink"/>
            <w:rFonts w:ascii="Arial" w:hAnsi="Arial" w:eastAsia="Arial" w:cs="Arial"/>
            <w:b w:val="0"/>
            <w:bCs w:val="0"/>
            <w:i w:val="0"/>
            <w:iCs w:val="0"/>
            <w:caps w:val="0"/>
            <w:smallCaps w:val="0"/>
            <w:noProof w:val="0"/>
            <w:color w:val="000000" w:themeColor="text1" w:themeTint="FF" w:themeShade="FF"/>
            <w:sz w:val="24"/>
            <w:szCs w:val="24"/>
            <w:u w:val="none"/>
            <w:lang w:val="en-US"/>
          </w:rPr>
          <w:t>scholar</w:t>
        </w:r>
        <w:r w:rsidRPr="6226E71D" w:rsidR="57769DF4">
          <w:rPr>
            <w:rStyle w:val="Hyperlink"/>
            <w:rFonts w:ascii="Arial" w:hAnsi="Arial" w:eastAsia="Arial" w:cs="Arial"/>
            <w:b w:val="0"/>
            <w:bCs w:val="0"/>
            <w:i w:val="0"/>
            <w:iCs w:val="0"/>
            <w:caps w:val="0"/>
            <w:smallCaps w:val="0"/>
            <w:noProof w:val="0"/>
            <w:color w:val="000000" w:themeColor="text1" w:themeTint="FF" w:themeShade="FF"/>
            <w:sz w:val="24"/>
            <w:szCs w:val="24"/>
            <w:u w:val="none"/>
            <w:lang w:val="en-US"/>
          </w:rPr>
          <w:t>.google.com/</w:t>
        </w:r>
      </w:hyperlink>
      <w:r w:rsidRPr="6226E71D" w:rsidR="57769DF4">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between period: </w:t>
      </w:r>
    </w:p>
    <w:p w:rsidR="57769DF4" w:rsidP="6E44F673" w:rsidRDefault="57769DF4" w14:paraId="088B6902" w14:textId="2353FA5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E44F673" w:rsidR="57769DF4">
        <w:rPr>
          <w:rFonts w:ascii="Arial" w:hAnsi="Arial" w:eastAsia="Arial" w:cs="Arial"/>
          <w:b w:val="0"/>
          <w:bCs w:val="0"/>
          <w:i w:val="0"/>
          <w:iCs w:val="0"/>
          <w:caps w:val="0"/>
          <w:smallCaps w:val="0"/>
          <w:noProof w:val="0"/>
          <w:color w:val="000000" w:themeColor="text1" w:themeTint="FF" w:themeShade="FF"/>
          <w:sz w:val="24"/>
          <w:szCs w:val="24"/>
          <w:lang w:val="en-US"/>
        </w:rPr>
        <w:t>27/05/2025 - 14/06/2025 to help search for relevant academic journals and literature which are not always available via the university online library.</w:t>
      </w:r>
    </w:p>
    <w:p w:rsidR="57769DF4" w:rsidP="6E44F673" w:rsidRDefault="57769DF4" w14:paraId="7C1E1D81" w14:textId="775BF655">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E44F673" w:rsidR="57769DF4">
        <w:rPr>
          <w:rFonts w:ascii="Arial" w:hAnsi="Arial" w:eastAsia="Arial" w:cs="Arial"/>
          <w:b w:val="0"/>
          <w:bCs w:val="0"/>
          <w:i w:val="0"/>
          <w:iCs w:val="0"/>
          <w:caps w:val="0"/>
          <w:smallCaps w:val="0"/>
          <w:noProof w:val="0"/>
          <w:color w:val="000000" w:themeColor="text1" w:themeTint="FF" w:themeShade="FF"/>
          <w:sz w:val="24"/>
          <w:szCs w:val="24"/>
          <w:lang w:val="en-US"/>
        </w:rPr>
        <w:t>Prompts in relation to health, wellbeing and lifestyles in the early years were used</w:t>
      </w:r>
    </w:p>
    <w:p w:rsidR="57769DF4" w:rsidP="6E44F673" w:rsidRDefault="57769DF4" w14:paraId="443549BB" w14:textId="64AD4A8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E44F673" w:rsidR="57769DF4">
        <w:rPr>
          <w:rFonts w:ascii="Arial" w:hAnsi="Arial" w:eastAsia="Arial" w:cs="Arial"/>
          <w:b w:val="0"/>
          <w:bCs w:val="0"/>
          <w:i w:val="0"/>
          <w:iCs w:val="0"/>
          <w:caps w:val="0"/>
          <w:smallCaps w:val="0"/>
          <w:noProof w:val="0"/>
          <w:color w:val="000000" w:themeColor="text1" w:themeTint="FF" w:themeShade="FF"/>
          <w:sz w:val="24"/>
          <w:szCs w:val="24"/>
          <w:lang w:val="en-US"/>
        </w:rPr>
        <w:t xml:space="preserve">I confirm that I have not presented any AI generated text as my own work. I confirm that I have copies of my drafts, notes, and other resources I used before, and after the use of AI tools which I may be asked to provide </w:t>
      </w:r>
      <w:r w:rsidRPr="6E44F673" w:rsidR="57769DF4">
        <w:rPr>
          <w:rFonts w:ascii="Arial" w:hAnsi="Arial" w:eastAsia="Arial" w:cs="Arial"/>
          <w:b w:val="0"/>
          <w:bCs w:val="0"/>
          <w:i w:val="0"/>
          <w:iCs w:val="0"/>
          <w:caps w:val="0"/>
          <w:smallCaps w:val="0"/>
          <w:noProof w:val="0"/>
          <w:color w:val="000000" w:themeColor="text1" w:themeTint="FF" w:themeShade="FF"/>
          <w:sz w:val="24"/>
          <w:szCs w:val="24"/>
          <w:lang w:val="en-US"/>
        </w:rPr>
        <w:t>as</w:t>
      </w:r>
      <w:r w:rsidRPr="6E44F673" w:rsidR="57769DF4">
        <w:rPr>
          <w:rFonts w:ascii="Arial" w:hAnsi="Arial" w:eastAsia="Arial" w:cs="Arial"/>
          <w:b w:val="0"/>
          <w:bCs w:val="0"/>
          <w:i w:val="0"/>
          <w:iCs w:val="0"/>
          <w:caps w:val="0"/>
          <w:smallCaps w:val="0"/>
          <w:noProof w:val="0"/>
          <w:color w:val="000000" w:themeColor="text1" w:themeTint="FF" w:themeShade="FF"/>
          <w:sz w:val="24"/>
          <w:szCs w:val="24"/>
          <w:lang w:val="en-US"/>
        </w:rPr>
        <w:t xml:space="preserve"> evidence.</w:t>
      </w:r>
    </w:p>
    <w:p w:rsidR="6E44F673" w:rsidP="6E44F673" w:rsidRDefault="6E44F673" w14:paraId="43A2B53D" w14:textId="28B8B79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E44F673" w:rsidRDefault="6E44F673" w14:paraId="35019BB0" w14:textId="0F323E13"/>
    <w:p w:rsidR="6E44F673" w:rsidRDefault="6E44F673" w14:paraId="0C63AEE1" w14:textId="4C378A80"/>
    <w:p w:rsidR="6E44F673" w:rsidRDefault="6E44F673" w14:paraId="4A258CFE" w14:textId="67CECCF2"/>
    <w:p w:rsidR="6E44F673" w:rsidRDefault="6E44F673" w14:paraId="3FC26275" w14:textId="585A0712"/>
    <w:p w:rsidR="6E44F673" w:rsidRDefault="6E44F673" w14:paraId="7A6A80F4" w14:textId="709309BD"/>
    <w:p w:rsidR="6E44F673" w:rsidRDefault="6E44F673" w14:paraId="66EE0CF6" w14:textId="279F4883"/>
    <w:p w:rsidR="6E44F673" w:rsidRDefault="6E44F673" w14:paraId="3219DA5E" w14:textId="65F9C96F"/>
    <w:p w:rsidR="6E44F673" w:rsidRDefault="6E44F673" w14:paraId="0466FC3B" w14:textId="78172E81"/>
    <w:p w:rsidR="1FB51A36" w:rsidP="54EA4777" w:rsidRDefault="1FB51A36" w14:paraId="0945F5AF" w14:textId="3133A6EE">
      <w:pPr>
        <w:pStyle w:val="Normal"/>
        <w:spacing w:line="360" w:lineRule="auto"/>
      </w:pPr>
      <w:r w:rsidR="1FB51A36">
        <w:drawing>
          <wp:inline wp14:editId="400AFDAF" wp14:anchorId="02957AC0">
            <wp:extent cx="9772650" cy="6905626"/>
            <wp:effectExtent l="0" t="0" r="0" b="0"/>
            <wp:docPr id="1086662717" name="" title=""/>
            <wp:cNvGraphicFramePr>
              <a:graphicFrameLocks noChangeAspect="1"/>
            </wp:cNvGraphicFramePr>
            <a:graphic>
              <a:graphicData uri="http://schemas.openxmlformats.org/drawingml/2006/picture">
                <pic:pic>
                  <pic:nvPicPr>
                    <pic:cNvPr id="0" name=""/>
                    <pic:cNvPicPr/>
                  </pic:nvPicPr>
                  <pic:blipFill>
                    <a:blip r:embed="Re3e2ad95dced40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772650" cy="6905626"/>
                    </a:xfrm>
                    <a:prstGeom prst="rect">
                      <a:avLst/>
                    </a:prstGeom>
                  </pic:spPr>
                </pic:pic>
              </a:graphicData>
            </a:graphic>
          </wp:inline>
        </w:drawing>
      </w:r>
      <w:r w:rsidR="1FB51A36">
        <w:drawing>
          <wp:inline wp14:editId="3A53E514" wp14:anchorId="6B893065">
            <wp:extent cx="9772650" cy="6905626"/>
            <wp:effectExtent l="0" t="0" r="0" b="0"/>
            <wp:docPr id="372034933" name="" title=""/>
            <wp:cNvGraphicFramePr>
              <a:graphicFrameLocks noChangeAspect="1"/>
            </wp:cNvGraphicFramePr>
            <a:graphic>
              <a:graphicData uri="http://schemas.openxmlformats.org/drawingml/2006/picture">
                <pic:pic>
                  <pic:nvPicPr>
                    <pic:cNvPr id="0" name=""/>
                    <pic:cNvPicPr/>
                  </pic:nvPicPr>
                  <pic:blipFill>
                    <a:blip r:embed="R613efe15a39047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772650" cy="6905626"/>
                    </a:xfrm>
                    <a:prstGeom prst="rect">
                      <a:avLst/>
                    </a:prstGeom>
                  </pic:spPr>
                </pic:pic>
              </a:graphicData>
            </a:graphic>
          </wp:inline>
        </w:drawing>
      </w:r>
      <w:r w:rsidR="1FB51A36">
        <w:drawing>
          <wp:inline wp14:editId="1B268B43" wp14:anchorId="764D33F5">
            <wp:extent cx="9772650" cy="6905626"/>
            <wp:effectExtent l="0" t="0" r="0" b="0"/>
            <wp:docPr id="1019238868" name="" title=""/>
            <wp:cNvGraphicFramePr>
              <a:graphicFrameLocks noChangeAspect="1"/>
            </wp:cNvGraphicFramePr>
            <a:graphic>
              <a:graphicData uri="http://schemas.openxmlformats.org/drawingml/2006/picture">
                <pic:pic>
                  <pic:nvPicPr>
                    <pic:cNvPr id="0" name=""/>
                    <pic:cNvPicPr/>
                  </pic:nvPicPr>
                  <pic:blipFill>
                    <a:blip r:embed="Rcd688efee54649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772650" cy="6905626"/>
                    </a:xfrm>
                    <a:prstGeom prst="rect">
                      <a:avLst/>
                    </a:prstGeom>
                  </pic:spPr>
                </pic:pic>
              </a:graphicData>
            </a:graphic>
          </wp:inline>
        </w:drawing>
      </w:r>
      <w:r w:rsidR="1FB51A36">
        <w:drawing>
          <wp:inline wp14:editId="275711E2" wp14:anchorId="73098799">
            <wp:extent cx="9772650" cy="6905626"/>
            <wp:effectExtent l="0" t="0" r="0" b="0"/>
            <wp:docPr id="588407311" name="" title=""/>
            <wp:cNvGraphicFramePr>
              <a:graphicFrameLocks noChangeAspect="1"/>
            </wp:cNvGraphicFramePr>
            <a:graphic>
              <a:graphicData uri="http://schemas.openxmlformats.org/drawingml/2006/picture">
                <pic:pic>
                  <pic:nvPicPr>
                    <pic:cNvPr id="0" name=""/>
                    <pic:cNvPicPr/>
                  </pic:nvPicPr>
                  <pic:blipFill>
                    <a:blip r:embed="R0f6c509a0ec9490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772650" cy="6905626"/>
                    </a:xfrm>
                    <a:prstGeom prst="rect">
                      <a:avLst/>
                    </a:prstGeom>
                  </pic:spPr>
                </pic:pic>
              </a:graphicData>
            </a:graphic>
          </wp:inline>
        </w:drawing>
      </w:r>
      <w:r w:rsidR="6F43FDB4">
        <w:drawing>
          <wp:inline wp14:editId="21237CEE" wp14:anchorId="40801D05">
            <wp:extent cx="9772650" cy="6905626"/>
            <wp:effectExtent l="0" t="0" r="0" b="0"/>
            <wp:docPr id="1339674576" name="" title=""/>
            <wp:cNvGraphicFramePr>
              <a:graphicFrameLocks noChangeAspect="1"/>
            </wp:cNvGraphicFramePr>
            <a:graphic>
              <a:graphicData uri="http://schemas.openxmlformats.org/drawingml/2006/picture">
                <pic:pic>
                  <pic:nvPicPr>
                    <pic:cNvPr id="0" name=""/>
                    <pic:cNvPicPr/>
                  </pic:nvPicPr>
                  <pic:blipFill>
                    <a:blip r:embed="R238965a056db47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772650" cy="6905626"/>
                    </a:xfrm>
                    <a:prstGeom prst="rect">
                      <a:avLst/>
                    </a:prstGeom>
                  </pic:spPr>
                </pic:pic>
              </a:graphicData>
            </a:graphic>
          </wp:inline>
        </w:drawing>
      </w:r>
      <w:r w:rsidR="6F43FDB4">
        <w:drawing>
          <wp:inline wp14:editId="06E62D43" wp14:anchorId="4D97F19C">
            <wp:extent cx="9772650" cy="6905626"/>
            <wp:effectExtent l="0" t="0" r="0" b="0"/>
            <wp:docPr id="994779479" name="" title=""/>
            <wp:cNvGraphicFramePr>
              <a:graphicFrameLocks noChangeAspect="1"/>
            </wp:cNvGraphicFramePr>
            <a:graphic>
              <a:graphicData uri="http://schemas.openxmlformats.org/drawingml/2006/picture">
                <pic:pic>
                  <pic:nvPicPr>
                    <pic:cNvPr id="0" name=""/>
                    <pic:cNvPicPr/>
                  </pic:nvPicPr>
                  <pic:blipFill>
                    <a:blip r:embed="Rf0da61a9267b42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772650" cy="6905626"/>
                    </a:xfrm>
                    <a:prstGeom prst="rect">
                      <a:avLst/>
                    </a:prstGeom>
                  </pic:spPr>
                </pic:pic>
              </a:graphicData>
            </a:graphic>
          </wp:inline>
        </w:drawing>
      </w:r>
      <w:r w:rsidR="6F43FDB4">
        <w:drawing>
          <wp:inline wp14:editId="2F4E235B" wp14:anchorId="44666A85">
            <wp:extent cx="9772650" cy="6905626"/>
            <wp:effectExtent l="0" t="0" r="0" b="0"/>
            <wp:docPr id="516213692" name="" title=""/>
            <wp:cNvGraphicFramePr>
              <a:graphicFrameLocks noChangeAspect="1"/>
            </wp:cNvGraphicFramePr>
            <a:graphic>
              <a:graphicData uri="http://schemas.openxmlformats.org/drawingml/2006/picture">
                <pic:pic>
                  <pic:nvPicPr>
                    <pic:cNvPr id="0" name=""/>
                    <pic:cNvPicPr/>
                  </pic:nvPicPr>
                  <pic:blipFill>
                    <a:blip r:embed="R685ee3b1a93f4a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772650" cy="6905626"/>
                    </a:xfrm>
                    <a:prstGeom prst="rect">
                      <a:avLst/>
                    </a:prstGeom>
                  </pic:spPr>
                </pic:pic>
              </a:graphicData>
            </a:graphic>
          </wp:inline>
        </w:drawing>
      </w:r>
      <w:r w:rsidR="0A5FDFC4">
        <w:drawing>
          <wp:inline wp14:editId="5B0867FD" wp14:anchorId="36CE73CC">
            <wp:extent cx="9772650" cy="6905626"/>
            <wp:effectExtent l="0" t="0" r="0" b="0"/>
            <wp:docPr id="666098623" name="" title=""/>
            <wp:cNvGraphicFramePr>
              <a:graphicFrameLocks noChangeAspect="1"/>
            </wp:cNvGraphicFramePr>
            <a:graphic>
              <a:graphicData uri="http://schemas.openxmlformats.org/drawingml/2006/picture">
                <pic:pic>
                  <pic:nvPicPr>
                    <pic:cNvPr id="0" name=""/>
                    <pic:cNvPicPr/>
                  </pic:nvPicPr>
                  <pic:blipFill>
                    <a:blip r:embed="R26f826beb32947c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772650" cy="6905626"/>
                    </a:xfrm>
                    <a:prstGeom prst="rect">
                      <a:avLst/>
                    </a:prstGeom>
                  </pic:spPr>
                </pic:pic>
              </a:graphicData>
            </a:graphic>
          </wp:inline>
        </w:drawing>
      </w:r>
      <w:r w:rsidR="265D96F6">
        <w:drawing>
          <wp:inline wp14:editId="3C28815B" wp14:anchorId="32B187E8">
            <wp:extent cx="9772650" cy="6905626"/>
            <wp:effectExtent l="0" t="0" r="0" b="0"/>
            <wp:docPr id="588779394" name="" title=""/>
            <wp:cNvGraphicFramePr>
              <a:graphicFrameLocks noChangeAspect="1"/>
            </wp:cNvGraphicFramePr>
            <a:graphic>
              <a:graphicData uri="http://schemas.openxmlformats.org/drawingml/2006/picture">
                <pic:pic>
                  <pic:nvPicPr>
                    <pic:cNvPr id="0" name=""/>
                    <pic:cNvPicPr/>
                  </pic:nvPicPr>
                  <pic:blipFill>
                    <a:blip r:embed="Rc1c46d9009fc4c94">
                      <a:extLst>
                        <a:ext xmlns:a="http://schemas.openxmlformats.org/drawingml/2006/main" uri="{28A0092B-C50C-407E-A947-70E740481C1C}">
                          <a14:useLocalDpi val="0"/>
                        </a:ext>
                      </a:extLst>
                    </a:blip>
                    <a:stretch>
                      <a:fillRect/>
                    </a:stretch>
                  </pic:blipFill>
                  <pic:spPr>
                    <a:xfrm>
                      <a:off x="0" y="0"/>
                      <a:ext cx="9772650" cy="6905626"/>
                    </a:xfrm>
                    <a:prstGeom prst="rect">
                      <a:avLst/>
                    </a:prstGeom>
                  </pic:spPr>
                </pic:pic>
              </a:graphicData>
            </a:graphic>
          </wp:inline>
        </w:drawing>
      </w:r>
    </w:p>
    <w:p w:rsidR="1FB51A36" w:rsidP="54EA4777" w:rsidRDefault="1FB51A36" w14:paraId="49E6A1D1" w14:textId="07313108">
      <w:pPr>
        <w:pStyle w:val="Normal"/>
        <w:spacing w:line="360" w:lineRule="auto"/>
      </w:pPr>
      <w:r w:rsidRPr="54EA4777" w:rsidR="0A5FDFC4">
        <w:rPr>
          <w:rFonts w:ascii="Arial" w:hAnsi="Arial" w:eastAsia="Arial" w:cs="Arial"/>
          <w:b w:val="1"/>
          <w:bCs w:val="1"/>
          <w:u w:val="single"/>
        </w:rPr>
        <w:t>References</w:t>
      </w:r>
    </w:p>
    <w:p w:rsidR="1437BB4F" w:rsidP="6E44F673" w:rsidRDefault="1437BB4F" w14:paraId="17A1FC60" w14:textId="16957634">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Yazeedi</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B., Berry, D.C., Crandell, J. and Waly, M. (2021) ‘Family influence on children's nutrition and physical activity patterns in Oman’, J</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ournal of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Pediatric</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Nursing</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56,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pp.e</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42-e48. Available at: </w:t>
      </w:r>
      <w:hyperlink r:id="R9a32f2bf802e46e7">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https://doi.org/10.1016/j.pedn.2020.07.012</w:t>
        </w:r>
      </w:hyperlink>
    </w:p>
    <w:p w:rsidR="1437BB4F" w:rsidP="6E44F673" w:rsidRDefault="1437BB4F" w14:paraId="529A9A45" w14:textId="715D2CA2">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Lewis, A. (2021) ‘Understanding the concept of child well-being. Domains, dimensions and discourses</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Williams- Brown, Z and Mander, S. (eds)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Childhood well-being and resilience. Influences of educational outcomes.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Abingdon, Oxon: Routledge, pp. 7-19.</w:t>
      </w:r>
    </w:p>
    <w:p w:rsidR="1437BB4F" w:rsidP="6E44F673" w:rsidRDefault="1437BB4F" w14:paraId="1EDEDE72" w14:textId="64395A2B">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Asmundson, G.J.G. and Afifi, T.O. (eds) (2020)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Adverse childhood experiences: using evidence to advance research, practice, policy, and prevention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London, England: Academic Press. </w:t>
      </w:r>
    </w:p>
    <w:p w:rsidR="1437BB4F" w:rsidP="6E44F673" w:rsidRDefault="1437BB4F" w14:paraId="0531C595" w14:textId="525AA155">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Aubrey, K. and Riley, A. (2016)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Understanding &amp; using educational theories.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London: SAGE Publications Ltd.</w:t>
      </w:r>
    </w:p>
    <w:p w:rsidR="1437BB4F" w:rsidP="6E44F673" w:rsidRDefault="1437BB4F" w14:paraId="566F75EB" w14:textId="31F68A1F">
      <w:pPr>
        <w:spacing w:before="0" w:beforeAutospacing="off" w:after="160" w:afterAutospacing="off" w:line="360" w:lineRule="auto"/>
        <w:ind w:left="720" w:right="0" w:hanging="72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Beauchamp, G., Davis, S., Haughton, C., Ellis, C., Adams, D., Sarwar, S., Dumitrescu, S., and Tyrie, J. (2021) in Williams- Brown, Z and Mander, S. (eds)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Childhood well-being and resilience. Influences of educational outcomes.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Abingdon, Oxon: Routledge, pp. 91 – 101.</w:t>
      </w:r>
    </w:p>
    <w:p w:rsidR="1437BB4F" w:rsidP="6E44F673" w:rsidRDefault="1437BB4F" w14:paraId="7B35AEEF" w14:textId="76A8C90E">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Bowlby, J. (1978) Attachment theory and its therapeutic implications.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Adolescent psychiatry</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
    <w:p w:rsidR="1437BB4F" w:rsidP="6E44F673" w:rsidRDefault="1437BB4F" w14:paraId="381AFDA8" w14:textId="55C43007">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Bradshaw, J. (2016)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The well-being of children in the UK</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4th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edn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Bristol, UK: Policy Press. </w:t>
      </w:r>
    </w:p>
    <w:p w:rsidR="1437BB4F" w:rsidP="6E44F673" w:rsidRDefault="1437BB4F" w14:paraId="6447D5C3" w14:textId="7486EE53">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Burke, J., Clarke, D., O'Keeffe, J. and Meehan, T. (2023) ‘The impact of blue and green spaces on wellbeing: a review of reviews through a positive psychology lens’,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Happiness and Health</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3(2), pp.93-108. Available at: </w:t>
      </w:r>
      <w:hyperlink r:id="R35e1f9ab5d2a423a">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https://doi.org/10.47602/johah.v3i2.48</w:t>
        </w:r>
      </w:hyperlink>
    </w:p>
    <w:p w:rsidR="1437BB4F" w:rsidP="6E44F673" w:rsidRDefault="1437BB4F" w14:paraId="60107C16" w14:textId="25A90A65">
      <w:pPr>
        <w:spacing w:before="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Canva Pro (2025) Canva Pro Generated Images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(all images included in poster- </w:t>
      </w:r>
      <w:r w:rsidRPr="6E44F673" w:rsidR="7F90832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excluding reference</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images 1,2,3</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36b88c93673a454e">
        <w:r w:rsidRPr="6E44F673" w:rsidR="1437BB4F">
          <w:rPr>
            <w:rStyle w:val="Hyperlink"/>
            <w:rFonts w:ascii="Arial" w:hAnsi="Arial" w:eastAsia="Arial" w:cs="Arial"/>
            <w:b w:val="0"/>
            <w:bCs w:val="0"/>
            <w:i w:val="0"/>
            <w:iCs w:val="0"/>
            <w:caps w:val="0"/>
            <w:smallCaps w:val="0"/>
            <w:noProof w:val="0"/>
            <w:color w:val="000000" w:themeColor="text1" w:themeTint="FF" w:themeShade="FF"/>
            <w:sz w:val="24"/>
            <w:szCs w:val="24"/>
            <w:u w:val="none"/>
            <w:lang w:val="en-GB"/>
          </w:rPr>
          <w:t>https://www.canva.com/</w:t>
        </w:r>
      </w:hyperlink>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14 June 2025)</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1437BB4F" w:rsidP="6E44F673" w:rsidRDefault="1437BB4F" w14:paraId="24F18B15" w14:textId="06EB61A6">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Cook Stars (2025).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Cook stars</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47a00aea644b44be">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https://www.cookstars.co.uk/schools--communities-and-charities.</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11 June 2025)</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
    <w:p w:rsidR="1437BB4F" w:rsidP="6E44F673" w:rsidRDefault="1437BB4F" w14:paraId="47A54FF5" w14:textId="4C902DEA">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Cowie, H. (2019)</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 From birth to sixteen. Children’s health social, emotional and linguistic development.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Abingdon, Oxon: Routledge.</w:t>
      </w:r>
    </w:p>
    <w:p w:rsidR="1437BB4F" w:rsidP="6E44F673" w:rsidRDefault="1437BB4F" w14:paraId="676547C2" w14:textId="7FE27C6B">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Davies, D. and Troy, M.F. (2020)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Child development: a practitioner’s guide</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4th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edn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New York: The Guilford Press. </w:t>
      </w:r>
    </w:p>
    <w:p w:rsidR="1437BB4F" w:rsidP="6E44F673" w:rsidRDefault="1437BB4F" w14:paraId="62F3ECE5" w14:textId="0C514EE5">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Dickerson, M.K., Fenech, M. and Stratigos, T. (2024) ‘Working with families: an investigation of early childhood educators’ emotional labour and wellbeing’,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Early Years</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pp.1-17. Available at: </w:t>
      </w:r>
      <w:hyperlink r:id="R0635868e3531442a">
        <w:r w:rsidRPr="6E44F673" w:rsidR="1437BB4F">
          <w:rPr>
            <w:rStyle w:val="Hyperlink"/>
            <w:rFonts w:ascii="Arial" w:hAnsi="Arial" w:eastAsia="Arial" w:cs="Arial"/>
            <w:b w:val="0"/>
            <w:bCs w:val="0"/>
            <w:i w:val="0"/>
            <w:iCs w:val="0"/>
            <w:caps w:val="0"/>
            <w:smallCaps w:val="0"/>
            <w:noProof w:val="0"/>
            <w:color w:val="000000" w:themeColor="text1" w:themeTint="FF" w:themeShade="FF"/>
            <w:sz w:val="24"/>
            <w:szCs w:val="24"/>
            <w:u w:val="none"/>
            <w:lang w:val="en-GB"/>
          </w:rPr>
          <w:t>https://doi.org/10.1080/09575146.2024.2393143</w:t>
        </w:r>
      </w:hyperlink>
    </w:p>
    <w:p w:rsidR="1437BB4F" w:rsidP="6E44F673" w:rsidRDefault="1437BB4F" w14:paraId="11E22B7B" w14:textId="39FA3FEB">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Dobson, J. and Melrose, A. (2020)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Working with children, families, and young people: professional dilemmas, perspectives, and solutions</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1st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edn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Abingdon, Oxon: Routledge.</w:t>
      </w:r>
    </w:p>
    <w:p w:rsidR="1437BB4F" w:rsidP="6E44F673" w:rsidRDefault="1437BB4F" w14:paraId="29A3300F" w14:textId="4D11CD5D">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Ellicott, C., Ume Rubab, S., McGowan, A., Neale, B.,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Bidaran</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Dewsbery</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 Norman, A. and Lloyd, H. (2025) ‘Young carers in early childhood—how are young carers represented in broader literature and what factors influence dominant representations of young carers in early Childhood in the UK?’,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Healthcare 2025</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13(3). Available at: </w:t>
      </w:r>
      <w:hyperlink r:id="R98c48dbb45b54252">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https://doi.org/10.3390/healthcare13030280</w:t>
        </w:r>
      </w:hyperlink>
    </w:p>
    <w:p w:rsidR="1437BB4F" w:rsidP="6E44F673" w:rsidRDefault="1437BB4F" w14:paraId="2BE52916" w14:textId="3248FD3F">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Fleitas Alfonzo, L., Singh, A., Disney, G., Ervin, J. and King, T. (2022) ‘Mental health of young informal carers: a systematic review’,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Social Psychiatry and Psychiatric Epidemiology</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57(12), pp.2345-2358. Available at: </w:t>
      </w:r>
      <w:hyperlink r:id="R7e7af0f2c01d4a4f">
        <w:r w:rsidRPr="6E44F673" w:rsidR="1437BB4F">
          <w:rPr>
            <w:rStyle w:val="Hyperlink"/>
            <w:rFonts w:ascii="Arial" w:hAnsi="Arial" w:eastAsia="Arial" w:cs="Arial"/>
            <w:b w:val="0"/>
            <w:bCs w:val="0"/>
            <w:i w:val="0"/>
            <w:iCs w:val="0"/>
            <w:caps w:val="0"/>
            <w:smallCaps w:val="0"/>
            <w:noProof w:val="0"/>
            <w:color w:val="000000" w:themeColor="text1" w:themeTint="FF" w:themeShade="FF"/>
            <w:sz w:val="24"/>
            <w:szCs w:val="24"/>
            <w:u w:val="none"/>
            <w:lang w:val="en-GB"/>
          </w:rPr>
          <w:t>https://doi.org/10.1007/s00127-022-02333-8</w:t>
        </w:r>
      </w:hyperlink>
    </w:p>
    <w:p w:rsidR="1437BB4F" w:rsidP="6E44F673" w:rsidRDefault="1437BB4F" w14:paraId="1C54FAF6" w14:textId="226EEBE7">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Frydenberg, E., Deans, J. and Liang, R. (2019) ‘Parents and children’s coping: building resilience and wellbeing in the early years’,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Social Indicators Research</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145, pp.629-640. Available at: </w:t>
      </w:r>
      <w:hyperlink r:id="Ra9a5665d33e446df">
        <w:r w:rsidRPr="6E44F673" w:rsidR="1437BB4F">
          <w:rPr>
            <w:rStyle w:val="Hyperlink"/>
            <w:rFonts w:ascii="Arial" w:hAnsi="Arial" w:eastAsia="Arial" w:cs="Arial"/>
            <w:b w:val="0"/>
            <w:bCs w:val="0"/>
            <w:i w:val="0"/>
            <w:iCs w:val="0"/>
            <w:caps w:val="0"/>
            <w:smallCaps w:val="0"/>
            <w:noProof w:val="0"/>
            <w:color w:val="000000" w:themeColor="text1" w:themeTint="FF" w:themeShade="FF"/>
            <w:sz w:val="24"/>
            <w:szCs w:val="24"/>
            <w:u w:val="none"/>
            <w:lang w:val="en-GB"/>
          </w:rPr>
          <w:t>https://doi.org/10.1007/s11205-017-1752-8</w:t>
        </w:r>
      </w:hyperlink>
    </w:p>
    <w:p w:rsidR="1437BB4F" w:rsidP="6E44F673" w:rsidRDefault="1437BB4F" w14:paraId="74B36638" w14:textId="141FABFB">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Gallegos, D. (2025) ‘Effects of food and nutrition insecurity on global health’,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New England Journal of Medicine</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392(7), pp.686-697. Available at: </w:t>
      </w:r>
      <w:hyperlink>
        <w:r w:rsidRPr="6E44F673" w:rsidR="1437BB4F">
          <w:rPr>
            <w:rStyle w:val="Hyperlink"/>
            <w:rFonts w:ascii="Arial" w:hAnsi="Arial" w:eastAsia="Arial" w:cs="Arial"/>
            <w:b w:val="0"/>
            <w:bCs w:val="0"/>
            <w:i w:val="0"/>
            <w:iCs w:val="0"/>
            <w:caps w:val="0"/>
            <w:smallCaps w:val="0"/>
            <w:noProof w:val="0"/>
            <w:color w:val="000000" w:themeColor="text1" w:themeTint="FF" w:themeShade="FF"/>
            <w:sz w:val="24"/>
            <w:szCs w:val="24"/>
            <w:u w:val="none"/>
            <w:lang w:val="en-GB"/>
          </w:rPr>
          <w:t>https://</w:t>
        </w:r>
      </w:hyperlink>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doi.org/10.1056/NEJMra2406458</w:t>
      </w:r>
    </w:p>
    <w:p w:rsidR="1437BB4F" w:rsidP="6E44F673" w:rsidRDefault="1437BB4F" w14:paraId="6852D4EC" w14:textId="2DCEFC62">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US"/>
        </w:rPr>
        <w:t>Gasper, M. (2015)</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US"/>
        </w:rPr>
        <w:t xml:space="preserve"> Professional practice and early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US"/>
        </w:rPr>
        <w:t>childhood today</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US"/>
        </w:rPr>
        <w:t xml:space="preserve">. A critical companion to early childhood.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London: SAGE Publications Ltd.</w:t>
      </w:r>
    </w:p>
    <w:p w:rsidR="1437BB4F" w:rsidP="6E44F673" w:rsidRDefault="1437BB4F" w14:paraId="016472DD" w14:textId="517024EE">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Gordine</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R. (2020)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50 fantastic ideas for supporting children’s wellbeing</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London: Bloomsbury Publishing.</w:t>
      </w:r>
    </w:p>
    <w:p w:rsidR="1437BB4F" w:rsidP="6E44F673" w:rsidRDefault="1437BB4F" w14:paraId="40061911" w14:textId="3A7ED500">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Hendrick, H. (2015)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Constructions and reconstructions of British childhood: An interpretative survey, 1800 to the present.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3rd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edn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Abingdon, Oxon: Routledge.</w:t>
      </w:r>
    </w:p>
    <w:p w:rsidR="1437BB4F" w:rsidP="6E44F673" w:rsidRDefault="1437BB4F" w14:paraId="44D3F96B" w14:textId="5DD3FCC7">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Hills, A.P. (2024) ‘Imagine a healthy lifestyle for all: early years nutrition and physical activity to prevent obesity’,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European Journal of Clinical Nutrition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78(1), pp.1-5. Available at: </w:t>
      </w:r>
      <w:hyperlink r:id="R552db1d38bff43a5">
        <w:r w:rsidRPr="6E44F673" w:rsidR="1437BB4F">
          <w:rPr>
            <w:rStyle w:val="Hyperlink"/>
            <w:rFonts w:ascii="Arial" w:hAnsi="Arial" w:eastAsia="Arial" w:cs="Arial"/>
            <w:b w:val="0"/>
            <w:bCs w:val="0"/>
            <w:i w:val="0"/>
            <w:iCs w:val="0"/>
            <w:caps w:val="0"/>
            <w:smallCaps w:val="0"/>
            <w:noProof w:val="0"/>
            <w:color w:val="000000" w:themeColor="text1" w:themeTint="FF" w:themeShade="FF"/>
            <w:sz w:val="24"/>
            <w:szCs w:val="24"/>
            <w:u w:val="none"/>
            <w:lang w:val="en-GB"/>
          </w:rPr>
          <w:t>https://doi.org/10.1038/s41430-022-01230-2</w:t>
        </w:r>
      </w:hyperlink>
    </w:p>
    <w:p w:rsidR="1437BB4F" w:rsidP="6E44F673" w:rsidRDefault="1437BB4F" w14:paraId="674DA129" w14:textId="7233FD86">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Holmes, L. (2025)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Mental health and well- being amongst people working in early years settings in Wales method and sample findings summary of longer form responses cross tabulation of longer responses cross tabulation conclusions recommendations</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46039157bc5541b1">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https://www.earlyyears.wales/sites/default/files/mental_health_and_well-being_amongst_people_working_in_early_years_settings_in_wales.pdf</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11 June 2025).</w:t>
      </w:r>
    </w:p>
    <w:p w:rsidR="1437BB4F" w:rsidP="6E44F673" w:rsidRDefault="1437BB4F" w14:paraId="7CE5785F" w14:textId="4DD27931">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Image 1: Cook Stars (2025) Copyright Company Logo. Available at: </w:t>
      </w:r>
      <w:hyperlink r:id="R7b25f3d2221343f0">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https://www.cookstars.co.uk/</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14 June 2025).</w:t>
      </w:r>
    </w:p>
    <w:p w:rsidR="1437BB4F" w:rsidP="6E44F673" w:rsidRDefault="1437BB4F" w14:paraId="0CF1775F" w14:textId="34F38E8E">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Image 2: The Daily Mile (2025) Copyright Company Logo. Available at: </w:t>
      </w:r>
      <w:hyperlink r:id="Rc9b8cc2a2301441d">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https://thedailymile.co.uk/</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14 June 2025).</w:t>
      </w:r>
    </w:p>
    <w:p w:rsidR="1437BB4F" w:rsidP="6E44F673" w:rsidRDefault="1437BB4F" w14:paraId="377E5027" w14:textId="238C45F2">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Image 3: Designed to Smile (2024). Copyright Public Health Wales. Available at: </w:t>
      </w:r>
      <w:hyperlink r:id="Rc51ed4673795485a">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https://phw.nhs.wales/services-and-teams/designed-to-smile/information-for-parents-and-carers/</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(Accessed: 14 June 2025).</w:t>
      </w:r>
    </w:p>
    <w:p w:rsidR="1437BB4F" w:rsidP="6E44F673" w:rsidRDefault="1437BB4F" w14:paraId="7A1225CD" w14:textId="743A991A">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Jayman, M., Ohl, M. and Jewett, L. (2021)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Supporting new digital natives: children’s mental health and wellbeing in a hi-tech age</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1st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edn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Bristol: Policy Press. </w:t>
      </w:r>
    </w:p>
    <w:p w:rsidR="1437BB4F" w:rsidP="6E44F673" w:rsidRDefault="1437BB4F" w14:paraId="0C7C78AF" w14:textId="5B6E79A0">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Joseph Rowntree Foundation (2019)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JRF.</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20787bd2fc654555">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https://www.jrf.org.uk/</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14 June 2025).</w:t>
      </w:r>
    </w:p>
    <w:p w:rsidR="6E44F673" w:rsidP="6E44F673" w:rsidRDefault="6E44F673" w14:paraId="10EBF52C" w14:textId="6F84F758">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1437BB4F" w:rsidP="6E44F673" w:rsidRDefault="1437BB4F" w14:paraId="132DC352" w14:textId="255EDF85">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Kostecka, M. (2022) ‘The effect of the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colorful</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eating is healthy eating” long-term nutrition education program for 3- to 6-year-olds on eating habits in the family and parental nutrition knowledge’,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International journal of environmental research and public health</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19(4), pp. 1981. Available at: </w:t>
      </w:r>
      <w:hyperlink r:id="R398a16b9729643ac">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https://doi.org/10.3390/ijerph19041981</w:t>
        </w:r>
      </w:hyperlink>
    </w:p>
    <w:p w:rsidR="1437BB4F" w:rsidP="6E44F673" w:rsidRDefault="1437BB4F" w14:paraId="42B2216D" w14:textId="26A7E8F8">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Lacey, R.E., Xue, B. and McMunn, A. (2022) ‘The mental and physical health of young carers: A systematic review’,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Lancet Public Health</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7(9),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pp.e</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787-e796. Available at: </w:t>
      </w:r>
      <w:hyperlink>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doi.org/ </w:t>
      </w:r>
      <w:hyperlink r:id="Re7444c0f0e2844da">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10.1016/S2468-2667(22)00161-X</w:t>
        </w:r>
      </w:hyperlink>
    </w:p>
    <w:p w:rsidR="1437BB4F" w:rsidP="6E44F673" w:rsidRDefault="1437BB4F" w14:paraId="4668F569" w14:textId="0C0D9662">
      <w:pPr>
        <w:spacing w:before="0" w:beforeAutospacing="off" w:after="0" w:afterAutospacing="off" w:line="360" w:lineRule="auto"/>
        <w:ind w:left="720" w:hanging="72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Lewis, A. (2021) ‘Understanding how practitioners in Wales assess well-being in the early years </w:t>
      </w:r>
      <w:r>
        <w:tab/>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curriculum’,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Education 3-13</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51(5), pp.780-792. Available at:  </w:t>
      </w:r>
      <w:hyperlink r:id="Rcde2c54ea83e46fc">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https://doi.org/10.1080/03004279.2021.2011943</w:t>
        </w:r>
      </w:hyperlink>
    </w:p>
    <w:p w:rsidR="6E44F673" w:rsidP="6E44F673" w:rsidRDefault="6E44F673" w14:paraId="4E89AE3E" w14:textId="64212B78">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1437BB4F" w:rsidP="6E44F673" w:rsidRDefault="1437BB4F" w14:paraId="18976844" w14:textId="44662B49">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Lioret</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 Campbell, K.J., McNaughton, S.A., Cameron, A.J., Salmon, J., Abbott,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Hesketh, K.D. (2020) ‘Lifestyle patterns begin in early childhood,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persist</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are socioeconomically patterned, confirming the importance of early life interventions’,</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Nutrients,</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12(3), p.724. Available at: </w:t>
      </w:r>
      <w:hyperlink r:id="R8de07b6dae24418a">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https://doi.org/10.3390/nu12030724</w:t>
        </w:r>
      </w:hyperlink>
    </w:p>
    <w:p w:rsidR="1437BB4F" w:rsidP="6E44F673" w:rsidRDefault="1437BB4F" w14:paraId="500AC672" w14:textId="0F4423A3">
      <w:pPr>
        <w:spacing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Lynch, T. (2019)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Physical education and wellbeing: global and holistic approaches to child health</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tab/>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1st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edn.Switzerland</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AG: Springer International Publishing.</w:t>
      </w:r>
    </w:p>
    <w:p w:rsidR="1437BB4F" w:rsidP="6E44F673" w:rsidRDefault="1437BB4F" w14:paraId="0658766D" w14:textId="33295201">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MacBlain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S. (2018)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Learning theories for early years practice.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London: SAGE Publications Ltd.</w:t>
      </w:r>
    </w:p>
    <w:p w:rsidR="1437BB4F" w:rsidP="6E44F673" w:rsidRDefault="1437BB4F" w14:paraId="41D91C6D" w14:textId="22536908">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Mainstone</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-Cotton, S. (2017)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Promoting young children’s emotional health and wellbeing a practical guide for professionals and parents</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London: Jessica Kingsley Publishers. </w:t>
      </w:r>
    </w:p>
    <w:p w:rsidR="1437BB4F" w:rsidP="6E44F673" w:rsidRDefault="1437BB4F" w14:paraId="0CF129FE" w14:textId="2EA1EA24">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Marmot, M., Allen, J., Goldblatt, P., Boyce, T., McNeish, D., Grady, M. and Geddes, I. (2010)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The Marmot review</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 Fair society, healthy lives</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London: UCL.</w:t>
      </w:r>
    </w:p>
    <w:p w:rsidR="1437BB4F" w:rsidP="6E44F673" w:rsidRDefault="1437BB4F" w14:paraId="739A60CD" w14:textId="6402A2AE">
      <w:pPr>
        <w:spacing w:before="0" w:beforeAutospacing="off" w:after="24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Marmot, M., Allen, J., Boyce, T., Goldblatt, P. and Morrison, J. (2020)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Health equity in England: The Marmot Review 10 years on.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Institute of Health Equity. Available at: </w:t>
      </w:r>
      <w:hyperlink r:id="R0aa368ba172240ff">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https://www.instituteofhealthequity.org/resources-reports/marmot-review-10-years-on/the-marmot-review-10-years-on-full-report.pdf</w:t>
        </w:r>
      </w:hyperlink>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14 June 2025).</w:t>
      </w:r>
    </w:p>
    <w:p w:rsidR="1437BB4F" w:rsidP="6E44F673" w:rsidRDefault="1437BB4F" w14:paraId="00C11BB0" w14:textId="126B61D0">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Marques, A., Peralta, M., Martins, J., Loureiro, V., Almanzar, P.C. and de Matos, M.G. (2019) ‘Few European adults are living a healthy lifestyle’,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American Journal of Health Promotion</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33(3), pp.391-398.</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d66ffd34725849ce">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https://doi.org/10.1177/0890117118787078</w:t>
        </w:r>
      </w:hyperlink>
    </w:p>
    <w:p w:rsidR="1437BB4F" w:rsidP="6E44F673" w:rsidRDefault="1437BB4F" w14:paraId="4DAA6C29" w14:textId="5357B3FE">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Maslow, A.H. (1943) ‘A theory of human motivation’,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Psychological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review</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50(4), pp. 370–396. Available at: </w:t>
      </w:r>
      <w:hyperlink r:id="Ref9c733f473649ac">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https://doi.org/10.1037/h0054346</w:t>
        </w:r>
      </w:hyperlink>
    </w:p>
    <w:p w:rsidR="1437BB4F" w:rsidP="6E44F673" w:rsidRDefault="1437BB4F" w14:paraId="4EFA04D1" w14:textId="5136B1A7">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McCallum, F. (2021) ‘Teacher and staff wellbeing: understanding the experiences of school staff’, in Kern, M.L. and Wehmeyer, M.L. (eds)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US"/>
        </w:rPr>
        <w:t xml:space="preserve">The Palgrave handbook of positive education.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Switzerland AG: Springer International Publishing</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US"/>
        </w:rPr>
        <w:t>, pp. 715 – 740.</w:t>
      </w:r>
    </w:p>
    <w:p w:rsidR="1437BB4F" w:rsidP="6E44F673" w:rsidRDefault="1437BB4F" w14:paraId="06655FD4" w14:textId="0297341A">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McDowall, C. (2016)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Childhood in society for the early years.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3rd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edn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London: SAGE Publications Ltd.</w:t>
      </w:r>
    </w:p>
    <w:p w:rsidR="1437BB4F" w:rsidP="6E44F673" w:rsidRDefault="1437BB4F" w14:paraId="31D20E4D" w14:textId="23E3C338">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Mind (2024)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5 ways to wellbeing.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5367c11de3404032">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https://www.mind.org.uk/workplace/mental-health-at-work/five-ways-to-wellbeing/</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14 June 2025).</w:t>
      </w:r>
    </w:p>
    <w:p w:rsidR="1437BB4F" w:rsidP="6E44F673" w:rsidRDefault="1437BB4F" w14:paraId="1F67D7CD" w14:textId="1BCB9D21">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Musgrave, J. (2017)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Supporting children’s health and wellbeing</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London: SAGE Publications Ltd. </w:t>
      </w:r>
    </w:p>
    <w:p w:rsidR="1437BB4F" w:rsidP="6E44F673" w:rsidRDefault="1437BB4F" w14:paraId="46518A88" w14:textId="37245060">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National Health Service [NHS] (2023) C</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auses - Malnutrition</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b778b6cea8e4389">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https://www.nhs.uk/conditions/malnutrition/causes/</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11 June 2025).</w:t>
      </w:r>
    </w:p>
    <w:p w:rsidR="1437BB4F" w:rsidP="6E44F673" w:rsidRDefault="1437BB4F" w14:paraId="3EA39FAC" w14:textId="14C67FDA">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NSPCC (2024)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Child mental health: recognising and responding to issues.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544ba9c86b1a44a9">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https://learning.nspcc.org.uk/child-health-development/child-mental-health</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11 June 2025). </w:t>
      </w:r>
    </w:p>
    <w:p w:rsidR="1437BB4F" w:rsidP="6E44F673" w:rsidRDefault="1437BB4F" w14:paraId="742BEC95" w14:textId="5A6F6E31">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Olawade</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D.B., Wada, O.Z.,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Aderinto</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N.,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Odetayo</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 Adebisi, Y.A., Esan, D.T. and Ling, J. (2025) ‘Factors contributing to under-5 child mortality in Nigeria: A narrative review’,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Medicine</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104(1), p.e41142. Available at: </w:t>
      </w:r>
      <w:hyperlink r:id="Rf084be29c3ab479d">
        <w:r w:rsidRPr="6E44F673" w:rsidR="1437BB4F">
          <w:rPr>
            <w:rStyle w:val="Hyperlink"/>
            <w:rFonts w:ascii="Arial" w:hAnsi="Arial" w:eastAsia="Arial" w:cs="Arial"/>
            <w:b w:val="0"/>
            <w:bCs w:val="0"/>
            <w:i w:val="0"/>
            <w:iCs w:val="0"/>
            <w:caps w:val="0"/>
            <w:smallCaps w:val="0"/>
            <w:noProof w:val="0"/>
            <w:color w:val="000000" w:themeColor="text1" w:themeTint="FF" w:themeShade="FF"/>
            <w:sz w:val="24"/>
            <w:szCs w:val="24"/>
            <w:u w:val="none"/>
            <w:lang w:val="en-GB"/>
          </w:rPr>
          <w:t>https://doi.org/10.1097/MD.0000000000041142</w:t>
        </w:r>
      </w:hyperlink>
    </w:p>
    <w:p w:rsidR="1437BB4F" w:rsidP="6E44F673" w:rsidRDefault="1437BB4F" w14:paraId="359CAF9C" w14:textId="64197E2B">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Pound, L. (2006)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How children learn. From Montessori to Vygotsky – educational theories and approaches made easy</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1st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edn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London: Step Forward Publishing Ltd.</w:t>
      </w:r>
    </w:p>
    <w:p w:rsidR="1437BB4F" w:rsidP="6E44F673" w:rsidRDefault="1437BB4F" w14:paraId="018B8EE5" w14:textId="1CDD5FA7">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Public Health Wales [PHW] (2023)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Our well-being statement 2023.</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6dc0627e84284520">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https://phw.nhs.wales/about-us/working-together-for-a-healthier-wales/wellbeing-statement/</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8 June 2025).</w:t>
      </w:r>
    </w:p>
    <w:p w:rsidR="1437BB4F" w:rsidP="6E44F673" w:rsidRDefault="1437BB4F" w14:paraId="655B1710" w14:textId="710FE65E">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Public Health Wales [PHW] (2024)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Designed to smile.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4ab3425729144637">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https://phw.nhs.wales/services-and-teams/designed-to-smile/</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(Accessed: 10 June 2025).</w:t>
      </w:r>
    </w:p>
    <w:p w:rsidR="1437BB4F" w:rsidP="6E44F673" w:rsidRDefault="1437BB4F" w14:paraId="50FA92C4" w14:textId="0425B2F7">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Roffey, S (2024)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Aspire to wellbeing and learning for all in early years and primary. The principles underpinning positive education.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London: Routledge.</w:t>
      </w:r>
    </w:p>
    <w:p w:rsidR="1437BB4F" w:rsidP="6E44F673" w:rsidRDefault="1437BB4F" w14:paraId="3280EB40" w14:textId="30C6BDE0">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Rose, J., Gilbert, L. and Richards, V. (2016)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Health and well-being in early childhood</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London: SAGE Publications Ltd. </w:t>
      </w:r>
    </w:p>
    <w:p w:rsidR="1437BB4F" w:rsidP="6E44F673" w:rsidRDefault="1437BB4F" w14:paraId="7870CC27" w14:textId="6A69CB0A">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Sudduth, M., Paul-Flannery, J. and Hill, K. (2025) ‘Nurturing home languages to engage and empower multilingual families’,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The Dialog: A Journal for Inclusive Early Childhood Professionals</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28(1). Available at: </w:t>
      </w:r>
      <w:hyperlink r:id="Rd3c537f080bf42a0">
        <w:r w:rsidRPr="6E44F673" w:rsidR="1437BB4F">
          <w:rPr>
            <w:rStyle w:val="Hyperlink"/>
            <w:rFonts w:ascii="Arial" w:hAnsi="Arial" w:eastAsia="Arial" w:cs="Arial"/>
            <w:b w:val="0"/>
            <w:bCs w:val="0"/>
            <w:i w:val="0"/>
            <w:iCs w:val="0"/>
            <w:caps w:val="0"/>
            <w:smallCaps w:val="0"/>
            <w:noProof w:val="0"/>
            <w:color w:val="000000" w:themeColor="text1" w:themeTint="FF" w:themeShade="FF"/>
            <w:sz w:val="24"/>
            <w:szCs w:val="24"/>
            <w:u w:val="none"/>
            <w:lang w:val="en-GB"/>
          </w:rPr>
          <w:t>https://doi.org/10.55370/thedialog.v28i1.1784</w:t>
        </w:r>
      </w:hyperlink>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
    <w:p w:rsidR="1437BB4F" w:rsidP="6E44F673" w:rsidRDefault="1437BB4F" w14:paraId="1164F3CB" w14:textId="71164E82">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Syed, S., Howe, L.D., Lacey, R.E., Deighton, J., ul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Arfeen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M.Q., Feder, G. and Gilbert, R. (2025) ‘Adverse childhood experiences in firstborns and mental health risk and health-care use in siblings: a population-based birth cohort study of half a million children in England',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The Lancet Public Health</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10(2), pp.e111-e123. Available at: </w:t>
      </w:r>
      <w:hyperlink r:id="Rc221f08899ab48b4">
        <w:r w:rsidRPr="6E44F673" w:rsidR="1437BB4F">
          <w:rPr>
            <w:rStyle w:val="Hyperlink"/>
            <w:rFonts w:ascii="Arial" w:hAnsi="Arial" w:eastAsia="Arial" w:cs="Arial"/>
            <w:b w:val="0"/>
            <w:bCs w:val="0"/>
            <w:i w:val="0"/>
            <w:iCs w:val="0"/>
            <w:caps w:val="0"/>
            <w:smallCaps w:val="0"/>
            <w:noProof w:val="0"/>
            <w:color w:val="000000" w:themeColor="text1" w:themeTint="FF" w:themeShade="FF"/>
            <w:sz w:val="24"/>
            <w:szCs w:val="24"/>
            <w:u w:val="none"/>
            <w:lang w:val="en-GB"/>
          </w:rPr>
          <w:t>https://www.thelancet.com/journals/lanpub/article/PIIS2468-2667(24)00301-3/fulltext</w:t>
        </w:r>
      </w:hyperlink>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(Accessed: 15 June 2025)</w:t>
      </w:r>
    </w:p>
    <w:p w:rsidR="1437BB4F" w:rsidP="6E44F673" w:rsidRDefault="1437BB4F" w14:paraId="350DF375" w14:textId="5B17C955">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UNICEF (2021)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The necessity of urban green space for children’s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optimal</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development</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w:anchor=".(Accessed" r:id="R697389a200f5411b">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https://www.unicef.org/armenia/en/stories/necessity-urban-green-space-childrens-optimal-development#.</w:t>
        </w:r>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12 June 2025).</w:t>
      </w:r>
    </w:p>
    <w:p w:rsidR="1437BB4F" w:rsidP="6E44F673" w:rsidRDefault="1437BB4F" w14:paraId="240284C3" w14:textId="69968864">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UNICEF (2024a)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UN Convention on the rights of the child (UNCRC)</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f448fdd60eda4428">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https://www.unicef.org.uk/what-we-do/un-convention-child-rights/</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(Accessed: 10 June 2025).</w:t>
      </w:r>
    </w:p>
    <w:p w:rsidR="1437BB4F" w:rsidP="6E44F673" w:rsidRDefault="1437BB4F" w14:paraId="1DF477A7" w14:textId="489790C2">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UNICEF (2024b).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Child food poverty.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c4ec66a5803549e7">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https://www.unicef.org/reports/child-food-poverty</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11 June 2025).</w:t>
      </w:r>
    </w:p>
    <w:p w:rsidR="1437BB4F" w:rsidP="6E44F673" w:rsidRDefault="1437BB4F" w14:paraId="1990FA37" w14:textId="79E4CEBB">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UNICEF (2024c).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UN Convention on the rights of the child (UNCRC)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fc5d0b31cf0f4fc9">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https://www.unicef.org.uk/what-we-do/un-convention-child-rights/</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(Accessed: 13 June 2025).</w:t>
      </w:r>
    </w:p>
    <w:p w:rsidR="1437BB4F" w:rsidP="6E44F673" w:rsidRDefault="1437BB4F" w14:paraId="61F1B414" w14:textId="61BD9BA7">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Warren, C. (2025)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Neurodiversity in the early years: practical and proven strategies to enable neurodivergent children to thrive</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1st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edn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Abingdon, Oxon: Routledge. </w:t>
      </w:r>
    </w:p>
    <w:p w:rsidR="1437BB4F" w:rsidP="6E44F673" w:rsidRDefault="1437BB4F" w14:paraId="43516E4B" w14:textId="3464A375">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(2017a).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Written statement - encouraging the use of the daily mile scheme by primary schools.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dbc02c796ac04097">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https://www.gov.wales/written-statement-encouraging-use-daily-mile-scheme-primary-schools</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14 June 2025).</w:t>
      </w:r>
    </w:p>
    <w:p w:rsidR="1437BB4F" w:rsidP="6E44F673" w:rsidRDefault="1437BB4F" w14:paraId="4A0502AB" w14:textId="7BA603C7">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(2017b).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Designed to smile improving children’s dental health</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c298a4d3cbbe4669">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https://www.gov.wales/designed-smile-improving-childrens-dental-health</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14 June 2025).</w:t>
      </w:r>
    </w:p>
    <w:p w:rsidR="1437BB4F" w:rsidP="6E44F673" w:rsidRDefault="1437BB4F" w14:paraId="75354FF9" w14:textId="492B7307">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Welsh Government (2020)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Health and well-being: Introduction - Hwb</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332b1c186dba4191">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https://hwb.gov.wales/curriculum-for-wales/health-and-well-being</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13 June 2025).</w:t>
      </w:r>
    </w:p>
    <w:p w:rsidR="1437BB4F" w:rsidP="6E44F673" w:rsidRDefault="1437BB4F" w14:paraId="198277D2" w14:textId="12BA19D3">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Whitters, H.G. (2020) </w:t>
      </w:r>
      <w:r w:rsidRPr="6E44F673" w:rsidR="1437BB4F">
        <w:rPr>
          <w:rFonts w:ascii="Arial" w:hAnsi="Arial" w:eastAsia="Arial" w:cs="Arial"/>
          <w:b w:val="0"/>
          <w:bCs w:val="0"/>
          <w:i w:val="1"/>
          <w:iCs w:val="1"/>
          <w:caps w:val="0"/>
          <w:smallCaps w:val="0"/>
          <w:noProof w:val="0"/>
          <w:color w:val="000000" w:themeColor="text1" w:themeTint="FF" w:themeShade="FF"/>
          <w:sz w:val="24"/>
          <w:szCs w:val="24"/>
          <w:u w:val="none"/>
          <w:lang w:val="en-GB"/>
        </w:rPr>
        <w:t>Adverse childhood experiences, attachment, and the early years learning environment: research and inclusive practice</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1st </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edn</w:t>
      </w: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 Abingdon, Oxon: Routledge.</w:t>
      </w:r>
    </w:p>
    <w:p w:rsidR="1437BB4F" w:rsidP="6E44F673" w:rsidRDefault="1437BB4F" w14:paraId="7D218F1B" w14:textId="15EE580C">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World Health Organization [WHO] (2022)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mortality (under 5 years)</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f7009578502e4320">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https://www.who.int/news-room/fact-sheets/detail/child-mortality-under-5-years</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10 June 2025).</w:t>
      </w:r>
    </w:p>
    <w:p w:rsidR="1437BB4F" w:rsidP="6E44F673" w:rsidRDefault="1437BB4F" w14:paraId="3ACC8F12" w14:textId="0CE6C73E">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World Health Organization [WHO] (2024)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Child maltreatment</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3acd7adc95824601">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https://www.who.int/news-room/fact-sheets/detail/child-maltreatment</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(Accessed: 13 June 2025).</w:t>
      </w:r>
    </w:p>
    <w:p w:rsidR="1437BB4F" w:rsidP="6E44F673" w:rsidRDefault="1437BB4F" w14:paraId="199B01E8" w14:textId="5B33E4B3">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World Health Organization [WHO] (2025) </w:t>
      </w:r>
      <w:r w:rsidRPr="6E44F673" w:rsidR="1437BB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Constitution of the world health organization</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5b7c4f5c562c4826">
        <w:r w:rsidRPr="6E44F673" w:rsidR="1437BB4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https://www.who.int/about/governance/constitution</w:t>
        </w:r>
      </w:hyperlink>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6E44F673" w:rsidR="1437B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(Accessed:10 June 2025).</w:t>
      </w:r>
    </w:p>
    <w:p w:rsidR="1437BB4F" w:rsidP="6E44F673" w:rsidRDefault="1437BB4F" w14:paraId="0A346D49" w14:textId="132D11AC">
      <w:pPr>
        <w:spacing w:before="0" w:beforeAutospacing="off" w:after="160" w:afterAutospacing="off"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6E44F673" w:rsidR="1437BB4F">
        <w:rPr>
          <w:rFonts w:ascii="Arial" w:hAnsi="Arial" w:eastAsia="Arial" w:cs="Arial"/>
          <w:b w:val="0"/>
          <w:bCs w:val="0"/>
          <w:i w:val="0"/>
          <w:iCs w:val="0"/>
          <w:caps w:val="0"/>
          <w:smallCaps w:val="0"/>
          <w:noProof w:val="0"/>
          <w:color w:val="000000" w:themeColor="text1" w:themeTint="FF" w:themeShade="FF"/>
          <w:sz w:val="24"/>
          <w:szCs w:val="24"/>
          <w:u w:val="none"/>
          <w:lang w:val="en-GB"/>
        </w:rPr>
        <w:t>Wren, A. (2021) ‘The importance of positive peer relationships for child well-being and resilience’, in Williams- Brown, Z a</w:t>
      </w:r>
      <w:r w:rsidRPr="6E44F673" w:rsidR="1437BB4F">
        <w:rPr>
          <w:rFonts w:ascii="Arial" w:hAnsi="Arial" w:eastAsia="Arial" w:cs="Arial"/>
          <w:b w:val="0"/>
          <w:bCs w:val="0"/>
          <w:i w:val="0"/>
          <w:iCs w:val="0"/>
          <w:caps w:val="0"/>
          <w:smallCaps w:val="0"/>
          <w:noProof w:val="0"/>
          <w:color w:val="000000" w:themeColor="text1" w:themeTint="FF" w:themeShade="FF"/>
          <w:sz w:val="24"/>
          <w:szCs w:val="24"/>
          <w:lang w:val="en-GB"/>
        </w:rPr>
        <w:t xml:space="preserve">nd Mander, S. (eds) </w:t>
      </w:r>
      <w:r w:rsidRPr="6E44F673" w:rsidR="1437BB4F">
        <w:rPr>
          <w:rFonts w:ascii="Arial" w:hAnsi="Arial" w:eastAsia="Arial" w:cs="Arial"/>
          <w:b w:val="0"/>
          <w:bCs w:val="0"/>
          <w:i w:val="1"/>
          <w:iCs w:val="1"/>
          <w:caps w:val="0"/>
          <w:smallCaps w:val="0"/>
          <w:noProof w:val="0"/>
          <w:color w:val="000000" w:themeColor="text1" w:themeTint="FF" w:themeShade="FF"/>
          <w:sz w:val="24"/>
          <w:szCs w:val="24"/>
          <w:lang w:val="en-GB"/>
        </w:rPr>
        <w:t xml:space="preserve">Childhood well-being and resilience. Influences of educational outcomes. </w:t>
      </w:r>
      <w:r w:rsidRPr="6E44F673" w:rsidR="1437BB4F">
        <w:rPr>
          <w:rFonts w:ascii="Arial" w:hAnsi="Arial" w:eastAsia="Arial" w:cs="Arial"/>
          <w:b w:val="0"/>
          <w:bCs w:val="0"/>
          <w:i w:val="0"/>
          <w:iCs w:val="0"/>
          <w:caps w:val="0"/>
          <w:smallCaps w:val="0"/>
          <w:noProof w:val="0"/>
          <w:color w:val="000000" w:themeColor="text1" w:themeTint="FF" w:themeShade="FF"/>
          <w:sz w:val="24"/>
          <w:szCs w:val="24"/>
          <w:lang w:val="en-GB"/>
        </w:rPr>
        <w:t>Abingdon, Oxon: Routledge, pp. 69-77.</w:t>
      </w:r>
    </w:p>
    <w:p w:rsidR="6E44F673" w:rsidP="6E44F673" w:rsidRDefault="6E44F673" w14:paraId="2EA8AC23" w14:textId="1B4992A8">
      <w:pPr>
        <w:spacing w:line="360" w:lineRule="auto"/>
        <w:rPr>
          <w:rFonts w:ascii="Arial" w:hAnsi="Arial" w:eastAsia="Arial" w:cs="Arial"/>
          <w:b w:val="1"/>
          <w:bCs w:val="1"/>
          <w:u w:val="single"/>
        </w:rPr>
      </w:pPr>
    </w:p>
    <w:sectPr>
      <w:pgSz w:w="16838" w:h="11906" w:orient="landscape"/>
      <w:pgMar w:top="720" w:right="720" w:bottom="720" w:left="720" w:header="720" w:footer="720" w:gutter="0"/>
      <w:cols w:space="720"/>
      <w:docGrid w:linePitch="360"/>
      <w:headerReference w:type="default" r:id="R5a37686174664c51"/>
      <w:footerReference w:type="default" r:id="R89194082140f45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6E44F673" w:rsidTr="6E44F673" w14:paraId="711D8846">
      <w:trPr>
        <w:trHeight w:val="300"/>
      </w:trPr>
      <w:tc>
        <w:tcPr>
          <w:tcW w:w="5130" w:type="dxa"/>
          <w:tcMar/>
        </w:tcPr>
        <w:p w:rsidR="6E44F673" w:rsidP="6E44F673" w:rsidRDefault="6E44F673" w14:paraId="3677F397" w14:textId="0C3B2097">
          <w:pPr>
            <w:pStyle w:val="Header"/>
            <w:bidi w:val="0"/>
            <w:ind w:left="-115"/>
            <w:jc w:val="left"/>
            <w:rPr>
              <w:rFonts w:ascii="Arial" w:hAnsi="Arial" w:eastAsia="Arial" w:cs="Arial"/>
            </w:rPr>
          </w:pPr>
        </w:p>
      </w:tc>
      <w:tc>
        <w:tcPr>
          <w:tcW w:w="5130" w:type="dxa"/>
          <w:tcMar/>
        </w:tcPr>
        <w:p w:rsidR="6E44F673" w:rsidP="6E44F673" w:rsidRDefault="6E44F673" w14:paraId="6DB0CB8A" w14:textId="5B1E7628">
          <w:pPr>
            <w:pStyle w:val="Header"/>
            <w:bidi w:val="0"/>
            <w:jc w:val="center"/>
            <w:rPr>
              <w:rFonts w:ascii="Arial" w:hAnsi="Arial" w:eastAsia="Arial" w:cs="Arial"/>
            </w:rPr>
          </w:pPr>
        </w:p>
      </w:tc>
      <w:tc>
        <w:tcPr>
          <w:tcW w:w="5130" w:type="dxa"/>
          <w:tcMar/>
        </w:tcPr>
        <w:p w:rsidR="6E44F673" w:rsidP="6E44F673" w:rsidRDefault="6E44F673" w14:paraId="392F1C13" w14:textId="660E1826">
          <w:pPr>
            <w:pStyle w:val="Header"/>
            <w:bidi w:val="0"/>
            <w:ind w:right="-115"/>
            <w:jc w:val="right"/>
            <w:rPr>
              <w:rFonts w:ascii="Arial" w:hAnsi="Arial" w:eastAsia="Arial" w:cs="Arial"/>
            </w:rPr>
          </w:pPr>
          <w:r w:rsidRPr="6E44F673">
            <w:rPr>
              <w:rFonts w:ascii="Arial" w:hAnsi="Arial" w:eastAsia="Arial" w:cs="Arial"/>
            </w:rPr>
            <w:fldChar w:fldCharType="begin"/>
          </w:r>
          <w:r>
            <w:instrText xml:space="preserve">PAGE</w:instrText>
          </w:r>
          <w:r>
            <w:fldChar w:fldCharType="separate"/>
          </w:r>
          <w:r w:rsidRPr="6E44F673">
            <w:rPr>
              <w:rFonts w:ascii="Arial" w:hAnsi="Arial" w:eastAsia="Arial" w:cs="Arial"/>
            </w:rPr>
            <w:fldChar w:fldCharType="end"/>
          </w:r>
        </w:p>
      </w:tc>
    </w:tr>
  </w:tbl>
  <w:p w:rsidR="6E44F673" w:rsidP="6E44F673" w:rsidRDefault="6E44F673" w14:paraId="28A0BBE0" w14:textId="5B6AF9D5">
    <w:pPr>
      <w:pStyle w:val="Footer"/>
      <w:bidi w:val="0"/>
      <w:rPr>
        <w:rFonts w:ascii="Arial" w:hAnsi="Arial" w:eastAsia="Arial" w:cs="Arial"/>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6E44F673" w:rsidTr="600DD359" w14:paraId="7C74DC68">
      <w:trPr>
        <w:trHeight w:val="300"/>
      </w:trPr>
      <w:tc>
        <w:tcPr>
          <w:tcW w:w="5130" w:type="dxa"/>
          <w:tcMar/>
        </w:tcPr>
        <w:p w:rsidR="6E44F673" w:rsidP="6E44F673" w:rsidRDefault="6E44F673" w14:paraId="76C19291" w14:textId="65E7EFEC">
          <w:pPr>
            <w:pBdr>
              <w:top w:val="nil" w:color="000000" w:sz="0" w:space="0"/>
              <w:left w:val="nil" w:color="000000" w:sz="0" w:space="0"/>
              <w:bottom w:val="nil" w:color="000000" w:sz="0" w:space="0"/>
              <w:right w:val="nil" w:color="000000" w:sz="0" w:space="0"/>
              <w:between w:val="nil" w:color="000000" w:sz="0" w:space="0"/>
            </w:pBdr>
            <w:tabs>
              <w:tab w:val="center" w:leader="none" w:pos="4680"/>
              <w:tab w:val="right" w:leader="none" w:pos="9360"/>
              <w:tab w:val="center" w:leader="none" w:pos="4680"/>
              <w:tab w:val="right" w:leader="none" w:pos="9360"/>
            </w:tabs>
            <w:bidi w:val="0"/>
            <w:spacing w:after="0" w:line="360" w:lineRule="auto"/>
            <w:ind w:left="-115"/>
            <w:rPr>
              <w:rFonts w:ascii="Arial" w:hAnsi="Arial" w:eastAsia="Arial" w:cs="Arial"/>
              <w:b w:val="0"/>
              <w:bCs w:val="0"/>
              <w:i w:val="0"/>
              <w:iCs w:val="0"/>
              <w:caps w:val="0"/>
              <w:smallCaps w:val="0"/>
              <w:color w:val="242130"/>
              <w:sz w:val="24"/>
              <w:szCs w:val="24"/>
            </w:rPr>
          </w:pPr>
          <w:r w:rsidRPr="6E44F673" w:rsidR="6E44F673">
            <w:rPr>
              <w:rFonts w:ascii="Arial" w:hAnsi="Arial" w:eastAsia="Arial" w:cs="Arial"/>
              <w:b w:val="0"/>
              <w:bCs w:val="0"/>
              <w:i w:val="0"/>
              <w:iCs w:val="0"/>
              <w:caps w:val="0"/>
              <w:smallCaps w:val="0"/>
              <w:color w:val="000000" w:themeColor="text1" w:themeTint="FF" w:themeShade="FF"/>
              <w:sz w:val="24"/>
              <w:szCs w:val="24"/>
              <w:lang w:val="en-US"/>
            </w:rPr>
            <w:t xml:space="preserve">Student: </w:t>
          </w:r>
          <w:r w:rsidRPr="6E44F673" w:rsidR="6E44F673">
            <w:rPr>
              <w:rFonts w:ascii="Arial" w:hAnsi="Arial" w:eastAsia="Arial" w:cs="Arial"/>
              <w:b w:val="0"/>
              <w:bCs w:val="0"/>
              <w:i w:val="0"/>
              <w:iCs w:val="0"/>
              <w:caps w:val="0"/>
              <w:smallCaps w:val="0"/>
              <w:color w:val="242130"/>
              <w:sz w:val="24"/>
              <w:szCs w:val="24"/>
              <w:lang w:val="en-US"/>
            </w:rPr>
            <w:t>2416175</w:t>
          </w:r>
        </w:p>
      </w:tc>
      <w:tc>
        <w:tcPr>
          <w:tcW w:w="5130" w:type="dxa"/>
          <w:tcMar/>
        </w:tcPr>
        <w:p w:rsidR="6E44F673" w:rsidP="6E44F673" w:rsidRDefault="6E44F673" w14:paraId="0DC77CBA" w14:textId="69F5C1AB">
          <w:pPr>
            <w:pBdr>
              <w:top w:val="nil" w:color="000000" w:sz="0" w:space="0"/>
              <w:left w:val="nil" w:color="000000" w:sz="0" w:space="0"/>
              <w:bottom w:val="nil" w:color="000000" w:sz="0" w:space="0"/>
              <w:right w:val="nil" w:color="000000" w:sz="0" w:space="0"/>
              <w:between w:val="nil" w:color="000000" w:sz="0" w:space="0"/>
            </w:pBdr>
            <w:tabs>
              <w:tab w:val="center" w:leader="none" w:pos="4680"/>
              <w:tab w:val="right" w:leader="none" w:pos="9360"/>
              <w:tab w:val="center" w:leader="none" w:pos="4680"/>
              <w:tab w:val="right" w:leader="none" w:pos="9360"/>
            </w:tabs>
            <w:bidi w:val="0"/>
            <w:spacing w:after="0" w:line="240" w:lineRule="auto"/>
            <w:ind w:right="-115"/>
            <w:rPr>
              <w:rFonts w:ascii="Arial" w:hAnsi="Arial" w:eastAsia="Arial" w:cs="Arial"/>
              <w:b w:val="0"/>
              <w:bCs w:val="0"/>
              <w:i w:val="0"/>
              <w:iCs w:val="0"/>
              <w:caps w:val="0"/>
              <w:smallCaps w:val="0"/>
              <w:color w:val="000000" w:themeColor="text1" w:themeTint="FF" w:themeShade="FF"/>
              <w:sz w:val="24"/>
              <w:szCs w:val="24"/>
            </w:rPr>
          </w:pPr>
          <w:r w:rsidRPr="6E44F673" w:rsidR="6E44F673">
            <w:rPr>
              <w:rFonts w:ascii="Arial" w:hAnsi="Arial" w:eastAsia="Arial" w:cs="Arial"/>
              <w:b w:val="0"/>
              <w:bCs w:val="0"/>
              <w:i w:val="0"/>
              <w:iCs w:val="0"/>
              <w:caps w:val="0"/>
              <w:smallCaps w:val="0"/>
              <w:color w:val="000000" w:themeColor="text1" w:themeTint="FF" w:themeShade="FF"/>
              <w:sz w:val="24"/>
              <w:szCs w:val="24"/>
              <w:lang w:val="en-US"/>
            </w:rPr>
            <w:t xml:space="preserve">    </w:t>
          </w:r>
          <w:r w:rsidRPr="6E44F673" w:rsidR="6E44F673">
            <w:rPr>
              <w:rFonts w:ascii="Arial" w:hAnsi="Arial" w:eastAsia="Arial" w:cs="Arial"/>
              <w:b w:val="0"/>
              <w:bCs w:val="0"/>
              <w:i w:val="0"/>
              <w:iCs w:val="0"/>
              <w:caps w:val="0"/>
              <w:smallCaps w:val="0"/>
              <w:color w:val="000000" w:themeColor="text1" w:themeTint="FF" w:themeShade="FF"/>
              <w:sz w:val="24"/>
              <w:szCs w:val="24"/>
              <w:lang w:val="en-US"/>
            </w:rPr>
            <w:t xml:space="preserve">  Module Code: ECEY5009</w:t>
          </w:r>
        </w:p>
        <w:p w:rsidR="6E44F673" w:rsidP="6E44F673" w:rsidRDefault="6E44F673" w14:paraId="12A91477" w14:textId="69EBF339">
          <w:pPr>
            <w:tabs>
              <w:tab w:val="center" w:leader="none" w:pos="4680"/>
              <w:tab w:val="right" w:leader="none" w:pos="9360"/>
            </w:tabs>
            <w:bidi w:val="0"/>
            <w:spacing w:after="0" w:line="360" w:lineRule="auto"/>
            <w:rPr>
              <w:rFonts w:ascii="Arial" w:hAnsi="Arial" w:eastAsia="Arial" w:cs="Arial"/>
              <w:b w:val="0"/>
              <w:bCs w:val="0"/>
              <w:i w:val="0"/>
              <w:iCs w:val="0"/>
              <w:caps w:val="0"/>
              <w:smallCaps w:val="0"/>
              <w:color w:val="000000" w:themeColor="text1" w:themeTint="FF" w:themeShade="FF"/>
              <w:sz w:val="24"/>
              <w:szCs w:val="24"/>
            </w:rPr>
          </w:pPr>
        </w:p>
      </w:tc>
      <w:tc>
        <w:tcPr>
          <w:tcW w:w="5130" w:type="dxa"/>
          <w:tcMar/>
        </w:tcPr>
        <w:p w:rsidR="6E44F673" w:rsidP="600DD359" w:rsidRDefault="6E44F673" w14:paraId="3F4DBC8B" w14:textId="040AF535">
          <w:pPr>
            <w:pBdr>
              <w:top w:val="nil" w:color="000000" w:sz="0" w:space="0"/>
              <w:left w:val="nil" w:color="000000" w:sz="0" w:space="0"/>
              <w:bottom w:val="nil" w:color="000000" w:sz="0" w:space="0"/>
              <w:right w:val="nil" w:color="000000" w:sz="0" w:space="0"/>
              <w:between w:val="nil" w:color="000000" w:sz="0" w:space="0"/>
            </w:pBdr>
            <w:tabs>
              <w:tab w:val="center" w:leader="none" w:pos="4680"/>
              <w:tab w:val="right" w:leader="none" w:pos="9360"/>
            </w:tabs>
            <w:bidi w:val="0"/>
            <w:spacing w:after="0" w:line="240" w:lineRule="auto"/>
            <w:rPr>
              <w:rFonts w:ascii="Arial" w:hAnsi="Arial" w:eastAsia="Arial" w:cs="Arial"/>
              <w:b w:val="0"/>
              <w:bCs w:val="0"/>
              <w:i w:val="0"/>
              <w:iCs w:val="0"/>
              <w:caps w:val="0"/>
              <w:smallCaps w:val="0"/>
              <w:color w:val="000000" w:themeColor="text1" w:themeTint="FF" w:themeShade="FF"/>
              <w:sz w:val="24"/>
              <w:szCs w:val="24"/>
            </w:rPr>
          </w:pPr>
          <w:r w:rsidRPr="600DD359" w:rsidR="600DD359">
            <w:rPr>
              <w:rFonts w:ascii="Arial" w:hAnsi="Arial" w:eastAsia="Arial" w:cs="Arial"/>
              <w:b w:val="0"/>
              <w:bCs w:val="0"/>
              <w:i w:val="0"/>
              <w:iCs w:val="0"/>
              <w:caps w:val="0"/>
              <w:smallCaps w:val="0"/>
              <w:color w:val="000000" w:themeColor="text1" w:themeTint="FF" w:themeShade="FF"/>
              <w:sz w:val="24"/>
              <w:szCs w:val="24"/>
              <w:lang w:val="en-US"/>
            </w:rPr>
            <w:t>Word Count:</w:t>
          </w:r>
          <w:r w:rsidRPr="600DD359" w:rsidR="600DD359">
            <w:rPr>
              <w:rFonts w:ascii="Arial" w:hAnsi="Arial" w:eastAsia="Arial" w:cs="Arial"/>
              <w:b w:val="0"/>
              <w:bCs w:val="0"/>
              <w:i w:val="0"/>
              <w:iCs w:val="0"/>
              <w:caps w:val="0"/>
              <w:smallCaps w:val="0"/>
              <w:color w:val="000000" w:themeColor="text1" w:themeTint="FF" w:themeShade="FF"/>
              <w:sz w:val="24"/>
              <w:szCs w:val="24"/>
              <w:lang w:val="en-US"/>
            </w:rPr>
            <w:t>2122</w:t>
          </w:r>
        </w:p>
        <w:p w:rsidR="6E44F673" w:rsidP="600DD359" w:rsidRDefault="6E44F673" w14:paraId="342FCBEC" w14:textId="214FE689">
          <w:pPr>
            <w:pBdr>
              <w:top w:val="nil" w:color="000000" w:sz="0" w:space="0"/>
              <w:left w:val="nil" w:color="000000" w:sz="0" w:space="0"/>
              <w:bottom w:val="nil" w:color="000000" w:sz="0" w:space="0"/>
              <w:right w:val="nil" w:color="000000" w:sz="0" w:space="0"/>
              <w:between w:val="nil" w:color="000000" w:sz="0" w:space="0"/>
            </w:pBdr>
            <w:tabs>
              <w:tab w:val="center" w:leader="none" w:pos="4680"/>
              <w:tab w:val="right" w:leader="none" w:pos="9360"/>
            </w:tabs>
            <w:bidi w:val="0"/>
            <w:spacing w:after="0" w:line="240" w:lineRule="auto"/>
            <w:rPr>
              <w:rFonts w:ascii="Arial" w:hAnsi="Arial" w:eastAsia="Arial" w:cs="Arial"/>
              <w:b w:val="0"/>
              <w:bCs w:val="0"/>
              <w:i w:val="0"/>
              <w:iCs w:val="0"/>
              <w:caps w:val="0"/>
              <w:smallCaps w:val="0"/>
              <w:color w:val="000000" w:themeColor="text1" w:themeTint="FF" w:themeShade="FF"/>
              <w:sz w:val="24"/>
              <w:szCs w:val="24"/>
              <w:lang w:val="en-US"/>
            </w:rPr>
          </w:pPr>
        </w:p>
      </w:tc>
    </w:tr>
  </w:tbl>
  <w:p w:rsidR="6E44F673" w:rsidP="6E44F673" w:rsidRDefault="6E44F673" w14:paraId="2BE961B1" w14:textId="5E82989C">
    <w:pPr>
      <w:pStyle w:val="Header"/>
      <w:bidi w:val="0"/>
    </w:pPr>
  </w:p>
</w:hdr>
</file>

<file path=word/numbering.xml><?xml version="1.0" encoding="utf-8"?>
<w:numbering xmlns:w="http://schemas.openxmlformats.org/wordprocessingml/2006/main">
  <w:abstractNum xmlns:w="http://schemas.openxmlformats.org/wordprocessingml/2006/main" w:abstractNumId="1">
    <w:nsid w:val="32f0a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3DB11F"/>
    <w:rsid w:val="01EA84D6"/>
    <w:rsid w:val="03E4FE6A"/>
    <w:rsid w:val="03F7A984"/>
    <w:rsid w:val="04B3AB71"/>
    <w:rsid w:val="04C75758"/>
    <w:rsid w:val="04E70043"/>
    <w:rsid w:val="09BA5A70"/>
    <w:rsid w:val="0A5FDFC4"/>
    <w:rsid w:val="11D4A195"/>
    <w:rsid w:val="12DF5EDF"/>
    <w:rsid w:val="1437BB4F"/>
    <w:rsid w:val="1FB51A36"/>
    <w:rsid w:val="20C3FB68"/>
    <w:rsid w:val="21149F8C"/>
    <w:rsid w:val="265D96F6"/>
    <w:rsid w:val="4A3DB11F"/>
    <w:rsid w:val="54EA4777"/>
    <w:rsid w:val="57769DF4"/>
    <w:rsid w:val="599E8A2B"/>
    <w:rsid w:val="5D57350F"/>
    <w:rsid w:val="600DD359"/>
    <w:rsid w:val="6226E71D"/>
    <w:rsid w:val="6748CB40"/>
    <w:rsid w:val="6E44F673"/>
    <w:rsid w:val="6F43FDB4"/>
    <w:rsid w:val="7726052C"/>
    <w:rsid w:val="7A91B36F"/>
    <w:rsid w:val="7D82F9FE"/>
    <w:rsid w:val="7F908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C2EAC"/>
  <w15:chartTrackingRefBased/>
  <w15:docId w15:val="{F85CA1AD-FB41-4B3E-A8B5-D95AB4A1BF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E44F673"/>
    <w:pPr>
      <w:tabs>
        <w:tab w:val="center" w:leader="none" w:pos="4680"/>
        <w:tab w:val="right" w:leader="none" w:pos="9360"/>
      </w:tabs>
      <w:spacing w:after="0" w:line="240" w:lineRule="auto"/>
    </w:pPr>
  </w:style>
  <w:style w:type="paragraph" w:styleId="Footer">
    <w:uiPriority w:val="99"/>
    <w:name w:val="footer"/>
    <w:basedOn w:val="Normal"/>
    <w:unhideWhenUsed/>
    <w:rsid w:val="6E44F67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E44F673"/>
    <w:rPr>
      <w:color w:val="467886"/>
      <w:u w:val="single"/>
    </w:rPr>
  </w:style>
  <w:style w:type="paragraph" w:styleId="ListParagraph">
    <w:uiPriority w:val="34"/>
    <w:name w:val="List Paragraph"/>
    <w:basedOn w:val="Normal"/>
    <w:qFormat/>
    <w:rsid w:val="6E44F67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pedn.2020.07.012" TargetMode="External" Id="R9a32f2bf802e46e7" /><Relationship Type="http://schemas.openxmlformats.org/officeDocument/2006/relationships/hyperlink" Target="https://doi.org/10.47602/johah.v3i2.48" TargetMode="External" Id="R35e1f9ab5d2a423a" /><Relationship Type="http://schemas.openxmlformats.org/officeDocument/2006/relationships/hyperlink" Target="https://www.canva.com/" TargetMode="External" Id="R36b88c93673a454e" /><Relationship Type="http://schemas.openxmlformats.org/officeDocument/2006/relationships/hyperlink" Target="https://www.cookstars.co.uk/schools--communities-and-charities." TargetMode="External" Id="R47a00aea644b44be" /><Relationship Type="http://schemas.openxmlformats.org/officeDocument/2006/relationships/hyperlink" Target="https://doi.org/10.1080/09575146.2024.2393143" TargetMode="External" Id="R0635868e3531442a" /><Relationship Type="http://schemas.openxmlformats.org/officeDocument/2006/relationships/hyperlink" Target="https://doi.org/10.3390/healthcare13030280" TargetMode="External" Id="R98c48dbb45b54252" /><Relationship Type="http://schemas.openxmlformats.org/officeDocument/2006/relationships/hyperlink" Target="https://doi.org/10.1007/s00127-022-02333-8" TargetMode="External" Id="R7e7af0f2c01d4a4f" /><Relationship Type="http://schemas.openxmlformats.org/officeDocument/2006/relationships/hyperlink" Target="https://doi.org/10.1007/s11205-017-1752-8" TargetMode="External" Id="Ra9a5665d33e446df" /><Relationship Type="http://schemas.openxmlformats.org/officeDocument/2006/relationships/hyperlink" Target="https://doi.org/10.1038/s41430-022-01230-2" TargetMode="External" Id="R552db1d38bff43a5" /><Relationship Type="http://schemas.openxmlformats.org/officeDocument/2006/relationships/hyperlink" Target="https://www.earlyyears.wales/sites/default/files/mental_health_and_well-being_amongst_people_working_in_early_years_settings_in_wales.pdf" TargetMode="External" Id="R46039157bc5541b1" /><Relationship Type="http://schemas.openxmlformats.org/officeDocument/2006/relationships/hyperlink" Target="https://www.cookstars.co.uk/" TargetMode="External" Id="R7b25f3d2221343f0" /><Relationship Type="http://schemas.openxmlformats.org/officeDocument/2006/relationships/hyperlink" Target="https://thedailymile.co.uk/" TargetMode="External" Id="Rc9b8cc2a2301441d" /><Relationship Type="http://schemas.openxmlformats.org/officeDocument/2006/relationships/hyperlink" Target="https://phw.nhs.wales/services-and-teams/designed-to-smile/information-for-parents-and-carers/" TargetMode="External" Id="Rc51ed4673795485a" /><Relationship Type="http://schemas.openxmlformats.org/officeDocument/2006/relationships/hyperlink" Target="https://www.jrf.org.uk/" TargetMode="External" Id="R20787bd2fc654555" /><Relationship Type="http://schemas.openxmlformats.org/officeDocument/2006/relationships/hyperlink" Target="https://doi.org/10.3390/ijerph19041981" TargetMode="External" Id="R398a16b9729643ac" /><Relationship Type="http://schemas.openxmlformats.org/officeDocument/2006/relationships/hyperlink" Target="https://doi.org/10.1016/S2468-2667(22)00161-X" TargetMode="External" Id="Re7444c0f0e2844da" /><Relationship Type="http://schemas.openxmlformats.org/officeDocument/2006/relationships/hyperlink" Target="https://doi.org/10.1080/03004279.2021.2011943" TargetMode="External" Id="Rcde2c54ea83e46fc" /><Relationship Type="http://schemas.openxmlformats.org/officeDocument/2006/relationships/hyperlink" Target="https://doi.org/10.3390/nu12030724" TargetMode="External" Id="R8de07b6dae24418a" /><Relationship Type="http://schemas.openxmlformats.org/officeDocument/2006/relationships/hyperlink" Target="https://www.instituteofhealthequity.org/resources-reports/marmot-review-10-years-on/the-marmot-review-10-years-on-full-report.pdf" TargetMode="External" Id="R0aa368ba172240ff" /><Relationship Type="http://schemas.openxmlformats.org/officeDocument/2006/relationships/hyperlink" Target="https://doi.org/10.1177/0890117118787078" TargetMode="External" Id="Rd66ffd34725849ce" /><Relationship Type="http://schemas.openxmlformats.org/officeDocument/2006/relationships/hyperlink" Target="https://doi.org/10.1037/h0054346" TargetMode="External" Id="Ref9c733f473649ac" /><Relationship Type="http://schemas.openxmlformats.org/officeDocument/2006/relationships/hyperlink" Target="https://www.mind.org.uk/workplace/mental-health-at-work/five-ways-to-wellbeing/" TargetMode="External" Id="R5367c11de3404032" /><Relationship Type="http://schemas.openxmlformats.org/officeDocument/2006/relationships/hyperlink" Target="https://www.nhs.uk/conditions/malnutrition/causes/" TargetMode="External" Id="R7b778b6cea8e4389" /><Relationship Type="http://schemas.openxmlformats.org/officeDocument/2006/relationships/hyperlink" Target="https://learning.nspcc.org.uk/child-health-development/child-mental-health" TargetMode="External" Id="R544ba9c86b1a44a9" /><Relationship Type="http://schemas.openxmlformats.org/officeDocument/2006/relationships/hyperlink" Target="https://doi.org/10.1097/MD.0000000000041142" TargetMode="External" Id="Rf084be29c3ab479d" /><Relationship Type="http://schemas.openxmlformats.org/officeDocument/2006/relationships/hyperlink" Target="https://phw.nhs.wales/about-us/working-together-for-a-healthier-wales/wellbeing-statement/" TargetMode="External" Id="R6dc0627e84284520" /><Relationship Type="http://schemas.openxmlformats.org/officeDocument/2006/relationships/hyperlink" Target="https://phw.nhs.wales/services-and-teams/designed-to-smile/" TargetMode="External" Id="R4ab3425729144637" /><Relationship Type="http://schemas.openxmlformats.org/officeDocument/2006/relationships/hyperlink" Target="https://doi.org/10.55370/thedialog.v28i1.1784" TargetMode="External" Id="Rd3c537f080bf42a0" /><Relationship Type="http://schemas.openxmlformats.org/officeDocument/2006/relationships/hyperlink" Target="https://www.thelancet.com/journals/lanpub/article/PIIS2468-2667(24)00301-3/fulltext" TargetMode="External" Id="Rc221f08899ab48b4" /><Relationship Type="http://schemas.openxmlformats.org/officeDocument/2006/relationships/hyperlink" Target="https://www.unicef.org/armenia/en/stories/necessity-urban-green-space-childrens-optimal-development" TargetMode="External" Id="R697389a200f5411b" /><Relationship Type="http://schemas.openxmlformats.org/officeDocument/2006/relationships/hyperlink" Target="https://www.unicef.org.uk/what-we-do/un-convention-child-rights/" TargetMode="External" Id="Rf448fdd60eda4428" /><Relationship Type="http://schemas.openxmlformats.org/officeDocument/2006/relationships/hyperlink" Target="https://www.unicef.org/reports/child-food-poverty" TargetMode="External" Id="Rc4ec66a5803549e7" /><Relationship Type="http://schemas.openxmlformats.org/officeDocument/2006/relationships/hyperlink" Target="https://www.unicef.org.uk/what-we-do/un-convention-child-rights/" TargetMode="External" Id="Rfc5d0b31cf0f4fc9" /><Relationship Type="http://schemas.openxmlformats.org/officeDocument/2006/relationships/hyperlink" Target="https://www.gov.wales/written-statement-encouraging-use-daily-mile-scheme-primary-schools" TargetMode="External" Id="Rdbc02c796ac04097" /><Relationship Type="http://schemas.openxmlformats.org/officeDocument/2006/relationships/hyperlink" Target="https://www.gov.wales/designed-smile-improving-childrens-dental-health" TargetMode="External" Id="Rc298a4d3cbbe4669" /><Relationship Type="http://schemas.openxmlformats.org/officeDocument/2006/relationships/hyperlink" Target="https://hwb.gov.wales/curriculum-for-wales/health-and-well-being" TargetMode="External" Id="R332b1c186dba4191" /><Relationship Type="http://schemas.openxmlformats.org/officeDocument/2006/relationships/hyperlink" Target="https://www.who.int/news-room/fact-sheets/detail/child-mortality-under-5-years" TargetMode="External" Id="Rf7009578502e4320" /><Relationship Type="http://schemas.openxmlformats.org/officeDocument/2006/relationships/hyperlink" Target="https://www.who.int/news-room/fact-sheets/detail/child-maltreatment" TargetMode="External" Id="R3acd7adc95824601" /><Relationship Type="http://schemas.openxmlformats.org/officeDocument/2006/relationships/hyperlink" Target="https://www.who.int/about/governance/constitution" TargetMode="External" Id="R5b7c4f5c562c4826" /><Relationship Type="http://schemas.openxmlformats.org/officeDocument/2006/relationships/header" Target="/word/header.xml" Id="R5a37686174664c51" /><Relationship Type="http://schemas.openxmlformats.org/officeDocument/2006/relationships/footer" Target="/word/footer.xml" Id="R89194082140f4539" /><Relationship Type="http://schemas.openxmlformats.org/officeDocument/2006/relationships/numbering" Target="/word/numbering.xml" Id="R37e3c1fa572f45db" /><Relationship Type="http://schemas.openxmlformats.org/officeDocument/2006/relationships/hyperlink" Target="https://scholar.google.com/" TargetMode="External" Id="R68dda21cf9e44578" /><Relationship Type="http://schemas.openxmlformats.org/officeDocument/2006/relationships/image" Target="/media/imageb.png" Id="Re3e2ad95dced4027" /><Relationship Type="http://schemas.openxmlformats.org/officeDocument/2006/relationships/image" Target="/media/imagec.png" Id="R613efe15a39047d0" /><Relationship Type="http://schemas.openxmlformats.org/officeDocument/2006/relationships/image" Target="/media/imaged.png" Id="Rcd688efee5464971" /><Relationship Type="http://schemas.openxmlformats.org/officeDocument/2006/relationships/image" Target="/media/imagee.png" Id="R0f6c509a0ec9490d" /><Relationship Type="http://schemas.openxmlformats.org/officeDocument/2006/relationships/image" Target="/media/imagef.png" Id="R238965a056db473c" /><Relationship Type="http://schemas.openxmlformats.org/officeDocument/2006/relationships/image" Target="/media/image10.png" Id="Rf0da61a9267b4214" /><Relationship Type="http://schemas.openxmlformats.org/officeDocument/2006/relationships/image" Target="/media/image11.png" Id="R685ee3b1a93f4aa2" /><Relationship Type="http://schemas.openxmlformats.org/officeDocument/2006/relationships/image" Target="/media/image12.png" Id="R26f826beb32947c0" /><Relationship Type="http://schemas.openxmlformats.org/officeDocument/2006/relationships/image" Target="/media/image13.png" Id="Rc1c46d9009fc4c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Downs (2416175)</dc:creator>
  <keywords/>
  <dc:description/>
  <lastModifiedBy>Emily Downs (2416175)</lastModifiedBy>
  <revision>7</revision>
  <dcterms:created xsi:type="dcterms:W3CDTF">2025-06-29T17:16:12.9325787Z</dcterms:created>
  <dcterms:modified xsi:type="dcterms:W3CDTF">2025-06-29T17:56:11.0570207Z</dcterms:modified>
</coreProperties>
</file>