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D0390" w14:textId="08871A59" w:rsidR="00BE2DA4" w:rsidRDefault="008B62A7">
      <w:r>
        <w:t>Task 3</w:t>
      </w:r>
      <w:r w:rsidR="001B414F">
        <w:t>:</w:t>
      </w:r>
      <w:r>
        <w:t xml:space="preserve"> </w:t>
      </w:r>
      <w:r w:rsidR="001B414F">
        <w:t>Essentials of people practice.</w:t>
      </w:r>
    </w:p>
    <w:p w14:paraId="4E44AEE6" w14:textId="77777777" w:rsidR="0062185B" w:rsidRPr="00432B6C" w:rsidRDefault="0062185B" w:rsidP="0062185B">
      <w:pPr>
        <w:rPr>
          <w:rFonts w:ascii="Trebuchet MS" w:hAnsi="Trebuchet MS"/>
          <w:color w:val="0F4761" w:themeColor="accent1" w:themeShade="BF"/>
        </w:rPr>
      </w:pPr>
      <w:r w:rsidRPr="00432B6C">
        <w:rPr>
          <w:rFonts w:ascii="Trebuchet MS" w:hAnsi="Trebuchet MS"/>
          <w:color w:val="0F4761" w:themeColor="accent1" w:themeShade="BF"/>
        </w:rPr>
        <w:t xml:space="preserve">After meeting the graduate trainee, you realise that their knowledge of employment legislation and employment relations is limited. As part of their development, you develop a guidance document. </w:t>
      </w:r>
    </w:p>
    <w:p w14:paraId="3BF68BAA" w14:textId="77777777" w:rsidR="0062185B" w:rsidRPr="00432B6C" w:rsidRDefault="0062185B" w:rsidP="0062185B">
      <w:pPr>
        <w:pStyle w:val="Nornal"/>
        <w:rPr>
          <w:rFonts w:ascii="Trebuchet MS" w:hAnsi="Trebuchet MS"/>
          <w:color w:val="0F4761" w:themeColor="accent1" w:themeShade="BF"/>
        </w:rPr>
      </w:pPr>
      <w:r w:rsidRPr="00432B6C">
        <w:rPr>
          <w:rFonts w:ascii="Trebuchet MS" w:hAnsi="Trebuchet MS"/>
          <w:color w:val="0F4761" w:themeColor="accent1" w:themeShade="BF"/>
        </w:rPr>
        <w:t xml:space="preserve"> </w:t>
      </w:r>
    </w:p>
    <w:p w14:paraId="7C58D7FD" w14:textId="77777777" w:rsidR="0062185B" w:rsidRPr="00432B6C" w:rsidRDefault="0062185B" w:rsidP="0062185B">
      <w:pPr>
        <w:pStyle w:val="Nornal"/>
        <w:rPr>
          <w:rFonts w:ascii="Trebuchet MS" w:hAnsi="Trebuchet MS"/>
          <w:color w:val="0F4761" w:themeColor="accent1" w:themeShade="BF"/>
        </w:rPr>
      </w:pPr>
      <w:r w:rsidRPr="00432B6C">
        <w:rPr>
          <w:rFonts w:ascii="Trebuchet MS" w:hAnsi="Trebuchet MS"/>
          <w:color w:val="0F4761" w:themeColor="accent1" w:themeShade="BF"/>
        </w:rPr>
        <w:t>The guidance document must include:</w:t>
      </w:r>
    </w:p>
    <w:p w14:paraId="7762FFF0" w14:textId="7B5753A7" w:rsidR="0062185B" w:rsidRPr="00432B6C" w:rsidRDefault="0062185B" w:rsidP="0062185B">
      <w:pPr>
        <w:pStyle w:val="Listparag"/>
        <w:numPr>
          <w:ilvl w:val="0"/>
          <w:numId w:val="4"/>
        </w:numPr>
        <w:rPr>
          <w:rFonts w:ascii="Trebuchet MS" w:hAnsi="Trebuchet MS"/>
          <w:color w:val="0F4761" w:themeColor="accent1" w:themeShade="BF"/>
        </w:rPr>
      </w:pPr>
      <w:r w:rsidRPr="00432B6C">
        <w:rPr>
          <w:rFonts w:ascii="Trebuchet MS" w:hAnsi="Trebuchet MS"/>
          <w:color w:val="0F4761" w:themeColor="accent1" w:themeShade="BF"/>
        </w:rPr>
        <w:t xml:space="preserve">an explanation of the importance of achieving work-life balance within the employment relationship with an overview of the legislation relevant to working time. (AC 3.1) </w:t>
      </w:r>
    </w:p>
    <w:p w14:paraId="732F8F44" w14:textId="77777777" w:rsidR="00432B6C" w:rsidRDefault="00432B6C" w:rsidP="008B62A7"/>
    <w:p w14:paraId="7798B836" w14:textId="2C166BBA" w:rsidR="008B62A7" w:rsidRDefault="008B62A7" w:rsidP="008B62A7">
      <w:r>
        <w:t>Guidance Document: Achieving Work-Life Balance and Understanding Working Time Legislation</w:t>
      </w:r>
    </w:p>
    <w:p w14:paraId="38DFD898" w14:textId="77777777" w:rsidR="008B62A7" w:rsidRDefault="008B62A7" w:rsidP="008B62A7">
      <w:r>
        <w:t>Importance of Achieving Work-Life Balance</w:t>
      </w:r>
    </w:p>
    <w:p w14:paraId="50228885" w14:textId="5D82E619" w:rsidR="008B62A7" w:rsidRDefault="008B62A7" w:rsidP="008B62A7">
      <w:r>
        <w:t>Achieving a healthy work-life balance is crucial for both employees and employers. It ensures that employees can meet their work obligations while also having time for personal activities, hobbies, and relaxation. This balance is essential for maintaining mental and physical health, reducing stress, and preventing burnout. When employees have a good work-life balance, they are more productive, engaged, and satisfied with their jobs, which benefits the organisation through higher retention rates and improved performance.</w:t>
      </w:r>
    </w:p>
    <w:p w14:paraId="386C1AF5" w14:textId="77777777" w:rsidR="008B62A7" w:rsidRDefault="008B62A7" w:rsidP="008B62A7">
      <w:r>
        <w:t>Legislation Relevant to Working Time</w:t>
      </w:r>
    </w:p>
    <w:p w14:paraId="59EBA6C7" w14:textId="77777777" w:rsidR="008B62A7" w:rsidRDefault="008B62A7" w:rsidP="008B62A7">
      <w:r>
        <w:t>In the UK, the Working Time Regulations 1998 govern the hours that employees can work. These regulations stipulate that employees should not work more than 48 hours per week on average, unless they voluntarily opt out of this limit. Additionally, employees are entitled to rest breaks during their working day, daily rest periods of at least 11 consecutive hours, and weekly rest periods of at least 24 hours. The regulations also mandate paid annual leave of at least 28 days per year, including public holidays. These provisions are designed to protect employees' health and well-being by ensuring they have adequate time to rest and recover from work.</w:t>
      </w:r>
    </w:p>
    <w:p w14:paraId="1A3B0645" w14:textId="7651682D" w:rsidR="008B62A7" w:rsidRDefault="008B62A7" w:rsidP="008B62A7">
      <w:r>
        <w:t>By understanding and adhering to these regulations, employers and employees can collaborate to create a balanced and healthy work environment that promotes overall well-being and productivity.</w:t>
      </w:r>
    </w:p>
    <w:p w14:paraId="538CE6C7" w14:textId="77777777" w:rsidR="0062185B" w:rsidRDefault="0062185B" w:rsidP="008B62A7"/>
    <w:p w14:paraId="18DE2D10" w14:textId="6BAA189E" w:rsidR="0062185B" w:rsidRDefault="0062185B" w:rsidP="0062185B">
      <w:pPr>
        <w:pStyle w:val="Listparag"/>
        <w:numPr>
          <w:ilvl w:val="0"/>
          <w:numId w:val="2"/>
        </w:numPr>
        <w:rPr>
          <w:rFonts w:ascii="Trebuchet MS" w:hAnsi="Trebuchet MS"/>
          <w:color w:val="0F4761" w:themeColor="accent1" w:themeShade="BF"/>
        </w:rPr>
      </w:pPr>
      <w:r w:rsidRPr="00432B6C">
        <w:rPr>
          <w:rFonts w:ascii="Trebuchet MS" w:hAnsi="Trebuchet MS"/>
          <w:color w:val="0F4761" w:themeColor="accent1" w:themeShade="BF"/>
        </w:rPr>
        <w:t xml:space="preserve">an explanation of what is meant by, and the importance of, wellbeing in the workplace. (AC 3.2) </w:t>
      </w:r>
    </w:p>
    <w:p w14:paraId="1F8145A8" w14:textId="77777777" w:rsidR="00432B6C" w:rsidRPr="00432B6C" w:rsidRDefault="00432B6C" w:rsidP="00432B6C">
      <w:pPr>
        <w:pStyle w:val="Listparag"/>
        <w:numPr>
          <w:ilvl w:val="0"/>
          <w:numId w:val="0"/>
        </w:numPr>
        <w:ind w:left="862"/>
        <w:rPr>
          <w:rFonts w:ascii="Trebuchet MS" w:hAnsi="Trebuchet MS"/>
          <w:color w:val="0F4761" w:themeColor="accent1" w:themeShade="BF"/>
        </w:rPr>
      </w:pPr>
    </w:p>
    <w:p w14:paraId="4BD4772F" w14:textId="77777777" w:rsidR="0062185B" w:rsidRDefault="0062185B" w:rsidP="0062185B">
      <w:r>
        <w:t>Understanding Wellbeing in the Workplace</w:t>
      </w:r>
    </w:p>
    <w:p w14:paraId="30ED2C94" w14:textId="6CB752C6" w:rsidR="0062185B" w:rsidRDefault="00984C0C" w:rsidP="0062185B">
      <w:r>
        <w:t>Well-being</w:t>
      </w:r>
      <w:r w:rsidR="0062185B">
        <w:t xml:space="preserve"> in the workplace refers to the overall health, happiness, and satisfaction of employees within their work environment. It encompasses physical, mental, and emotional aspects, ensuring that employees feel safe, supported, and valued. Wellbeing initiatives can include promoting healthy lifestyles, providing mental health support, fostering positive work relationships, and creating a work environment that encourages personal growth and development.</w:t>
      </w:r>
    </w:p>
    <w:p w14:paraId="15D3EFD4" w14:textId="394A993E" w:rsidR="0062185B" w:rsidRDefault="0062185B" w:rsidP="0062185B">
      <w:r>
        <w:lastRenderedPageBreak/>
        <w:t xml:space="preserve">The importance of </w:t>
      </w:r>
      <w:r w:rsidR="00984C0C">
        <w:t>well-being</w:t>
      </w:r>
      <w:r>
        <w:t xml:space="preserve"> in the workplace cannot be overstated. When employees experience high levels of </w:t>
      </w:r>
      <w:r w:rsidR="00984C0C">
        <w:t>well-being</w:t>
      </w:r>
      <w:r>
        <w:t>, they are more likely to be engaged, motivated, and productive. This leads to better performance, higher job satisfaction, and reduced absenteeism. Additionally, a focus on wellbeing can enhance employee retention, as individuals are more likely to stay with an organisation that prioritises their health and happiness. Employers who invest in wellbeing initiatives also benefit from a positive organisational culture, which can attract top talent and improve overall business outcomes.</w:t>
      </w:r>
    </w:p>
    <w:p w14:paraId="7EA4451E" w14:textId="77777777" w:rsidR="0062185B" w:rsidRDefault="0062185B" w:rsidP="0062185B">
      <w:r>
        <w:t>By prioritising wellbeing, organisations can create a supportive and thriving work environment that benefits both employees and the business as a whole.</w:t>
      </w:r>
    </w:p>
    <w:p w14:paraId="7B3E4FF8" w14:textId="77777777" w:rsidR="0062185B" w:rsidRDefault="0062185B" w:rsidP="008B62A7"/>
    <w:p w14:paraId="36089A26" w14:textId="017EC274" w:rsidR="0062185B" w:rsidRPr="00432B6C" w:rsidRDefault="0062185B" w:rsidP="0062185B">
      <w:pPr>
        <w:pStyle w:val="Listparag"/>
        <w:numPr>
          <w:ilvl w:val="0"/>
          <w:numId w:val="2"/>
        </w:numPr>
        <w:rPr>
          <w:rFonts w:ascii="Trebuchet MS" w:eastAsiaTheme="minorEastAsia" w:hAnsi="Trebuchet MS"/>
          <w:color w:val="0F4761" w:themeColor="accent1" w:themeShade="BF"/>
        </w:rPr>
      </w:pPr>
      <w:r w:rsidRPr="00432B6C">
        <w:rPr>
          <w:rFonts w:ascii="Trebuchet MS" w:hAnsi="Trebuchet MS"/>
          <w:color w:val="0F4761" w:themeColor="accent1" w:themeShade="BF"/>
        </w:rPr>
        <w:t>a summary of the main points of discrimination legislation. (AC 3.3)</w:t>
      </w:r>
    </w:p>
    <w:p w14:paraId="2328FBD2" w14:textId="77777777" w:rsidR="00432B6C" w:rsidRDefault="00432B6C" w:rsidP="005F3E38"/>
    <w:p w14:paraId="7CCB9203" w14:textId="062A631D" w:rsidR="005F3E38" w:rsidRDefault="005F3E38" w:rsidP="005F3E38">
      <w:r>
        <w:t>Guidance Document: Summary of Discrimination Legislation</w:t>
      </w:r>
    </w:p>
    <w:p w14:paraId="28AD8683" w14:textId="77777777" w:rsidR="005F3E38" w:rsidRDefault="005F3E38" w:rsidP="005F3E38">
      <w:r>
        <w:t>Discrimination legislation in the UK aims to ensure fair treatment and equal opportunities for all individuals in the workplace. The key piece of legislation is the Equality Act 2010, which consolidates previous anti-discrimination laws and provides protection against discrimination based on nine protected characteristics: age, disability, gender reassignment, marriage and civil partnership, pregnancy and maternity, race, religion or belief, sex, and sexual orientation.</w:t>
      </w:r>
    </w:p>
    <w:p w14:paraId="240E082A" w14:textId="77777777" w:rsidR="005F3E38" w:rsidRDefault="005F3E38" w:rsidP="005F3E38">
      <w:r>
        <w:t>The act prohibits both direct discrimination (treating someone less favourably because of a protected characteristic) and indirect discrimination (policies or practices that apply to everyone but disadvantage a particular group). It also covers harassment (unwanted conduct related to a protected characteristic that violates someone's dignity or creates an intimidating environment) and victimisation (treating someone unfairly because they have complained about discrimination or supported someone who has). Employers are required to make reasonable adjustments to the workplace to accommodate employees with disabilities, ensuring they are not at a disadvantage. Additionally, the act enforces the principle of equal pay for equal work, ensuring that men and women receive the same pay for the same or equivalent work.</w:t>
      </w:r>
    </w:p>
    <w:p w14:paraId="495BEC0E" w14:textId="77777777" w:rsidR="005F3E38" w:rsidRDefault="005F3E38" w:rsidP="005F3E38">
      <w:r>
        <w:t>An example of discrimination could be a female employee being consistently passed over for promotions in favour of her male colleagues, despite having similar or better qualifications and performance. This constitutes gender discrimination, as the female employee is being treated less favourably based on her sex.</w:t>
      </w:r>
    </w:p>
    <w:p w14:paraId="667BA2C9" w14:textId="77777777" w:rsidR="005F3E38" w:rsidRDefault="005F3E38" w:rsidP="005F3E38">
      <w:r>
        <w:t>By understanding and adhering to these key points, employers can create a fair and inclusive workplace, while employees can be aware of their rights and protections under the law.</w:t>
      </w:r>
    </w:p>
    <w:p w14:paraId="0CDE2DF5" w14:textId="77777777" w:rsidR="001B414F" w:rsidRPr="00E57A7F" w:rsidRDefault="001B414F" w:rsidP="005F3E38"/>
    <w:p w14:paraId="015700C1" w14:textId="77777777" w:rsidR="005F3E38" w:rsidRDefault="005F3E38" w:rsidP="005F3E38">
      <w:pPr>
        <w:pStyle w:val="Listparag"/>
        <w:numPr>
          <w:ilvl w:val="0"/>
          <w:numId w:val="0"/>
        </w:numPr>
        <w:ind w:left="502" w:hanging="360"/>
        <w:rPr>
          <w:rFonts w:ascii="Trebuchet MS" w:eastAsiaTheme="minorEastAsia" w:hAnsi="Trebuchet MS"/>
        </w:rPr>
      </w:pPr>
    </w:p>
    <w:p w14:paraId="0106874D" w14:textId="54B92362" w:rsidR="005F3E38" w:rsidRPr="00432B6C" w:rsidRDefault="005F3E38" w:rsidP="005F3E38">
      <w:pPr>
        <w:pStyle w:val="Listparag"/>
        <w:numPr>
          <w:ilvl w:val="0"/>
          <w:numId w:val="2"/>
        </w:numPr>
        <w:rPr>
          <w:rFonts w:ascii="Trebuchet MS" w:hAnsi="Trebuchet MS"/>
          <w:color w:val="0F4761" w:themeColor="accent1" w:themeShade="BF"/>
        </w:rPr>
      </w:pPr>
      <w:r w:rsidRPr="00432B6C">
        <w:rPr>
          <w:rFonts w:ascii="Trebuchet MS" w:hAnsi="Trebuchet MS"/>
          <w:color w:val="0F4761" w:themeColor="accent1" w:themeShade="BF"/>
        </w:rPr>
        <w:t>an explanation of what diversity and inclusion mean and why they are important. (AC 3.4)</w:t>
      </w:r>
    </w:p>
    <w:p w14:paraId="152D52B1" w14:textId="77777777" w:rsidR="005F3E38" w:rsidRDefault="005F3E38" w:rsidP="005F3E38">
      <w:pPr>
        <w:pStyle w:val="Listparag"/>
        <w:numPr>
          <w:ilvl w:val="0"/>
          <w:numId w:val="0"/>
        </w:numPr>
        <w:ind w:left="502" w:hanging="360"/>
        <w:rPr>
          <w:rFonts w:ascii="Trebuchet MS" w:hAnsi="Trebuchet MS"/>
        </w:rPr>
      </w:pPr>
    </w:p>
    <w:p w14:paraId="7D7D5A2B" w14:textId="77777777" w:rsidR="005F3E38" w:rsidRDefault="005F3E38" w:rsidP="005F3E38">
      <w:r>
        <w:t xml:space="preserve">Diversity refers to the presence of differences within a given setting, encompassing various characteristics such as race, gender, age, disability, sexual orientation, religion, and cultural </w:t>
      </w:r>
      <w:r>
        <w:lastRenderedPageBreak/>
        <w:t>background. It recognises and values the unique contributions that individuals from different backgrounds bring to an organisation. Inclusion, on the other hand, is the practice of creating an environment where all individuals feel respected, valued, and able to fully participate. It involves actively removing barriers to ensure that everyone has equal access to opportunities and resources.</w:t>
      </w:r>
    </w:p>
    <w:p w14:paraId="4CF9131D" w14:textId="12438E8A" w:rsidR="005F3E38" w:rsidRDefault="005F3E38" w:rsidP="005F3E38">
      <w:r>
        <w:t>Diversity and inclusion are crucial for fostering a positive and productive workplace. A diverse workforce brings a wide range of perspectives, experiences, and ideas, which can drive innovation and creativity. Inclusive practices ensure that all employees feel a sense of belonging and are empowered to contribute their best work. This leads to higher employee engagement, satisfaction, and retention. Moreover, organisations that prioritise diversity and inclusion are better equipped to understand and serve a diverse customer base, enhancing their competitiveness in the market. By embracing diversity and fostering inclusion, companies can create a dynamic and supportive work environment that benefits both employees and the organisation.</w:t>
      </w:r>
    </w:p>
    <w:p w14:paraId="0A5F242B" w14:textId="77777777" w:rsidR="005F3E38" w:rsidRPr="00E57A7F" w:rsidRDefault="005F3E38" w:rsidP="005F3E38">
      <w:r>
        <w:t>An example of diversity is a team composed of members from different cultural backgrounds, genders, and age groups, working together to achieve common goals</w:t>
      </w:r>
    </w:p>
    <w:p w14:paraId="7107B717" w14:textId="77777777" w:rsidR="00CF4782" w:rsidRDefault="00CF4782" w:rsidP="005F3E38">
      <w:pPr>
        <w:pStyle w:val="Listparag"/>
        <w:numPr>
          <w:ilvl w:val="0"/>
          <w:numId w:val="0"/>
        </w:numPr>
        <w:ind w:left="502" w:hanging="360"/>
        <w:rPr>
          <w:rFonts w:ascii="Trebuchet MS" w:hAnsi="Trebuchet MS"/>
        </w:rPr>
      </w:pPr>
    </w:p>
    <w:p w14:paraId="59400F25" w14:textId="77777777" w:rsidR="00CF4782" w:rsidRDefault="00CF4782" w:rsidP="005F3E38">
      <w:pPr>
        <w:pStyle w:val="Listparag"/>
        <w:numPr>
          <w:ilvl w:val="0"/>
          <w:numId w:val="0"/>
        </w:numPr>
        <w:ind w:left="502" w:hanging="360"/>
        <w:rPr>
          <w:rFonts w:ascii="Trebuchet MS" w:hAnsi="Trebuchet MS"/>
        </w:rPr>
      </w:pPr>
    </w:p>
    <w:p w14:paraId="625BC4A9" w14:textId="4000E87D" w:rsidR="00CF4782" w:rsidRPr="00432B6C" w:rsidRDefault="00CF4782" w:rsidP="00CF4782">
      <w:pPr>
        <w:pStyle w:val="Listparag"/>
        <w:numPr>
          <w:ilvl w:val="0"/>
          <w:numId w:val="2"/>
        </w:numPr>
        <w:rPr>
          <w:rFonts w:ascii="Trebuchet MS" w:eastAsiaTheme="minorEastAsia" w:hAnsi="Trebuchet MS"/>
          <w:color w:val="0F4761" w:themeColor="accent1" w:themeShade="BF"/>
        </w:rPr>
      </w:pPr>
      <w:r w:rsidRPr="00432B6C">
        <w:rPr>
          <w:rFonts w:ascii="Trebuchet MS" w:hAnsi="Trebuchet MS"/>
          <w:color w:val="0F4761" w:themeColor="accent1" w:themeShade="BF"/>
        </w:rPr>
        <w:t>an explanation of the difference between fair and unfair dismissal. (AC 3.5)</w:t>
      </w:r>
    </w:p>
    <w:p w14:paraId="32D64D2F" w14:textId="77777777" w:rsidR="00CF4782" w:rsidRDefault="00CF4782" w:rsidP="005F3E38">
      <w:pPr>
        <w:pStyle w:val="Listparag"/>
        <w:numPr>
          <w:ilvl w:val="0"/>
          <w:numId w:val="0"/>
        </w:numPr>
        <w:ind w:left="502" w:hanging="360"/>
        <w:rPr>
          <w:rFonts w:ascii="Trebuchet MS" w:hAnsi="Trebuchet MS"/>
        </w:rPr>
      </w:pPr>
    </w:p>
    <w:p w14:paraId="14A8DF04" w14:textId="77777777" w:rsidR="00CF4782" w:rsidRDefault="00CF4782" w:rsidP="00CF4782">
      <w:r>
        <w:t>Difference Between Fair and Unfair Dismissal</w:t>
      </w:r>
    </w:p>
    <w:p w14:paraId="30AF164E" w14:textId="77777777" w:rsidR="00CF4782" w:rsidRDefault="00CF4782" w:rsidP="00CF4782">
      <w:r>
        <w:t>Fair dismissal occurs when an employer terminates an employee's contract for a legitimate reason and follows the correct legal procedures. Common reasons for fair dismissal include misconduct, poor performance, redundancy, or a statutory restriction that prevents the employee from continuing in their role. For a dismissal to be considered fair, the employer must have a valid reason and must have acted reasonably in the circumstances. This includes conducting a thorough investigation, providing the employee with an opportunity to respond to allegations, and following a fair disciplinary process.</w:t>
      </w:r>
    </w:p>
    <w:p w14:paraId="47F76FC0" w14:textId="77777777" w:rsidR="00CF4782" w:rsidRDefault="00CF4782" w:rsidP="00CF4782">
      <w:r>
        <w:t>Unfair dismissal, on the other hand, happens when an employee is terminated without a valid reason or when the employer fails to follow the proper procedures. Examples of unfair dismissal include firing an employee for discriminatory reasons, such as their race, gender, or age, or dismissing an employee without giving them a chance to explain their side of the story. Additionally, dismissals that occur without following the company's disciplinary procedures or without providing adequate notice can also be deemed unfair.</w:t>
      </w:r>
    </w:p>
    <w:p w14:paraId="7A86E22D" w14:textId="77777777" w:rsidR="00CF4782" w:rsidRDefault="00CF4782" w:rsidP="00CF4782">
      <w:r>
        <w:t>An example of unfair dismissal is when an employee is terminated because they took maternity leave. This dismissal would be considered unfair as it discriminates against the employee based on their pregnancy and maternity status, which is protected under the Equality Act 2010.</w:t>
      </w:r>
    </w:p>
    <w:p w14:paraId="239FD8DA" w14:textId="77777777" w:rsidR="00CF4782" w:rsidRPr="00E57A7F" w:rsidRDefault="00CF4782" w:rsidP="00CF4782">
      <w:r>
        <w:t>By understanding the differences between fair and unfair dismissal, employers can ensure they handle terminations appropriately, while employees can be aware of their rights and protections under the law.</w:t>
      </w:r>
    </w:p>
    <w:p w14:paraId="70C64308" w14:textId="77777777" w:rsidR="005F3E38" w:rsidRDefault="005F3E38" w:rsidP="005F3E38">
      <w:pPr>
        <w:pStyle w:val="Listparag"/>
        <w:numPr>
          <w:ilvl w:val="0"/>
          <w:numId w:val="0"/>
        </w:numPr>
        <w:ind w:left="502" w:hanging="360"/>
        <w:rPr>
          <w:rFonts w:ascii="Trebuchet MS" w:eastAsiaTheme="minorEastAsia" w:hAnsi="Trebuchet MS"/>
        </w:rPr>
      </w:pPr>
    </w:p>
    <w:p w14:paraId="2453985B" w14:textId="692117C5" w:rsidR="0062185B" w:rsidRDefault="00932A0A" w:rsidP="008B62A7">
      <w:r w:rsidRPr="00932A0A">
        <w:rPr>
          <w:highlight w:val="yellow"/>
        </w:rPr>
        <w:lastRenderedPageBreak/>
        <w:t>Word count 1017</w:t>
      </w:r>
    </w:p>
    <w:sectPr w:rsidR="00621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55EB"/>
    <w:multiLevelType w:val="hybridMultilevel"/>
    <w:tmpl w:val="23909EF2"/>
    <w:lvl w:ilvl="0" w:tplc="8BC0C64E">
      <w:start w:val="17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130D9"/>
    <w:multiLevelType w:val="hybridMultilevel"/>
    <w:tmpl w:val="8FD8D944"/>
    <w:lvl w:ilvl="0" w:tplc="B0C4E400">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E777332"/>
    <w:multiLevelType w:val="hybridMultilevel"/>
    <w:tmpl w:val="3A2874F2"/>
    <w:lvl w:ilvl="0" w:tplc="BF70D30E">
      <w:start w:val="159"/>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26CF7C5B"/>
    <w:multiLevelType w:val="hybridMultilevel"/>
    <w:tmpl w:val="CC7C3340"/>
    <w:lvl w:ilvl="0" w:tplc="9E1E5038">
      <w:start w:val="1"/>
      <w:numFmt w:val="decimal"/>
      <w:lvlText w:val="%1)"/>
      <w:lvlJc w:val="left"/>
      <w:pPr>
        <w:ind w:left="1222" w:hanging="360"/>
      </w:pPr>
      <w:rPr>
        <w:rFonts w:hint="default"/>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5" w15:restartNumberingAfterBreak="0">
    <w:nsid w:val="3E160E6E"/>
    <w:multiLevelType w:val="hybridMultilevel"/>
    <w:tmpl w:val="1026CDBE"/>
    <w:lvl w:ilvl="0" w:tplc="C8F041D6">
      <w:start w:val="212"/>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7F08246E"/>
    <w:multiLevelType w:val="hybridMultilevel"/>
    <w:tmpl w:val="F8DA4622"/>
    <w:lvl w:ilvl="0" w:tplc="A1BA08F4">
      <w:start w:val="2"/>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16cid:durableId="58407245">
    <w:abstractNumId w:val="1"/>
  </w:num>
  <w:num w:numId="2" w16cid:durableId="1469978426">
    <w:abstractNumId w:val="6"/>
  </w:num>
  <w:num w:numId="3" w16cid:durableId="583758987">
    <w:abstractNumId w:val="2"/>
  </w:num>
  <w:num w:numId="4" w16cid:durableId="2024554581">
    <w:abstractNumId w:val="4"/>
  </w:num>
  <w:num w:numId="5" w16cid:durableId="1854800446">
    <w:abstractNumId w:val="0"/>
  </w:num>
  <w:num w:numId="6" w16cid:durableId="351881256">
    <w:abstractNumId w:val="3"/>
  </w:num>
  <w:num w:numId="7" w16cid:durableId="18633256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2A7"/>
    <w:rsid w:val="001051FE"/>
    <w:rsid w:val="001B414F"/>
    <w:rsid w:val="00332F36"/>
    <w:rsid w:val="00432B6C"/>
    <w:rsid w:val="00511AB7"/>
    <w:rsid w:val="005C3423"/>
    <w:rsid w:val="005F34BD"/>
    <w:rsid w:val="005F3E38"/>
    <w:rsid w:val="0062185B"/>
    <w:rsid w:val="0063185E"/>
    <w:rsid w:val="007A15D0"/>
    <w:rsid w:val="008B62A7"/>
    <w:rsid w:val="00932A0A"/>
    <w:rsid w:val="00984C0C"/>
    <w:rsid w:val="00BE2DA4"/>
    <w:rsid w:val="00CF4782"/>
    <w:rsid w:val="00D80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42CD2"/>
  <w15:chartTrackingRefBased/>
  <w15:docId w15:val="{0B9E769E-FE26-40A8-A183-0FB022ADF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2A7"/>
    <w:rPr>
      <w:rFonts w:eastAsiaTheme="majorEastAsia" w:cstheme="majorBidi"/>
      <w:color w:val="272727" w:themeColor="text1" w:themeTint="D8"/>
    </w:rPr>
  </w:style>
  <w:style w:type="paragraph" w:styleId="Title">
    <w:name w:val="Title"/>
    <w:basedOn w:val="Normal"/>
    <w:next w:val="Normal"/>
    <w:link w:val="TitleChar"/>
    <w:uiPriority w:val="10"/>
    <w:qFormat/>
    <w:rsid w:val="008B6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2A7"/>
    <w:pPr>
      <w:spacing w:before="160"/>
      <w:jc w:val="center"/>
    </w:pPr>
    <w:rPr>
      <w:i/>
      <w:iCs/>
      <w:color w:val="404040" w:themeColor="text1" w:themeTint="BF"/>
    </w:rPr>
  </w:style>
  <w:style w:type="character" w:customStyle="1" w:styleId="QuoteChar">
    <w:name w:val="Quote Char"/>
    <w:basedOn w:val="DefaultParagraphFont"/>
    <w:link w:val="Quote"/>
    <w:uiPriority w:val="29"/>
    <w:rsid w:val="008B62A7"/>
    <w:rPr>
      <w:i/>
      <w:iCs/>
      <w:color w:val="404040" w:themeColor="text1" w:themeTint="BF"/>
    </w:rPr>
  </w:style>
  <w:style w:type="paragraph" w:styleId="ListParagraph">
    <w:name w:val="List Paragraph"/>
    <w:basedOn w:val="Normal"/>
    <w:uiPriority w:val="34"/>
    <w:qFormat/>
    <w:rsid w:val="008B62A7"/>
    <w:pPr>
      <w:ind w:left="720"/>
      <w:contextualSpacing/>
    </w:pPr>
  </w:style>
  <w:style w:type="character" w:styleId="IntenseEmphasis">
    <w:name w:val="Intense Emphasis"/>
    <w:basedOn w:val="DefaultParagraphFont"/>
    <w:uiPriority w:val="21"/>
    <w:qFormat/>
    <w:rsid w:val="008B62A7"/>
    <w:rPr>
      <w:i/>
      <w:iCs/>
      <w:color w:val="0F4761" w:themeColor="accent1" w:themeShade="BF"/>
    </w:rPr>
  </w:style>
  <w:style w:type="paragraph" w:styleId="IntenseQuote">
    <w:name w:val="Intense Quote"/>
    <w:basedOn w:val="Normal"/>
    <w:next w:val="Normal"/>
    <w:link w:val="IntenseQuoteChar"/>
    <w:uiPriority w:val="30"/>
    <w:qFormat/>
    <w:rsid w:val="008B6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2A7"/>
    <w:rPr>
      <w:i/>
      <w:iCs/>
      <w:color w:val="0F4761" w:themeColor="accent1" w:themeShade="BF"/>
    </w:rPr>
  </w:style>
  <w:style w:type="character" w:styleId="IntenseReference">
    <w:name w:val="Intense Reference"/>
    <w:basedOn w:val="DefaultParagraphFont"/>
    <w:uiPriority w:val="32"/>
    <w:qFormat/>
    <w:rsid w:val="008B62A7"/>
    <w:rPr>
      <w:b/>
      <w:bCs/>
      <w:smallCaps/>
      <w:color w:val="0F4761" w:themeColor="accent1" w:themeShade="BF"/>
      <w:spacing w:val="5"/>
    </w:rPr>
  </w:style>
  <w:style w:type="paragraph" w:customStyle="1" w:styleId="Nornal">
    <w:name w:val="Nornal"/>
    <w:basedOn w:val="Normal"/>
    <w:link w:val="NornalChar"/>
    <w:qFormat/>
    <w:rsid w:val="0062185B"/>
    <w:pPr>
      <w:spacing w:line="264" w:lineRule="auto"/>
    </w:pPr>
    <w:rPr>
      <w:rFonts w:ascii="Arial" w:hAnsi="Arial" w:cs="Arial"/>
      <w:kern w:val="0"/>
      <w14:ligatures w14:val="none"/>
    </w:rPr>
  </w:style>
  <w:style w:type="character" w:customStyle="1" w:styleId="NornalChar">
    <w:name w:val="Nornal Char"/>
    <w:basedOn w:val="DefaultParagraphFont"/>
    <w:link w:val="Nornal"/>
    <w:rsid w:val="0062185B"/>
    <w:rPr>
      <w:rFonts w:ascii="Arial" w:hAnsi="Arial" w:cs="Arial"/>
      <w:kern w:val="0"/>
      <w14:ligatures w14:val="none"/>
    </w:rPr>
  </w:style>
  <w:style w:type="paragraph" w:customStyle="1" w:styleId="Listparag">
    <w:name w:val="List parag"/>
    <w:basedOn w:val="ListParagraph"/>
    <w:link w:val="ListparagChar"/>
    <w:qFormat/>
    <w:rsid w:val="0062185B"/>
    <w:pPr>
      <w:numPr>
        <w:numId w:val="1"/>
      </w:numPr>
      <w:spacing w:after="120" w:line="264" w:lineRule="auto"/>
      <w:contextualSpacing w:val="0"/>
    </w:pPr>
    <w:rPr>
      <w:rFonts w:ascii="Arial" w:eastAsia="Times New Roman" w:hAnsi="Arial" w:cs="Arial"/>
      <w:kern w:val="0"/>
      <w:szCs w:val="24"/>
      <w:lang w:eastAsia="en-GB"/>
      <w14:ligatures w14:val="none"/>
    </w:rPr>
  </w:style>
  <w:style w:type="character" w:customStyle="1" w:styleId="ListparagChar">
    <w:name w:val="List parag Char"/>
    <w:basedOn w:val="DefaultParagraphFont"/>
    <w:link w:val="Listparag"/>
    <w:rsid w:val="0062185B"/>
    <w:rPr>
      <w:rFonts w:ascii="Arial" w:eastAsia="Times New Roman" w:hAnsi="Arial" w:cs="Arial"/>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1239</Words>
  <Characters>7362</Characters>
  <Application>Microsoft Office Word</Application>
  <DocSecurity>0</DocSecurity>
  <Lines>126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Phillips</dc:creator>
  <cp:keywords/>
  <dc:description/>
  <cp:lastModifiedBy>Tony Phillips</cp:lastModifiedBy>
  <cp:revision>4</cp:revision>
  <dcterms:created xsi:type="dcterms:W3CDTF">2025-05-25T12:16:00Z</dcterms:created>
  <dcterms:modified xsi:type="dcterms:W3CDTF">2025-05-25T13:13:00Z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0838dbb4-c553-467c-88a8-111f6d3840b4</vt:lpwstr>
  </property>
</Properties>
</file>