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53493" w14:textId="210D26EB" w:rsidR="00F77215" w:rsidRPr="0023000A" w:rsidRDefault="00F77215"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val="en-US" w:eastAsia="en-GB"/>
          <w14:ligatures w14:val="none"/>
        </w:rPr>
        <w:t>Financial Health Check (</w:t>
      </w:r>
      <w:r w:rsidRPr="0023000A">
        <w:rPr>
          <w:rFonts w:eastAsia="SimSun" w:cstheme="majorBidi"/>
          <w:b/>
          <w:bCs/>
          <w:kern w:val="0"/>
          <w:sz w:val="22"/>
          <w:szCs w:val="22"/>
          <w:lang w:eastAsia="en-GB"/>
          <w14:ligatures w14:val="none"/>
        </w:rPr>
        <w:t>≈</w:t>
      </w:r>
      <w:r w:rsidRPr="0023000A">
        <w:rPr>
          <w:rFonts w:eastAsia="SimSun" w:cstheme="majorBidi"/>
          <w:b/>
          <w:bCs/>
          <w:kern w:val="0"/>
          <w:sz w:val="22"/>
          <w:szCs w:val="22"/>
          <w:lang w:val="en-US" w:eastAsia="en-GB"/>
          <w14:ligatures w14:val="none"/>
        </w:rPr>
        <w:t>1,400 words)</w:t>
      </w:r>
      <w:r w:rsidRPr="0023000A">
        <w:rPr>
          <w:rFonts w:eastAsia="SimSun" w:cstheme="majorBidi"/>
          <w:b/>
          <w:bCs/>
          <w:kern w:val="0"/>
          <w:sz w:val="22"/>
          <w:szCs w:val="22"/>
          <w:lang w:eastAsia="en-GB"/>
          <w14:ligatures w14:val="none"/>
        </w:rPr>
        <w:t> </w:t>
      </w:r>
    </w:p>
    <w:p w14:paraId="088D1A48" w14:textId="1C801F0B"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Percentage change = (</w:t>
      </w:r>
      <w:r w:rsidR="008B4F13" w:rsidRPr="0023000A">
        <w:rPr>
          <w:rFonts w:eastAsia="SimSun" w:cstheme="majorBidi"/>
          <w:kern w:val="0"/>
          <w:sz w:val="22"/>
          <w:szCs w:val="22"/>
          <w:lang w:eastAsia="en-GB"/>
          <w14:ligatures w14:val="none"/>
        </w:rPr>
        <w:t>New (</w:t>
      </w:r>
      <w:r w:rsidRPr="0023000A">
        <w:rPr>
          <w:rFonts w:eastAsia="SimSun" w:cstheme="majorBidi"/>
          <w:kern w:val="0"/>
          <w:sz w:val="22"/>
          <w:szCs w:val="22"/>
          <w:lang w:eastAsia="en-GB"/>
          <w14:ligatures w14:val="none"/>
        </w:rPr>
        <w:t>Current</w:t>
      </w:r>
      <w:r w:rsidR="008B4F13" w:rsidRPr="0023000A">
        <w:rPr>
          <w:rFonts w:eastAsia="SimSun" w:cstheme="majorBidi"/>
          <w:kern w:val="0"/>
          <w:sz w:val="22"/>
          <w:szCs w:val="22"/>
          <w:lang w:eastAsia="en-GB"/>
          <w14:ligatures w14:val="none"/>
        </w:rPr>
        <w:t>)</w:t>
      </w:r>
      <w:r w:rsidRPr="0023000A">
        <w:rPr>
          <w:rFonts w:eastAsia="SimSun" w:cstheme="majorBidi"/>
          <w:kern w:val="0"/>
          <w:sz w:val="22"/>
          <w:szCs w:val="22"/>
          <w:lang w:eastAsia="en-GB"/>
          <w14:ligatures w14:val="none"/>
        </w:rPr>
        <w:t xml:space="preserve"> year – </w:t>
      </w:r>
      <w:r w:rsidR="008B4F13" w:rsidRPr="0023000A">
        <w:rPr>
          <w:rFonts w:eastAsia="SimSun" w:cstheme="majorBidi"/>
          <w:kern w:val="0"/>
          <w:sz w:val="22"/>
          <w:szCs w:val="22"/>
          <w:lang w:eastAsia="en-GB"/>
          <w14:ligatures w14:val="none"/>
        </w:rPr>
        <w:t>Old (</w:t>
      </w:r>
      <w:r w:rsidRPr="0023000A">
        <w:rPr>
          <w:rFonts w:eastAsia="SimSun" w:cstheme="majorBidi"/>
          <w:kern w:val="0"/>
          <w:sz w:val="22"/>
          <w:szCs w:val="22"/>
          <w:lang w:eastAsia="en-GB"/>
          <w14:ligatures w14:val="none"/>
        </w:rPr>
        <w:t>Previous</w:t>
      </w:r>
      <w:r w:rsidR="008B4F13" w:rsidRPr="0023000A">
        <w:rPr>
          <w:rFonts w:eastAsia="SimSun" w:cstheme="majorBidi"/>
          <w:kern w:val="0"/>
          <w:sz w:val="22"/>
          <w:szCs w:val="22"/>
          <w:lang w:eastAsia="en-GB"/>
          <w14:ligatures w14:val="none"/>
        </w:rPr>
        <w:t>)</w:t>
      </w:r>
      <w:r w:rsidRPr="0023000A">
        <w:rPr>
          <w:rFonts w:eastAsia="SimSun" w:cstheme="majorBidi"/>
          <w:kern w:val="0"/>
          <w:sz w:val="22"/>
          <w:szCs w:val="22"/>
          <w:lang w:eastAsia="en-GB"/>
          <w14:ligatures w14:val="none"/>
        </w:rPr>
        <w:t xml:space="preserve"> year) ÷ </w:t>
      </w:r>
      <w:r w:rsidR="008B4F13" w:rsidRPr="0023000A">
        <w:rPr>
          <w:rFonts w:eastAsia="SimSun" w:cstheme="majorBidi"/>
          <w:kern w:val="0"/>
          <w:sz w:val="22"/>
          <w:szCs w:val="22"/>
          <w:lang w:eastAsia="en-GB"/>
          <w14:ligatures w14:val="none"/>
        </w:rPr>
        <w:t>Old (</w:t>
      </w:r>
      <w:r w:rsidRPr="0023000A">
        <w:rPr>
          <w:rFonts w:eastAsia="SimSun" w:cstheme="majorBidi"/>
          <w:kern w:val="0"/>
          <w:sz w:val="22"/>
          <w:szCs w:val="22"/>
          <w:lang w:eastAsia="en-GB"/>
          <w14:ligatures w14:val="none"/>
        </w:rPr>
        <w:t>Previous</w:t>
      </w:r>
      <w:r w:rsidR="008B4F13" w:rsidRPr="0023000A">
        <w:rPr>
          <w:rFonts w:eastAsia="SimSun" w:cstheme="majorBidi"/>
          <w:kern w:val="0"/>
          <w:sz w:val="22"/>
          <w:szCs w:val="22"/>
          <w:lang w:eastAsia="en-GB"/>
          <w14:ligatures w14:val="none"/>
        </w:rPr>
        <w:t>)</w:t>
      </w:r>
      <w:r w:rsidRPr="0023000A">
        <w:rPr>
          <w:rFonts w:eastAsia="SimSun" w:cstheme="majorBidi"/>
          <w:kern w:val="0"/>
          <w:sz w:val="22"/>
          <w:szCs w:val="22"/>
          <w:lang w:eastAsia="en-GB"/>
          <w14:ligatures w14:val="none"/>
        </w:rPr>
        <w:t xml:space="preserve"> year × 100</w:t>
      </w:r>
    </w:p>
    <w:p w14:paraId="67F96F04" w14:textId="282F9401" w:rsidR="00F77215" w:rsidRPr="0023000A" w:rsidRDefault="00F77215" w:rsidP="0023000A">
      <w:pPr>
        <w:pStyle w:val="ListParagraph"/>
        <w:widowControl w:val="0"/>
        <w:numPr>
          <w:ilvl w:val="0"/>
          <w:numId w:val="4"/>
        </w:numPr>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Net sales</w:t>
      </w:r>
      <w:r w:rsidRPr="0023000A">
        <w:rPr>
          <w:rFonts w:eastAsia="SimSun" w:cstheme="majorBidi"/>
          <w:b/>
          <w:bCs/>
          <w:kern w:val="0"/>
          <w:sz w:val="22"/>
          <w:szCs w:val="22"/>
          <w:lang w:eastAsia="en-GB"/>
          <w14:ligatures w14:val="none"/>
        </w:rPr>
        <w:t xml:space="preserve"> </w:t>
      </w:r>
    </w:p>
    <w:p w14:paraId="6724C7F0"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Net sales fall sharply from 2021–2024.</w:t>
      </w:r>
    </w:p>
    <w:p w14:paraId="09173A14" w14:textId="1E9AD9F0"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2021</w:t>
      </w:r>
      <w:r w:rsidR="00043E70" w:rsidRPr="0023000A">
        <w:rPr>
          <w:rFonts w:eastAsia="SimSun" w:cstheme="majorBidi"/>
          <w:kern w:val="0"/>
          <w:sz w:val="22"/>
          <w:szCs w:val="22"/>
          <w:lang w:eastAsia="en-GB"/>
          <w14:ligatures w14:val="none"/>
        </w:rPr>
        <w:tab/>
      </w:r>
      <w:r w:rsidRPr="0023000A">
        <w:rPr>
          <w:rFonts w:eastAsia="SimSun" w:cstheme="majorBidi"/>
          <w:kern w:val="0"/>
          <w:sz w:val="22"/>
          <w:szCs w:val="22"/>
          <w:lang w:eastAsia="en-GB"/>
          <w14:ligatures w14:val="none"/>
        </w:rPr>
        <w:t>2022: –9.8%</w:t>
      </w:r>
    </w:p>
    <w:p w14:paraId="5B1BB65B" w14:textId="765DA87A"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2022</w:t>
      </w:r>
      <w:r w:rsidR="003F5773" w:rsidRPr="0023000A">
        <w:rPr>
          <w:rFonts w:eastAsia="SimSun" w:cstheme="majorBidi"/>
          <w:kern w:val="0"/>
          <w:sz w:val="22"/>
          <w:szCs w:val="22"/>
          <w:lang w:eastAsia="en-GB"/>
          <w14:ligatures w14:val="none"/>
        </w:rPr>
        <w:tab/>
      </w:r>
      <w:r w:rsidRPr="0023000A">
        <w:rPr>
          <w:rFonts w:eastAsia="SimSun" w:cstheme="majorBidi"/>
          <w:kern w:val="0"/>
          <w:sz w:val="22"/>
          <w:szCs w:val="22"/>
          <w:lang w:eastAsia="en-GB"/>
          <w14:ligatures w14:val="none"/>
        </w:rPr>
        <w:t>2023: –22.5%</w:t>
      </w:r>
    </w:p>
    <w:p w14:paraId="512F9786" w14:textId="0703F354"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2023</w:t>
      </w:r>
      <w:r w:rsidR="003F5773" w:rsidRPr="0023000A">
        <w:rPr>
          <w:rFonts w:eastAsia="SimSun" w:cstheme="majorBidi"/>
          <w:kern w:val="0"/>
          <w:sz w:val="22"/>
          <w:szCs w:val="22"/>
          <w:lang w:eastAsia="en-GB"/>
          <w14:ligatures w14:val="none"/>
        </w:rPr>
        <w:tab/>
      </w:r>
      <w:r w:rsidRPr="0023000A">
        <w:rPr>
          <w:rFonts w:eastAsia="SimSun" w:cstheme="majorBidi"/>
          <w:kern w:val="0"/>
          <w:sz w:val="22"/>
          <w:szCs w:val="22"/>
          <w:lang w:eastAsia="en-GB"/>
          <w14:ligatures w14:val="none"/>
        </w:rPr>
        <w:t>2024: –6.1%</w:t>
      </w:r>
    </w:p>
    <w:p w14:paraId="20CDA302" w14:textId="1588A69A" w:rsidR="004E0BE4" w:rsidRPr="0023000A" w:rsidRDefault="004E0BE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xml:space="preserve">Key drivers includes </w:t>
      </w:r>
      <w:r w:rsidR="007F184F" w:rsidRPr="0023000A">
        <w:rPr>
          <w:rFonts w:eastAsia="SimSun" w:cstheme="majorBidi"/>
          <w:kern w:val="0"/>
          <w:sz w:val="22"/>
          <w:szCs w:val="22"/>
          <w:lang w:eastAsia="en-GB"/>
          <w14:ligatures w14:val="none"/>
        </w:rPr>
        <w:t xml:space="preserve"> Market &amp; Customer Factors</w:t>
      </w:r>
      <w:r w:rsidR="007F184F" w:rsidRPr="0023000A">
        <w:rPr>
          <w:rFonts w:eastAsia="SimSun" w:cstheme="majorBidi"/>
          <w:kern w:val="0"/>
          <w:sz w:val="22"/>
          <w:szCs w:val="22"/>
          <w:lang w:eastAsia="en-GB"/>
          <w14:ligatures w14:val="none"/>
        </w:rPr>
        <w:t xml:space="preserve">, </w:t>
      </w:r>
      <w:r w:rsidR="007F184F" w:rsidRPr="0023000A">
        <w:rPr>
          <w:rFonts w:eastAsia="SimSun" w:cstheme="majorBidi"/>
          <w:kern w:val="0"/>
          <w:sz w:val="22"/>
          <w:szCs w:val="22"/>
          <w:lang w:eastAsia="en-GB"/>
          <w14:ligatures w14:val="none"/>
        </w:rPr>
        <w:t>Product &amp; Pricing Issues</w:t>
      </w:r>
      <w:r w:rsidR="001F7A9B" w:rsidRPr="0023000A">
        <w:rPr>
          <w:rFonts w:eastAsia="SimSun" w:cstheme="majorBidi"/>
          <w:kern w:val="0"/>
          <w:sz w:val="22"/>
          <w:szCs w:val="22"/>
          <w:lang w:eastAsia="en-GB"/>
          <w14:ligatures w14:val="none"/>
        </w:rPr>
        <w:t xml:space="preserve">, </w:t>
      </w:r>
      <w:r w:rsidR="001F7A9B" w:rsidRPr="0023000A">
        <w:rPr>
          <w:rFonts w:eastAsia="SimSun" w:cstheme="majorBidi"/>
          <w:kern w:val="0"/>
          <w:sz w:val="22"/>
          <w:szCs w:val="22"/>
          <w:lang w:eastAsia="en-GB"/>
          <w14:ligatures w14:val="none"/>
        </w:rPr>
        <w:t>Marketing &amp; Promotion</w:t>
      </w:r>
    </w:p>
    <w:p w14:paraId="66CA5C61" w14:textId="51114315"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This indicates sustained contraction in top-line activity.</w:t>
      </w:r>
    </w:p>
    <w:p w14:paraId="7C46D8F7"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b/>
          <w:bCs/>
          <w:kern w:val="0"/>
          <w:sz w:val="22"/>
          <w:szCs w:val="22"/>
          <w:lang w:eastAsia="en-GB"/>
          <w14:ligatures w14:val="none"/>
        </w:rPr>
        <w:t>2</w:t>
      </w:r>
      <w:r w:rsidRPr="0023000A">
        <w:rPr>
          <w:rFonts w:eastAsia="SimSun" w:cstheme="majorBidi"/>
          <w:kern w:val="0"/>
          <w:sz w:val="22"/>
          <w:szCs w:val="22"/>
          <w:lang w:eastAsia="en-GB"/>
          <w14:ligatures w14:val="none"/>
        </w:rPr>
        <w:t xml:space="preserve">. </w:t>
      </w:r>
      <w:r w:rsidRPr="0023000A">
        <w:rPr>
          <w:rFonts w:eastAsia="SimSun" w:cstheme="majorBidi"/>
          <w:b/>
          <w:bCs/>
          <w:kern w:val="0"/>
          <w:sz w:val="22"/>
          <w:szCs w:val="22"/>
          <w:lang w:eastAsia="en-GB"/>
          <w14:ligatures w14:val="none"/>
        </w:rPr>
        <w:t>Gross profit and margins</w:t>
      </w:r>
    </w:p>
    <w:p w14:paraId="44FE72DE" w14:textId="1272B6A0"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xml:space="preserve">Gross margins </w:t>
      </w:r>
      <w:r w:rsidR="00144C94" w:rsidRPr="0023000A">
        <w:rPr>
          <w:rFonts w:eastAsia="SimSun" w:cstheme="majorBidi"/>
          <w:kern w:val="0"/>
          <w:sz w:val="22"/>
          <w:szCs w:val="22"/>
          <w:lang w:eastAsia="en-GB"/>
          <w14:ligatures w14:val="none"/>
        </w:rPr>
        <w:t>fluctuate</w:t>
      </w:r>
      <w:r w:rsidRPr="0023000A">
        <w:rPr>
          <w:rFonts w:eastAsia="SimSun" w:cstheme="majorBidi"/>
          <w:kern w:val="0"/>
          <w:sz w:val="22"/>
          <w:szCs w:val="22"/>
          <w:lang w:eastAsia="en-GB"/>
          <w14:ligatures w14:val="none"/>
        </w:rPr>
        <w:t xml:space="preserve"> due to revenue volatility:</w:t>
      </w:r>
    </w:p>
    <w:p w14:paraId="7089814B"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2020: 28.7%</w:t>
      </w:r>
    </w:p>
    <w:p w14:paraId="6632017F"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2021: 28.7%</w:t>
      </w:r>
    </w:p>
    <w:p w14:paraId="27704AAB"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2022: 28.1%</w:t>
      </w:r>
    </w:p>
    <w:p w14:paraId="19ED3A52"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2023: 23.2%</w:t>
      </w:r>
    </w:p>
    <w:p w14:paraId="3CE3181B"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2024: 28.9%</w:t>
      </w:r>
    </w:p>
    <w:p w14:paraId="52918C5D" w14:textId="5FF31E3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2023 is the outlier with margin compression, implying either pricing pressure or elevated input costs. 2024 margin recovery does not translate into profit due to operating-cost pressure.</w:t>
      </w:r>
    </w:p>
    <w:p w14:paraId="34C29FEE" w14:textId="77777777" w:rsidR="00F77215" w:rsidRPr="0023000A" w:rsidRDefault="00F77215"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3. Operating expenses</w:t>
      </w:r>
    </w:p>
    <w:p w14:paraId="297E46A1" w14:textId="77777777"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Operating expenses rise from £138,989m (2020) to £182,861m (2023), then drop to £129,291m (2024).</w:t>
      </w:r>
    </w:p>
    <w:p w14:paraId="5A029415" w14:textId="6C6847CE" w:rsidR="00F77215" w:rsidRPr="0023000A" w:rsidRDefault="00F77215"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Despite the reduction in 2024, OPEX exceeds gross profit, generating an operating loss of £15,297m.</w:t>
      </w:r>
    </w:p>
    <w:p w14:paraId="533474AC" w14:textId="12DED8AB" w:rsidR="00F77215" w:rsidRPr="0023000A" w:rsidRDefault="00044673" w:rsidP="0023000A">
      <w:pPr>
        <w:widowControl w:val="0"/>
        <w:spacing w:line="276" w:lineRule="auto"/>
        <w:ind w:right="389"/>
        <w:rPr>
          <w:rFonts w:eastAsia="SimSun" w:cstheme="majorBidi"/>
          <w:kern w:val="0"/>
          <w:sz w:val="22"/>
          <w:szCs w:val="22"/>
          <w:lang w:val="en-US" w:eastAsia="en-GB"/>
          <w14:ligatures w14:val="none"/>
        </w:rPr>
      </w:pPr>
      <w:r w:rsidRPr="0023000A">
        <w:rPr>
          <w:rFonts w:eastAsia="SimSun" w:cstheme="majorBidi"/>
          <w:kern w:val="0"/>
          <w:sz w:val="22"/>
          <w:szCs w:val="22"/>
          <w:lang w:val="en-US" w:eastAsia="en-GB"/>
          <w14:ligatures w14:val="none"/>
        </w:rPr>
        <w:t>Key drivers</w:t>
      </w:r>
    </w:p>
    <w:p w14:paraId="25DD2940" w14:textId="3DC01B5C" w:rsidR="00044673" w:rsidRPr="0023000A" w:rsidRDefault="00044673" w:rsidP="0023000A">
      <w:pPr>
        <w:widowControl w:val="0"/>
        <w:spacing w:line="276" w:lineRule="auto"/>
        <w:ind w:right="389"/>
        <w:rPr>
          <w:rFonts w:eastAsia="SimSun" w:cstheme="majorBidi"/>
          <w:kern w:val="0"/>
          <w:sz w:val="22"/>
          <w:szCs w:val="22"/>
          <w:lang w:val="en-US" w:eastAsia="en-GB"/>
          <w14:ligatures w14:val="none"/>
        </w:rPr>
      </w:pPr>
      <w:r w:rsidRPr="0023000A">
        <w:rPr>
          <w:rFonts w:eastAsia="SimSun" w:cstheme="majorBidi"/>
          <w:kern w:val="0"/>
          <w:sz w:val="22"/>
          <w:szCs w:val="22"/>
          <w:lang w:val="en-US" w:eastAsia="en-GB"/>
          <w14:ligatures w14:val="none"/>
        </w:rPr>
        <w:t>Increase in Cost of Goods Sold (COGS)</w:t>
      </w:r>
    </w:p>
    <w:p w14:paraId="4033FE9B" w14:textId="2AA31EA6" w:rsidR="00044673" w:rsidRPr="0023000A" w:rsidRDefault="00C02CB9" w:rsidP="0023000A">
      <w:pPr>
        <w:widowControl w:val="0"/>
        <w:spacing w:line="276" w:lineRule="auto"/>
        <w:ind w:right="389"/>
        <w:rPr>
          <w:rFonts w:eastAsia="SimSun" w:cstheme="majorBidi"/>
          <w:kern w:val="0"/>
          <w:sz w:val="22"/>
          <w:szCs w:val="22"/>
          <w:lang w:val="en-US" w:eastAsia="en-GB"/>
          <w14:ligatures w14:val="none"/>
        </w:rPr>
      </w:pPr>
      <w:r w:rsidRPr="0023000A">
        <w:rPr>
          <w:rFonts w:eastAsia="SimSun" w:cstheme="majorBidi"/>
          <w:kern w:val="0"/>
          <w:sz w:val="22"/>
          <w:szCs w:val="22"/>
          <w:lang w:val="en-US" w:eastAsia="en-GB"/>
          <w14:ligatures w14:val="none"/>
        </w:rPr>
        <w:t>Decline in Sales Price</w:t>
      </w:r>
    </w:p>
    <w:p w14:paraId="29511DA5" w14:textId="51E48A01" w:rsidR="00C02CB9" w:rsidRPr="0023000A" w:rsidRDefault="00C02CB9" w:rsidP="0023000A">
      <w:pPr>
        <w:widowControl w:val="0"/>
        <w:spacing w:line="276" w:lineRule="auto"/>
        <w:ind w:right="389"/>
        <w:rPr>
          <w:rFonts w:eastAsia="SimSun" w:cstheme="majorBidi"/>
          <w:kern w:val="0"/>
          <w:sz w:val="22"/>
          <w:szCs w:val="22"/>
          <w:lang w:val="en-US" w:eastAsia="en-GB"/>
          <w14:ligatures w14:val="none"/>
        </w:rPr>
      </w:pPr>
      <w:r w:rsidRPr="0023000A">
        <w:rPr>
          <w:rFonts w:eastAsia="SimSun" w:cstheme="majorBidi"/>
          <w:kern w:val="0"/>
          <w:sz w:val="22"/>
          <w:szCs w:val="22"/>
          <w:lang w:val="en-US" w:eastAsia="en-GB"/>
          <w14:ligatures w14:val="none"/>
        </w:rPr>
        <w:t>Inventory issues</w:t>
      </w:r>
    </w:p>
    <w:p w14:paraId="49FDB8F3" w14:textId="3240D333" w:rsidR="00144C94" w:rsidRPr="0023000A" w:rsidRDefault="00144C94" w:rsidP="0023000A">
      <w:pPr>
        <w:widowControl w:val="0"/>
        <w:spacing w:line="276" w:lineRule="auto"/>
        <w:ind w:right="389"/>
        <w:rPr>
          <w:rFonts w:eastAsia="SimSun" w:cstheme="majorBidi"/>
          <w:b/>
          <w:bCs/>
          <w:kern w:val="0"/>
          <w:sz w:val="22"/>
          <w:szCs w:val="22"/>
          <w:lang w:val="en-US" w:eastAsia="en-GB"/>
          <w14:ligatures w14:val="none"/>
        </w:rPr>
      </w:pPr>
      <w:r w:rsidRPr="0023000A">
        <w:rPr>
          <w:rFonts w:eastAsia="SimSun" w:cstheme="majorBidi"/>
          <w:b/>
          <w:bCs/>
          <w:kern w:val="0"/>
          <w:sz w:val="22"/>
          <w:szCs w:val="22"/>
          <w:lang w:val="en-US" w:eastAsia="en-GB"/>
          <w14:ligatures w14:val="none"/>
        </w:rPr>
        <w:t>Statement of financial position</w:t>
      </w:r>
    </w:p>
    <w:p w14:paraId="4BF545B6" w14:textId="4C7D6E78"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144C94">
        <w:rPr>
          <w:rFonts w:eastAsia="SimSun" w:cstheme="majorBidi"/>
          <w:b/>
          <w:bCs/>
          <w:kern w:val="0"/>
          <w:sz w:val="22"/>
          <w:szCs w:val="22"/>
          <w:lang w:eastAsia="en-GB"/>
          <w14:ligatures w14:val="none"/>
        </w:rPr>
        <w:t xml:space="preserve">1. </w:t>
      </w:r>
      <w:r w:rsidRPr="0023000A">
        <w:rPr>
          <w:rFonts w:eastAsia="SimSun" w:cstheme="majorBidi"/>
          <w:b/>
          <w:bCs/>
          <w:kern w:val="0"/>
          <w:sz w:val="22"/>
          <w:szCs w:val="22"/>
          <w:lang w:eastAsia="en-GB"/>
          <w14:ligatures w14:val="none"/>
        </w:rPr>
        <w:t>Total Assets</w:t>
      </w:r>
    </w:p>
    <w:p w14:paraId="25342969" w14:textId="252F1E53" w:rsidR="00144C94" w:rsidRPr="0023000A" w:rsidRDefault="00144C94" w:rsidP="0023000A">
      <w:pPr>
        <w:spacing w:line="276" w:lineRule="auto"/>
        <w:rPr>
          <w:rFonts w:cstheme="majorBidi"/>
          <w:lang w:eastAsia="en-GB"/>
        </w:rPr>
      </w:pPr>
      <w:r w:rsidRPr="0023000A">
        <w:rPr>
          <w:rFonts w:cstheme="majorBidi"/>
          <w:lang w:eastAsia="en-GB"/>
        </w:rPr>
        <w:lastRenderedPageBreak/>
        <w:t>Assets remain stable from 2020–2022, then fall sharply by –29% in 2023 and –9% in 2024.</w:t>
      </w:r>
    </w:p>
    <w:p w14:paraId="7CA4E400" w14:textId="33B77743" w:rsidR="00144C94" w:rsidRPr="0023000A" w:rsidRDefault="00144C94" w:rsidP="0023000A">
      <w:pPr>
        <w:spacing w:line="276" w:lineRule="auto"/>
        <w:rPr>
          <w:rFonts w:cstheme="majorBidi"/>
          <w:lang w:eastAsia="en-GB"/>
        </w:rPr>
      </w:pPr>
      <w:r w:rsidRPr="0023000A">
        <w:rPr>
          <w:rFonts w:cstheme="majorBidi"/>
          <w:lang w:eastAsia="en-GB"/>
        </w:rPr>
        <w:t>The sudden drop from 2022</w:t>
      </w:r>
      <w:r w:rsidR="00A2263D" w:rsidRPr="0023000A">
        <w:rPr>
          <w:rFonts w:cstheme="majorBidi"/>
          <w:lang w:eastAsia="en-GB"/>
        </w:rPr>
        <w:t xml:space="preserve"> to </w:t>
      </w:r>
      <w:r w:rsidRPr="0023000A">
        <w:rPr>
          <w:rFonts w:cstheme="majorBidi"/>
          <w:lang w:eastAsia="en-GB"/>
        </w:rPr>
        <w:t>2023 suggests:</w:t>
      </w:r>
    </w:p>
    <w:p w14:paraId="7A07D4E5" w14:textId="6E2F7B1D" w:rsidR="009E6426" w:rsidRPr="0023000A" w:rsidRDefault="00144C94" w:rsidP="0023000A">
      <w:pPr>
        <w:spacing w:line="276" w:lineRule="auto"/>
        <w:rPr>
          <w:rFonts w:cstheme="majorBidi"/>
          <w:lang w:eastAsia="en-GB"/>
        </w:rPr>
      </w:pPr>
      <w:r w:rsidRPr="0023000A">
        <w:rPr>
          <w:rFonts w:cstheme="majorBidi"/>
          <w:lang w:eastAsia="en-GB"/>
        </w:rPr>
        <w:t>Large asset impairments</w:t>
      </w:r>
      <w:r w:rsidR="009E6426" w:rsidRPr="0023000A">
        <w:rPr>
          <w:rFonts w:cstheme="majorBidi"/>
          <w:lang w:eastAsia="en-GB"/>
        </w:rPr>
        <w:t xml:space="preserve">: </w:t>
      </w:r>
      <w:r w:rsidR="009E6426" w:rsidRPr="0023000A">
        <w:rPr>
          <w:rFonts w:cstheme="majorBidi"/>
          <w:lang w:eastAsia="en-GB"/>
        </w:rPr>
        <w:t>An impairment loss occurs when the carrying amount of an asset is greater than its recoverable amount. The recoverable amount is either the market value less the selling cost or the value in use (the present value of all the future cash flows that the asset is expected to generate), whichever is larger</w:t>
      </w:r>
    </w:p>
    <w:p w14:paraId="352F742A" w14:textId="6FAC00B7" w:rsidR="00144C94" w:rsidRPr="0023000A" w:rsidRDefault="00144C94" w:rsidP="0023000A">
      <w:pPr>
        <w:spacing w:line="276" w:lineRule="auto"/>
        <w:rPr>
          <w:rFonts w:cstheme="majorBidi"/>
          <w:lang w:eastAsia="en-GB"/>
        </w:rPr>
      </w:pPr>
      <w:r w:rsidRPr="0023000A">
        <w:rPr>
          <w:rFonts w:cstheme="majorBidi"/>
          <w:lang w:eastAsia="en-GB"/>
        </w:rPr>
        <w:t>Divestment of operations</w:t>
      </w:r>
      <w:r w:rsidR="00E231D0" w:rsidRPr="0023000A">
        <w:rPr>
          <w:rFonts w:cstheme="majorBidi"/>
          <w:lang w:eastAsia="en-GB"/>
        </w:rPr>
        <w:t xml:space="preserve">: </w:t>
      </w:r>
      <w:r w:rsidR="00E231D0" w:rsidRPr="0023000A">
        <w:rPr>
          <w:rFonts w:cstheme="majorBidi"/>
          <w:lang w:eastAsia="en-GB"/>
        </w:rPr>
        <w:t>Divestment is the sale of an existing business or an asset class that doesn’t perform or meet the expectations of the company or a country. Divestment is also referred to as divestiture.</w:t>
      </w:r>
    </w:p>
    <w:p w14:paraId="20D06597" w14:textId="1CB855C6" w:rsidR="00144C94" w:rsidRPr="0023000A" w:rsidRDefault="00144C94" w:rsidP="0023000A">
      <w:pPr>
        <w:spacing w:line="276" w:lineRule="auto"/>
        <w:rPr>
          <w:rFonts w:cstheme="majorBidi"/>
          <w:lang w:eastAsia="en-GB"/>
        </w:rPr>
      </w:pPr>
      <w:r w:rsidRPr="0023000A">
        <w:rPr>
          <w:rFonts w:cstheme="majorBidi"/>
          <w:lang w:eastAsia="en-GB"/>
        </w:rPr>
        <w:t>Major reduction in working capital (cash, receivables, inventory)</w:t>
      </w:r>
    </w:p>
    <w:p w14:paraId="75D61AE8" w14:textId="77777777" w:rsidR="00144C94" w:rsidRPr="0023000A" w:rsidRDefault="00144C94" w:rsidP="0023000A">
      <w:pPr>
        <w:spacing w:line="276" w:lineRule="auto"/>
        <w:rPr>
          <w:rFonts w:cstheme="majorBidi"/>
          <w:lang w:eastAsia="en-GB"/>
        </w:rPr>
      </w:pPr>
      <w:r w:rsidRPr="0023000A">
        <w:rPr>
          <w:rFonts w:cstheme="majorBidi"/>
          <w:lang w:eastAsia="en-GB"/>
        </w:rPr>
        <w:t>The declining base signals contraction of the business and weakening financial flexibility.</w:t>
      </w:r>
    </w:p>
    <w:p w14:paraId="31D33A4E" w14:textId="77777777"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p>
    <w:p w14:paraId="4ED3363B" w14:textId="66BF5BFA"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2. Current Assets</w:t>
      </w:r>
    </w:p>
    <w:p w14:paraId="48F6EEFF" w14:textId="5CB3EB30"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Interpretation</w:t>
      </w:r>
    </w:p>
    <w:p w14:paraId="3C18772E" w14:textId="3D0A5F6E"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Current assets fall –28% from 202</w:t>
      </w:r>
      <w:r w:rsidR="00BA71E8" w:rsidRPr="0023000A">
        <w:rPr>
          <w:rFonts w:eastAsia="SimSun" w:cstheme="majorBidi"/>
          <w:kern w:val="0"/>
          <w:sz w:val="22"/>
          <w:szCs w:val="22"/>
          <w:lang w:eastAsia="en-GB"/>
          <w14:ligatures w14:val="none"/>
        </w:rPr>
        <w:t>3</w:t>
      </w:r>
      <w:r w:rsidRPr="0023000A">
        <w:rPr>
          <w:rFonts w:eastAsia="SimSun" w:cstheme="majorBidi"/>
          <w:kern w:val="0"/>
          <w:sz w:val="22"/>
          <w:szCs w:val="22"/>
          <w:lang w:eastAsia="en-GB"/>
          <w14:ligatures w14:val="none"/>
        </w:rPr>
        <w:t xml:space="preserve"> to 2024.</w:t>
      </w:r>
    </w:p>
    <w:p w14:paraId="67B4E657" w14:textId="5DEF1586"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Key drivers:</w:t>
      </w:r>
    </w:p>
    <w:p w14:paraId="641305C9" w14:textId="1D46B5D3"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xml:space="preserve">Cash </w:t>
      </w:r>
      <w:r w:rsidR="0095214C" w:rsidRPr="0023000A">
        <w:rPr>
          <w:rFonts w:eastAsia="SimSun" w:cstheme="majorBidi"/>
          <w:kern w:val="0"/>
          <w:sz w:val="22"/>
          <w:szCs w:val="22"/>
          <w:lang w:eastAsia="en-GB"/>
          <w14:ligatures w14:val="none"/>
        </w:rPr>
        <w:t>fell</w:t>
      </w:r>
      <w:r w:rsidRPr="0023000A">
        <w:rPr>
          <w:rFonts w:eastAsia="SimSun" w:cstheme="majorBidi"/>
          <w:kern w:val="0"/>
          <w:sz w:val="22"/>
          <w:szCs w:val="22"/>
          <w:lang w:eastAsia="en-GB"/>
          <w14:ligatures w14:val="none"/>
        </w:rPr>
        <w:t xml:space="preserve"> from 66,740 </w:t>
      </w:r>
      <w:r w:rsidR="00BA71E8" w:rsidRPr="0023000A">
        <w:rPr>
          <w:rFonts w:eastAsia="SimSun" w:cstheme="majorBidi"/>
          <w:kern w:val="0"/>
          <w:sz w:val="22"/>
          <w:szCs w:val="22"/>
          <w:lang w:eastAsia="en-GB"/>
          <w14:ligatures w14:val="none"/>
        </w:rPr>
        <w:t xml:space="preserve"> in 2022 to</w:t>
      </w:r>
      <w:r w:rsidRPr="0023000A">
        <w:rPr>
          <w:rFonts w:eastAsia="SimSun" w:cstheme="majorBidi"/>
          <w:kern w:val="0"/>
          <w:sz w:val="22"/>
          <w:szCs w:val="22"/>
          <w:lang w:eastAsia="en-GB"/>
          <w14:ligatures w14:val="none"/>
        </w:rPr>
        <w:t xml:space="preserve"> 26,783</w:t>
      </w:r>
      <w:r w:rsidR="007816DE" w:rsidRPr="0023000A">
        <w:rPr>
          <w:rFonts w:eastAsia="SimSun" w:cstheme="majorBidi"/>
          <w:kern w:val="0"/>
          <w:sz w:val="22"/>
          <w:szCs w:val="22"/>
          <w:lang w:eastAsia="en-GB"/>
          <w14:ligatures w14:val="none"/>
        </w:rPr>
        <w:t xml:space="preserve"> in 2024</w:t>
      </w:r>
    </w:p>
    <w:p w14:paraId="3647AB6B" w14:textId="78C6482A"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xml:space="preserve">Inventories </w:t>
      </w:r>
      <w:r w:rsidR="0095214C" w:rsidRPr="0023000A">
        <w:rPr>
          <w:rFonts w:eastAsia="SimSun" w:cstheme="majorBidi"/>
          <w:kern w:val="0"/>
          <w:sz w:val="22"/>
          <w:szCs w:val="22"/>
          <w:lang w:eastAsia="en-GB"/>
          <w14:ligatures w14:val="none"/>
        </w:rPr>
        <w:t>fell</w:t>
      </w:r>
      <w:r w:rsidRPr="0023000A">
        <w:rPr>
          <w:rFonts w:eastAsia="SimSun" w:cstheme="majorBidi"/>
          <w:kern w:val="0"/>
          <w:sz w:val="22"/>
          <w:szCs w:val="22"/>
          <w:lang w:eastAsia="en-GB"/>
          <w14:ligatures w14:val="none"/>
        </w:rPr>
        <w:t xml:space="preserve"> from 140,181</w:t>
      </w:r>
      <w:r w:rsidR="007816DE" w:rsidRPr="0023000A">
        <w:rPr>
          <w:rFonts w:eastAsia="SimSun" w:cstheme="majorBidi"/>
          <w:kern w:val="0"/>
          <w:sz w:val="22"/>
          <w:szCs w:val="22"/>
          <w:lang w:eastAsia="en-GB"/>
          <w14:ligatures w14:val="none"/>
        </w:rPr>
        <w:t xml:space="preserve"> in 2022 to </w:t>
      </w:r>
      <w:r w:rsidRPr="0023000A">
        <w:rPr>
          <w:rFonts w:eastAsia="SimSun" w:cstheme="majorBidi"/>
          <w:kern w:val="0"/>
          <w:sz w:val="22"/>
          <w:szCs w:val="22"/>
          <w:lang w:eastAsia="en-GB"/>
          <w14:ligatures w14:val="none"/>
        </w:rPr>
        <w:t xml:space="preserve"> 7</w:t>
      </w:r>
      <w:r w:rsidR="0095214C" w:rsidRPr="0023000A">
        <w:rPr>
          <w:rFonts w:eastAsia="SimSun" w:cstheme="majorBidi"/>
          <w:kern w:val="0"/>
          <w:sz w:val="22"/>
          <w:szCs w:val="22"/>
          <w:lang w:eastAsia="en-GB"/>
          <w14:ligatures w14:val="none"/>
        </w:rPr>
        <w:t>9</w:t>
      </w:r>
      <w:r w:rsidRPr="0023000A">
        <w:rPr>
          <w:rFonts w:eastAsia="SimSun" w:cstheme="majorBidi"/>
          <w:kern w:val="0"/>
          <w:sz w:val="22"/>
          <w:szCs w:val="22"/>
          <w:lang w:eastAsia="en-GB"/>
          <w14:ligatures w14:val="none"/>
        </w:rPr>
        <w:t>,355</w:t>
      </w:r>
      <w:r w:rsidR="0095214C" w:rsidRPr="0023000A">
        <w:rPr>
          <w:rFonts w:eastAsia="SimSun" w:cstheme="majorBidi"/>
          <w:kern w:val="0"/>
          <w:sz w:val="22"/>
          <w:szCs w:val="22"/>
          <w:lang w:eastAsia="en-GB"/>
          <w14:ligatures w14:val="none"/>
        </w:rPr>
        <w:t xml:space="preserve"> in 2024</w:t>
      </w:r>
    </w:p>
    <w:p w14:paraId="5963440C" w14:textId="7F72AC16"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The business is liquidating cash and inventory, likely to support operations during loss-making periods.</w:t>
      </w:r>
    </w:p>
    <w:p w14:paraId="54007C3A" w14:textId="6D40B888"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Reduction in working capital signals operational slowdown.</w:t>
      </w:r>
    </w:p>
    <w:p w14:paraId="7B185B89" w14:textId="694C8FDE"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3. Non-Current Assets</w:t>
      </w:r>
    </w:p>
    <w:p w14:paraId="562F5E8A" w14:textId="39382558" w:rsidR="00144C94" w:rsidRPr="0023000A" w:rsidRDefault="00144C94" w:rsidP="0023000A">
      <w:pPr>
        <w:pStyle w:val="NoSpacing"/>
        <w:spacing w:line="276" w:lineRule="auto"/>
        <w:rPr>
          <w:rFonts w:cstheme="majorBidi"/>
        </w:rPr>
      </w:pPr>
      <w:r w:rsidRPr="0023000A">
        <w:rPr>
          <w:rFonts w:cstheme="majorBidi"/>
        </w:rPr>
        <w:t>Non-current assets fall –56% from 2020 to 2024.</w:t>
      </w:r>
    </w:p>
    <w:p w14:paraId="351DE559" w14:textId="39FD77D0" w:rsidR="00144C94" w:rsidRPr="0023000A" w:rsidRDefault="00144C94" w:rsidP="0023000A">
      <w:pPr>
        <w:pStyle w:val="NoSpacing"/>
        <w:spacing w:line="276" w:lineRule="auto"/>
        <w:rPr>
          <w:rFonts w:cstheme="majorBidi"/>
        </w:rPr>
      </w:pPr>
      <w:r w:rsidRPr="0023000A">
        <w:rPr>
          <w:rFonts w:cstheme="majorBidi"/>
        </w:rPr>
        <w:t>The steep 2023 drop suggests:</w:t>
      </w:r>
    </w:p>
    <w:p w14:paraId="753E4950" w14:textId="7A6DF9E9" w:rsidR="00144C94" w:rsidRPr="0023000A" w:rsidRDefault="00144C94" w:rsidP="0023000A">
      <w:pPr>
        <w:pStyle w:val="NoSpacing"/>
        <w:spacing w:line="276" w:lineRule="auto"/>
        <w:rPr>
          <w:rFonts w:cstheme="majorBidi"/>
        </w:rPr>
      </w:pPr>
      <w:r w:rsidRPr="0023000A">
        <w:rPr>
          <w:rFonts w:cstheme="majorBidi"/>
        </w:rPr>
        <w:t>PPE write-downs (PPE f</w:t>
      </w:r>
      <w:r w:rsidR="00B94D88" w:rsidRPr="0023000A">
        <w:rPr>
          <w:rFonts w:cstheme="majorBidi"/>
        </w:rPr>
        <w:t>e</w:t>
      </w:r>
      <w:r w:rsidRPr="0023000A">
        <w:rPr>
          <w:rFonts w:cstheme="majorBidi"/>
        </w:rPr>
        <w:t xml:space="preserve">ll from 62,791 </w:t>
      </w:r>
      <w:r w:rsidR="003A4D47" w:rsidRPr="0023000A">
        <w:rPr>
          <w:rFonts w:cstheme="majorBidi"/>
        </w:rPr>
        <w:t xml:space="preserve">in 2022 to </w:t>
      </w:r>
      <w:r w:rsidRPr="0023000A">
        <w:rPr>
          <w:rFonts w:cstheme="majorBidi"/>
        </w:rPr>
        <w:t xml:space="preserve">44,619 </w:t>
      </w:r>
      <w:r w:rsidR="003A4D47" w:rsidRPr="0023000A">
        <w:rPr>
          <w:rFonts w:cstheme="majorBidi"/>
        </w:rPr>
        <w:t xml:space="preserve">in 2023 and </w:t>
      </w:r>
      <w:r w:rsidRPr="0023000A">
        <w:rPr>
          <w:rFonts w:cstheme="majorBidi"/>
        </w:rPr>
        <w:t>34,207</w:t>
      </w:r>
      <w:r w:rsidR="003A4D47" w:rsidRPr="0023000A">
        <w:rPr>
          <w:rFonts w:cstheme="majorBidi"/>
        </w:rPr>
        <w:t xml:space="preserve"> in 2024</w:t>
      </w:r>
    </w:p>
    <w:p w14:paraId="283D8B32" w14:textId="71F540C6" w:rsidR="00144C94" w:rsidRPr="0023000A" w:rsidRDefault="00144C94" w:rsidP="0023000A">
      <w:pPr>
        <w:pStyle w:val="NoSpacing"/>
        <w:spacing w:line="276" w:lineRule="auto"/>
        <w:rPr>
          <w:rFonts w:cstheme="majorBidi"/>
        </w:rPr>
      </w:pPr>
      <w:r w:rsidRPr="0023000A">
        <w:rPr>
          <w:rFonts w:cstheme="majorBidi"/>
        </w:rPr>
        <w:t>Possible business-unit disposals</w:t>
      </w:r>
    </w:p>
    <w:p w14:paraId="2BDE83A2" w14:textId="4DECC827" w:rsidR="00144C94" w:rsidRPr="0023000A" w:rsidRDefault="00144C94" w:rsidP="0023000A">
      <w:pPr>
        <w:pStyle w:val="NoSpacing"/>
        <w:spacing w:line="276" w:lineRule="auto"/>
        <w:rPr>
          <w:rFonts w:cstheme="majorBidi"/>
          <w:lang w:eastAsia="en-GB"/>
        </w:rPr>
      </w:pPr>
      <w:r w:rsidRPr="0023000A">
        <w:rPr>
          <w:rFonts w:cstheme="majorBidi"/>
        </w:rPr>
        <w:t>Intangibles remain stable, so most reductions come from tangible operating assets</w:t>
      </w:r>
      <w:r w:rsidRPr="0023000A">
        <w:rPr>
          <w:rFonts w:cstheme="majorBidi"/>
          <w:lang w:eastAsia="en-GB"/>
        </w:rPr>
        <w:t>.</w:t>
      </w:r>
    </w:p>
    <w:p w14:paraId="1137B99A" w14:textId="6F5CD825"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4. Total Liabilities</w:t>
      </w:r>
    </w:p>
    <w:p w14:paraId="761B2B7B" w14:textId="57DCE838"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Interpretation</w:t>
      </w:r>
    </w:p>
    <w:p w14:paraId="7DE4FBF0" w14:textId="362DF965"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xml:space="preserve">Liabilities rise to </w:t>
      </w:r>
      <w:r w:rsidR="00EE7237" w:rsidRPr="0023000A">
        <w:rPr>
          <w:rFonts w:eastAsia="SimSun" w:cstheme="majorBidi"/>
          <w:kern w:val="0"/>
          <w:sz w:val="22"/>
          <w:szCs w:val="22"/>
          <w:lang w:eastAsia="en-GB"/>
          <w14:ligatures w14:val="none"/>
        </w:rPr>
        <w:t xml:space="preserve">235,757 in </w:t>
      </w:r>
      <w:r w:rsidRPr="0023000A">
        <w:rPr>
          <w:rFonts w:eastAsia="SimSun" w:cstheme="majorBidi"/>
          <w:kern w:val="0"/>
          <w:sz w:val="22"/>
          <w:szCs w:val="22"/>
          <w:lang w:eastAsia="en-GB"/>
          <w14:ligatures w14:val="none"/>
        </w:rPr>
        <w:t>2022, then f</w:t>
      </w:r>
      <w:r w:rsidR="008B4F13" w:rsidRPr="0023000A">
        <w:rPr>
          <w:rFonts w:eastAsia="SimSun" w:cstheme="majorBidi"/>
          <w:kern w:val="0"/>
          <w:sz w:val="22"/>
          <w:szCs w:val="22"/>
          <w:lang w:eastAsia="en-GB"/>
          <w14:ligatures w14:val="none"/>
        </w:rPr>
        <w:t>e</w:t>
      </w:r>
      <w:r w:rsidRPr="0023000A">
        <w:rPr>
          <w:rFonts w:eastAsia="SimSun" w:cstheme="majorBidi"/>
          <w:kern w:val="0"/>
          <w:sz w:val="22"/>
          <w:szCs w:val="22"/>
          <w:lang w:eastAsia="en-GB"/>
          <w14:ligatures w14:val="none"/>
        </w:rPr>
        <w:t>ll significantly in 2023</w:t>
      </w:r>
      <w:r w:rsidR="008B4F13" w:rsidRPr="0023000A">
        <w:rPr>
          <w:rFonts w:eastAsia="SimSun" w:cstheme="majorBidi"/>
          <w:kern w:val="0"/>
          <w:sz w:val="22"/>
          <w:szCs w:val="22"/>
          <w:lang w:eastAsia="en-GB"/>
          <w14:ligatures w14:val="none"/>
        </w:rPr>
        <w:t xml:space="preserve"> and </w:t>
      </w:r>
      <w:r w:rsidRPr="0023000A">
        <w:rPr>
          <w:rFonts w:eastAsia="SimSun" w:cstheme="majorBidi"/>
          <w:kern w:val="0"/>
          <w:sz w:val="22"/>
          <w:szCs w:val="22"/>
          <w:lang w:eastAsia="en-GB"/>
          <w14:ligatures w14:val="none"/>
        </w:rPr>
        <w:t>2024.</w:t>
      </w:r>
    </w:p>
    <w:p w14:paraId="697CD51C" w14:textId="50C59205"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Possible explanations:</w:t>
      </w:r>
    </w:p>
    <w:p w14:paraId="5FC67833" w14:textId="467FB650"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Repayment or refinancing of obligations</w:t>
      </w:r>
    </w:p>
    <w:p w14:paraId="3FCF0D40" w14:textId="2C81F581"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Reduction in activity lowering accounts payable and accruals</w:t>
      </w:r>
    </w:p>
    <w:p w14:paraId="6DBAA1F6" w14:textId="10B4128F"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Lower lease obligations</w:t>
      </w:r>
    </w:p>
    <w:p w14:paraId="6DCD5A53" w14:textId="6738B05E"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Current liabilities stay high relative to current assets, keeping liquidity tight.</w:t>
      </w:r>
    </w:p>
    <w:p w14:paraId="2F97C666" w14:textId="04D2FDBD" w:rsidR="00144C94" w:rsidRPr="0023000A" w:rsidRDefault="00144C94"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5. Shareholders’ Equity</w:t>
      </w:r>
    </w:p>
    <w:p w14:paraId="4DF56282" w14:textId="2D5CEB3E"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Interpretation</w:t>
      </w:r>
    </w:p>
    <w:p w14:paraId="4144BBC5" w14:textId="60B96A1C"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Equity falls –51% from 2020 to 2024.</w:t>
      </w:r>
    </w:p>
    <w:p w14:paraId="42A13FFC" w14:textId="0B0BF271" w:rsidR="00144C94" w:rsidRPr="0023000A" w:rsidRDefault="00153E41"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 xml:space="preserve">Key </w:t>
      </w:r>
      <w:r w:rsidR="00144C94" w:rsidRPr="0023000A">
        <w:rPr>
          <w:rFonts w:eastAsia="SimSun" w:cstheme="majorBidi"/>
          <w:kern w:val="0"/>
          <w:sz w:val="22"/>
          <w:szCs w:val="22"/>
          <w:lang w:eastAsia="en-GB"/>
          <w14:ligatures w14:val="none"/>
        </w:rPr>
        <w:t>Drivers:</w:t>
      </w:r>
    </w:p>
    <w:p w14:paraId="5B045D7E" w14:textId="6629F4BD"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Heavy losses in 2023 and 2024</w:t>
      </w:r>
    </w:p>
    <w:p w14:paraId="3E552344" w14:textId="729EE015" w:rsidR="00144C94"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Large, continuing share buybacks (treasury stock grows more negative)</w:t>
      </w:r>
    </w:p>
    <w:p w14:paraId="50551790" w14:textId="54077545" w:rsidR="00F77215" w:rsidRPr="0023000A" w:rsidRDefault="00144C94" w:rsidP="0023000A">
      <w:pPr>
        <w:widowControl w:val="0"/>
        <w:spacing w:line="276" w:lineRule="auto"/>
        <w:ind w:right="389"/>
        <w:rPr>
          <w:rFonts w:eastAsia="SimSun" w:cstheme="majorBidi"/>
          <w:kern w:val="0"/>
          <w:sz w:val="22"/>
          <w:szCs w:val="22"/>
          <w:lang w:eastAsia="en-GB"/>
          <w14:ligatures w14:val="none"/>
        </w:rPr>
      </w:pPr>
      <w:r w:rsidRPr="0023000A">
        <w:rPr>
          <w:rFonts w:eastAsia="SimSun" w:cstheme="majorBidi"/>
          <w:kern w:val="0"/>
          <w:sz w:val="22"/>
          <w:szCs w:val="22"/>
          <w:lang w:eastAsia="en-GB"/>
          <w14:ligatures w14:val="none"/>
        </w:rPr>
        <w:t>Declining equity reduces solvency strength and increases leverage risk even as liabilities decline.</w:t>
      </w:r>
    </w:p>
    <w:p w14:paraId="5AD86026" w14:textId="3734C64B" w:rsidR="008B4F13" w:rsidRPr="0023000A" w:rsidRDefault="008B4F13" w:rsidP="0023000A">
      <w:pPr>
        <w:widowControl w:val="0"/>
        <w:spacing w:line="276" w:lineRule="auto"/>
        <w:ind w:right="389"/>
        <w:rPr>
          <w:rFonts w:eastAsia="SimSun" w:cstheme="majorBidi"/>
          <w:b/>
          <w:bCs/>
          <w:kern w:val="0"/>
          <w:sz w:val="22"/>
          <w:szCs w:val="22"/>
          <w:lang w:eastAsia="en-GB"/>
          <w14:ligatures w14:val="none"/>
        </w:rPr>
      </w:pPr>
      <w:r w:rsidRPr="0023000A">
        <w:rPr>
          <w:rFonts w:eastAsia="SimSun" w:cstheme="majorBidi"/>
          <w:b/>
          <w:bCs/>
          <w:kern w:val="0"/>
          <w:sz w:val="22"/>
          <w:szCs w:val="22"/>
          <w:lang w:eastAsia="en-GB"/>
          <w14:ligatures w14:val="none"/>
        </w:rPr>
        <w:t>Financial ratios</w:t>
      </w:r>
    </w:p>
    <w:p w14:paraId="3D5ECC02" w14:textId="1E6CD5DC"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Profitability Ratios</w:t>
      </w:r>
    </w:p>
    <w:p w14:paraId="44D58D72" w14:textId="2DB23805"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Gross Profit Margin = Gross Profit / Revenue × 100</w:t>
      </w:r>
    </w:p>
    <w:p w14:paraId="4E911325" w14:textId="291BD7BB"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Operating Profit Margin = Operating Profit / Revenue × 100</w:t>
      </w:r>
    </w:p>
    <w:p w14:paraId="26DDD35C" w14:textId="2C2FF874"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Net Profit Margin = Profit After Tax / Revenue × 100</w:t>
      </w:r>
    </w:p>
    <w:p w14:paraId="27023E93"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Return on Capital Employed (ROCE) = Operating Profit / Capital Employed</w:t>
      </w:r>
    </w:p>
    <w:p w14:paraId="1C275230"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p>
    <w:p w14:paraId="2B88CB8A"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2. Liquidity Ratios</w:t>
      </w:r>
    </w:p>
    <w:p w14:paraId="0CF0A6D6" w14:textId="475B339C"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These measures Tesco’s short-term financial health:</w:t>
      </w:r>
    </w:p>
    <w:p w14:paraId="4F8CA0B1" w14:textId="10D7CDBA" w:rsidR="00F77215" w:rsidRPr="00F77215" w:rsidRDefault="00F77215" w:rsidP="0023000A">
      <w:pPr>
        <w:widowControl w:val="0"/>
        <w:spacing w:line="276" w:lineRule="auto"/>
        <w:ind w:right="389"/>
        <w:rPr>
          <w:rFonts w:eastAsia="SimSun" w:cstheme="majorBidi"/>
          <w:kern w:val="0"/>
          <w:sz w:val="22"/>
          <w:szCs w:val="22"/>
          <w:lang w:val="fr-FR" w:eastAsia="en-GB"/>
          <w14:ligatures w14:val="none"/>
        </w:rPr>
      </w:pPr>
      <w:proofErr w:type="spellStart"/>
      <w:r w:rsidRPr="00F77215">
        <w:rPr>
          <w:rFonts w:eastAsia="SimSun" w:cstheme="majorBidi"/>
          <w:kern w:val="0"/>
          <w:sz w:val="22"/>
          <w:szCs w:val="22"/>
          <w:lang w:val="fr-FR" w:eastAsia="en-GB"/>
          <w14:ligatures w14:val="none"/>
        </w:rPr>
        <w:t>Current</w:t>
      </w:r>
      <w:proofErr w:type="spellEnd"/>
      <w:r w:rsidRPr="00F77215">
        <w:rPr>
          <w:rFonts w:eastAsia="SimSun" w:cstheme="majorBidi"/>
          <w:kern w:val="0"/>
          <w:sz w:val="22"/>
          <w:szCs w:val="22"/>
          <w:lang w:val="fr-FR" w:eastAsia="en-GB"/>
          <w14:ligatures w14:val="none"/>
        </w:rPr>
        <w:t xml:space="preserve"> Ratio = Curent Assets / </w:t>
      </w:r>
      <w:proofErr w:type="spellStart"/>
      <w:r w:rsidRPr="00F77215">
        <w:rPr>
          <w:rFonts w:eastAsia="SimSun" w:cstheme="majorBidi"/>
          <w:kern w:val="0"/>
          <w:sz w:val="22"/>
          <w:szCs w:val="22"/>
          <w:lang w:val="fr-FR" w:eastAsia="en-GB"/>
          <w14:ligatures w14:val="none"/>
        </w:rPr>
        <w:t>Current</w:t>
      </w:r>
      <w:proofErr w:type="spellEnd"/>
      <w:r w:rsidRPr="00F77215">
        <w:rPr>
          <w:rFonts w:eastAsia="SimSun" w:cstheme="majorBidi"/>
          <w:kern w:val="0"/>
          <w:sz w:val="22"/>
          <w:szCs w:val="22"/>
          <w:lang w:val="fr-FR" w:eastAsia="en-GB"/>
          <w14:ligatures w14:val="none"/>
        </w:rPr>
        <w:t xml:space="preserve"> </w:t>
      </w:r>
      <w:proofErr w:type="spellStart"/>
      <w:r w:rsidRPr="00F77215">
        <w:rPr>
          <w:rFonts w:eastAsia="SimSun" w:cstheme="majorBidi"/>
          <w:kern w:val="0"/>
          <w:sz w:val="22"/>
          <w:szCs w:val="22"/>
          <w:lang w:val="fr-FR" w:eastAsia="en-GB"/>
          <w14:ligatures w14:val="none"/>
        </w:rPr>
        <w:t>Liabilities</w:t>
      </w:r>
      <w:proofErr w:type="spellEnd"/>
    </w:p>
    <w:p w14:paraId="7AD2F819" w14:textId="41FC1B2F"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Quick Ratio = (Current Assets − Inventory) / Current Liabilities</w:t>
      </w:r>
    </w:p>
    <w:p w14:paraId="0A84C53B"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3. Gearing Ratios</w:t>
      </w:r>
    </w:p>
    <w:p w14:paraId="67458A48" w14:textId="7FAB9FE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These show financial risk due to debt:</w:t>
      </w:r>
    </w:p>
    <w:p w14:paraId="583450C6" w14:textId="76226C35"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Gearing Ratio = (Debt / (Debt + Equity)) × 100</w:t>
      </w:r>
    </w:p>
    <w:p w14:paraId="6A0B91DF"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Interest Cover = Operating Profit / Finance Costs</w:t>
      </w:r>
    </w:p>
    <w:p w14:paraId="58E7FEF6"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p>
    <w:p w14:paraId="572D133C"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4. Efficiency Ratios</w:t>
      </w:r>
    </w:p>
    <w:p w14:paraId="17801858" w14:textId="219E20DF"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These assess how well Tesco uses its assets:</w:t>
      </w:r>
    </w:p>
    <w:p w14:paraId="3BC99053" w14:textId="4A5FC8FA"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Inventory Turnover = Cost of Sales / Average Inventory</w:t>
      </w:r>
    </w:p>
    <w:p w14:paraId="629CD008" w14:textId="57AE00FA"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Receivables Days = (Receivables / Revenue) × 365</w:t>
      </w:r>
    </w:p>
    <w:p w14:paraId="34E5BC84"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Payables Days = (Payables / Cost of Sales) × 365</w:t>
      </w:r>
    </w:p>
    <w:p w14:paraId="6C7DE639"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p>
    <w:p w14:paraId="5CF05961" w14:textId="49684EB6"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Asset Turnover = Revenue / Total Assets</w:t>
      </w:r>
    </w:p>
    <w:p w14:paraId="0BA1B3F6" w14:textId="564B6244" w:rsidR="00F77215" w:rsidRPr="00F77215" w:rsidRDefault="00144C94" w:rsidP="0023000A">
      <w:pPr>
        <w:widowControl w:val="0"/>
        <w:spacing w:line="276" w:lineRule="auto"/>
        <w:ind w:right="389"/>
        <w:rPr>
          <w:rFonts w:eastAsia="SimSun" w:cstheme="majorBidi"/>
          <w:b/>
          <w:bCs/>
          <w:kern w:val="0"/>
          <w:sz w:val="22"/>
          <w:szCs w:val="22"/>
          <w:lang w:val="en-US" w:eastAsia="en-GB"/>
          <w14:ligatures w14:val="none"/>
        </w:rPr>
      </w:pPr>
      <w:r w:rsidRPr="0023000A">
        <w:rPr>
          <w:rFonts w:eastAsia="SimSun" w:cstheme="majorBidi"/>
          <w:b/>
          <w:bCs/>
          <w:kern w:val="0"/>
          <w:sz w:val="22"/>
          <w:szCs w:val="22"/>
          <w:lang w:val="en-US" w:eastAsia="en-GB"/>
          <w14:ligatures w14:val="none"/>
        </w:rPr>
        <w:t xml:space="preserve">5. </w:t>
      </w:r>
      <w:r w:rsidR="00F77215" w:rsidRPr="00F77215">
        <w:rPr>
          <w:rFonts w:eastAsia="SimSun" w:cstheme="majorBidi"/>
          <w:b/>
          <w:bCs/>
          <w:kern w:val="0"/>
          <w:sz w:val="22"/>
          <w:szCs w:val="22"/>
          <w:lang w:val="en-US" w:eastAsia="en-GB"/>
          <w14:ligatures w14:val="none"/>
        </w:rPr>
        <w:t>Investment Ratios</w:t>
      </w:r>
    </w:p>
    <w:p w14:paraId="66801897" w14:textId="41A0786E"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These are relevant for shareholders:</w:t>
      </w:r>
    </w:p>
    <w:p w14:paraId="305D5DBC" w14:textId="4438E568"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Earnings Per Share (EPS) = Profit Attributable to Equity Holders / Number of Shares</w:t>
      </w:r>
    </w:p>
    <w:p w14:paraId="551CF9B4" w14:textId="55C5B1A1"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Dividend Yield = Dividend per Share / Share Price</w:t>
      </w:r>
    </w:p>
    <w:p w14:paraId="610F0A1F" w14:textId="1C3C4814"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Dividend Cover = EPS / Dividend per Share</w:t>
      </w:r>
    </w:p>
    <w:p w14:paraId="1904284C"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Price-Earnings (P/E) Ratio = Share Price / EPS</w:t>
      </w:r>
    </w:p>
    <w:p w14:paraId="4F8AA7B4"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p>
    <w:p w14:paraId="155071CB" w14:textId="77777777" w:rsidR="00F77215" w:rsidRPr="00F77215" w:rsidRDefault="00F77215" w:rsidP="0023000A">
      <w:pPr>
        <w:widowControl w:val="0"/>
        <w:spacing w:after="0" w:line="276" w:lineRule="auto"/>
        <w:ind w:right="389"/>
        <w:rPr>
          <w:rFonts w:eastAsia="SimSun" w:cstheme="majorBidi"/>
          <w:kern w:val="0"/>
          <w:sz w:val="22"/>
          <w:szCs w:val="22"/>
          <w:lang w:val="en-US" w:eastAsia="en-GB"/>
          <w14:ligatures w14:val="none"/>
        </w:rPr>
      </w:pPr>
      <w:r w:rsidRPr="00F77215">
        <w:rPr>
          <w:rFonts w:eastAsia="SimSun" w:cstheme="majorBidi"/>
          <w:b/>
          <w:bCs/>
          <w:kern w:val="0"/>
          <w:sz w:val="22"/>
          <w:szCs w:val="22"/>
          <w:lang w:val="en-US" w:eastAsia="en-GB"/>
          <w14:ligatures w14:val="none"/>
        </w:rPr>
        <w:t>Working Capital Management (≈600 words):</w:t>
      </w:r>
    </w:p>
    <w:p w14:paraId="0A69729E" w14:textId="77777777" w:rsidR="00F77215" w:rsidRPr="00F77215" w:rsidRDefault="00F77215" w:rsidP="0023000A">
      <w:pPr>
        <w:widowControl w:val="0"/>
        <w:spacing w:line="276" w:lineRule="auto"/>
        <w:ind w:right="389"/>
        <w:rPr>
          <w:rFonts w:eastAsia="SimSun" w:cstheme="majorBidi"/>
          <w:b/>
          <w:bCs/>
          <w:kern w:val="0"/>
          <w:lang w:val="en-US" w:eastAsia="en-GB"/>
          <w14:ligatures w14:val="none"/>
        </w:rPr>
      </w:pPr>
      <w:r w:rsidRPr="00F77215">
        <w:rPr>
          <w:rFonts w:eastAsia="SimSun" w:cstheme="majorBidi"/>
          <w:b/>
          <w:bCs/>
          <w:kern w:val="0"/>
          <w:lang w:val="en-US" w:eastAsia="en-GB"/>
          <w14:ligatures w14:val="none"/>
        </w:rPr>
        <w:t xml:space="preserve">Metrics and Interpretations </w:t>
      </w:r>
    </w:p>
    <w:p w14:paraId="0A5EC329"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Current Ratio</w:t>
      </w:r>
    </w:p>
    <w:p w14:paraId="7071B25D"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Shows ability to meet short-term liabilities.</w:t>
      </w:r>
    </w:p>
    <w:p w14:paraId="54D49C02"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If it’s too low: liquidity risk.</w:t>
      </w:r>
    </w:p>
    <w:p w14:paraId="5CA7284E" w14:textId="31D1C8B4"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If it’s too high: possibly inefficient capital use.</w:t>
      </w:r>
    </w:p>
    <w:p w14:paraId="13C22EF3"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 xml:space="preserve"> Inventory Days</w:t>
      </w:r>
    </w:p>
    <w:p w14:paraId="1B8FE85C"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 (Average Inventory / Cost of Sales) × 365</w:t>
      </w:r>
    </w:p>
    <w:p w14:paraId="7AD1E138"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If high: stock buildup, obsolescence risk.</w:t>
      </w:r>
    </w:p>
    <w:p w14:paraId="5C784E21" w14:textId="580D66FF"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If low: efficient turnover — key for retail.</w:t>
      </w:r>
    </w:p>
    <w:p w14:paraId="0E5A30BE"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Receivables Days</w:t>
      </w:r>
    </w:p>
    <w:p w14:paraId="350C99F4"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 (Trade Receivables / Revenue) × 365</w:t>
      </w:r>
    </w:p>
    <w:p w14:paraId="3F7AF092"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Low = fast collection — healthy for cash.</w:t>
      </w:r>
    </w:p>
    <w:p w14:paraId="470DA335" w14:textId="15353B0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High = risk of bad debts or customer leverage.</w:t>
      </w:r>
    </w:p>
    <w:p w14:paraId="713AF8A6"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 xml:space="preserve"> Payables Days</w:t>
      </w:r>
    </w:p>
    <w:p w14:paraId="7E61F4AF"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 Trade Payables / Cost of Sales × 365</w:t>
      </w:r>
    </w:p>
    <w:p w14:paraId="602F8C98" w14:textId="36262EB8"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Longer = better cash retention, but too long could damage supplier relationships.</w:t>
      </w:r>
    </w:p>
    <w:p w14:paraId="1B318BAC"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Cash Conversion Cycle (CCC)</w:t>
      </w:r>
    </w:p>
    <w:p w14:paraId="51D77954" w14:textId="71DB2501"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 Inventory Days + Receivables Days − Payables Days</w:t>
      </w:r>
    </w:p>
    <w:p w14:paraId="52567C6F" w14:textId="77777777" w:rsidR="00F77215" w:rsidRPr="00F77215" w:rsidRDefault="00F77215" w:rsidP="0023000A">
      <w:pPr>
        <w:widowControl w:val="0"/>
        <w:spacing w:line="276" w:lineRule="auto"/>
        <w:ind w:right="389"/>
        <w:rPr>
          <w:rFonts w:eastAsia="SimSun" w:cstheme="majorBidi"/>
          <w:b/>
          <w:bCs/>
          <w:kern w:val="0"/>
          <w:sz w:val="22"/>
          <w:szCs w:val="22"/>
          <w:lang w:val="en-US" w:eastAsia="en-GB"/>
          <w14:ligatures w14:val="none"/>
        </w:rPr>
      </w:pPr>
      <w:r w:rsidRPr="00F77215">
        <w:rPr>
          <w:rFonts w:eastAsia="SimSun" w:cstheme="majorBidi"/>
          <w:b/>
          <w:bCs/>
          <w:kern w:val="0"/>
          <w:sz w:val="22"/>
          <w:szCs w:val="22"/>
          <w:lang w:val="en-US" w:eastAsia="en-GB"/>
          <w14:ligatures w14:val="none"/>
        </w:rPr>
        <w:t>Operating Cash Flow Trend</w:t>
      </w:r>
    </w:p>
    <w:p w14:paraId="5AF07DE6"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Compare cash flow from operating activities to net income.</w:t>
      </w:r>
    </w:p>
    <w:p w14:paraId="571AB6A5" w14:textId="77777777" w:rsidR="00F77215" w:rsidRPr="00F77215" w:rsidRDefault="00F77215" w:rsidP="0023000A">
      <w:pPr>
        <w:widowControl w:val="0"/>
        <w:spacing w:line="276" w:lineRule="auto"/>
        <w:ind w:right="389"/>
        <w:rPr>
          <w:rFonts w:eastAsia="SimSun" w:cstheme="majorBidi"/>
          <w:kern w:val="0"/>
          <w:sz w:val="22"/>
          <w:szCs w:val="22"/>
          <w:lang w:val="en-US" w:eastAsia="en-GB"/>
          <w14:ligatures w14:val="none"/>
        </w:rPr>
      </w:pPr>
      <w:r w:rsidRPr="00F77215">
        <w:rPr>
          <w:rFonts w:eastAsia="SimSun" w:cstheme="majorBidi"/>
          <w:kern w:val="0"/>
          <w:sz w:val="22"/>
          <w:szCs w:val="22"/>
          <w:lang w:val="en-US" w:eastAsia="en-GB"/>
          <w14:ligatures w14:val="none"/>
        </w:rPr>
        <w:t>Also analyze whether Tesco generated or absorbed cash through working capital annually.</w:t>
      </w:r>
    </w:p>
    <w:p w14:paraId="29B61B01" w14:textId="77777777" w:rsidR="00987EEB" w:rsidRPr="0023000A" w:rsidRDefault="00987EEB" w:rsidP="0023000A">
      <w:pPr>
        <w:spacing w:line="276" w:lineRule="auto"/>
        <w:rPr>
          <w:rFonts w:cstheme="majorBidi"/>
          <w:lang w:val="en-US"/>
        </w:rPr>
      </w:pPr>
    </w:p>
    <w:sectPr w:rsidR="00987EEB" w:rsidRPr="0023000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A1AC9"/>
    <w:multiLevelType w:val="hybridMultilevel"/>
    <w:tmpl w:val="EE805A6C"/>
    <w:lvl w:ilvl="0" w:tplc="5790CC0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B85C8C"/>
    <w:multiLevelType w:val="multilevel"/>
    <w:tmpl w:val="6DBE72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5817F53"/>
    <w:multiLevelType w:val="hybridMultilevel"/>
    <w:tmpl w:val="E398D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F7511D6"/>
    <w:multiLevelType w:val="hybridMultilevel"/>
    <w:tmpl w:val="D228EB7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336541713">
    <w:abstractNumId w:val="1"/>
  </w:num>
  <w:num w:numId="2" w16cid:durableId="1760173127">
    <w:abstractNumId w:val="3"/>
  </w:num>
  <w:num w:numId="3" w16cid:durableId="16661565">
    <w:abstractNumId w:val="0"/>
  </w:num>
  <w:num w:numId="4" w16cid:durableId="1538439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characterSpacingControl w:val="doNotCompress"/>
  <w:savePreviewPicture/>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215"/>
    <w:rsid w:val="0004363C"/>
    <w:rsid w:val="00043E70"/>
    <w:rsid w:val="00044673"/>
    <w:rsid w:val="00144C94"/>
    <w:rsid w:val="00153E41"/>
    <w:rsid w:val="001F7A9B"/>
    <w:rsid w:val="0023000A"/>
    <w:rsid w:val="003629D1"/>
    <w:rsid w:val="003A4D47"/>
    <w:rsid w:val="003F5773"/>
    <w:rsid w:val="004E0BE4"/>
    <w:rsid w:val="005A7004"/>
    <w:rsid w:val="007816DE"/>
    <w:rsid w:val="007F184F"/>
    <w:rsid w:val="00835107"/>
    <w:rsid w:val="008B4F13"/>
    <w:rsid w:val="0095214C"/>
    <w:rsid w:val="00987EEB"/>
    <w:rsid w:val="009979B8"/>
    <w:rsid w:val="009E6426"/>
    <w:rsid w:val="00A2263D"/>
    <w:rsid w:val="00B15BE4"/>
    <w:rsid w:val="00B2749E"/>
    <w:rsid w:val="00B94D88"/>
    <w:rsid w:val="00BA71E8"/>
    <w:rsid w:val="00C02CB9"/>
    <w:rsid w:val="00D43D89"/>
    <w:rsid w:val="00E231D0"/>
    <w:rsid w:val="00EB50F0"/>
    <w:rsid w:val="00EE7237"/>
    <w:rsid w:val="00F772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FFD76F8"/>
  <w15:chartTrackingRefBased/>
  <w15:docId w15:val="{D74FFFF3-DC9B-434A-8968-027367CC41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2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2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2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2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2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2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2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2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2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2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2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2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2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2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2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2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2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215"/>
    <w:rPr>
      <w:rFonts w:eastAsiaTheme="majorEastAsia" w:cstheme="majorBidi"/>
      <w:color w:val="272727" w:themeColor="text1" w:themeTint="D8"/>
    </w:rPr>
  </w:style>
  <w:style w:type="paragraph" w:styleId="Title">
    <w:name w:val="Title"/>
    <w:basedOn w:val="Normal"/>
    <w:next w:val="Normal"/>
    <w:link w:val="TitleChar"/>
    <w:uiPriority w:val="10"/>
    <w:qFormat/>
    <w:rsid w:val="00F772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2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2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2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215"/>
    <w:pPr>
      <w:spacing w:before="160"/>
      <w:jc w:val="center"/>
    </w:pPr>
    <w:rPr>
      <w:i/>
      <w:iCs/>
      <w:color w:val="404040" w:themeColor="text1" w:themeTint="BF"/>
    </w:rPr>
  </w:style>
  <w:style w:type="character" w:customStyle="1" w:styleId="QuoteChar">
    <w:name w:val="Quote Char"/>
    <w:basedOn w:val="DefaultParagraphFont"/>
    <w:link w:val="Quote"/>
    <w:uiPriority w:val="29"/>
    <w:rsid w:val="00F77215"/>
    <w:rPr>
      <w:i/>
      <w:iCs/>
      <w:color w:val="404040" w:themeColor="text1" w:themeTint="BF"/>
    </w:rPr>
  </w:style>
  <w:style w:type="paragraph" w:styleId="ListParagraph">
    <w:name w:val="List Paragraph"/>
    <w:basedOn w:val="Normal"/>
    <w:uiPriority w:val="34"/>
    <w:qFormat/>
    <w:rsid w:val="00F77215"/>
    <w:pPr>
      <w:ind w:left="720"/>
      <w:contextualSpacing/>
    </w:pPr>
  </w:style>
  <w:style w:type="character" w:styleId="IntenseEmphasis">
    <w:name w:val="Intense Emphasis"/>
    <w:basedOn w:val="DefaultParagraphFont"/>
    <w:uiPriority w:val="21"/>
    <w:qFormat/>
    <w:rsid w:val="00F77215"/>
    <w:rPr>
      <w:i/>
      <w:iCs/>
      <w:color w:val="0F4761" w:themeColor="accent1" w:themeShade="BF"/>
    </w:rPr>
  </w:style>
  <w:style w:type="paragraph" w:styleId="IntenseQuote">
    <w:name w:val="Intense Quote"/>
    <w:basedOn w:val="Normal"/>
    <w:next w:val="Normal"/>
    <w:link w:val="IntenseQuoteChar"/>
    <w:uiPriority w:val="30"/>
    <w:qFormat/>
    <w:rsid w:val="00F772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215"/>
    <w:rPr>
      <w:i/>
      <w:iCs/>
      <w:color w:val="0F4761" w:themeColor="accent1" w:themeShade="BF"/>
    </w:rPr>
  </w:style>
  <w:style w:type="character" w:styleId="IntenseReference">
    <w:name w:val="Intense Reference"/>
    <w:basedOn w:val="DefaultParagraphFont"/>
    <w:uiPriority w:val="32"/>
    <w:qFormat/>
    <w:rsid w:val="00F77215"/>
    <w:rPr>
      <w:b/>
      <w:bCs/>
      <w:smallCaps/>
      <w:color w:val="0F4761" w:themeColor="accent1" w:themeShade="BF"/>
      <w:spacing w:val="5"/>
    </w:rPr>
  </w:style>
  <w:style w:type="paragraph" w:styleId="NoSpacing">
    <w:name w:val="No Spacing"/>
    <w:uiPriority w:val="1"/>
    <w:qFormat/>
    <w:rsid w:val="00144C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2678294">
      <w:bodyDiv w:val="1"/>
      <w:marLeft w:val="0"/>
      <w:marRight w:val="0"/>
      <w:marTop w:val="0"/>
      <w:marBottom w:val="0"/>
      <w:divBdr>
        <w:top w:val="none" w:sz="0" w:space="0" w:color="auto"/>
        <w:left w:val="none" w:sz="0" w:space="0" w:color="auto"/>
        <w:bottom w:val="none" w:sz="0" w:space="0" w:color="auto"/>
        <w:right w:val="none" w:sz="0" w:space="0" w:color="auto"/>
      </w:divBdr>
    </w:div>
    <w:div w:id="16686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820</Words>
  <Characters>4432</Characters>
  <Application>Microsoft Office Word</Application>
  <DocSecurity>0</DocSecurity>
  <Lines>128</Lines>
  <Paragraphs>109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Yeboah</dc:creator>
  <cp:keywords/>
  <dc:description/>
  <cp:lastModifiedBy>Patrick Yeboah</cp:lastModifiedBy>
  <cp:revision>24</cp:revision>
  <dcterms:created xsi:type="dcterms:W3CDTF">2025-11-10T20:29:00Z</dcterms:created>
  <dcterms:modified xsi:type="dcterms:W3CDTF">2025-11-12T09:18:00Z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eb3e74a4-adf7-40e2-b895-a85987225741</vt:lpwstr>
  </property>
</Properties>
</file>