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BD3BAA" w14:textId="77777777" w:rsidR="00693FAF" w:rsidRPr="00693FAF" w:rsidRDefault="00693FAF" w:rsidP="00357BE6">
      <w:pPr>
        <w:spacing w:line="360" w:lineRule="auto"/>
        <w:jc w:val="both"/>
        <w:rPr>
          <w:rFonts w:asciiTheme="minorBidi" w:hAnsiTheme="minorBidi"/>
          <w:sz w:val="28"/>
          <w:szCs w:val="28"/>
        </w:rPr>
      </w:pPr>
    </w:p>
    <w:p w14:paraId="64B23053" w14:textId="77777777" w:rsidR="000F6FC1" w:rsidRPr="000F6FC1" w:rsidRDefault="000F6FC1" w:rsidP="00111022">
      <w:pPr>
        <w:spacing w:line="360" w:lineRule="auto"/>
        <w:ind w:firstLine="720"/>
        <w:rPr>
          <w:rFonts w:asciiTheme="minorBidi" w:hAnsiTheme="minorBidi"/>
          <w:sz w:val="28"/>
          <w:szCs w:val="28"/>
        </w:rPr>
      </w:pPr>
      <w:r w:rsidRPr="000F6FC1">
        <w:rPr>
          <w:rFonts w:asciiTheme="minorBidi" w:hAnsiTheme="minorBidi"/>
          <w:b/>
          <w:bCs/>
          <w:sz w:val="28"/>
          <w:szCs w:val="28"/>
          <w:lang w:val="en-US"/>
        </w:rPr>
        <w:t>Module Title and Code: BMHP6027 –Integrating Health, Wellbeing, and Sustainable Development in Health and Social Care</w:t>
      </w:r>
    </w:p>
    <w:p w14:paraId="22F4DE42" w14:textId="77777777" w:rsidR="000F6FC1" w:rsidRPr="000F6FC1" w:rsidRDefault="000F6FC1" w:rsidP="00111022">
      <w:pPr>
        <w:spacing w:line="360" w:lineRule="auto"/>
        <w:ind w:firstLine="720"/>
        <w:rPr>
          <w:rFonts w:asciiTheme="minorBidi" w:hAnsiTheme="minorBidi"/>
          <w:sz w:val="28"/>
          <w:szCs w:val="28"/>
        </w:rPr>
      </w:pPr>
      <w:r w:rsidRPr="000F6FC1">
        <w:rPr>
          <w:rFonts w:asciiTheme="minorBidi" w:hAnsiTheme="minorBidi"/>
          <w:b/>
          <w:bCs/>
          <w:sz w:val="28"/>
          <w:szCs w:val="28"/>
          <w:lang w:val="en-US"/>
        </w:rPr>
        <w:t>Student name/ student number: Paul Amoh / 2246297</w:t>
      </w:r>
    </w:p>
    <w:p w14:paraId="1059633C" w14:textId="77777777" w:rsidR="0084653E" w:rsidRDefault="0084653E" w:rsidP="00693FAF">
      <w:pPr>
        <w:spacing w:line="360" w:lineRule="auto"/>
        <w:ind w:firstLine="720"/>
        <w:jc w:val="both"/>
        <w:rPr>
          <w:rFonts w:asciiTheme="minorBidi" w:hAnsiTheme="minorBidi"/>
          <w:sz w:val="28"/>
          <w:szCs w:val="28"/>
        </w:rPr>
      </w:pPr>
    </w:p>
    <w:p w14:paraId="5BFD11AB" w14:textId="77777777" w:rsidR="0084653E" w:rsidRDefault="0084653E" w:rsidP="00693FAF">
      <w:pPr>
        <w:spacing w:line="360" w:lineRule="auto"/>
        <w:ind w:firstLine="720"/>
        <w:jc w:val="both"/>
        <w:rPr>
          <w:rFonts w:asciiTheme="minorBidi" w:hAnsiTheme="minorBidi"/>
          <w:sz w:val="28"/>
          <w:szCs w:val="28"/>
        </w:rPr>
      </w:pPr>
    </w:p>
    <w:p w14:paraId="6F1E5D7B" w14:textId="77777777" w:rsidR="0084653E" w:rsidRDefault="0084653E" w:rsidP="00693FAF">
      <w:pPr>
        <w:spacing w:line="360" w:lineRule="auto"/>
        <w:ind w:firstLine="720"/>
        <w:jc w:val="both"/>
        <w:rPr>
          <w:rFonts w:asciiTheme="minorBidi" w:hAnsiTheme="minorBidi"/>
          <w:sz w:val="28"/>
          <w:szCs w:val="28"/>
        </w:rPr>
      </w:pPr>
    </w:p>
    <w:p w14:paraId="2B261FF5" w14:textId="77777777" w:rsidR="0084653E" w:rsidRPr="00693FAF" w:rsidRDefault="0084653E" w:rsidP="00693FAF">
      <w:pPr>
        <w:spacing w:line="360" w:lineRule="auto"/>
        <w:ind w:firstLine="720"/>
        <w:jc w:val="both"/>
        <w:rPr>
          <w:rFonts w:asciiTheme="minorBidi" w:hAnsiTheme="minorBidi"/>
          <w:sz w:val="28"/>
          <w:szCs w:val="28"/>
        </w:rPr>
      </w:pPr>
    </w:p>
    <w:p w14:paraId="47831E27" w14:textId="77777777" w:rsidR="00BD5371" w:rsidRPr="00111022" w:rsidRDefault="00BD5371" w:rsidP="00111022">
      <w:pPr>
        <w:spacing w:line="360" w:lineRule="auto"/>
        <w:ind w:firstLine="720"/>
        <w:jc w:val="center"/>
        <w:rPr>
          <w:rFonts w:ascii="Arial" w:hAnsi="Arial" w:cs="Arial"/>
          <w:b/>
          <w:bCs/>
          <w:sz w:val="22"/>
          <w:szCs w:val="22"/>
        </w:rPr>
      </w:pPr>
      <w:r w:rsidRPr="00111022">
        <w:rPr>
          <w:rFonts w:ascii="Arial" w:hAnsi="Arial" w:cs="Arial"/>
          <w:b/>
          <w:bCs/>
          <w:sz w:val="22"/>
          <w:szCs w:val="22"/>
        </w:rPr>
        <w:t>The Impact of SDG 3 (Good Health and Wellbeing) and SDG 10 (Reduced Inequalities) on Citizens’ Health and Wellbeing: A Critical Analysis of Global, National, and Local Initiatives</w:t>
      </w:r>
    </w:p>
    <w:p w14:paraId="790E07E6" w14:textId="77777777" w:rsidR="00C55059" w:rsidRDefault="00C55059" w:rsidP="00693FAF">
      <w:pPr>
        <w:spacing w:line="360" w:lineRule="auto"/>
        <w:ind w:firstLine="720"/>
        <w:jc w:val="center"/>
        <w:rPr>
          <w:rFonts w:ascii="Arial" w:hAnsi="Arial" w:cs="Arial"/>
          <w:sz w:val="22"/>
          <w:szCs w:val="22"/>
        </w:rPr>
      </w:pPr>
    </w:p>
    <w:p w14:paraId="6CE9FA43" w14:textId="77777777" w:rsidR="00C55059" w:rsidRPr="002E03B3" w:rsidRDefault="00C55059" w:rsidP="00693FAF">
      <w:pPr>
        <w:spacing w:line="360" w:lineRule="auto"/>
        <w:ind w:firstLine="720"/>
        <w:jc w:val="center"/>
        <w:rPr>
          <w:rFonts w:ascii="Arial" w:hAnsi="Arial" w:cs="Arial"/>
          <w:sz w:val="22"/>
          <w:szCs w:val="22"/>
        </w:rPr>
      </w:pPr>
    </w:p>
    <w:p w14:paraId="2B4D4136" w14:textId="77777777" w:rsidR="00BD5371" w:rsidRPr="002E03B3" w:rsidRDefault="00BD5371" w:rsidP="00693FAF">
      <w:pPr>
        <w:spacing w:line="360" w:lineRule="auto"/>
        <w:ind w:firstLine="720"/>
        <w:jc w:val="both"/>
        <w:rPr>
          <w:rFonts w:ascii="Arial" w:hAnsi="Arial" w:cs="Arial"/>
          <w:sz w:val="22"/>
          <w:szCs w:val="22"/>
        </w:rPr>
      </w:pPr>
    </w:p>
    <w:p w14:paraId="5C3BB8DE" w14:textId="77777777" w:rsidR="00BD5371" w:rsidRPr="002E03B3" w:rsidRDefault="00BD5371" w:rsidP="00693FAF">
      <w:pPr>
        <w:spacing w:after="160" w:line="360" w:lineRule="auto"/>
        <w:ind w:firstLine="720"/>
        <w:rPr>
          <w:rFonts w:ascii="Arial" w:hAnsi="Arial" w:cs="Arial"/>
          <w:sz w:val="22"/>
          <w:szCs w:val="22"/>
        </w:rPr>
      </w:pPr>
      <w:r w:rsidRPr="002E03B3">
        <w:rPr>
          <w:rFonts w:ascii="Arial" w:hAnsi="Arial" w:cs="Arial"/>
          <w:sz w:val="22"/>
          <w:szCs w:val="22"/>
        </w:rPr>
        <w:br w:type="page"/>
      </w:r>
    </w:p>
    <w:sdt>
      <w:sdtPr>
        <w:rPr>
          <w:rFonts w:ascii="Arial" w:eastAsiaTheme="minorEastAsia" w:hAnsi="Arial" w:cs="Arial"/>
          <w:b w:val="0"/>
          <w:color w:val="auto"/>
          <w:sz w:val="22"/>
          <w:szCs w:val="22"/>
        </w:rPr>
        <w:id w:val="1789399184"/>
        <w:docPartObj>
          <w:docPartGallery w:val="Table of Contents"/>
          <w:docPartUnique/>
        </w:docPartObj>
      </w:sdtPr>
      <w:sdtEndPr>
        <w:rPr>
          <w:bCs/>
          <w:noProof/>
        </w:rPr>
      </w:sdtEndPr>
      <w:sdtContent>
        <w:p w14:paraId="66A04C6C" w14:textId="5FD624F4" w:rsidR="000558A6" w:rsidRPr="002E03B3" w:rsidRDefault="000558A6" w:rsidP="000558A6">
          <w:pPr>
            <w:pStyle w:val="TOCHeading"/>
            <w:spacing w:line="360" w:lineRule="auto"/>
            <w:jc w:val="center"/>
            <w:rPr>
              <w:rFonts w:ascii="Arial" w:hAnsi="Arial" w:cs="Arial"/>
              <w:sz w:val="22"/>
              <w:szCs w:val="22"/>
            </w:rPr>
          </w:pPr>
          <w:r w:rsidRPr="002E03B3">
            <w:rPr>
              <w:rFonts w:ascii="Arial" w:hAnsi="Arial" w:cs="Arial"/>
              <w:sz w:val="22"/>
              <w:szCs w:val="22"/>
            </w:rPr>
            <w:t>Contents</w:t>
          </w:r>
        </w:p>
        <w:p w14:paraId="5301F912" w14:textId="1D0D24F5" w:rsidR="000558A6" w:rsidRPr="002E03B3" w:rsidRDefault="000558A6" w:rsidP="000558A6">
          <w:pPr>
            <w:pStyle w:val="TOC1"/>
            <w:tabs>
              <w:tab w:val="left" w:pos="480"/>
              <w:tab w:val="right" w:leader="dot" w:pos="9350"/>
            </w:tabs>
            <w:spacing w:line="360" w:lineRule="auto"/>
            <w:rPr>
              <w:rFonts w:ascii="Arial" w:hAnsi="Arial" w:cs="Arial"/>
              <w:noProof/>
              <w:sz w:val="22"/>
              <w:szCs w:val="22"/>
            </w:rPr>
          </w:pPr>
          <w:r w:rsidRPr="002E03B3">
            <w:rPr>
              <w:rFonts w:ascii="Arial" w:hAnsi="Arial" w:cs="Arial"/>
              <w:sz w:val="22"/>
              <w:szCs w:val="22"/>
            </w:rPr>
            <w:fldChar w:fldCharType="begin"/>
          </w:r>
          <w:r w:rsidRPr="002E03B3">
            <w:rPr>
              <w:rFonts w:ascii="Arial" w:hAnsi="Arial" w:cs="Arial"/>
              <w:sz w:val="22"/>
              <w:szCs w:val="22"/>
            </w:rPr>
            <w:instrText xml:space="preserve"> TOC \o "1-3" \h \z \u </w:instrText>
          </w:r>
          <w:r w:rsidRPr="002E03B3">
            <w:rPr>
              <w:rFonts w:ascii="Arial" w:hAnsi="Arial" w:cs="Arial"/>
              <w:sz w:val="22"/>
              <w:szCs w:val="22"/>
            </w:rPr>
            <w:fldChar w:fldCharType="separate"/>
          </w:r>
          <w:hyperlink w:anchor="_Toc223813936" w:history="1">
            <w:r w:rsidRPr="002E03B3">
              <w:rPr>
                <w:rStyle w:val="Hyperlink"/>
                <w:rFonts w:ascii="Arial" w:hAnsi="Arial" w:cs="Arial"/>
                <w:noProof/>
                <w:sz w:val="22"/>
                <w:szCs w:val="22"/>
              </w:rPr>
              <w:t>1.</w:t>
            </w:r>
            <w:r w:rsidRPr="002E03B3">
              <w:rPr>
                <w:rFonts w:ascii="Arial" w:hAnsi="Arial" w:cs="Arial"/>
                <w:noProof/>
                <w:sz w:val="22"/>
                <w:szCs w:val="22"/>
              </w:rPr>
              <w:tab/>
            </w:r>
            <w:r w:rsidRPr="002E03B3">
              <w:rPr>
                <w:rStyle w:val="Hyperlink"/>
                <w:rFonts w:ascii="Arial" w:hAnsi="Arial" w:cs="Arial"/>
                <w:noProof/>
                <w:sz w:val="22"/>
                <w:szCs w:val="22"/>
              </w:rPr>
              <w:t>Introduction</w:t>
            </w:r>
            <w:r w:rsidRPr="002E03B3">
              <w:rPr>
                <w:rFonts w:ascii="Arial" w:hAnsi="Arial" w:cs="Arial"/>
                <w:noProof/>
                <w:webHidden/>
                <w:sz w:val="22"/>
                <w:szCs w:val="22"/>
              </w:rPr>
              <w:tab/>
            </w:r>
            <w:r w:rsidRPr="002E03B3">
              <w:rPr>
                <w:rFonts w:ascii="Arial" w:hAnsi="Arial" w:cs="Arial"/>
                <w:noProof/>
                <w:webHidden/>
                <w:sz w:val="22"/>
                <w:szCs w:val="22"/>
              </w:rPr>
              <w:fldChar w:fldCharType="begin"/>
            </w:r>
            <w:r w:rsidRPr="002E03B3">
              <w:rPr>
                <w:rFonts w:ascii="Arial" w:hAnsi="Arial" w:cs="Arial"/>
                <w:noProof/>
                <w:webHidden/>
                <w:sz w:val="22"/>
                <w:szCs w:val="22"/>
              </w:rPr>
              <w:instrText xml:space="preserve"> PAGEREF _Toc223813936 \h </w:instrText>
            </w:r>
            <w:r w:rsidRPr="002E03B3">
              <w:rPr>
                <w:rFonts w:ascii="Arial" w:hAnsi="Arial" w:cs="Arial"/>
                <w:noProof/>
                <w:webHidden/>
                <w:sz w:val="22"/>
                <w:szCs w:val="22"/>
              </w:rPr>
            </w:r>
            <w:r w:rsidRPr="002E03B3">
              <w:rPr>
                <w:rFonts w:ascii="Arial" w:hAnsi="Arial" w:cs="Arial"/>
                <w:noProof/>
                <w:webHidden/>
                <w:sz w:val="22"/>
                <w:szCs w:val="22"/>
              </w:rPr>
              <w:fldChar w:fldCharType="separate"/>
            </w:r>
            <w:r w:rsidRPr="002E03B3">
              <w:rPr>
                <w:rFonts w:ascii="Arial" w:hAnsi="Arial" w:cs="Arial"/>
                <w:noProof/>
                <w:webHidden/>
                <w:sz w:val="22"/>
                <w:szCs w:val="22"/>
              </w:rPr>
              <w:t>3</w:t>
            </w:r>
            <w:r w:rsidRPr="002E03B3">
              <w:rPr>
                <w:rFonts w:ascii="Arial" w:hAnsi="Arial" w:cs="Arial"/>
                <w:noProof/>
                <w:webHidden/>
                <w:sz w:val="22"/>
                <w:szCs w:val="22"/>
              </w:rPr>
              <w:fldChar w:fldCharType="end"/>
            </w:r>
          </w:hyperlink>
        </w:p>
        <w:p w14:paraId="0DBCFA43" w14:textId="35265325" w:rsidR="000558A6" w:rsidRPr="002E03B3" w:rsidRDefault="000558A6" w:rsidP="000558A6">
          <w:pPr>
            <w:pStyle w:val="TOC1"/>
            <w:tabs>
              <w:tab w:val="left" w:pos="480"/>
              <w:tab w:val="right" w:leader="dot" w:pos="9350"/>
            </w:tabs>
            <w:spacing w:line="360" w:lineRule="auto"/>
            <w:rPr>
              <w:rFonts w:ascii="Arial" w:hAnsi="Arial" w:cs="Arial"/>
              <w:noProof/>
              <w:sz w:val="22"/>
              <w:szCs w:val="22"/>
            </w:rPr>
          </w:pPr>
          <w:hyperlink w:anchor="_Toc223813937" w:history="1">
            <w:r w:rsidRPr="002E03B3">
              <w:rPr>
                <w:rStyle w:val="Hyperlink"/>
                <w:rFonts w:ascii="Arial" w:hAnsi="Arial" w:cs="Arial"/>
                <w:noProof/>
                <w:sz w:val="22"/>
                <w:szCs w:val="22"/>
              </w:rPr>
              <w:t>2.</w:t>
            </w:r>
            <w:r w:rsidRPr="002E03B3">
              <w:rPr>
                <w:rFonts w:ascii="Arial" w:hAnsi="Arial" w:cs="Arial"/>
                <w:noProof/>
                <w:sz w:val="22"/>
                <w:szCs w:val="22"/>
              </w:rPr>
              <w:tab/>
            </w:r>
            <w:r w:rsidRPr="002E03B3">
              <w:rPr>
                <w:rStyle w:val="Hyperlink"/>
                <w:rFonts w:ascii="Arial" w:hAnsi="Arial" w:cs="Arial"/>
                <w:noProof/>
                <w:sz w:val="22"/>
                <w:szCs w:val="22"/>
              </w:rPr>
              <w:t>Literature Review and Theoretical Background</w:t>
            </w:r>
            <w:r w:rsidRPr="002E03B3">
              <w:rPr>
                <w:rFonts w:ascii="Arial" w:hAnsi="Arial" w:cs="Arial"/>
                <w:noProof/>
                <w:webHidden/>
                <w:sz w:val="22"/>
                <w:szCs w:val="22"/>
              </w:rPr>
              <w:tab/>
            </w:r>
            <w:r w:rsidRPr="002E03B3">
              <w:rPr>
                <w:rFonts w:ascii="Arial" w:hAnsi="Arial" w:cs="Arial"/>
                <w:noProof/>
                <w:webHidden/>
                <w:sz w:val="22"/>
                <w:szCs w:val="22"/>
              </w:rPr>
              <w:fldChar w:fldCharType="begin"/>
            </w:r>
            <w:r w:rsidRPr="002E03B3">
              <w:rPr>
                <w:rFonts w:ascii="Arial" w:hAnsi="Arial" w:cs="Arial"/>
                <w:noProof/>
                <w:webHidden/>
                <w:sz w:val="22"/>
                <w:szCs w:val="22"/>
              </w:rPr>
              <w:instrText xml:space="preserve"> PAGEREF _Toc223813937 \h </w:instrText>
            </w:r>
            <w:r w:rsidRPr="002E03B3">
              <w:rPr>
                <w:rFonts w:ascii="Arial" w:hAnsi="Arial" w:cs="Arial"/>
                <w:noProof/>
                <w:webHidden/>
                <w:sz w:val="22"/>
                <w:szCs w:val="22"/>
              </w:rPr>
            </w:r>
            <w:r w:rsidRPr="002E03B3">
              <w:rPr>
                <w:rFonts w:ascii="Arial" w:hAnsi="Arial" w:cs="Arial"/>
                <w:noProof/>
                <w:webHidden/>
                <w:sz w:val="22"/>
                <w:szCs w:val="22"/>
              </w:rPr>
              <w:fldChar w:fldCharType="separate"/>
            </w:r>
            <w:r w:rsidRPr="002E03B3">
              <w:rPr>
                <w:rFonts w:ascii="Arial" w:hAnsi="Arial" w:cs="Arial"/>
                <w:noProof/>
                <w:webHidden/>
                <w:sz w:val="22"/>
                <w:szCs w:val="22"/>
              </w:rPr>
              <w:t>3</w:t>
            </w:r>
            <w:r w:rsidRPr="002E03B3">
              <w:rPr>
                <w:rFonts w:ascii="Arial" w:hAnsi="Arial" w:cs="Arial"/>
                <w:noProof/>
                <w:webHidden/>
                <w:sz w:val="22"/>
                <w:szCs w:val="22"/>
              </w:rPr>
              <w:fldChar w:fldCharType="end"/>
            </w:r>
          </w:hyperlink>
        </w:p>
        <w:p w14:paraId="25D9A433" w14:textId="1BF7DC4D" w:rsidR="000558A6" w:rsidRPr="002E03B3" w:rsidRDefault="000558A6" w:rsidP="000558A6">
          <w:pPr>
            <w:pStyle w:val="TOC1"/>
            <w:tabs>
              <w:tab w:val="left" w:pos="480"/>
              <w:tab w:val="right" w:leader="dot" w:pos="9350"/>
            </w:tabs>
            <w:spacing w:line="360" w:lineRule="auto"/>
            <w:rPr>
              <w:rFonts w:ascii="Arial" w:hAnsi="Arial" w:cs="Arial"/>
              <w:noProof/>
              <w:sz w:val="22"/>
              <w:szCs w:val="22"/>
            </w:rPr>
          </w:pPr>
          <w:hyperlink w:anchor="_Toc223813938" w:history="1">
            <w:r w:rsidRPr="002E03B3">
              <w:rPr>
                <w:rStyle w:val="Hyperlink"/>
                <w:rFonts w:ascii="Arial" w:hAnsi="Arial" w:cs="Arial"/>
                <w:noProof/>
                <w:sz w:val="22"/>
                <w:szCs w:val="22"/>
              </w:rPr>
              <w:t>3.</w:t>
            </w:r>
            <w:r w:rsidRPr="002E03B3">
              <w:rPr>
                <w:rFonts w:ascii="Arial" w:hAnsi="Arial" w:cs="Arial"/>
                <w:noProof/>
                <w:sz w:val="22"/>
                <w:szCs w:val="22"/>
              </w:rPr>
              <w:tab/>
            </w:r>
            <w:r w:rsidRPr="002E03B3">
              <w:rPr>
                <w:rStyle w:val="Hyperlink"/>
                <w:rFonts w:ascii="Arial" w:hAnsi="Arial" w:cs="Arial"/>
                <w:noProof/>
                <w:sz w:val="22"/>
                <w:szCs w:val="22"/>
              </w:rPr>
              <w:t>Analysis of SDGs Impact on Health and Wellbeing</w:t>
            </w:r>
            <w:r w:rsidRPr="002E03B3">
              <w:rPr>
                <w:rFonts w:ascii="Arial" w:hAnsi="Arial" w:cs="Arial"/>
                <w:noProof/>
                <w:webHidden/>
                <w:sz w:val="22"/>
                <w:szCs w:val="22"/>
              </w:rPr>
              <w:tab/>
            </w:r>
            <w:r w:rsidRPr="002E03B3">
              <w:rPr>
                <w:rFonts w:ascii="Arial" w:hAnsi="Arial" w:cs="Arial"/>
                <w:noProof/>
                <w:webHidden/>
                <w:sz w:val="22"/>
                <w:szCs w:val="22"/>
              </w:rPr>
              <w:fldChar w:fldCharType="begin"/>
            </w:r>
            <w:r w:rsidRPr="002E03B3">
              <w:rPr>
                <w:rFonts w:ascii="Arial" w:hAnsi="Arial" w:cs="Arial"/>
                <w:noProof/>
                <w:webHidden/>
                <w:sz w:val="22"/>
                <w:szCs w:val="22"/>
              </w:rPr>
              <w:instrText xml:space="preserve"> PAGEREF _Toc223813938 \h </w:instrText>
            </w:r>
            <w:r w:rsidRPr="002E03B3">
              <w:rPr>
                <w:rFonts w:ascii="Arial" w:hAnsi="Arial" w:cs="Arial"/>
                <w:noProof/>
                <w:webHidden/>
                <w:sz w:val="22"/>
                <w:szCs w:val="22"/>
              </w:rPr>
            </w:r>
            <w:r w:rsidRPr="002E03B3">
              <w:rPr>
                <w:rFonts w:ascii="Arial" w:hAnsi="Arial" w:cs="Arial"/>
                <w:noProof/>
                <w:webHidden/>
                <w:sz w:val="22"/>
                <w:szCs w:val="22"/>
              </w:rPr>
              <w:fldChar w:fldCharType="separate"/>
            </w:r>
            <w:r w:rsidRPr="002E03B3">
              <w:rPr>
                <w:rFonts w:ascii="Arial" w:hAnsi="Arial" w:cs="Arial"/>
                <w:noProof/>
                <w:webHidden/>
                <w:sz w:val="22"/>
                <w:szCs w:val="22"/>
              </w:rPr>
              <w:t>4</w:t>
            </w:r>
            <w:r w:rsidRPr="002E03B3">
              <w:rPr>
                <w:rFonts w:ascii="Arial" w:hAnsi="Arial" w:cs="Arial"/>
                <w:noProof/>
                <w:webHidden/>
                <w:sz w:val="22"/>
                <w:szCs w:val="22"/>
              </w:rPr>
              <w:fldChar w:fldCharType="end"/>
            </w:r>
          </w:hyperlink>
        </w:p>
        <w:p w14:paraId="297CF36C" w14:textId="249FDFD4" w:rsidR="000558A6" w:rsidRPr="002E03B3" w:rsidRDefault="000558A6" w:rsidP="000558A6">
          <w:pPr>
            <w:pStyle w:val="TOC2"/>
            <w:tabs>
              <w:tab w:val="right" w:leader="dot" w:pos="9350"/>
            </w:tabs>
            <w:spacing w:line="360" w:lineRule="auto"/>
            <w:rPr>
              <w:rFonts w:ascii="Arial" w:hAnsi="Arial" w:cs="Arial"/>
              <w:noProof/>
              <w:sz w:val="22"/>
              <w:szCs w:val="22"/>
            </w:rPr>
          </w:pPr>
          <w:hyperlink w:anchor="_Toc223813939" w:history="1">
            <w:r w:rsidRPr="002E03B3">
              <w:rPr>
                <w:rStyle w:val="Hyperlink"/>
                <w:rFonts w:ascii="Arial" w:hAnsi="Arial" w:cs="Arial"/>
                <w:noProof/>
                <w:sz w:val="22"/>
                <w:szCs w:val="22"/>
              </w:rPr>
              <w:t>3.1 SDG 3: Good Health and Wellbeing</w:t>
            </w:r>
            <w:r w:rsidRPr="002E03B3">
              <w:rPr>
                <w:rFonts w:ascii="Arial" w:hAnsi="Arial" w:cs="Arial"/>
                <w:noProof/>
                <w:webHidden/>
                <w:sz w:val="22"/>
                <w:szCs w:val="22"/>
              </w:rPr>
              <w:tab/>
            </w:r>
            <w:r w:rsidRPr="002E03B3">
              <w:rPr>
                <w:rFonts w:ascii="Arial" w:hAnsi="Arial" w:cs="Arial"/>
                <w:noProof/>
                <w:webHidden/>
                <w:sz w:val="22"/>
                <w:szCs w:val="22"/>
              </w:rPr>
              <w:fldChar w:fldCharType="begin"/>
            </w:r>
            <w:r w:rsidRPr="002E03B3">
              <w:rPr>
                <w:rFonts w:ascii="Arial" w:hAnsi="Arial" w:cs="Arial"/>
                <w:noProof/>
                <w:webHidden/>
                <w:sz w:val="22"/>
                <w:szCs w:val="22"/>
              </w:rPr>
              <w:instrText xml:space="preserve"> PAGEREF _Toc223813939 \h </w:instrText>
            </w:r>
            <w:r w:rsidRPr="002E03B3">
              <w:rPr>
                <w:rFonts w:ascii="Arial" w:hAnsi="Arial" w:cs="Arial"/>
                <w:noProof/>
                <w:webHidden/>
                <w:sz w:val="22"/>
                <w:szCs w:val="22"/>
              </w:rPr>
            </w:r>
            <w:r w:rsidRPr="002E03B3">
              <w:rPr>
                <w:rFonts w:ascii="Arial" w:hAnsi="Arial" w:cs="Arial"/>
                <w:noProof/>
                <w:webHidden/>
                <w:sz w:val="22"/>
                <w:szCs w:val="22"/>
              </w:rPr>
              <w:fldChar w:fldCharType="separate"/>
            </w:r>
            <w:r w:rsidRPr="002E03B3">
              <w:rPr>
                <w:rFonts w:ascii="Arial" w:hAnsi="Arial" w:cs="Arial"/>
                <w:noProof/>
                <w:webHidden/>
                <w:sz w:val="22"/>
                <w:szCs w:val="22"/>
              </w:rPr>
              <w:t>4</w:t>
            </w:r>
            <w:r w:rsidRPr="002E03B3">
              <w:rPr>
                <w:rFonts w:ascii="Arial" w:hAnsi="Arial" w:cs="Arial"/>
                <w:noProof/>
                <w:webHidden/>
                <w:sz w:val="22"/>
                <w:szCs w:val="22"/>
              </w:rPr>
              <w:fldChar w:fldCharType="end"/>
            </w:r>
          </w:hyperlink>
        </w:p>
        <w:p w14:paraId="3993473C" w14:textId="413D000B" w:rsidR="000558A6" w:rsidRPr="002E03B3" w:rsidRDefault="000558A6" w:rsidP="000558A6">
          <w:pPr>
            <w:pStyle w:val="TOC2"/>
            <w:tabs>
              <w:tab w:val="left" w:pos="960"/>
              <w:tab w:val="right" w:leader="dot" w:pos="9350"/>
            </w:tabs>
            <w:spacing w:line="360" w:lineRule="auto"/>
            <w:rPr>
              <w:rFonts w:ascii="Arial" w:hAnsi="Arial" w:cs="Arial"/>
              <w:noProof/>
              <w:sz w:val="22"/>
              <w:szCs w:val="22"/>
            </w:rPr>
          </w:pPr>
          <w:hyperlink w:anchor="_Toc223813940" w:history="1">
            <w:r w:rsidRPr="002E03B3">
              <w:rPr>
                <w:rStyle w:val="Hyperlink"/>
                <w:rFonts w:ascii="Arial" w:hAnsi="Arial" w:cs="Arial"/>
                <w:noProof/>
                <w:sz w:val="22"/>
                <w:szCs w:val="22"/>
              </w:rPr>
              <w:t>3.2</w:t>
            </w:r>
            <w:r w:rsidRPr="002E03B3">
              <w:rPr>
                <w:rFonts w:ascii="Arial" w:hAnsi="Arial" w:cs="Arial"/>
                <w:noProof/>
                <w:sz w:val="22"/>
                <w:szCs w:val="22"/>
              </w:rPr>
              <w:tab/>
            </w:r>
            <w:r w:rsidRPr="002E03B3">
              <w:rPr>
                <w:rStyle w:val="Hyperlink"/>
                <w:rFonts w:ascii="Arial" w:hAnsi="Arial" w:cs="Arial"/>
                <w:noProof/>
                <w:sz w:val="22"/>
                <w:szCs w:val="22"/>
              </w:rPr>
              <w:t>SDG 10: Reduced Inequalities</w:t>
            </w:r>
            <w:r w:rsidRPr="002E03B3">
              <w:rPr>
                <w:rFonts w:ascii="Arial" w:hAnsi="Arial" w:cs="Arial"/>
                <w:noProof/>
                <w:webHidden/>
                <w:sz w:val="22"/>
                <w:szCs w:val="22"/>
              </w:rPr>
              <w:tab/>
            </w:r>
            <w:r w:rsidRPr="002E03B3">
              <w:rPr>
                <w:rFonts w:ascii="Arial" w:hAnsi="Arial" w:cs="Arial"/>
                <w:noProof/>
                <w:webHidden/>
                <w:sz w:val="22"/>
                <w:szCs w:val="22"/>
              </w:rPr>
              <w:fldChar w:fldCharType="begin"/>
            </w:r>
            <w:r w:rsidRPr="002E03B3">
              <w:rPr>
                <w:rFonts w:ascii="Arial" w:hAnsi="Arial" w:cs="Arial"/>
                <w:noProof/>
                <w:webHidden/>
                <w:sz w:val="22"/>
                <w:szCs w:val="22"/>
              </w:rPr>
              <w:instrText xml:space="preserve"> PAGEREF _Toc223813940 \h </w:instrText>
            </w:r>
            <w:r w:rsidRPr="002E03B3">
              <w:rPr>
                <w:rFonts w:ascii="Arial" w:hAnsi="Arial" w:cs="Arial"/>
                <w:noProof/>
                <w:webHidden/>
                <w:sz w:val="22"/>
                <w:szCs w:val="22"/>
              </w:rPr>
            </w:r>
            <w:r w:rsidRPr="002E03B3">
              <w:rPr>
                <w:rFonts w:ascii="Arial" w:hAnsi="Arial" w:cs="Arial"/>
                <w:noProof/>
                <w:webHidden/>
                <w:sz w:val="22"/>
                <w:szCs w:val="22"/>
              </w:rPr>
              <w:fldChar w:fldCharType="separate"/>
            </w:r>
            <w:r w:rsidRPr="002E03B3">
              <w:rPr>
                <w:rFonts w:ascii="Arial" w:hAnsi="Arial" w:cs="Arial"/>
                <w:noProof/>
                <w:webHidden/>
                <w:sz w:val="22"/>
                <w:szCs w:val="22"/>
              </w:rPr>
              <w:t>5</w:t>
            </w:r>
            <w:r w:rsidRPr="002E03B3">
              <w:rPr>
                <w:rFonts w:ascii="Arial" w:hAnsi="Arial" w:cs="Arial"/>
                <w:noProof/>
                <w:webHidden/>
                <w:sz w:val="22"/>
                <w:szCs w:val="22"/>
              </w:rPr>
              <w:fldChar w:fldCharType="end"/>
            </w:r>
          </w:hyperlink>
        </w:p>
        <w:p w14:paraId="622089D5" w14:textId="5A916AFF" w:rsidR="000558A6" w:rsidRPr="002E03B3" w:rsidRDefault="000558A6" w:rsidP="000558A6">
          <w:pPr>
            <w:pStyle w:val="TOC1"/>
            <w:tabs>
              <w:tab w:val="left" w:pos="480"/>
              <w:tab w:val="right" w:leader="dot" w:pos="9350"/>
            </w:tabs>
            <w:spacing w:line="360" w:lineRule="auto"/>
            <w:rPr>
              <w:rFonts w:ascii="Arial" w:hAnsi="Arial" w:cs="Arial"/>
              <w:noProof/>
              <w:sz w:val="22"/>
              <w:szCs w:val="22"/>
            </w:rPr>
          </w:pPr>
          <w:hyperlink w:anchor="_Toc223813941" w:history="1">
            <w:r w:rsidRPr="002E03B3">
              <w:rPr>
                <w:rStyle w:val="Hyperlink"/>
                <w:rFonts w:ascii="Arial" w:hAnsi="Arial" w:cs="Arial"/>
                <w:noProof/>
                <w:sz w:val="22"/>
                <w:szCs w:val="22"/>
              </w:rPr>
              <w:t>4.</w:t>
            </w:r>
            <w:r w:rsidRPr="002E03B3">
              <w:rPr>
                <w:rFonts w:ascii="Arial" w:hAnsi="Arial" w:cs="Arial"/>
                <w:noProof/>
                <w:sz w:val="22"/>
                <w:szCs w:val="22"/>
              </w:rPr>
              <w:tab/>
            </w:r>
            <w:r w:rsidRPr="002E03B3">
              <w:rPr>
                <w:rStyle w:val="Hyperlink"/>
                <w:rFonts w:ascii="Arial" w:hAnsi="Arial" w:cs="Arial"/>
                <w:noProof/>
                <w:sz w:val="22"/>
                <w:szCs w:val="22"/>
              </w:rPr>
              <w:t>Evaluation of National and Local Initiatives</w:t>
            </w:r>
            <w:r w:rsidRPr="002E03B3">
              <w:rPr>
                <w:rFonts w:ascii="Arial" w:hAnsi="Arial" w:cs="Arial"/>
                <w:noProof/>
                <w:webHidden/>
                <w:sz w:val="22"/>
                <w:szCs w:val="22"/>
              </w:rPr>
              <w:tab/>
            </w:r>
            <w:r w:rsidRPr="002E03B3">
              <w:rPr>
                <w:rFonts w:ascii="Arial" w:hAnsi="Arial" w:cs="Arial"/>
                <w:noProof/>
                <w:webHidden/>
                <w:sz w:val="22"/>
                <w:szCs w:val="22"/>
              </w:rPr>
              <w:fldChar w:fldCharType="begin"/>
            </w:r>
            <w:r w:rsidRPr="002E03B3">
              <w:rPr>
                <w:rFonts w:ascii="Arial" w:hAnsi="Arial" w:cs="Arial"/>
                <w:noProof/>
                <w:webHidden/>
                <w:sz w:val="22"/>
                <w:szCs w:val="22"/>
              </w:rPr>
              <w:instrText xml:space="preserve"> PAGEREF _Toc223813941 \h </w:instrText>
            </w:r>
            <w:r w:rsidRPr="002E03B3">
              <w:rPr>
                <w:rFonts w:ascii="Arial" w:hAnsi="Arial" w:cs="Arial"/>
                <w:noProof/>
                <w:webHidden/>
                <w:sz w:val="22"/>
                <w:szCs w:val="22"/>
              </w:rPr>
            </w:r>
            <w:r w:rsidRPr="002E03B3">
              <w:rPr>
                <w:rFonts w:ascii="Arial" w:hAnsi="Arial" w:cs="Arial"/>
                <w:noProof/>
                <w:webHidden/>
                <w:sz w:val="22"/>
                <w:szCs w:val="22"/>
              </w:rPr>
              <w:fldChar w:fldCharType="separate"/>
            </w:r>
            <w:r w:rsidRPr="002E03B3">
              <w:rPr>
                <w:rFonts w:ascii="Arial" w:hAnsi="Arial" w:cs="Arial"/>
                <w:noProof/>
                <w:webHidden/>
                <w:sz w:val="22"/>
                <w:szCs w:val="22"/>
              </w:rPr>
              <w:t>6</w:t>
            </w:r>
            <w:r w:rsidRPr="002E03B3">
              <w:rPr>
                <w:rFonts w:ascii="Arial" w:hAnsi="Arial" w:cs="Arial"/>
                <w:noProof/>
                <w:webHidden/>
                <w:sz w:val="22"/>
                <w:szCs w:val="22"/>
              </w:rPr>
              <w:fldChar w:fldCharType="end"/>
            </w:r>
          </w:hyperlink>
        </w:p>
        <w:p w14:paraId="1554A3B2" w14:textId="1FB655C5" w:rsidR="000558A6" w:rsidRPr="002E03B3" w:rsidRDefault="000558A6" w:rsidP="000558A6">
          <w:pPr>
            <w:pStyle w:val="TOC1"/>
            <w:tabs>
              <w:tab w:val="left" w:pos="480"/>
              <w:tab w:val="right" w:leader="dot" w:pos="9350"/>
            </w:tabs>
            <w:spacing w:line="360" w:lineRule="auto"/>
            <w:rPr>
              <w:rFonts w:ascii="Arial" w:hAnsi="Arial" w:cs="Arial"/>
              <w:noProof/>
              <w:sz w:val="22"/>
              <w:szCs w:val="22"/>
            </w:rPr>
          </w:pPr>
          <w:hyperlink w:anchor="_Toc223813942" w:history="1">
            <w:r w:rsidRPr="002E03B3">
              <w:rPr>
                <w:rStyle w:val="Hyperlink"/>
                <w:rFonts w:ascii="Arial" w:hAnsi="Arial" w:cs="Arial"/>
                <w:noProof/>
                <w:sz w:val="22"/>
                <w:szCs w:val="22"/>
              </w:rPr>
              <w:t>5.</w:t>
            </w:r>
            <w:r w:rsidRPr="002E03B3">
              <w:rPr>
                <w:rFonts w:ascii="Arial" w:hAnsi="Arial" w:cs="Arial"/>
                <w:noProof/>
                <w:sz w:val="22"/>
                <w:szCs w:val="22"/>
              </w:rPr>
              <w:tab/>
            </w:r>
            <w:r w:rsidRPr="002E03B3">
              <w:rPr>
                <w:rStyle w:val="Hyperlink"/>
                <w:rFonts w:ascii="Arial" w:hAnsi="Arial" w:cs="Arial"/>
                <w:noProof/>
                <w:sz w:val="22"/>
                <w:szCs w:val="22"/>
              </w:rPr>
              <w:t>Recommendations</w:t>
            </w:r>
            <w:r w:rsidRPr="002E03B3">
              <w:rPr>
                <w:rFonts w:ascii="Arial" w:hAnsi="Arial" w:cs="Arial"/>
                <w:noProof/>
                <w:webHidden/>
                <w:sz w:val="22"/>
                <w:szCs w:val="22"/>
              </w:rPr>
              <w:tab/>
            </w:r>
            <w:r w:rsidRPr="002E03B3">
              <w:rPr>
                <w:rFonts w:ascii="Arial" w:hAnsi="Arial" w:cs="Arial"/>
                <w:noProof/>
                <w:webHidden/>
                <w:sz w:val="22"/>
                <w:szCs w:val="22"/>
              </w:rPr>
              <w:fldChar w:fldCharType="begin"/>
            </w:r>
            <w:r w:rsidRPr="002E03B3">
              <w:rPr>
                <w:rFonts w:ascii="Arial" w:hAnsi="Arial" w:cs="Arial"/>
                <w:noProof/>
                <w:webHidden/>
                <w:sz w:val="22"/>
                <w:szCs w:val="22"/>
              </w:rPr>
              <w:instrText xml:space="preserve"> PAGEREF _Toc223813942 \h </w:instrText>
            </w:r>
            <w:r w:rsidRPr="002E03B3">
              <w:rPr>
                <w:rFonts w:ascii="Arial" w:hAnsi="Arial" w:cs="Arial"/>
                <w:noProof/>
                <w:webHidden/>
                <w:sz w:val="22"/>
                <w:szCs w:val="22"/>
              </w:rPr>
            </w:r>
            <w:r w:rsidRPr="002E03B3">
              <w:rPr>
                <w:rFonts w:ascii="Arial" w:hAnsi="Arial" w:cs="Arial"/>
                <w:noProof/>
                <w:webHidden/>
                <w:sz w:val="22"/>
                <w:szCs w:val="22"/>
              </w:rPr>
              <w:fldChar w:fldCharType="separate"/>
            </w:r>
            <w:r w:rsidRPr="002E03B3">
              <w:rPr>
                <w:rFonts w:ascii="Arial" w:hAnsi="Arial" w:cs="Arial"/>
                <w:noProof/>
                <w:webHidden/>
                <w:sz w:val="22"/>
                <w:szCs w:val="22"/>
              </w:rPr>
              <w:t>7</w:t>
            </w:r>
            <w:r w:rsidRPr="002E03B3">
              <w:rPr>
                <w:rFonts w:ascii="Arial" w:hAnsi="Arial" w:cs="Arial"/>
                <w:noProof/>
                <w:webHidden/>
                <w:sz w:val="22"/>
                <w:szCs w:val="22"/>
              </w:rPr>
              <w:fldChar w:fldCharType="end"/>
            </w:r>
          </w:hyperlink>
        </w:p>
        <w:p w14:paraId="6B18AC0B" w14:textId="6C421189" w:rsidR="000558A6" w:rsidRPr="002E03B3" w:rsidRDefault="000558A6" w:rsidP="000558A6">
          <w:pPr>
            <w:pStyle w:val="TOC1"/>
            <w:tabs>
              <w:tab w:val="right" w:leader="dot" w:pos="9350"/>
            </w:tabs>
            <w:spacing w:line="360" w:lineRule="auto"/>
            <w:rPr>
              <w:rFonts w:ascii="Arial" w:hAnsi="Arial" w:cs="Arial"/>
              <w:noProof/>
              <w:sz w:val="22"/>
              <w:szCs w:val="22"/>
            </w:rPr>
          </w:pPr>
          <w:hyperlink w:anchor="_Toc223813943" w:history="1">
            <w:r w:rsidRPr="002E03B3">
              <w:rPr>
                <w:rStyle w:val="Hyperlink"/>
                <w:rFonts w:ascii="Arial" w:hAnsi="Arial" w:cs="Arial"/>
                <w:noProof/>
                <w:sz w:val="22"/>
                <w:szCs w:val="22"/>
              </w:rPr>
              <w:t>Conclusion</w:t>
            </w:r>
            <w:r w:rsidRPr="002E03B3">
              <w:rPr>
                <w:rFonts w:ascii="Arial" w:hAnsi="Arial" w:cs="Arial"/>
                <w:noProof/>
                <w:webHidden/>
                <w:sz w:val="22"/>
                <w:szCs w:val="22"/>
              </w:rPr>
              <w:tab/>
            </w:r>
            <w:r w:rsidRPr="002E03B3">
              <w:rPr>
                <w:rFonts w:ascii="Arial" w:hAnsi="Arial" w:cs="Arial"/>
                <w:noProof/>
                <w:webHidden/>
                <w:sz w:val="22"/>
                <w:szCs w:val="22"/>
              </w:rPr>
              <w:fldChar w:fldCharType="begin"/>
            </w:r>
            <w:r w:rsidRPr="002E03B3">
              <w:rPr>
                <w:rFonts w:ascii="Arial" w:hAnsi="Arial" w:cs="Arial"/>
                <w:noProof/>
                <w:webHidden/>
                <w:sz w:val="22"/>
                <w:szCs w:val="22"/>
              </w:rPr>
              <w:instrText xml:space="preserve"> PAGEREF _Toc223813943 \h </w:instrText>
            </w:r>
            <w:r w:rsidRPr="002E03B3">
              <w:rPr>
                <w:rFonts w:ascii="Arial" w:hAnsi="Arial" w:cs="Arial"/>
                <w:noProof/>
                <w:webHidden/>
                <w:sz w:val="22"/>
                <w:szCs w:val="22"/>
              </w:rPr>
            </w:r>
            <w:r w:rsidRPr="002E03B3">
              <w:rPr>
                <w:rFonts w:ascii="Arial" w:hAnsi="Arial" w:cs="Arial"/>
                <w:noProof/>
                <w:webHidden/>
                <w:sz w:val="22"/>
                <w:szCs w:val="22"/>
              </w:rPr>
              <w:fldChar w:fldCharType="separate"/>
            </w:r>
            <w:r w:rsidRPr="002E03B3">
              <w:rPr>
                <w:rFonts w:ascii="Arial" w:hAnsi="Arial" w:cs="Arial"/>
                <w:noProof/>
                <w:webHidden/>
                <w:sz w:val="22"/>
                <w:szCs w:val="22"/>
              </w:rPr>
              <w:t>7</w:t>
            </w:r>
            <w:r w:rsidRPr="002E03B3">
              <w:rPr>
                <w:rFonts w:ascii="Arial" w:hAnsi="Arial" w:cs="Arial"/>
                <w:noProof/>
                <w:webHidden/>
                <w:sz w:val="22"/>
                <w:szCs w:val="22"/>
              </w:rPr>
              <w:fldChar w:fldCharType="end"/>
            </w:r>
          </w:hyperlink>
          <w:r w:rsidR="00567FAE">
            <w:rPr>
              <w:rFonts w:ascii="Arial" w:hAnsi="Arial" w:cs="Arial"/>
              <w:sz w:val="22"/>
              <w:szCs w:val="22"/>
            </w:rPr>
            <w:t>-8</w:t>
          </w:r>
        </w:p>
        <w:p w14:paraId="2C8D0DAB" w14:textId="64EBE7A8" w:rsidR="000558A6" w:rsidRPr="002E03B3" w:rsidRDefault="000558A6" w:rsidP="000558A6">
          <w:pPr>
            <w:pStyle w:val="TOC1"/>
            <w:tabs>
              <w:tab w:val="right" w:leader="dot" w:pos="9350"/>
            </w:tabs>
            <w:spacing w:line="360" w:lineRule="auto"/>
            <w:rPr>
              <w:rFonts w:ascii="Arial" w:hAnsi="Arial" w:cs="Arial"/>
              <w:noProof/>
              <w:sz w:val="22"/>
              <w:szCs w:val="22"/>
            </w:rPr>
          </w:pPr>
          <w:hyperlink w:anchor="_Toc223813944" w:history="1">
            <w:r w:rsidRPr="002E03B3">
              <w:rPr>
                <w:rStyle w:val="Hyperlink"/>
                <w:rFonts w:ascii="Arial" w:hAnsi="Arial" w:cs="Arial"/>
                <w:noProof/>
                <w:sz w:val="22"/>
                <w:szCs w:val="22"/>
              </w:rPr>
              <w:t>References</w:t>
            </w:r>
            <w:r w:rsidRPr="002E03B3">
              <w:rPr>
                <w:rFonts w:ascii="Arial" w:hAnsi="Arial" w:cs="Arial"/>
                <w:noProof/>
                <w:webHidden/>
                <w:sz w:val="22"/>
                <w:szCs w:val="22"/>
              </w:rPr>
              <w:tab/>
            </w:r>
            <w:r w:rsidRPr="002E03B3">
              <w:rPr>
                <w:rFonts w:ascii="Arial" w:hAnsi="Arial" w:cs="Arial"/>
                <w:noProof/>
                <w:webHidden/>
                <w:sz w:val="22"/>
                <w:szCs w:val="22"/>
              </w:rPr>
              <w:fldChar w:fldCharType="begin"/>
            </w:r>
            <w:r w:rsidRPr="002E03B3">
              <w:rPr>
                <w:rFonts w:ascii="Arial" w:hAnsi="Arial" w:cs="Arial"/>
                <w:noProof/>
                <w:webHidden/>
                <w:sz w:val="22"/>
                <w:szCs w:val="22"/>
              </w:rPr>
              <w:instrText xml:space="preserve"> PAGEREF _Toc223813944 \h </w:instrText>
            </w:r>
            <w:r w:rsidRPr="002E03B3">
              <w:rPr>
                <w:rFonts w:ascii="Arial" w:hAnsi="Arial" w:cs="Arial"/>
                <w:noProof/>
                <w:webHidden/>
                <w:sz w:val="22"/>
                <w:szCs w:val="22"/>
              </w:rPr>
            </w:r>
            <w:r w:rsidRPr="002E03B3">
              <w:rPr>
                <w:rFonts w:ascii="Arial" w:hAnsi="Arial" w:cs="Arial"/>
                <w:noProof/>
                <w:webHidden/>
                <w:sz w:val="22"/>
                <w:szCs w:val="22"/>
              </w:rPr>
              <w:fldChar w:fldCharType="separate"/>
            </w:r>
            <w:r w:rsidRPr="002E03B3">
              <w:rPr>
                <w:rFonts w:ascii="Arial" w:hAnsi="Arial" w:cs="Arial"/>
                <w:noProof/>
                <w:webHidden/>
                <w:sz w:val="22"/>
                <w:szCs w:val="22"/>
              </w:rPr>
              <w:t>9</w:t>
            </w:r>
            <w:r w:rsidRPr="002E03B3">
              <w:rPr>
                <w:rFonts w:ascii="Arial" w:hAnsi="Arial" w:cs="Arial"/>
                <w:noProof/>
                <w:webHidden/>
                <w:sz w:val="22"/>
                <w:szCs w:val="22"/>
              </w:rPr>
              <w:fldChar w:fldCharType="end"/>
            </w:r>
          </w:hyperlink>
        </w:p>
        <w:p w14:paraId="2EA0A96C" w14:textId="49230726" w:rsidR="000558A6" w:rsidRPr="002E03B3" w:rsidRDefault="000558A6" w:rsidP="000558A6">
          <w:pPr>
            <w:spacing w:line="360" w:lineRule="auto"/>
            <w:rPr>
              <w:rFonts w:ascii="Arial" w:hAnsi="Arial" w:cs="Arial"/>
              <w:sz w:val="22"/>
              <w:szCs w:val="22"/>
            </w:rPr>
          </w:pPr>
          <w:r w:rsidRPr="002E03B3">
            <w:rPr>
              <w:rFonts w:ascii="Arial" w:hAnsi="Arial" w:cs="Arial"/>
              <w:b/>
              <w:bCs/>
              <w:noProof/>
              <w:sz w:val="22"/>
              <w:szCs w:val="22"/>
            </w:rPr>
            <w:fldChar w:fldCharType="end"/>
          </w:r>
        </w:p>
      </w:sdtContent>
    </w:sdt>
    <w:p w14:paraId="0A89202A" w14:textId="77777777" w:rsidR="000558A6" w:rsidRPr="002E03B3" w:rsidRDefault="000558A6" w:rsidP="000558A6">
      <w:pPr>
        <w:spacing w:line="360" w:lineRule="auto"/>
        <w:rPr>
          <w:rFonts w:ascii="Arial" w:eastAsiaTheme="majorEastAsia" w:hAnsi="Arial" w:cs="Arial"/>
          <w:b/>
          <w:color w:val="2F5496" w:themeColor="accent1" w:themeShade="BF"/>
          <w:sz w:val="22"/>
          <w:szCs w:val="22"/>
        </w:rPr>
      </w:pPr>
      <w:r w:rsidRPr="002E03B3">
        <w:rPr>
          <w:rFonts w:ascii="Arial" w:hAnsi="Arial" w:cs="Arial"/>
          <w:sz w:val="22"/>
          <w:szCs w:val="22"/>
        </w:rPr>
        <w:br w:type="page"/>
      </w:r>
    </w:p>
    <w:p w14:paraId="0CE93011" w14:textId="267C5301" w:rsidR="00BD5371" w:rsidRPr="002E03B3" w:rsidRDefault="00BD5371" w:rsidP="00693FAF">
      <w:pPr>
        <w:pStyle w:val="Heading1"/>
        <w:numPr>
          <w:ilvl w:val="0"/>
          <w:numId w:val="5"/>
        </w:numPr>
        <w:spacing w:line="360" w:lineRule="auto"/>
        <w:rPr>
          <w:rFonts w:ascii="Arial" w:hAnsi="Arial" w:cs="Arial"/>
          <w:sz w:val="22"/>
          <w:szCs w:val="22"/>
        </w:rPr>
      </w:pPr>
      <w:bookmarkStart w:id="0" w:name="_Toc223813936"/>
      <w:r w:rsidRPr="002E03B3">
        <w:rPr>
          <w:rFonts w:ascii="Arial" w:hAnsi="Arial" w:cs="Arial"/>
          <w:sz w:val="22"/>
          <w:szCs w:val="22"/>
        </w:rPr>
        <w:lastRenderedPageBreak/>
        <w:t>Introduction</w:t>
      </w:r>
      <w:bookmarkEnd w:id="0"/>
    </w:p>
    <w:p w14:paraId="35F1B384" w14:textId="77777777" w:rsidR="00693FAF" w:rsidRPr="002E03B3" w:rsidRDefault="00693FAF" w:rsidP="00693FAF">
      <w:pPr>
        <w:spacing w:line="360" w:lineRule="auto"/>
        <w:rPr>
          <w:rFonts w:ascii="Arial" w:hAnsi="Arial" w:cs="Arial"/>
          <w:sz w:val="22"/>
          <w:szCs w:val="22"/>
        </w:rPr>
      </w:pPr>
    </w:p>
    <w:p w14:paraId="715ED7FF" w14:textId="6D6EE27E" w:rsidR="000C24E5" w:rsidRPr="002E03B3" w:rsidRDefault="00693FAF" w:rsidP="00693FAF">
      <w:pPr>
        <w:spacing w:line="360" w:lineRule="auto"/>
        <w:ind w:firstLine="720"/>
        <w:jc w:val="both"/>
        <w:rPr>
          <w:rFonts w:ascii="Arial" w:hAnsi="Arial" w:cs="Arial"/>
          <w:sz w:val="22"/>
          <w:szCs w:val="22"/>
        </w:rPr>
      </w:pPr>
      <w:r w:rsidRPr="002E03B3">
        <w:rPr>
          <w:rFonts w:ascii="Arial" w:hAnsi="Arial" w:cs="Arial"/>
          <w:sz w:val="22"/>
          <w:szCs w:val="22"/>
        </w:rPr>
        <w:t xml:space="preserve">Health and well-being are central to sustainable development because they significantly influence social stability, economic productivity, and the overall quality of life. </w:t>
      </w:r>
      <w:r w:rsidR="000C24E5" w:rsidRPr="002E03B3">
        <w:rPr>
          <w:rFonts w:ascii="Arial" w:hAnsi="Arial" w:cs="Arial"/>
          <w:sz w:val="22"/>
          <w:szCs w:val="22"/>
        </w:rPr>
        <w:t>The Sustainable Development Goals (SDGs) of the United Nations is a universal guideline that facilitates fair and sustainable health outcomes. These include SDG 3: Good Health and Wellbeing, which aims to establish health among the population, and SDG 10: Reduced Inequalities, which is used to reduce the income and opportunity disparities as well as access to resources (Bhandari, 2024). The two objectives rely on each other because equitable health outcomes cannot be realized without working on the underlying social and economic inequalities that lead to poor wellbeing (Missoni, 2024).</w:t>
      </w:r>
    </w:p>
    <w:p w14:paraId="58AA6F69" w14:textId="40E49275" w:rsidR="00BD5371" w:rsidRPr="002E03B3" w:rsidRDefault="000C24E5" w:rsidP="00693FAF">
      <w:pPr>
        <w:spacing w:line="360" w:lineRule="auto"/>
        <w:ind w:firstLine="720"/>
        <w:jc w:val="both"/>
        <w:rPr>
          <w:rFonts w:ascii="Arial" w:hAnsi="Arial" w:cs="Arial"/>
          <w:sz w:val="22"/>
          <w:szCs w:val="22"/>
        </w:rPr>
      </w:pPr>
      <w:r w:rsidRPr="002E03B3">
        <w:rPr>
          <w:rFonts w:ascii="Arial" w:hAnsi="Arial" w:cs="Arial"/>
          <w:sz w:val="22"/>
          <w:szCs w:val="22"/>
        </w:rPr>
        <w:t>This report critically analyses how SDG 3 and SDG 10 can impact on the health and wellbeing of citizens at a global, country level (United Kingdom) and a local level (Wales). Moreover, the report measures the effectiveness of key health and wellbeing initiatives, limitations, and evidence-based recommendation to improve the policy. The methodology incorporates theoretical models, empirical studies and applications in a bid to provide a subtle view of the existing issues and possible remedies to them.</w:t>
      </w:r>
    </w:p>
    <w:p w14:paraId="1D80F546" w14:textId="7A4A0134" w:rsidR="00BD5371" w:rsidRPr="002E03B3" w:rsidRDefault="00BD5371" w:rsidP="00693FAF">
      <w:pPr>
        <w:pStyle w:val="Heading1"/>
        <w:numPr>
          <w:ilvl w:val="0"/>
          <w:numId w:val="5"/>
        </w:numPr>
        <w:spacing w:line="360" w:lineRule="auto"/>
        <w:rPr>
          <w:rFonts w:ascii="Arial" w:hAnsi="Arial" w:cs="Arial"/>
          <w:sz w:val="22"/>
          <w:szCs w:val="22"/>
        </w:rPr>
      </w:pPr>
      <w:bookmarkStart w:id="1" w:name="_Toc223813937"/>
      <w:r w:rsidRPr="002E03B3">
        <w:rPr>
          <w:rFonts w:ascii="Arial" w:hAnsi="Arial" w:cs="Arial"/>
          <w:sz w:val="22"/>
          <w:szCs w:val="22"/>
        </w:rPr>
        <w:t>Literature Review and Theoretical Background</w:t>
      </w:r>
      <w:bookmarkEnd w:id="1"/>
    </w:p>
    <w:p w14:paraId="06332448" w14:textId="77777777" w:rsidR="00693FAF" w:rsidRPr="002E03B3" w:rsidRDefault="00693FAF" w:rsidP="00693FAF">
      <w:pPr>
        <w:spacing w:line="360" w:lineRule="auto"/>
        <w:rPr>
          <w:rFonts w:ascii="Arial" w:hAnsi="Arial" w:cs="Arial"/>
          <w:sz w:val="22"/>
          <w:szCs w:val="22"/>
        </w:rPr>
      </w:pPr>
    </w:p>
    <w:p w14:paraId="1E745297" w14:textId="77777777" w:rsidR="000C24E5" w:rsidRPr="002E03B3" w:rsidRDefault="000C24E5" w:rsidP="00693FAF">
      <w:pPr>
        <w:spacing w:line="360" w:lineRule="auto"/>
        <w:ind w:firstLine="720"/>
        <w:jc w:val="both"/>
        <w:rPr>
          <w:rFonts w:ascii="Arial" w:hAnsi="Arial" w:cs="Arial"/>
          <w:sz w:val="22"/>
          <w:szCs w:val="22"/>
        </w:rPr>
      </w:pPr>
      <w:r w:rsidRPr="002E03B3">
        <w:rPr>
          <w:rFonts w:ascii="Arial" w:hAnsi="Arial" w:cs="Arial"/>
          <w:sz w:val="22"/>
          <w:szCs w:val="22"/>
        </w:rPr>
        <w:t>Health is a multidimensional aspect that involves physical, mental, and social health and not simply the lack of a disease (Gohar Mahmood et al., 2025). The social determinants of health model emphasizes that biomedical factors are not the only ones influencing health outcomes, but education, employment, housing, and social equity are also determinants. Population health can be improved only to some degree by structural inequalities such as income differences and unequal access to healthcare, which emphasizes the necessity of the policy aiming to assist the population at the systemic level, not only concentrating on the treatment of the disease (Van Den Berg et al., 2024).</w:t>
      </w:r>
    </w:p>
    <w:p w14:paraId="5A91E668" w14:textId="1436C443" w:rsidR="000C24E5" w:rsidRPr="002E03B3" w:rsidRDefault="000C24E5" w:rsidP="00693FAF">
      <w:pPr>
        <w:spacing w:line="360" w:lineRule="auto"/>
        <w:ind w:firstLine="720"/>
        <w:jc w:val="both"/>
        <w:rPr>
          <w:rFonts w:ascii="Arial" w:hAnsi="Arial" w:cs="Arial"/>
          <w:sz w:val="22"/>
          <w:szCs w:val="22"/>
        </w:rPr>
      </w:pPr>
      <w:r w:rsidRPr="002E03B3">
        <w:rPr>
          <w:rFonts w:ascii="Arial" w:hAnsi="Arial" w:cs="Arial"/>
          <w:sz w:val="22"/>
          <w:szCs w:val="22"/>
        </w:rPr>
        <w:t xml:space="preserve">It is the sustainable development that offers a </w:t>
      </w:r>
      <w:r w:rsidR="00693FAF" w:rsidRPr="002E03B3">
        <w:rPr>
          <w:rFonts w:ascii="Arial" w:hAnsi="Arial" w:cs="Arial"/>
          <w:sz w:val="22"/>
          <w:szCs w:val="22"/>
        </w:rPr>
        <w:t>perspective</w:t>
      </w:r>
      <w:r w:rsidRPr="002E03B3">
        <w:rPr>
          <w:rFonts w:ascii="Arial" w:hAnsi="Arial" w:cs="Arial"/>
          <w:sz w:val="22"/>
          <w:szCs w:val="22"/>
        </w:rPr>
        <w:t xml:space="preserve"> through which health can be evaluated in terms of social and economic systems. Sustainability, according to Brundtland Report, means that the current and future generations are not compromised because of the current needs. SDGs implement this principle by providing the world with the standards of how health, wellbeing, and equity can be incorporated into the state policy (Mestdagh, 2024). More </w:t>
      </w:r>
      <w:r w:rsidRPr="002E03B3">
        <w:rPr>
          <w:rFonts w:ascii="Arial" w:hAnsi="Arial" w:cs="Arial"/>
          <w:sz w:val="22"/>
          <w:szCs w:val="22"/>
        </w:rPr>
        <w:lastRenderedPageBreak/>
        <w:t>importantly, the literature observes that although SDGs offer normative leadership, its application is highly varied, with national policies tending to implement indicators that are quantifiable with ease such as mortality rates, rather than structural changes that can influence social determinants (Mazzi, 2025).</w:t>
      </w:r>
    </w:p>
    <w:p w14:paraId="10DCC0D2" w14:textId="0D92AE16" w:rsidR="00BD5371" w:rsidRPr="002E03B3" w:rsidRDefault="000C24E5" w:rsidP="00693FAF">
      <w:pPr>
        <w:spacing w:line="360" w:lineRule="auto"/>
        <w:ind w:firstLine="720"/>
        <w:jc w:val="both"/>
        <w:rPr>
          <w:rFonts w:ascii="Arial" w:hAnsi="Arial" w:cs="Arial"/>
          <w:sz w:val="22"/>
          <w:szCs w:val="22"/>
        </w:rPr>
      </w:pPr>
      <w:r w:rsidRPr="002E03B3">
        <w:rPr>
          <w:rFonts w:ascii="Arial" w:hAnsi="Arial" w:cs="Arial"/>
          <w:sz w:val="22"/>
          <w:szCs w:val="22"/>
        </w:rPr>
        <w:t xml:space="preserve">The health equity framework also highlights that the difference in health is not predetermined but depends on the power, resources, and opportunities distribution (Amri et al., 2024). The application of this framework shows that health outcome-focused initiatives should be able to handle inequalities </w:t>
      </w:r>
      <w:proofErr w:type="gramStart"/>
      <w:r w:rsidRPr="002E03B3">
        <w:rPr>
          <w:rFonts w:ascii="Arial" w:hAnsi="Arial" w:cs="Arial"/>
          <w:sz w:val="22"/>
          <w:szCs w:val="22"/>
        </w:rPr>
        <w:t>so as to</w:t>
      </w:r>
      <w:proofErr w:type="gramEnd"/>
      <w:r w:rsidRPr="002E03B3">
        <w:rPr>
          <w:rFonts w:ascii="Arial" w:hAnsi="Arial" w:cs="Arial"/>
          <w:sz w:val="22"/>
          <w:szCs w:val="22"/>
        </w:rPr>
        <w:t xml:space="preserve"> realize substantive changes in wellbeing. The above theoretical frameworks demonstrate that a multi-level and evidence-based methodology to the assessment of health and wellbeing policies is a requisite.</w:t>
      </w:r>
    </w:p>
    <w:p w14:paraId="7FDDFCD8" w14:textId="751F9905" w:rsidR="00BD5371" w:rsidRPr="002E03B3" w:rsidRDefault="00BD5371" w:rsidP="00693FAF">
      <w:pPr>
        <w:pStyle w:val="Heading1"/>
        <w:numPr>
          <w:ilvl w:val="0"/>
          <w:numId w:val="5"/>
        </w:numPr>
        <w:spacing w:line="360" w:lineRule="auto"/>
        <w:rPr>
          <w:rFonts w:ascii="Arial" w:hAnsi="Arial" w:cs="Arial"/>
          <w:sz w:val="22"/>
          <w:szCs w:val="22"/>
        </w:rPr>
      </w:pPr>
      <w:bookmarkStart w:id="2" w:name="_Toc223813938"/>
      <w:r w:rsidRPr="002E03B3">
        <w:rPr>
          <w:rFonts w:ascii="Arial" w:hAnsi="Arial" w:cs="Arial"/>
          <w:sz w:val="22"/>
          <w:szCs w:val="22"/>
        </w:rPr>
        <w:t>Analysis of SDGs Impact on Health and Wellbeing</w:t>
      </w:r>
      <w:bookmarkEnd w:id="2"/>
    </w:p>
    <w:p w14:paraId="2F378073" w14:textId="77777777" w:rsidR="00693FAF" w:rsidRPr="002E03B3" w:rsidRDefault="00693FAF" w:rsidP="00693FAF">
      <w:pPr>
        <w:spacing w:line="360" w:lineRule="auto"/>
        <w:rPr>
          <w:rFonts w:ascii="Arial" w:hAnsi="Arial" w:cs="Arial"/>
          <w:sz w:val="22"/>
          <w:szCs w:val="22"/>
        </w:rPr>
      </w:pPr>
    </w:p>
    <w:p w14:paraId="0239F265" w14:textId="09D68D3B" w:rsidR="00BD5371" w:rsidRPr="002E03B3" w:rsidRDefault="00693FAF" w:rsidP="00693FAF">
      <w:pPr>
        <w:pStyle w:val="Heading2"/>
        <w:spacing w:line="360" w:lineRule="auto"/>
        <w:ind w:left="720"/>
        <w:rPr>
          <w:rFonts w:ascii="Arial" w:hAnsi="Arial" w:cs="Arial"/>
          <w:sz w:val="22"/>
          <w:szCs w:val="22"/>
        </w:rPr>
      </w:pPr>
      <w:bookmarkStart w:id="3" w:name="_Toc223813939"/>
      <w:r w:rsidRPr="002E03B3">
        <w:rPr>
          <w:rFonts w:ascii="Arial" w:hAnsi="Arial" w:cs="Arial"/>
          <w:sz w:val="22"/>
          <w:szCs w:val="22"/>
        </w:rPr>
        <w:t xml:space="preserve">3.1 </w:t>
      </w:r>
      <w:r w:rsidR="00BD5371" w:rsidRPr="002E03B3">
        <w:rPr>
          <w:rFonts w:ascii="Arial" w:hAnsi="Arial" w:cs="Arial"/>
          <w:sz w:val="22"/>
          <w:szCs w:val="22"/>
        </w:rPr>
        <w:t>SDG 3: Good Health and Wellbeing</w:t>
      </w:r>
      <w:bookmarkEnd w:id="3"/>
    </w:p>
    <w:p w14:paraId="164CA183" w14:textId="73F0629A" w:rsidR="00693FAF" w:rsidRPr="002E03B3" w:rsidRDefault="00693FAF" w:rsidP="00693FAF">
      <w:pPr>
        <w:spacing w:line="360" w:lineRule="auto"/>
        <w:rPr>
          <w:rFonts w:ascii="Arial" w:hAnsi="Arial" w:cs="Arial"/>
          <w:sz w:val="22"/>
          <w:szCs w:val="22"/>
        </w:rPr>
      </w:pPr>
    </w:p>
    <w:p w14:paraId="14888128" w14:textId="77777777" w:rsidR="000C24E5" w:rsidRPr="002E03B3" w:rsidRDefault="000C24E5" w:rsidP="00693FAF">
      <w:pPr>
        <w:spacing w:line="360" w:lineRule="auto"/>
        <w:ind w:firstLine="720"/>
        <w:jc w:val="both"/>
        <w:rPr>
          <w:rFonts w:ascii="Arial" w:hAnsi="Arial" w:cs="Arial"/>
          <w:sz w:val="22"/>
          <w:szCs w:val="22"/>
        </w:rPr>
      </w:pPr>
      <w:r w:rsidRPr="002E03B3">
        <w:rPr>
          <w:rFonts w:ascii="Arial" w:hAnsi="Arial" w:cs="Arial"/>
          <w:sz w:val="22"/>
          <w:szCs w:val="22"/>
        </w:rPr>
        <w:t>SDG 3 aims to have healthy lives of all ages, aiming at communicable and non-communicable diseases, maternal and child health, and universal health coverage (Lnu et al., 2025).Non-communicable diseases (NCDs) are a challenge, and especially in high- and middle-income countries, the shift towards lifestyle-related conditions has increased (Fernando et al., 2025).Child survival and vaccination coverage have improved, which is considered a positive development in the health outcomes of the population. According to the critical reviews, SDG 3 targets are praiseworthy yet had been implemented mainly quantitatively with more focus on numerical indicators underestimating the structural determinants of health, including income inequality, education, and environmental conditions (Chaudhuri et al., 2025).</w:t>
      </w:r>
    </w:p>
    <w:p w14:paraId="37FB3CC4" w14:textId="77777777" w:rsidR="000C24E5" w:rsidRPr="002E03B3" w:rsidRDefault="000C24E5" w:rsidP="00693FAF">
      <w:pPr>
        <w:spacing w:line="360" w:lineRule="auto"/>
        <w:ind w:firstLine="720"/>
        <w:jc w:val="both"/>
        <w:rPr>
          <w:rFonts w:ascii="Arial" w:hAnsi="Arial" w:cs="Arial"/>
          <w:sz w:val="22"/>
          <w:szCs w:val="22"/>
        </w:rPr>
      </w:pPr>
      <w:r w:rsidRPr="002E03B3">
        <w:rPr>
          <w:rFonts w:ascii="Arial" w:hAnsi="Arial" w:cs="Arial"/>
          <w:sz w:val="22"/>
          <w:szCs w:val="22"/>
        </w:rPr>
        <w:t>In the United Kingdom, the national policies are based on the SDG 3 goals within the National Health Service (NHS) and related schemes on public health. The NHS Long Term Plan and other initiatives have focused on prevention, mental health, and inequalities tied to health (</w:t>
      </w:r>
      <w:proofErr w:type="spellStart"/>
      <w:r w:rsidRPr="002E03B3">
        <w:rPr>
          <w:rFonts w:ascii="Arial" w:hAnsi="Arial" w:cs="Arial"/>
          <w:sz w:val="22"/>
          <w:szCs w:val="22"/>
        </w:rPr>
        <w:t>Alarifi</w:t>
      </w:r>
      <w:proofErr w:type="spellEnd"/>
      <w:r w:rsidRPr="002E03B3">
        <w:rPr>
          <w:rFonts w:ascii="Arial" w:hAnsi="Arial" w:cs="Arial"/>
          <w:sz w:val="22"/>
          <w:szCs w:val="22"/>
        </w:rPr>
        <w:t xml:space="preserve"> et al., 2025). Nevertheless, there are unrelenting regional and socio-economic inequalities in health outcomes, which means that the policies are not well targeted at the underlying determinants. Studies have indicated that the NCDs and low life expectancy are more common in deprived areas than in wealthy areas, which indicates that efforts to improve health are currently based more on curative than preventive and structural change (Khan, 2025).</w:t>
      </w:r>
    </w:p>
    <w:p w14:paraId="76377163" w14:textId="73FACBBF" w:rsidR="000C24E5" w:rsidRPr="002E03B3" w:rsidRDefault="000C24E5" w:rsidP="00693FAF">
      <w:pPr>
        <w:spacing w:line="360" w:lineRule="auto"/>
        <w:ind w:firstLine="720"/>
        <w:jc w:val="both"/>
        <w:rPr>
          <w:rFonts w:ascii="Arial" w:hAnsi="Arial" w:cs="Arial"/>
          <w:sz w:val="22"/>
          <w:szCs w:val="22"/>
        </w:rPr>
      </w:pPr>
      <w:r w:rsidRPr="002E03B3">
        <w:rPr>
          <w:rFonts w:ascii="Arial" w:hAnsi="Arial" w:cs="Arial"/>
          <w:sz w:val="22"/>
          <w:szCs w:val="22"/>
        </w:rPr>
        <w:lastRenderedPageBreak/>
        <w:t xml:space="preserve">On a local level, Welsh projects like the Healthy Communities </w:t>
      </w:r>
      <w:r w:rsidR="00693FAF" w:rsidRPr="002E03B3">
        <w:rPr>
          <w:rFonts w:ascii="Arial" w:hAnsi="Arial" w:cs="Arial"/>
          <w:sz w:val="22"/>
          <w:szCs w:val="22"/>
        </w:rPr>
        <w:t>Programme</w:t>
      </w:r>
      <w:r w:rsidRPr="002E03B3">
        <w:rPr>
          <w:rFonts w:ascii="Arial" w:hAnsi="Arial" w:cs="Arial"/>
          <w:sz w:val="22"/>
          <w:szCs w:val="22"/>
        </w:rPr>
        <w:t xml:space="preserve"> of Public Health Wales are meant to make a change in lifestyle </w:t>
      </w:r>
      <w:proofErr w:type="spellStart"/>
      <w:r w:rsidRPr="002E03B3">
        <w:rPr>
          <w:rFonts w:ascii="Arial" w:hAnsi="Arial" w:cs="Arial"/>
          <w:sz w:val="22"/>
          <w:szCs w:val="22"/>
        </w:rPr>
        <w:t>behavior</w:t>
      </w:r>
      <w:proofErr w:type="spellEnd"/>
      <w:r w:rsidRPr="002E03B3">
        <w:rPr>
          <w:rFonts w:ascii="Arial" w:hAnsi="Arial" w:cs="Arial"/>
          <w:sz w:val="22"/>
          <w:szCs w:val="22"/>
        </w:rPr>
        <w:t>, mental health, and community wellbeing. Although the initiatives are consistent with global and national goals and objectives, the assessment shows that they have a limited influence because of disproportionate community participation and lack of resources (Shabbir and Salman, 2025). These obstacles prove that it is not easy to make the global SDG ambitions translated into concrete local changes. Furthermore, the social determinants are not accounted for in the policy implementation, which makes the interventions less effective in the populations with several, overlapping disadvantages (Hermann et al., 2024).</w:t>
      </w:r>
    </w:p>
    <w:p w14:paraId="2D7D7CF6" w14:textId="77777777" w:rsidR="000C24E5" w:rsidRPr="002E03B3" w:rsidRDefault="000C24E5" w:rsidP="00693FAF">
      <w:pPr>
        <w:spacing w:line="360" w:lineRule="auto"/>
        <w:ind w:firstLine="720"/>
        <w:jc w:val="both"/>
        <w:rPr>
          <w:rFonts w:ascii="Arial" w:hAnsi="Arial" w:cs="Arial"/>
          <w:sz w:val="22"/>
          <w:szCs w:val="22"/>
        </w:rPr>
      </w:pPr>
      <w:r w:rsidRPr="002E03B3">
        <w:rPr>
          <w:rFonts w:ascii="Arial" w:hAnsi="Arial" w:cs="Arial"/>
          <w:sz w:val="22"/>
          <w:szCs w:val="22"/>
        </w:rPr>
        <w:t>Another perspective that is deemed as critical is the fact that SDG 3 focuses on quantifiable health outcomes at the expense of holistic wellbeing especially mental health and social cohesion that are parts of the quality of life yet are less measurable. Using mortality and morbidity statistics exclusively gives a partial picture of the health of the citizens, which is why there is a necessity to consider policy strategies that incorporate a wider range of wellbeing indicators and take into consideration socio-economic context (Garg et al., 2025).</w:t>
      </w:r>
    </w:p>
    <w:p w14:paraId="0147AB7D" w14:textId="0E29C904" w:rsidR="00BD5371" w:rsidRPr="002E03B3" w:rsidRDefault="00BD5371" w:rsidP="00693FAF">
      <w:pPr>
        <w:pStyle w:val="Heading2"/>
        <w:numPr>
          <w:ilvl w:val="1"/>
          <w:numId w:val="5"/>
        </w:numPr>
        <w:spacing w:line="360" w:lineRule="auto"/>
        <w:rPr>
          <w:rFonts w:ascii="Arial" w:hAnsi="Arial" w:cs="Arial"/>
          <w:sz w:val="22"/>
          <w:szCs w:val="22"/>
        </w:rPr>
      </w:pPr>
      <w:bookmarkStart w:id="4" w:name="_Toc223813940"/>
      <w:r w:rsidRPr="002E03B3">
        <w:rPr>
          <w:rFonts w:ascii="Arial" w:hAnsi="Arial" w:cs="Arial"/>
          <w:sz w:val="22"/>
          <w:szCs w:val="22"/>
        </w:rPr>
        <w:t>SDG 10: Reduced Inequalities</w:t>
      </w:r>
      <w:bookmarkEnd w:id="4"/>
    </w:p>
    <w:p w14:paraId="5CAA591E" w14:textId="77777777" w:rsidR="00693FAF" w:rsidRPr="002E03B3" w:rsidRDefault="00693FAF" w:rsidP="00693FAF">
      <w:pPr>
        <w:pStyle w:val="ListParagraph"/>
        <w:spacing w:line="360" w:lineRule="auto"/>
        <w:ind w:left="1185"/>
        <w:rPr>
          <w:rFonts w:ascii="Arial" w:hAnsi="Arial" w:cs="Arial"/>
          <w:sz w:val="22"/>
          <w:szCs w:val="22"/>
        </w:rPr>
      </w:pPr>
    </w:p>
    <w:p w14:paraId="0AAFC97E" w14:textId="77777777" w:rsidR="000C24E5" w:rsidRPr="002E03B3" w:rsidRDefault="000C24E5" w:rsidP="00693FAF">
      <w:pPr>
        <w:spacing w:line="360" w:lineRule="auto"/>
        <w:ind w:firstLine="720"/>
        <w:jc w:val="both"/>
        <w:rPr>
          <w:rFonts w:ascii="Arial" w:hAnsi="Arial" w:cs="Arial"/>
          <w:sz w:val="22"/>
          <w:szCs w:val="22"/>
        </w:rPr>
      </w:pPr>
      <w:r w:rsidRPr="002E03B3">
        <w:rPr>
          <w:rFonts w:ascii="Arial" w:hAnsi="Arial" w:cs="Arial"/>
          <w:sz w:val="22"/>
          <w:szCs w:val="22"/>
        </w:rPr>
        <w:t>SDG 10 is aimed at the decrease of inequalities both within and among states, income, opportunity, and access to services (Raciti, Alkire, and Beatson, 2024). Social equity has a strong correlation with health outcomes; the population health and life expectancy are always higher in societies with lower income inequality (Wanyana et al., 2024). Although this has been taken globally, not much has been achieved in terms of the reduction of inequality since the wealth is concentrated in most of the high-income countries, and the disparities in the structure still exist in the field of access to healthcare (Farag, 2025).</w:t>
      </w:r>
    </w:p>
    <w:p w14:paraId="14D19D07" w14:textId="77777777" w:rsidR="000C24E5" w:rsidRPr="002E03B3" w:rsidRDefault="000C24E5" w:rsidP="00693FAF">
      <w:pPr>
        <w:spacing w:line="360" w:lineRule="auto"/>
        <w:ind w:firstLine="720"/>
        <w:jc w:val="both"/>
        <w:rPr>
          <w:rFonts w:ascii="Arial" w:hAnsi="Arial" w:cs="Arial"/>
          <w:sz w:val="22"/>
          <w:szCs w:val="22"/>
        </w:rPr>
      </w:pPr>
      <w:r w:rsidRPr="002E03B3">
        <w:rPr>
          <w:rFonts w:ascii="Arial" w:hAnsi="Arial" w:cs="Arial"/>
          <w:sz w:val="22"/>
          <w:szCs w:val="22"/>
        </w:rPr>
        <w:t xml:space="preserve">In the UK, the effects of socioeconomic inequalities on health include inequality in health outcomes, with low-income groups having a greater prevalence of diseases and limited access to preventive care (Abdi et al., 2025). The Levelling Up Agenda is one of the policy frameworks to tackle regional inequalities but, as it can be critically </w:t>
      </w:r>
      <w:proofErr w:type="spellStart"/>
      <w:r w:rsidRPr="002E03B3">
        <w:rPr>
          <w:rFonts w:ascii="Arial" w:hAnsi="Arial" w:cs="Arial"/>
          <w:sz w:val="22"/>
          <w:szCs w:val="22"/>
        </w:rPr>
        <w:t>analyzed</w:t>
      </w:r>
      <w:proofErr w:type="spellEnd"/>
      <w:r w:rsidRPr="002E03B3">
        <w:rPr>
          <w:rFonts w:ascii="Arial" w:hAnsi="Arial" w:cs="Arial"/>
          <w:sz w:val="22"/>
          <w:szCs w:val="22"/>
        </w:rPr>
        <w:t>, policy frameworks are limited by fragmented governance, inadequate funding, and inability to target structural determinants, including housing, employment, and education (Bhandari, 2024). The literature highlights that unless incorporated strategies that can deal with various determinants at the same time, inequality-oriented campaigns may result in a marginal or cosmetic change.</w:t>
      </w:r>
    </w:p>
    <w:p w14:paraId="4881C1A3" w14:textId="77777777" w:rsidR="000C24E5" w:rsidRPr="002E03B3" w:rsidRDefault="000C24E5" w:rsidP="00693FAF">
      <w:pPr>
        <w:spacing w:line="360" w:lineRule="auto"/>
        <w:ind w:firstLine="720"/>
        <w:jc w:val="both"/>
        <w:rPr>
          <w:rFonts w:ascii="Arial" w:hAnsi="Arial" w:cs="Arial"/>
          <w:sz w:val="22"/>
          <w:szCs w:val="22"/>
        </w:rPr>
      </w:pPr>
      <w:r w:rsidRPr="002E03B3">
        <w:rPr>
          <w:rFonts w:ascii="Arial" w:hAnsi="Arial" w:cs="Arial"/>
          <w:sz w:val="22"/>
          <w:szCs w:val="22"/>
        </w:rPr>
        <w:lastRenderedPageBreak/>
        <w:t>Locally, such efforts to reduce local disparities are evidenced by initiatives in Wales such as community development initiatives and more specific local health equity initiatives. Nevertheless, reviews indicate that their performance is diminished due to lack of capacity, inconsistent application and insufficient involvement of vulnerable groups (Oppong, 2025). More importantly, these issues reveal a recurring paradox that global and national policies present guidelines and objectives, with the implementation of these guidelines into locally significant results, however, depending on resources, governance, and socio-cultural orientation.</w:t>
      </w:r>
    </w:p>
    <w:p w14:paraId="7345D0DB" w14:textId="54A1F4B1" w:rsidR="00BD5371" w:rsidRPr="002E03B3" w:rsidRDefault="00BD5371" w:rsidP="00693FAF">
      <w:pPr>
        <w:pStyle w:val="Heading1"/>
        <w:numPr>
          <w:ilvl w:val="0"/>
          <w:numId w:val="5"/>
        </w:numPr>
        <w:spacing w:line="360" w:lineRule="auto"/>
        <w:rPr>
          <w:rFonts w:ascii="Arial" w:hAnsi="Arial" w:cs="Arial"/>
          <w:sz w:val="22"/>
          <w:szCs w:val="22"/>
        </w:rPr>
      </w:pPr>
      <w:bookmarkStart w:id="5" w:name="_Toc223813941"/>
      <w:r w:rsidRPr="002E03B3">
        <w:rPr>
          <w:rFonts w:ascii="Arial" w:hAnsi="Arial" w:cs="Arial"/>
          <w:sz w:val="22"/>
          <w:szCs w:val="22"/>
        </w:rPr>
        <w:t>Evaluation of National and Local Initiatives</w:t>
      </w:r>
      <w:bookmarkEnd w:id="5"/>
    </w:p>
    <w:p w14:paraId="61CA00CA" w14:textId="77777777" w:rsidR="00693FAF" w:rsidRPr="002E03B3" w:rsidRDefault="00693FAF" w:rsidP="00693FAF">
      <w:pPr>
        <w:spacing w:line="360" w:lineRule="auto"/>
        <w:rPr>
          <w:rFonts w:ascii="Arial" w:hAnsi="Arial" w:cs="Arial"/>
          <w:sz w:val="22"/>
          <w:szCs w:val="22"/>
        </w:rPr>
      </w:pPr>
    </w:p>
    <w:p w14:paraId="1D9C886A" w14:textId="77777777" w:rsidR="000C24E5" w:rsidRPr="002E03B3" w:rsidRDefault="000C24E5" w:rsidP="00693FAF">
      <w:pPr>
        <w:spacing w:line="360" w:lineRule="auto"/>
        <w:ind w:firstLine="720"/>
        <w:jc w:val="both"/>
        <w:rPr>
          <w:rFonts w:ascii="Arial" w:hAnsi="Arial" w:cs="Arial"/>
          <w:sz w:val="22"/>
          <w:szCs w:val="22"/>
        </w:rPr>
      </w:pPr>
      <w:r w:rsidRPr="002E03B3">
        <w:rPr>
          <w:rFonts w:ascii="Arial" w:hAnsi="Arial" w:cs="Arial"/>
          <w:sz w:val="22"/>
          <w:szCs w:val="22"/>
        </w:rPr>
        <w:t xml:space="preserve">SDG 3 and SDG 10 are transformed into national and local measures of enhancing health and wellbeing. Another aspect which is prioritised in the UK is prevention, integrated care, and mental health support through the NHS Long Term Plan (2019). This is in line with SDG 3, but its performance is limited because of </w:t>
      </w:r>
      <w:proofErr w:type="spellStart"/>
      <w:r w:rsidRPr="002E03B3">
        <w:rPr>
          <w:rFonts w:ascii="Arial" w:hAnsi="Arial" w:cs="Arial"/>
          <w:sz w:val="22"/>
          <w:szCs w:val="22"/>
        </w:rPr>
        <w:t>labor</w:t>
      </w:r>
      <w:proofErr w:type="spellEnd"/>
      <w:r w:rsidRPr="002E03B3">
        <w:rPr>
          <w:rFonts w:ascii="Arial" w:hAnsi="Arial" w:cs="Arial"/>
          <w:sz w:val="22"/>
          <w:szCs w:val="22"/>
        </w:rPr>
        <w:t xml:space="preserve"> shortages, lack of funding, and differences across regions (</w:t>
      </w:r>
      <w:proofErr w:type="spellStart"/>
      <w:r w:rsidRPr="002E03B3">
        <w:rPr>
          <w:rFonts w:ascii="Arial" w:hAnsi="Arial" w:cs="Arial"/>
          <w:sz w:val="22"/>
          <w:szCs w:val="22"/>
        </w:rPr>
        <w:t>Shegani</w:t>
      </w:r>
      <w:proofErr w:type="spellEnd"/>
      <w:r w:rsidRPr="002E03B3">
        <w:rPr>
          <w:rFonts w:ascii="Arial" w:hAnsi="Arial" w:cs="Arial"/>
          <w:sz w:val="22"/>
          <w:szCs w:val="22"/>
        </w:rPr>
        <w:t xml:space="preserve"> et al., 2025). Intervention methods are getting better, although disparities are still present, especially in socioeconomically poor populations (</w:t>
      </w:r>
      <w:proofErr w:type="spellStart"/>
      <w:r w:rsidRPr="002E03B3">
        <w:rPr>
          <w:rFonts w:ascii="Arial" w:hAnsi="Arial" w:cs="Arial"/>
          <w:sz w:val="22"/>
          <w:szCs w:val="22"/>
        </w:rPr>
        <w:t>Foláyan</w:t>
      </w:r>
      <w:proofErr w:type="spellEnd"/>
      <w:r w:rsidRPr="002E03B3">
        <w:rPr>
          <w:rFonts w:ascii="Arial" w:hAnsi="Arial" w:cs="Arial"/>
          <w:sz w:val="22"/>
          <w:szCs w:val="22"/>
        </w:rPr>
        <w:t xml:space="preserve"> et al., 2025).</w:t>
      </w:r>
    </w:p>
    <w:p w14:paraId="192A1657" w14:textId="77777777" w:rsidR="000C24E5" w:rsidRPr="002E03B3" w:rsidRDefault="000C24E5" w:rsidP="00693FAF">
      <w:pPr>
        <w:spacing w:line="360" w:lineRule="auto"/>
        <w:ind w:firstLine="720"/>
        <w:jc w:val="both"/>
        <w:rPr>
          <w:rFonts w:ascii="Arial" w:hAnsi="Arial" w:cs="Arial"/>
          <w:sz w:val="22"/>
          <w:szCs w:val="22"/>
        </w:rPr>
      </w:pPr>
      <w:r w:rsidRPr="002E03B3">
        <w:rPr>
          <w:rFonts w:ascii="Arial" w:hAnsi="Arial" w:cs="Arial"/>
          <w:sz w:val="22"/>
          <w:szCs w:val="22"/>
        </w:rPr>
        <w:t>The Health Inequality Programme by the Public Health England (PHE) focuses on social determinants of health such as education, housing, and employment. Assessments indicate a certain achievement in bringing awareness about health disparities, but the local level outcomes cannot be measured (</w:t>
      </w:r>
      <w:proofErr w:type="spellStart"/>
      <w:r w:rsidRPr="002E03B3">
        <w:rPr>
          <w:rFonts w:ascii="Arial" w:hAnsi="Arial" w:cs="Arial"/>
          <w:sz w:val="22"/>
          <w:szCs w:val="22"/>
        </w:rPr>
        <w:t>Foroudi</w:t>
      </w:r>
      <w:proofErr w:type="spellEnd"/>
      <w:r w:rsidRPr="002E03B3">
        <w:rPr>
          <w:rFonts w:ascii="Arial" w:hAnsi="Arial" w:cs="Arial"/>
          <w:sz w:val="22"/>
          <w:szCs w:val="22"/>
        </w:rPr>
        <w:t xml:space="preserve"> et al., 2025). This is an indication of a long-standing gap between policy design and operational capacity, which illustrates that there is a necessity of a coherent national-local coordination.</w:t>
      </w:r>
    </w:p>
    <w:p w14:paraId="7901E391" w14:textId="77777777" w:rsidR="000C24E5" w:rsidRPr="002E03B3" w:rsidRDefault="000C24E5" w:rsidP="00693FAF">
      <w:pPr>
        <w:spacing w:line="360" w:lineRule="auto"/>
        <w:ind w:firstLine="720"/>
        <w:jc w:val="both"/>
        <w:rPr>
          <w:rFonts w:ascii="Arial" w:hAnsi="Arial" w:cs="Arial"/>
          <w:sz w:val="22"/>
          <w:szCs w:val="22"/>
        </w:rPr>
      </w:pPr>
      <w:r w:rsidRPr="002E03B3">
        <w:rPr>
          <w:rFonts w:ascii="Arial" w:hAnsi="Arial" w:cs="Arial"/>
          <w:sz w:val="22"/>
          <w:szCs w:val="22"/>
        </w:rPr>
        <w:t>Physical and mental wellbeing is encouraged by local initiatives in Wales, including the Healthy Schools and Active Travel schemes of Public Health Wales. There is evidence of beneficial effects on lifestyle practices, such as more exercise and healthier diet (Singh and Kumar, 2025). Nevertheless, such programs fail to reach some of the poorest populations because of the socio-economic obstacles, accessibility, and the inability to engage. Legislation and local efforts to achieve the objectives show disintegration and narrow delivery to maximize the transformational power of SDG 3 and SDG 10 solutions.</w:t>
      </w:r>
    </w:p>
    <w:p w14:paraId="04C9773F" w14:textId="77777777" w:rsidR="00693FAF" w:rsidRDefault="00693FAF" w:rsidP="00693FAF">
      <w:pPr>
        <w:spacing w:line="360" w:lineRule="auto"/>
        <w:jc w:val="both"/>
        <w:rPr>
          <w:rFonts w:ascii="Arial" w:hAnsi="Arial" w:cs="Arial"/>
          <w:sz w:val="22"/>
          <w:szCs w:val="22"/>
        </w:rPr>
      </w:pPr>
    </w:p>
    <w:p w14:paraId="115F5E07" w14:textId="77777777" w:rsidR="00980901" w:rsidRPr="002E03B3" w:rsidRDefault="00980901" w:rsidP="00693FAF">
      <w:pPr>
        <w:spacing w:line="360" w:lineRule="auto"/>
        <w:jc w:val="both"/>
        <w:rPr>
          <w:rFonts w:ascii="Arial" w:hAnsi="Arial" w:cs="Arial"/>
          <w:sz w:val="22"/>
          <w:szCs w:val="22"/>
        </w:rPr>
      </w:pPr>
    </w:p>
    <w:p w14:paraId="3E152F35" w14:textId="3217E4C9" w:rsidR="00BD5371" w:rsidRPr="002E03B3" w:rsidRDefault="00BD5371" w:rsidP="00693FAF">
      <w:pPr>
        <w:pStyle w:val="Heading1"/>
        <w:numPr>
          <w:ilvl w:val="0"/>
          <w:numId w:val="5"/>
        </w:numPr>
        <w:spacing w:line="360" w:lineRule="auto"/>
        <w:rPr>
          <w:rFonts w:ascii="Arial" w:hAnsi="Arial" w:cs="Arial"/>
          <w:sz w:val="22"/>
          <w:szCs w:val="22"/>
        </w:rPr>
      </w:pPr>
      <w:bookmarkStart w:id="6" w:name="_Toc223813942"/>
      <w:r w:rsidRPr="002E03B3">
        <w:rPr>
          <w:rFonts w:ascii="Arial" w:hAnsi="Arial" w:cs="Arial"/>
          <w:sz w:val="22"/>
          <w:szCs w:val="22"/>
        </w:rPr>
        <w:lastRenderedPageBreak/>
        <w:t>Recommendations</w:t>
      </w:r>
      <w:bookmarkEnd w:id="6"/>
    </w:p>
    <w:p w14:paraId="0E096787" w14:textId="77777777" w:rsidR="00980901" w:rsidRPr="002E03B3" w:rsidRDefault="00980901" w:rsidP="00693FAF">
      <w:pPr>
        <w:pStyle w:val="ListParagraph"/>
        <w:spacing w:line="360" w:lineRule="auto"/>
        <w:rPr>
          <w:rFonts w:ascii="Arial" w:hAnsi="Arial" w:cs="Arial"/>
          <w:sz w:val="22"/>
          <w:szCs w:val="22"/>
        </w:rPr>
      </w:pPr>
    </w:p>
    <w:p w14:paraId="2AB22B06" w14:textId="77777777" w:rsidR="000C24E5" w:rsidRPr="002E03B3" w:rsidRDefault="000C24E5" w:rsidP="00693FAF">
      <w:pPr>
        <w:spacing w:line="360" w:lineRule="auto"/>
        <w:ind w:firstLine="720"/>
        <w:jc w:val="both"/>
        <w:rPr>
          <w:rFonts w:ascii="Arial" w:hAnsi="Arial" w:cs="Arial"/>
          <w:b/>
          <w:bCs/>
          <w:sz w:val="22"/>
          <w:szCs w:val="22"/>
        </w:rPr>
      </w:pPr>
      <w:r w:rsidRPr="002E03B3">
        <w:rPr>
          <w:rFonts w:ascii="Arial" w:hAnsi="Arial" w:cs="Arial"/>
          <w:b/>
          <w:bCs/>
          <w:sz w:val="22"/>
          <w:szCs w:val="22"/>
        </w:rPr>
        <w:t>1.</w:t>
      </w:r>
      <w:r w:rsidRPr="002E03B3">
        <w:rPr>
          <w:rFonts w:ascii="Arial" w:hAnsi="Arial" w:cs="Arial"/>
          <w:b/>
          <w:bCs/>
          <w:sz w:val="22"/>
          <w:szCs w:val="22"/>
        </w:rPr>
        <w:tab/>
      </w:r>
      <w:r w:rsidRPr="002E03B3">
        <w:rPr>
          <w:rFonts w:ascii="Arial" w:hAnsi="Arial" w:cs="Arial"/>
          <w:sz w:val="22"/>
          <w:szCs w:val="22"/>
        </w:rPr>
        <w:t>Combine SDG 3 and SDG 10: Health outcomes and social inequalities can be tackled so that policies are coordinated, encompassing healthcare, education, housing, employment, and so on (Wanyana et al., 2024).</w:t>
      </w:r>
    </w:p>
    <w:p w14:paraId="102954D5" w14:textId="77777777" w:rsidR="000C24E5" w:rsidRPr="002E03B3" w:rsidRDefault="000C24E5" w:rsidP="00693FAF">
      <w:pPr>
        <w:spacing w:line="360" w:lineRule="auto"/>
        <w:ind w:firstLine="720"/>
        <w:jc w:val="both"/>
        <w:rPr>
          <w:rFonts w:ascii="Arial" w:hAnsi="Arial" w:cs="Arial"/>
          <w:b/>
          <w:bCs/>
          <w:sz w:val="22"/>
          <w:szCs w:val="22"/>
        </w:rPr>
      </w:pPr>
      <w:r w:rsidRPr="002E03B3">
        <w:rPr>
          <w:rFonts w:ascii="Arial" w:hAnsi="Arial" w:cs="Arial"/>
          <w:b/>
          <w:bCs/>
          <w:sz w:val="22"/>
          <w:szCs w:val="22"/>
        </w:rPr>
        <w:t>2.</w:t>
      </w:r>
      <w:r w:rsidRPr="002E03B3">
        <w:rPr>
          <w:rFonts w:ascii="Arial" w:hAnsi="Arial" w:cs="Arial"/>
          <w:b/>
          <w:bCs/>
          <w:sz w:val="22"/>
          <w:szCs w:val="22"/>
        </w:rPr>
        <w:tab/>
      </w:r>
      <w:r w:rsidRPr="002E03B3">
        <w:rPr>
          <w:rFonts w:ascii="Arial" w:hAnsi="Arial" w:cs="Arial"/>
          <w:sz w:val="22"/>
          <w:szCs w:val="22"/>
        </w:rPr>
        <w:t>Build local capacity: This means giving resources, workforce, and training to local authorities to deliver programs efficiently with the involvement of the community in a way that is socio-economically and culturally responsive.</w:t>
      </w:r>
    </w:p>
    <w:p w14:paraId="1CA82614" w14:textId="77777777" w:rsidR="000C24E5" w:rsidRPr="002E03B3" w:rsidRDefault="000C24E5" w:rsidP="00693FAF">
      <w:pPr>
        <w:spacing w:line="360" w:lineRule="auto"/>
        <w:ind w:firstLine="720"/>
        <w:jc w:val="both"/>
        <w:rPr>
          <w:rFonts w:ascii="Arial" w:hAnsi="Arial" w:cs="Arial"/>
          <w:b/>
          <w:bCs/>
          <w:sz w:val="22"/>
          <w:szCs w:val="22"/>
        </w:rPr>
      </w:pPr>
      <w:r w:rsidRPr="002E03B3">
        <w:rPr>
          <w:rFonts w:ascii="Arial" w:hAnsi="Arial" w:cs="Arial"/>
          <w:b/>
          <w:bCs/>
          <w:sz w:val="22"/>
          <w:szCs w:val="22"/>
        </w:rPr>
        <w:t>3.</w:t>
      </w:r>
      <w:r w:rsidRPr="002E03B3">
        <w:rPr>
          <w:rFonts w:ascii="Arial" w:hAnsi="Arial" w:cs="Arial"/>
          <w:b/>
          <w:bCs/>
          <w:sz w:val="22"/>
          <w:szCs w:val="22"/>
        </w:rPr>
        <w:tab/>
      </w:r>
      <w:r w:rsidRPr="002E03B3">
        <w:rPr>
          <w:rFonts w:ascii="Arial" w:hAnsi="Arial" w:cs="Arial"/>
          <w:sz w:val="22"/>
          <w:szCs w:val="22"/>
        </w:rPr>
        <w:t>Improve monitoring and evaluation: Add quantitative and qualitative measures to measure mortality, prevalence rate of diseases, mental wellbeing, and social cohesion. Interventions could be modified using real-time feedback.</w:t>
      </w:r>
    </w:p>
    <w:p w14:paraId="79C997AB" w14:textId="77777777" w:rsidR="000C24E5" w:rsidRPr="002E03B3" w:rsidRDefault="000C24E5" w:rsidP="00693FAF">
      <w:pPr>
        <w:spacing w:line="360" w:lineRule="auto"/>
        <w:ind w:firstLine="720"/>
        <w:jc w:val="both"/>
        <w:rPr>
          <w:rFonts w:ascii="Arial" w:hAnsi="Arial" w:cs="Arial"/>
          <w:b/>
          <w:bCs/>
          <w:sz w:val="22"/>
          <w:szCs w:val="22"/>
        </w:rPr>
      </w:pPr>
      <w:r w:rsidRPr="002E03B3">
        <w:rPr>
          <w:rFonts w:ascii="Arial" w:hAnsi="Arial" w:cs="Arial"/>
          <w:b/>
          <w:bCs/>
          <w:sz w:val="22"/>
          <w:szCs w:val="22"/>
        </w:rPr>
        <w:t>4.</w:t>
      </w:r>
      <w:r w:rsidRPr="002E03B3">
        <w:rPr>
          <w:rFonts w:ascii="Arial" w:hAnsi="Arial" w:cs="Arial"/>
          <w:b/>
          <w:bCs/>
          <w:sz w:val="22"/>
          <w:szCs w:val="22"/>
        </w:rPr>
        <w:tab/>
      </w:r>
      <w:r w:rsidRPr="002E03B3">
        <w:rPr>
          <w:rFonts w:ascii="Arial" w:hAnsi="Arial" w:cs="Arial"/>
          <w:sz w:val="22"/>
          <w:szCs w:val="22"/>
        </w:rPr>
        <w:t>Place emphasis on prevention: Emphasize on upstream interventions that can overcome social determinants such as food security, education and housing quality.</w:t>
      </w:r>
    </w:p>
    <w:p w14:paraId="695F4224" w14:textId="77777777" w:rsidR="000C24E5" w:rsidRPr="002E03B3" w:rsidRDefault="000C24E5" w:rsidP="00693FAF">
      <w:pPr>
        <w:spacing w:line="360" w:lineRule="auto"/>
        <w:ind w:firstLine="720"/>
        <w:jc w:val="both"/>
        <w:rPr>
          <w:rFonts w:ascii="Arial" w:hAnsi="Arial" w:cs="Arial"/>
          <w:sz w:val="22"/>
          <w:szCs w:val="22"/>
        </w:rPr>
      </w:pPr>
      <w:r w:rsidRPr="002E03B3">
        <w:rPr>
          <w:rFonts w:ascii="Arial" w:hAnsi="Arial" w:cs="Arial"/>
          <w:b/>
          <w:bCs/>
          <w:sz w:val="22"/>
          <w:szCs w:val="22"/>
        </w:rPr>
        <w:t>5.</w:t>
      </w:r>
      <w:r w:rsidRPr="002E03B3">
        <w:rPr>
          <w:rFonts w:ascii="Arial" w:hAnsi="Arial" w:cs="Arial"/>
          <w:b/>
          <w:bCs/>
          <w:sz w:val="22"/>
          <w:szCs w:val="22"/>
        </w:rPr>
        <w:tab/>
      </w:r>
      <w:r w:rsidRPr="002E03B3">
        <w:rPr>
          <w:rFonts w:ascii="Arial" w:hAnsi="Arial" w:cs="Arial"/>
          <w:sz w:val="22"/>
          <w:szCs w:val="22"/>
        </w:rPr>
        <w:t>Encourage cross-sector collaboration: Health, social care, education and local government: Co-ordination between all these areas must reduce fragmentation and achieve better policy impact (Berry et al., 2024). Target equity-based funding: Divide the interventions equally to disadvantaged populations to make them have the benefit of interventions.</w:t>
      </w:r>
    </w:p>
    <w:p w14:paraId="49A19769" w14:textId="21A245DF" w:rsidR="00BD5371" w:rsidRPr="002E03B3" w:rsidRDefault="00BD5371" w:rsidP="00693FAF">
      <w:pPr>
        <w:pStyle w:val="Heading1"/>
        <w:spacing w:line="360" w:lineRule="auto"/>
        <w:ind w:left="720"/>
        <w:rPr>
          <w:rFonts w:ascii="Arial" w:hAnsi="Arial" w:cs="Arial"/>
          <w:sz w:val="22"/>
          <w:szCs w:val="22"/>
        </w:rPr>
      </w:pPr>
      <w:bookmarkStart w:id="7" w:name="_Toc223813943"/>
      <w:r w:rsidRPr="002E03B3">
        <w:rPr>
          <w:rFonts w:ascii="Arial" w:hAnsi="Arial" w:cs="Arial"/>
          <w:sz w:val="22"/>
          <w:szCs w:val="22"/>
        </w:rPr>
        <w:t>Conclusion</w:t>
      </w:r>
      <w:bookmarkEnd w:id="7"/>
    </w:p>
    <w:p w14:paraId="464ED827" w14:textId="77777777" w:rsidR="00693FAF" w:rsidRPr="002E03B3" w:rsidRDefault="00693FAF" w:rsidP="00693FAF">
      <w:pPr>
        <w:spacing w:line="360" w:lineRule="auto"/>
        <w:rPr>
          <w:rFonts w:ascii="Arial" w:hAnsi="Arial" w:cs="Arial"/>
          <w:sz w:val="22"/>
          <w:szCs w:val="22"/>
        </w:rPr>
      </w:pPr>
    </w:p>
    <w:p w14:paraId="498BA77E" w14:textId="77777777" w:rsidR="00861631" w:rsidRPr="002E03B3" w:rsidRDefault="00861631" w:rsidP="00693FAF">
      <w:pPr>
        <w:spacing w:line="360" w:lineRule="auto"/>
        <w:ind w:firstLine="720"/>
        <w:jc w:val="both"/>
        <w:rPr>
          <w:rFonts w:ascii="Arial" w:hAnsi="Arial" w:cs="Arial"/>
          <w:sz w:val="22"/>
          <w:szCs w:val="22"/>
        </w:rPr>
      </w:pPr>
      <w:r w:rsidRPr="002E03B3">
        <w:rPr>
          <w:rFonts w:ascii="Arial" w:hAnsi="Arial" w:cs="Arial"/>
          <w:sz w:val="22"/>
          <w:szCs w:val="22"/>
        </w:rPr>
        <w:t>The SDG 3 (Good Health and Wellbeing) and SDG 10 (Reduced Inequalities) were critically studied in terms of their effect on the globe, nations, and communities in this report. Although there has been an improvement in health indicators across the globe, structural inequalities that are permanent hinder their ability to be effective. The NHS Long Term Plan, PHE programs, and other initiatives of the country reflect compliance with SDG 3 and have issues with the implementation, resource distribution, and equity. Wales has had successful examples of local initiatives that demonstrate how SDG goals can be applied effectively but they need engagement and resource support.</w:t>
      </w:r>
    </w:p>
    <w:p w14:paraId="0DA56F02" w14:textId="77777777" w:rsidR="00861631" w:rsidRPr="002E03B3" w:rsidRDefault="00861631" w:rsidP="00693FAF">
      <w:pPr>
        <w:spacing w:line="360" w:lineRule="auto"/>
        <w:ind w:firstLine="720"/>
        <w:jc w:val="both"/>
        <w:rPr>
          <w:rFonts w:ascii="Arial" w:hAnsi="Arial" w:cs="Arial"/>
          <w:sz w:val="22"/>
          <w:szCs w:val="22"/>
        </w:rPr>
      </w:pPr>
      <w:r w:rsidRPr="002E03B3">
        <w:rPr>
          <w:rFonts w:ascii="Arial" w:hAnsi="Arial" w:cs="Arial"/>
          <w:sz w:val="22"/>
          <w:szCs w:val="22"/>
        </w:rPr>
        <w:t xml:space="preserve">Critical analysis creates the demand of combined strategies that would unite health outcomes with reduction of structural inequality. Evidence-based proposals involve aligning the policies with both SDGs, strengthening the capacity of the local community, increasing </w:t>
      </w:r>
      <w:r w:rsidRPr="002E03B3">
        <w:rPr>
          <w:rFonts w:ascii="Arial" w:hAnsi="Arial" w:cs="Arial"/>
          <w:sz w:val="22"/>
          <w:szCs w:val="22"/>
        </w:rPr>
        <w:lastRenderedPageBreak/>
        <w:t>surveillance, preventing disease, encouraging inter-sectoral working, and allocating funds to the regions of high demand.</w:t>
      </w:r>
    </w:p>
    <w:p w14:paraId="1EA0583A" w14:textId="77777777" w:rsidR="00861631" w:rsidRPr="002E03B3" w:rsidRDefault="00861631" w:rsidP="00693FAF">
      <w:pPr>
        <w:spacing w:line="360" w:lineRule="auto"/>
        <w:ind w:firstLine="720"/>
        <w:jc w:val="both"/>
        <w:rPr>
          <w:rFonts w:ascii="Arial" w:hAnsi="Arial" w:cs="Arial"/>
          <w:sz w:val="22"/>
          <w:szCs w:val="22"/>
        </w:rPr>
      </w:pPr>
      <w:r w:rsidRPr="002E03B3">
        <w:rPr>
          <w:rFonts w:ascii="Arial" w:hAnsi="Arial" w:cs="Arial"/>
          <w:sz w:val="22"/>
          <w:szCs w:val="22"/>
        </w:rPr>
        <w:t>To experience significant health and wellbeing improvement, it is necessary to ensure that there is a gap between the global objectives, national policies and local actions. Policies should go beyond the description levels by incorporating the systemic determinants of the health to guarantee fair, sustainable and acceptable outcomes in line with the SDG 3 and SDG 10 targets.</w:t>
      </w:r>
    </w:p>
    <w:p w14:paraId="335CFB61" w14:textId="77777777" w:rsidR="00861631" w:rsidRPr="002E03B3" w:rsidRDefault="00861631" w:rsidP="00693FAF">
      <w:pPr>
        <w:spacing w:line="360" w:lineRule="auto"/>
        <w:ind w:firstLine="720"/>
        <w:jc w:val="both"/>
        <w:rPr>
          <w:rFonts w:ascii="Arial" w:hAnsi="Arial" w:cs="Arial"/>
          <w:sz w:val="22"/>
          <w:szCs w:val="22"/>
        </w:rPr>
      </w:pPr>
    </w:p>
    <w:p w14:paraId="3566DDCF" w14:textId="77777777" w:rsidR="00693FAF" w:rsidRPr="002E03B3" w:rsidRDefault="00693FAF" w:rsidP="00693FAF">
      <w:pPr>
        <w:spacing w:line="360" w:lineRule="auto"/>
        <w:rPr>
          <w:rFonts w:ascii="Arial" w:eastAsiaTheme="majorEastAsia" w:hAnsi="Arial" w:cs="Arial"/>
          <w:b/>
          <w:sz w:val="22"/>
          <w:szCs w:val="22"/>
        </w:rPr>
      </w:pPr>
      <w:r w:rsidRPr="002E03B3">
        <w:rPr>
          <w:rFonts w:ascii="Arial" w:hAnsi="Arial" w:cs="Arial"/>
          <w:sz w:val="22"/>
          <w:szCs w:val="22"/>
        </w:rPr>
        <w:br w:type="page"/>
      </w:r>
    </w:p>
    <w:p w14:paraId="61CA11CC" w14:textId="01304F82" w:rsidR="00BD5371" w:rsidRPr="002E03B3" w:rsidRDefault="00BD5371" w:rsidP="00693FAF">
      <w:pPr>
        <w:pStyle w:val="Heading1"/>
        <w:spacing w:line="360" w:lineRule="auto"/>
        <w:rPr>
          <w:rFonts w:ascii="Arial" w:hAnsi="Arial" w:cs="Arial"/>
          <w:sz w:val="22"/>
          <w:szCs w:val="22"/>
        </w:rPr>
      </w:pPr>
      <w:bookmarkStart w:id="8" w:name="_Toc223813944"/>
      <w:r w:rsidRPr="002E03B3">
        <w:rPr>
          <w:rFonts w:ascii="Arial" w:hAnsi="Arial" w:cs="Arial"/>
          <w:sz w:val="22"/>
          <w:szCs w:val="22"/>
        </w:rPr>
        <w:lastRenderedPageBreak/>
        <w:t>References</w:t>
      </w:r>
      <w:bookmarkEnd w:id="8"/>
    </w:p>
    <w:p w14:paraId="15A15DA2" w14:textId="77777777" w:rsidR="00861631" w:rsidRPr="002E03B3" w:rsidRDefault="00861631" w:rsidP="00693FAF">
      <w:pPr>
        <w:spacing w:line="360" w:lineRule="auto"/>
        <w:jc w:val="both"/>
        <w:rPr>
          <w:rFonts w:ascii="Arial" w:hAnsi="Arial" w:cs="Arial"/>
          <w:sz w:val="22"/>
          <w:szCs w:val="22"/>
        </w:rPr>
      </w:pPr>
    </w:p>
    <w:p w14:paraId="77383A59" w14:textId="77777777" w:rsidR="00693FAF" w:rsidRPr="002E03B3" w:rsidRDefault="00693FAF" w:rsidP="00693FAF">
      <w:pPr>
        <w:spacing w:line="360" w:lineRule="auto"/>
        <w:ind w:left="720" w:hanging="720"/>
        <w:jc w:val="both"/>
        <w:rPr>
          <w:rFonts w:ascii="Arial" w:hAnsi="Arial" w:cs="Arial"/>
          <w:sz w:val="22"/>
          <w:szCs w:val="22"/>
        </w:rPr>
      </w:pPr>
      <w:r w:rsidRPr="002E03B3">
        <w:rPr>
          <w:rFonts w:ascii="Arial" w:hAnsi="Arial" w:cs="Arial"/>
          <w:sz w:val="22"/>
          <w:szCs w:val="22"/>
        </w:rPr>
        <w:t xml:space="preserve">Abdi, Y.H., Abdi, M.S., Bashir, S.G., Ahmed, N.I. and Abdullahi, Y.B. (2025) Understanding global health inequality and inequity: causes, consequences, and the path toward justice in healthcare. </w:t>
      </w:r>
      <w:r w:rsidRPr="002E03B3">
        <w:rPr>
          <w:rFonts w:ascii="Arial" w:hAnsi="Arial" w:cs="Arial"/>
          <w:i/>
          <w:iCs/>
          <w:sz w:val="22"/>
          <w:szCs w:val="22"/>
        </w:rPr>
        <w:t>Public Health Challenges</w:t>
      </w:r>
      <w:r w:rsidRPr="002E03B3">
        <w:rPr>
          <w:rFonts w:ascii="Arial" w:hAnsi="Arial" w:cs="Arial"/>
          <w:sz w:val="22"/>
          <w:szCs w:val="22"/>
        </w:rPr>
        <w:t>, 4(4), p. e70156</w:t>
      </w:r>
    </w:p>
    <w:p w14:paraId="43235F18" w14:textId="77777777" w:rsidR="00693FAF" w:rsidRPr="002E03B3" w:rsidRDefault="00693FAF" w:rsidP="00693FAF">
      <w:pPr>
        <w:spacing w:line="360" w:lineRule="auto"/>
        <w:ind w:left="720" w:hanging="720"/>
        <w:jc w:val="both"/>
        <w:rPr>
          <w:rFonts w:ascii="Arial" w:hAnsi="Arial" w:cs="Arial"/>
          <w:sz w:val="22"/>
          <w:szCs w:val="22"/>
        </w:rPr>
      </w:pPr>
      <w:proofErr w:type="spellStart"/>
      <w:r w:rsidRPr="002E03B3">
        <w:rPr>
          <w:rFonts w:ascii="Arial" w:hAnsi="Arial" w:cs="Arial"/>
          <w:sz w:val="22"/>
          <w:szCs w:val="22"/>
        </w:rPr>
        <w:t>Alarifi</w:t>
      </w:r>
      <w:proofErr w:type="spellEnd"/>
      <w:r w:rsidRPr="002E03B3">
        <w:rPr>
          <w:rFonts w:ascii="Arial" w:hAnsi="Arial" w:cs="Arial"/>
          <w:sz w:val="22"/>
          <w:szCs w:val="22"/>
        </w:rPr>
        <w:t xml:space="preserve">, A.M., Alshahrani, N.Z., </w:t>
      </w:r>
      <w:proofErr w:type="spellStart"/>
      <w:r w:rsidRPr="002E03B3">
        <w:rPr>
          <w:rFonts w:ascii="Arial" w:hAnsi="Arial" w:cs="Arial"/>
          <w:sz w:val="22"/>
          <w:szCs w:val="22"/>
        </w:rPr>
        <w:t>Jokhdar</w:t>
      </w:r>
      <w:proofErr w:type="spellEnd"/>
      <w:r w:rsidRPr="002E03B3">
        <w:rPr>
          <w:rFonts w:ascii="Arial" w:hAnsi="Arial" w:cs="Arial"/>
          <w:sz w:val="22"/>
          <w:szCs w:val="22"/>
        </w:rPr>
        <w:t xml:space="preserve">, H. and Asiri, A.M. (2025) Advancing health through sustainable development goals: Saudi Arabia’s mid-journey progress and insights. </w:t>
      </w:r>
      <w:r w:rsidRPr="002E03B3">
        <w:rPr>
          <w:rFonts w:ascii="Arial" w:hAnsi="Arial" w:cs="Arial"/>
          <w:i/>
          <w:iCs/>
          <w:sz w:val="22"/>
          <w:szCs w:val="22"/>
        </w:rPr>
        <w:t>Journal of Epidemiology and Global Health</w:t>
      </w:r>
      <w:r w:rsidRPr="002E03B3">
        <w:rPr>
          <w:rFonts w:ascii="Arial" w:hAnsi="Arial" w:cs="Arial"/>
          <w:sz w:val="22"/>
          <w:szCs w:val="22"/>
        </w:rPr>
        <w:t>, 15(1), p. 48</w:t>
      </w:r>
    </w:p>
    <w:p w14:paraId="3F03F1D0" w14:textId="77777777" w:rsidR="00693FAF" w:rsidRPr="002E03B3" w:rsidRDefault="00693FAF" w:rsidP="00693FAF">
      <w:pPr>
        <w:spacing w:line="360" w:lineRule="auto"/>
        <w:ind w:left="720" w:hanging="720"/>
        <w:jc w:val="both"/>
        <w:rPr>
          <w:rFonts w:ascii="Arial" w:hAnsi="Arial" w:cs="Arial"/>
          <w:sz w:val="22"/>
          <w:szCs w:val="22"/>
        </w:rPr>
      </w:pPr>
      <w:r w:rsidRPr="002E03B3">
        <w:rPr>
          <w:rFonts w:ascii="Arial" w:hAnsi="Arial" w:cs="Arial"/>
          <w:sz w:val="22"/>
          <w:szCs w:val="22"/>
        </w:rPr>
        <w:t xml:space="preserve">Amri, M., Enright, T., </w:t>
      </w:r>
      <w:proofErr w:type="spellStart"/>
      <w:r w:rsidRPr="002E03B3">
        <w:rPr>
          <w:rFonts w:ascii="Arial" w:hAnsi="Arial" w:cs="Arial"/>
          <w:sz w:val="22"/>
          <w:szCs w:val="22"/>
        </w:rPr>
        <w:t>O’Campo</w:t>
      </w:r>
      <w:proofErr w:type="spellEnd"/>
      <w:r w:rsidRPr="002E03B3">
        <w:rPr>
          <w:rFonts w:ascii="Arial" w:hAnsi="Arial" w:cs="Arial"/>
          <w:sz w:val="22"/>
          <w:szCs w:val="22"/>
        </w:rPr>
        <w:t xml:space="preserve">, P., Di Ruggiero, E., Siddiqi, A. and Bump, J.B. (2024) Investigating inconsistencies regarding health equity in select World Health Organization texts: a critical discourse analysis of health promotion, social determinants of health, and urban health texts, 2008–2016. </w:t>
      </w:r>
      <w:r w:rsidRPr="002E03B3">
        <w:rPr>
          <w:rFonts w:ascii="Arial" w:hAnsi="Arial" w:cs="Arial"/>
          <w:i/>
          <w:iCs/>
          <w:sz w:val="22"/>
          <w:szCs w:val="22"/>
        </w:rPr>
        <w:t>BMC Global and Public Health</w:t>
      </w:r>
      <w:r w:rsidRPr="002E03B3">
        <w:rPr>
          <w:rFonts w:ascii="Arial" w:hAnsi="Arial" w:cs="Arial"/>
          <w:sz w:val="22"/>
          <w:szCs w:val="22"/>
        </w:rPr>
        <w:t>, 2(1), p. 81</w:t>
      </w:r>
    </w:p>
    <w:p w14:paraId="15608717" w14:textId="77777777" w:rsidR="00693FAF" w:rsidRPr="002E03B3" w:rsidRDefault="00693FAF" w:rsidP="00693FAF">
      <w:pPr>
        <w:spacing w:line="360" w:lineRule="auto"/>
        <w:ind w:left="720" w:hanging="720"/>
        <w:jc w:val="both"/>
        <w:rPr>
          <w:rFonts w:ascii="Arial" w:hAnsi="Arial" w:cs="Arial"/>
          <w:sz w:val="22"/>
          <w:szCs w:val="22"/>
        </w:rPr>
      </w:pPr>
      <w:r w:rsidRPr="002E03B3">
        <w:rPr>
          <w:rFonts w:ascii="Arial" w:hAnsi="Arial" w:cs="Arial"/>
          <w:sz w:val="22"/>
          <w:szCs w:val="22"/>
        </w:rPr>
        <w:t xml:space="preserve">Berry, L.L., Yadav, M.S. and Hole, M.K. (2024) Reclaiming healthcare’s healing mission for a sustainable future. </w:t>
      </w:r>
      <w:r w:rsidRPr="002E03B3">
        <w:rPr>
          <w:rFonts w:ascii="Arial" w:hAnsi="Arial" w:cs="Arial"/>
          <w:i/>
          <w:iCs/>
          <w:sz w:val="22"/>
          <w:szCs w:val="22"/>
        </w:rPr>
        <w:t>Journal of Service Research</w:t>
      </w:r>
      <w:r w:rsidRPr="002E03B3">
        <w:rPr>
          <w:rFonts w:ascii="Arial" w:hAnsi="Arial" w:cs="Arial"/>
          <w:sz w:val="22"/>
          <w:szCs w:val="22"/>
        </w:rPr>
        <w:t>, 27(1), pp. 6–27</w:t>
      </w:r>
    </w:p>
    <w:p w14:paraId="332B3E9E" w14:textId="77777777" w:rsidR="00693FAF" w:rsidRPr="002E03B3" w:rsidRDefault="00693FAF" w:rsidP="00693FAF">
      <w:pPr>
        <w:spacing w:line="360" w:lineRule="auto"/>
        <w:ind w:left="720" w:hanging="720"/>
        <w:jc w:val="both"/>
        <w:rPr>
          <w:rFonts w:ascii="Arial" w:hAnsi="Arial" w:cs="Arial"/>
          <w:sz w:val="22"/>
          <w:szCs w:val="22"/>
        </w:rPr>
      </w:pPr>
      <w:r w:rsidRPr="002E03B3">
        <w:rPr>
          <w:rFonts w:ascii="Arial" w:hAnsi="Arial" w:cs="Arial"/>
          <w:sz w:val="22"/>
          <w:szCs w:val="22"/>
        </w:rPr>
        <w:t xml:space="preserve">Bhandari, M.P. (2024) What is next for the sustainable development goals, what are the challenges concerning SDG 10—reduced inequalities? </w:t>
      </w:r>
      <w:r w:rsidRPr="002E03B3">
        <w:rPr>
          <w:rFonts w:ascii="Arial" w:hAnsi="Arial" w:cs="Arial"/>
          <w:i/>
          <w:iCs/>
          <w:sz w:val="22"/>
          <w:szCs w:val="22"/>
        </w:rPr>
        <w:t>Sustainable Earth Reviews</w:t>
      </w:r>
      <w:r w:rsidRPr="002E03B3">
        <w:rPr>
          <w:rFonts w:ascii="Arial" w:hAnsi="Arial" w:cs="Arial"/>
          <w:sz w:val="22"/>
          <w:szCs w:val="22"/>
        </w:rPr>
        <w:t>, 7(1), p. 23</w:t>
      </w:r>
    </w:p>
    <w:p w14:paraId="1D0E1542" w14:textId="77777777" w:rsidR="00693FAF" w:rsidRPr="002E03B3" w:rsidRDefault="00693FAF" w:rsidP="00693FAF">
      <w:pPr>
        <w:spacing w:line="360" w:lineRule="auto"/>
        <w:ind w:left="720" w:hanging="720"/>
        <w:jc w:val="both"/>
        <w:rPr>
          <w:rFonts w:ascii="Arial" w:hAnsi="Arial" w:cs="Arial"/>
          <w:sz w:val="22"/>
          <w:szCs w:val="22"/>
        </w:rPr>
      </w:pPr>
      <w:r w:rsidRPr="002E03B3">
        <w:rPr>
          <w:rFonts w:ascii="Arial" w:hAnsi="Arial" w:cs="Arial"/>
          <w:sz w:val="22"/>
          <w:szCs w:val="22"/>
        </w:rPr>
        <w:t xml:space="preserve">Chaudhuri, A., Sharma, M. and Yazan, D.M. (2025) Environmental, social and governance strategies for Sustainable Development Goal 3: enhancing health and social wellbeing. </w:t>
      </w:r>
      <w:r w:rsidRPr="002E03B3">
        <w:rPr>
          <w:rFonts w:ascii="Arial" w:hAnsi="Arial" w:cs="Arial"/>
          <w:i/>
          <w:iCs/>
          <w:sz w:val="22"/>
          <w:szCs w:val="22"/>
        </w:rPr>
        <w:t>Sustainable Development</w:t>
      </w:r>
    </w:p>
    <w:p w14:paraId="405240FF" w14:textId="77777777" w:rsidR="00693FAF" w:rsidRPr="002E03B3" w:rsidRDefault="00693FAF" w:rsidP="00693FAF">
      <w:pPr>
        <w:spacing w:line="360" w:lineRule="auto"/>
        <w:ind w:left="720" w:hanging="720"/>
        <w:jc w:val="both"/>
        <w:rPr>
          <w:rFonts w:ascii="Arial" w:hAnsi="Arial" w:cs="Arial"/>
          <w:sz w:val="22"/>
          <w:szCs w:val="22"/>
        </w:rPr>
      </w:pPr>
      <w:r w:rsidRPr="002E03B3">
        <w:rPr>
          <w:rFonts w:ascii="Arial" w:hAnsi="Arial" w:cs="Arial"/>
          <w:sz w:val="22"/>
          <w:szCs w:val="22"/>
        </w:rPr>
        <w:t xml:space="preserve">Farag, M.I.H. (2025) Bridging inequality: contemporary challenges to achieve sustainable development goals across and within nations. </w:t>
      </w:r>
      <w:r w:rsidRPr="002E03B3">
        <w:rPr>
          <w:rFonts w:ascii="Arial" w:hAnsi="Arial" w:cs="Arial"/>
          <w:i/>
          <w:iCs/>
          <w:sz w:val="22"/>
          <w:szCs w:val="22"/>
        </w:rPr>
        <w:t>International Journal of Sustainable Development Goals</w:t>
      </w:r>
      <w:r w:rsidRPr="002E03B3">
        <w:rPr>
          <w:rFonts w:ascii="Arial" w:hAnsi="Arial" w:cs="Arial"/>
          <w:sz w:val="22"/>
          <w:szCs w:val="22"/>
        </w:rPr>
        <w:t>, 1, pp. 333–352</w:t>
      </w:r>
    </w:p>
    <w:p w14:paraId="2E943D12" w14:textId="77777777" w:rsidR="00693FAF" w:rsidRPr="002E03B3" w:rsidRDefault="00693FAF" w:rsidP="00693FAF">
      <w:pPr>
        <w:spacing w:line="360" w:lineRule="auto"/>
        <w:ind w:left="720" w:hanging="720"/>
        <w:jc w:val="both"/>
        <w:rPr>
          <w:rFonts w:ascii="Arial" w:hAnsi="Arial" w:cs="Arial"/>
          <w:sz w:val="22"/>
          <w:szCs w:val="22"/>
        </w:rPr>
      </w:pPr>
      <w:r w:rsidRPr="002E03B3">
        <w:rPr>
          <w:rFonts w:ascii="Arial" w:hAnsi="Arial" w:cs="Arial"/>
          <w:sz w:val="22"/>
          <w:szCs w:val="22"/>
        </w:rPr>
        <w:t xml:space="preserve">Fernando, A., </w:t>
      </w:r>
      <w:proofErr w:type="spellStart"/>
      <w:r w:rsidRPr="002E03B3">
        <w:rPr>
          <w:rFonts w:ascii="Arial" w:hAnsi="Arial" w:cs="Arial"/>
          <w:sz w:val="22"/>
          <w:szCs w:val="22"/>
        </w:rPr>
        <w:t>Sudangama</w:t>
      </w:r>
      <w:proofErr w:type="spellEnd"/>
      <w:r w:rsidRPr="002E03B3">
        <w:rPr>
          <w:rFonts w:ascii="Arial" w:hAnsi="Arial" w:cs="Arial"/>
          <w:sz w:val="22"/>
          <w:szCs w:val="22"/>
        </w:rPr>
        <w:t>, N., Adikari, D., Sundaram, A., Jayathilaka, R. and Rajapakse, V. (2025) Driving down child mortality in the SAARC: the impact of GDP, healthcare, and vaccination</w:t>
      </w:r>
    </w:p>
    <w:p w14:paraId="07F7AB7E" w14:textId="77777777" w:rsidR="00693FAF" w:rsidRPr="002E03B3" w:rsidRDefault="00693FAF" w:rsidP="00693FAF">
      <w:pPr>
        <w:spacing w:line="360" w:lineRule="auto"/>
        <w:ind w:left="720" w:hanging="720"/>
        <w:jc w:val="both"/>
        <w:rPr>
          <w:rFonts w:ascii="Arial" w:hAnsi="Arial" w:cs="Arial"/>
          <w:sz w:val="22"/>
          <w:szCs w:val="22"/>
        </w:rPr>
      </w:pPr>
      <w:proofErr w:type="spellStart"/>
      <w:r w:rsidRPr="002E03B3">
        <w:rPr>
          <w:rFonts w:ascii="Arial" w:hAnsi="Arial" w:cs="Arial"/>
          <w:sz w:val="22"/>
          <w:szCs w:val="22"/>
        </w:rPr>
        <w:t>Foláyan</w:t>
      </w:r>
      <w:proofErr w:type="spellEnd"/>
      <w:r w:rsidRPr="002E03B3">
        <w:rPr>
          <w:rFonts w:ascii="Arial" w:hAnsi="Arial" w:cs="Arial"/>
          <w:sz w:val="22"/>
          <w:szCs w:val="22"/>
        </w:rPr>
        <w:t xml:space="preserve">, M.O., de Barros Coelho, E.M.R., </w:t>
      </w:r>
      <w:proofErr w:type="spellStart"/>
      <w:r w:rsidRPr="002E03B3">
        <w:rPr>
          <w:rFonts w:ascii="Arial" w:hAnsi="Arial" w:cs="Arial"/>
          <w:sz w:val="22"/>
          <w:szCs w:val="22"/>
        </w:rPr>
        <w:t>Feldens</w:t>
      </w:r>
      <w:proofErr w:type="spellEnd"/>
      <w:r w:rsidRPr="002E03B3">
        <w:rPr>
          <w:rFonts w:ascii="Arial" w:hAnsi="Arial" w:cs="Arial"/>
          <w:sz w:val="22"/>
          <w:szCs w:val="22"/>
        </w:rPr>
        <w:t xml:space="preserve">, C.A., Gaffar, B., Virtanen, J.I., Abodunrin, O.R., </w:t>
      </w:r>
      <w:proofErr w:type="spellStart"/>
      <w:r w:rsidRPr="002E03B3">
        <w:rPr>
          <w:rFonts w:ascii="Arial" w:hAnsi="Arial" w:cs="Arial"/>
          <w:sz w:val="22"/>
          <w:szCs w:val="22"/>
        </w:rPr>
        <w:t>Duangthip</w:t>
      </w:r>
      <w:proofErr w:type="spellEnd"/>
      <w:r w:rsidRPr="002E03B3">
        <w:rPr>
          <w:rFonts w:ascii="Arial" w:hAnsi="Arial" w:cs="Arial"/>
          <w:sz w:val="22"/>
          <w:szCs w:val="22"/>
        </w:rPr>
        <w:t>, D., Al-</w:t>
      </w:r>
      <w:proofErr w:type="spellStart"/>
      <w:r w:rsidRPr="002E03B3">
        <w:rPr>
          <w:rFonts w:ascii="Arial" w:hAnsi="Arial" w:cs="Arial"/>
          <w:sz w:val="22"/>
          <w:szCs w:val="22"/>
        </w:rPr>
        <w:t>Batayneh</w:t>
      </w:r>
      <w:proofErr w:type="spellEnd"/>
      <w:r w:rsidRPr="002E03B3">
        <w:rPr>
          <w:rFonts w:ascii="Arial" w:hAnsi="Arial" w:cs="Arial"/>
          <w:sz w:val="22"/>
          <w:szCs w:val="22"/>
        </w:rPr>
        <w:t xml:space="preserve">, O.B., Vukovic, A., El Tantawi, M. and Schroth, R.J. (2025) A scoping review on early childhood caries and inequalities using the Sustainable Development Goal 10 framework. </w:t>
      </w:r>
      <w:r w:rsidRPr="002E03B3">
        <w:rPr>
          <w:rFonts w:ascii="Arial" w:hAnsi="Arial" w:cs="Arial"/>
          <w:i/>
          <w:iCs/>
          <w:sz w:val="22"/>
          <w:szCs w:val="22"/>
        </w:rPr>
        <w:t>BMC Oral Health</w:t>
      </w:r>
      <w:r w:rsidRPr="002E03B3">
        <w:rPr>
          <w:rFonts w:ascii="Arial" w:hAnsi="Arial" w:cs="Arial"/>
          <w:sz w:val="22"/>
          <w:szCs w:val="22"/>
        </w:rPr>
        <w:t>, 25(1), p. 219</w:t>
      </w:r>
    </w:p>
    <w:p w14:paraId="437AACFB" w14:textId="77777777" w:rsidR="00693FAF" w:rsidRPr="002E03B3" w:rsidRDefault="00693FAF" w:rsidP="00693FAF">
      <w:pPr>
        <w:spacing w:line="360" w:lineRule="auto"/>
        <w:ind w:left="720" w:hanging="720"/>
        <w:jc w:val="both"/>
        <w:rPr>
          <w:rFonts w:ascii="Arial" w:hAnsi="Arial" w:cs="Arial"/>
          <w:sz w:val="22"/>
          <w:szCs w:val="22"/>
        </w:rPr>
      </w:pPr>
      <w:proofErr w:type="spellStart"/>
      <w:r w:rsidRPr="002E03B3">
        <w:rPr>
          <w:rFonts w:ascii="Arial" w:hAnsi="Arial" w:cs="Arial"/>
          <w:sz w:val="22"/>
          <w:szCs w:val="22"/>
        </w:rPr>
        <w:lastRenderedPageBreak/>
        <w:t>Foroudi</w:t>
      </w:r>
      <w:proofErr w:type="spellEnd"/>
      <w:r w:rsidRPr="002E03B3">
        <w:rPr>
          <w:rFonts w:ascii="Arial" w:hAnsi="Arial" w:cs="Arial"/>
          <w:sz w:val="22"/>
          <w:szCs w:val="22"/>
        </w:rPr>
        <w:t xml:space="preserve">, P., Marvi, R., Cuomo, M.T. and D’Amato, A. (2025) Sustainable development goals in a regional context: conceptualising, measuring and managing residents’ perceptions. </w:t>
      </w:r>
      <w:r w:rsidRPr="002E03B3">
        <w:rPr>
          <w:rFonts w:ascii="Arial" w:hAnsi="Arial" w:cs="Arial"/>
          <w:i/>
          <w:iCs/>
          <w:sz w:val="22"/>
          <w:szCs w:val="22"/>
        </w:rPr>
        <w:t>Regional Studies</w:t>
      </w:r>
      <w:r w:rsidRPr="002E03B3">
        <w:rPr>
          <w:rFonts w:ascii="Arial" w:hAnsi="Arial" w:cs="Arial"/>
          <w:sz w:val="22"/>
          <w:szCs w:val="22"/>
        </w:rPr>
        <w:t>, 59(1), p. 2373871</w:t>
      </w:r>
    </w:p>
    <w:p w14:paraId="544AF977" w14:textId="77777777" w:rsidR="00693FAF" w:rsidRPr="002E03B3" w:rsidRDefault="00693FAF" w:rsidP="00693FAF">
      <w:pPr>
        <w:spacing w:line="360" w:lineRule="auto"/>
        <w:ind w:left="720" w:hanging="720"/>
        <w:jc w:val="both"/>
        <w:rPr>
          <w:rFonts w:ascii="Arial" w:hAnsi="Arial" w:cs="Arial"/>
          <w:sz w:val="22"/>
          <w:szCs w:val="22"/>
        </w:rPr>
      </w:pPr>
      <w:r w:rsidRPr="002E03B3">
        <w:rPr>
          <w:rFonts w:ascii="Arial" w:hAnsi="Arial" w:cs="Arial"/>
          <w:sz w:val="22"/>
          <w:szCs w:val="22"/>
        </w:rPr>
        <w:t xml:space="preserve">Garg, V., Kaushik, P. and Singh, S. (2025) Empirical analysis of industry 4.0 and the circular economy in accelerating the SDGs in G20 economies. </w:t>
      </w:r>
      <w:r w:rsidRPr="002E03B3">
        <w:rPr>
          <w:rFonts w:ascii="Arial" w:hAnsi="Arial" w:cs="Arial"/>
          <w:i/>
          <w:iCs/>
          <w:sz w:val="22"/>
          <w:szCs w:val="22"/>
        </w:rPr>
        <w:t>Energy Informatics</w:t>
      </w:r>
      <w:r w:rsidRPr="002E03B3">
        <w:rPr>
          <w:rFonts w:ascii="Arial" w:hAnsi="Arial" w:cs="Arial"/>
          <w:sz w:val="22"/>
          <w:szCs w:val="22"/>
        </w:rPr>
        <w:t>, 8(1), pp. 1–29</w:t>
      </w:r>
    </w:p>
    <w:p w14:paraId="5B5133BA" w14:textId="77777777" w:rsidR="00693FAF" w:rsidRPr="002E03B3" w:rsidRDefault="00693FAF" w:rsidP="00693FAF">
      <w:pPr>
        <w:spacing w:line="360" w:lineRule="auto"/>
        <w:ind w:left="720" w:hanging="720"/>
        <w:jc w:val="both"/>
        <w:rPr>
          <w:rFonts w:ascii="Arial" w:hAnsi="Arial" w:cs="Arial"/>
          <w:sz w:val="22"/>
          <w:szCs w:val="22"/>
        </w:rPr>
      </w:pPr>
      <w:r w:rsidRPr="002E03B3">
        <w:rPr>
          <w:rFonts w:ascii="Arial" w:hAnsi="Arial" w:cs="Arial"/>
          <w:sz w:val="22"/>
          <w:szCs w:val="22"/>
        </w:rPr>
        <w:t xml:space="preserve">Gohar Mahmood, D.N.S., Khan, Q.M. and Anwar, S. (2025) The role of economic inequality in hindering SDG progress: a systematic literature review through psychological and social perspective lens. </w:t>
      </w:r>
      <w:r w:rsidRPr="002E03B3">
        <w:rPr>
          <w:rFonts w:ascii="Arial" w:hAnsi="Arial" w:cs="Arial"/>
          <w:i/>
          <w:iCs/>
          <w:sz w:val="22"/>
          <w:szCs w:val="22"/>
        </w:rPr>
        <w:t>Contemporary Journal of Social Science Review</w:t>
      </w:r>
      <w:r w:rsidRPr="002E03B3">
        <w:rPr>
          <w:rFonts w:ascii="Arial" w:hAnsi="Arial" w:cs="Arial"/>
          <w:sz w:val="22"/>
          <w:szCs w:val="22"/>
        </w:rPr>
        <w:t>, 3(2), pp. 2358–2380</w:t>
      </w:r>
    </w:p>
    <w:p w14:paraId="553A5D2E" w14:textId="77777777" w:rsidR="00693FAF" w:rsidRPr="002E03B3" w:rsidRDefault="00693FAF" w:rsidP="00693FAF">
      <w:pPr>
        <w:spacing w:line="360" w:lineRule="auto"/>
        <w:ind w:left="720" w:hanging="720"/>
        <w:jc w:val="both"/>
        <w:rPr>
          <w:rFonts w:ascii="Arial" w:hAnsi="Arial" w:cs="Arial"/>
          <w:sz w:val="22"/>
          <w:szCs w:val="22"/>
        </w:rPr>
      </w:pPr>
      <w:r w:rsidRPr="002E03B3">
        <w:rPr>
          <w:rFonts w:ascii="Arial" w:hAnsi="Arial" w:cs="Arial"/>
          <w:sz w:val="22"/>
          <w:szCs w:val="22"/>
        </w:rPr>
        <w:t xml:space="preserve">Hermann, E., Williams, G.Y. and </w:t>
      </w:r>
      <w:proofErr w:type="spellStart"/>
      <w:r w:rsidRPr="002E03B3">
        <w:rPr>
          <w:rFonts w:ascii="Arial" w:hAnsi="Arial" w:cs="Arial"/>
          <w:sz w:val="22"/>
          <w:szCs w:val="22"/>
        </w:rPr>
        <w:t>Puntoni</w:t>
      </w:r>
      <w:proofErr w:type="spellEnd"/>
      <w:r w:rsidRPr="002E03B3">
        <w:rPr>
          <w:rFonts w:ascii="Arial" w:hAnsi="Arial" w:cs="Arial"/>
          <w:sz w:val="22"/>
          <w:szCs w:val="22"/>
        </w:rPr>
        <w:t xml:space="preserve">, S. (2024) Deploying artificial intelligence in services to aid vulnerable consumers. </w:t>
      </w:r>
      <w:r w:rsidRPr="002E03B3">
        <w:rPr>
          <w:rFonts w:ascii="Arial" w:hAnsi="Arial" w:cs="Arial"/>
          <w:i/>
          <w:iCs/>
          <w:sz w:val="22"/>
          <w:szCs w:val="22"/>
        </w:rPr>
        <w:t>Journal of the Academy of Marketing Science</w:t>
      </w:r>
      <w:r w:rsidRPr="002E03B3">
        <w:rPr>
          <w:rFonts w:ascii="Arial" w:hAnsi="Arial" w:cs="Arial"/>
          <w:sz w:val="22"/>
          <w:szCs w:val="22"/>
        </w:rPr>
        <w:t>, 52(5), pp. 1431–1451</w:t>
      </w:r>
    </w:p>
    <w:p w14:paraId="3B159C28" w14:textId="77777777" w:rsidR="00693FAF" w:rsidRPr="002E03B3" w:rsidRDefault="00693FAF" w:rsidP="00693FAF">
      <w:pPr>
        <w:spacing w:line="360" w:lineRule="auto"/>
        <w:ind w:left="720" w:hanging="720"/>
        <w:jc w:val="both"/>
        <w:rPr>
          <w:rFonts w:ascii="Arial" w:hAnsi="Arial" w:cs="Arial"/>
          <w:sz w:val="22"/>
          <w:szCs w:val="22"/>
        </w:rPr>
      </w:pPr>
      <w:r w:rsidRPr="002E03B3">
        <w:rPr>
          <w:rFonts w:ascii="Arial" w:hAnsi="Arial" w:cs="Arial"/>
          <w:sz w:val="22"/>
          <w:szCs w:val="22"/>
        </w:rPr>
        <w:t xml:space="preserve">Khan, B. (2025) The role of lifestyle interventions in preventing and managing non-communicable diseases. </w:t>
      </w:r>
      <w:r w:rsidRPr="002E03B3">
        <w:rPr>
          <w:rFonts w:ascii="Arial" w:hAnsi="Arial" w:cs="Arial"/>
          <w:i/>
          <w:iCs/>
          <w:sz w:val="22"/>
          <w:szCs w:val="22"/>
        </w:rPr>
        <w:t>Non-Communicable Diseases and Care</w:t>
      </w:r>
      <w:r w:rsidRPr="002E03B3">
        <w:rPr>
          <w:rFonts w:ascii="Arial" w:hAnsi="Arial" w:cs="Arial"/>
          <w:sz w:val="22"/>
          <w:szCs w:val="22"/>
        </w:rPr>
        <w:t>, 2(1), pp. 50–60</w:t>
      </w:r>
    </w:p>
    <w:p w14:paraId="47147A54" w14:textId="77777777" w:rsidR="00693FAF" w:rsidRPr="002E03B3" w:rsidRDefault="00693FAF" w:rsidP="00693FAF">
      <w:pPr>
        <w:spacing w:line="360" w:lineRule="auto"/>
        <w:ind w:left="720" w:hanging="720"/>
        <w:jc w:val="both"/>
        <w:rPr>
          <w:rFonts w:ascii="Arial" w:hAnsi="Arial" w:cs="Arial"/>
          <w:sz w:val="22"/>
          <w:szCs w:val="22"/>
        </w:rPr>
      </w:pPr>
      <w:r w:rsidRPr="002E03B3">
        <w:rPr>
          <w:rFonts w:ascii="Arial" w:hAnsi="Arial" w:cs="Arial"/>
          <w:sz w:val="22"/>
          <w:szCs w:val="22"/>
        </w:rPr>
        <w:t xml:space="preserve">Lnu, D., Kothari, A., Siddiqui, M., Ranga, A., Tirkey, N., </w:t>
      </w:r>
      <w:proofErr w:type="spellStart"/>
      <w:r w:rsidRPr="002E03B3">
        <w:rPr>
          <w:rFonts w:ascii="Arial" w:hAnsi="Arial" w:cs="Arial"/>
          <w:sz w:val="22"/>
          <w:szCs w:val="22"/>
        </w:rPr>
        <w:t>Dhupar</w:t>
      </w:r>
      <w:proofErr w:type="spellEnd"/>
      <w:r w:rsidRPr="002E03B3">
        <w:rPr>
          <w:rFonts w:ascii="Arial" w:hAnsi="Arial" w:cs="Arial"/>
          <w:sz w:val="22"/>
          <w:szCs w:val="22"/>
        </w:rPr>
        <w:t xml:space="preserve">, D., Walia, S. and Bhushan, H. (2025) Achieving SDG-3 in India: ensuring healthy lives and promoting wellbeing at all ages. </w:t>
      </w:r>
      <w:r w:rsidRPr="002E03B3">
        <w:rPr>
          <w:rFonts w:ascii="Arial" w:hAnsi="Arial" w:cs="Arial"/>
          <w:i/>
          <w:iCs/>
          <w:sz w:val="22"/>
          <w:szCs w:val="22"/>
        </w:rPr>
        <w:t>Global Health Economics and Sustainability</w:t>
      </w:r>
      <w:r w:rsidRPr="002E03B3">
        <w:rPr>
          <w:rFonts w:ascii="Arial" w:hAnsi="Arial" w:cs="Arial"/>
          <w:sz w:val="22"/>
          <w:szCs w:val="22"/>
        </w:rPr>
        <w:t>, 3(1), pp. 243–253</w:t>
      </w:r>
    </w:p>
    <w:p w14:paraId="77A5D383" w14:textId="77777777" w:rsidR="00693FAF" w:rsidRPr="002E03B3" w:rsidRDefault="00693FAF" w:rsidP="00693FAF">
      <w:pPr>
        <w:spacing w:line="360" w:lineRule="auto"/>
        <w:ind w:left="720" w:hanging="720"/>
        <w:jc w:val="both"/>
        <w:rPr>
          <w:rFonts w:ascii="Arial" w:hAnsi="Arial" w:cs="Arial"/>
          <w:sz w:val="22"/>
          <w:szCs w:val="22"/>
        </w:rPr>
      </w:pPr>
      <w:r w:rsidRPr="002E03B3">
        <w:rPr>
          <w:rFonts w:ascii="Arial" w:hAnsi="Arial" w:cs="Arial"/>
          <w:sz w:val="22"/>
          <w:szCs w:val="22"/>
        </w:rPr>
        <w:t xml:space="preserve">Mazzi, F. (2025) Evaluating the normative implications of national and international artificial intelligence policies for Sustainable Development Goal 3: good health and well-being. </w:t>
      </w:r>
      <w:r w:rsidRPr="002E03B3">
        <w:rPr>
          <w:rFonts w:ascii="Arial" w:hAnsi="Arial" w:cs="Arial"/>
          <w:i/>
          <w:iCs/>
          <w:sz w:val="22"/>
          <w:szCs w:val="22"/>
        </w:rPr>
        <w:t>Health Affairs Scholar</w:t>
      </w:r>
      <w:r w:rsidRPr="002E03B3">
        <w:rPr>
          <w:rFonts w:ascii="Arial" w:hAnsi="Arial" w:cs="Arial"/>
          <w:sz w:val="22"/>
          <w:szCs w:val="22"/>
        </w:rPr>
        <w:t>, 3(6), p. qxaf108</w:t>
      </w:r>
    </w:p>
    <w:p w14:paraId="2FB0311E" w14:textId="77777777" w:rsidR="00693FAF" w:rsidRPr="002E03B3" w:rsidRDefault="00693FAF" w:rsidP="00693FAF">
      <w:pPr>
        <w:spacing w:line="360" w:lineRule="auto"/>
        <w:ind w:left="720" w:hanging="720"/>
        <w:jc w:val="both"/>
        <w:rPr>
          <w:rFonts w:ascii="Arial" w:hAnsi="Arial" w:cs="Arial"/>
          <w:sz w:val="22"/>
          <w:szCs w:val="22"/>
        </w:rPr>
      </w:pPr>
      <w:r w:rsidRPr="002E03B3">
        <w:rPr>
          <w:rFonts w:ascii="Arial" w:hAnsi="Arial" w:cs="Arial"/>
          <w:sz w:val="22"/>
          <w:szCs w:val="22"/>
        </w:rPr>
        <w:t xml:space="preserve">Mestdagh, B. (2024) </w:t>
      </w:r>
      <w:r w:rsidRPr="002E03B3">
        <w:rPr>
          <w:rFonts w:ascii="Arial" w:hAnsi="Arial" w:cs="Arial"/>
          <w:i/>
          <w:iCs/>
          <w:sz w:val="22"/>
          <w:szCs w:val="22"/>
        </w:rPr>
        <w:t>Organizational engagement with the Sustainable Development Goals (SDGs): theoretical perspectives and empirical insights in a public sector context</w:t>
      </w:r>
      <w:r w:rsidRPr="002E03B3">
        <w:rPr>
          <w:rFonts w:ascii="Arial" w:hAnsi="Arial" w:cs="Arial"/>
          <w:sz w:val="22"/>
          <w:szCs w:val="22"/>
        </w:rPr>
        <w:t>. Doctoral dissertation, University of Antwerp</w:t>
      </w:r>
    </w:p>
    <w:p w14:paraId="15590E5D" w14:textId="77777777" w:rsidR="00693FAF" w:rsidRPr="002E03B3" w:rsidRDefault="00693FAF" w:rsidP="00693FAF">
      <w:pPr>
        <w:spacing w:line="360" w:lineRule="auto"/>
        <w:ind w:left="720" w:hanging="720"/>
        <w:jc w:val="both"/>
        <w:rPr>
          <w:rFonts w:ascii="Arial" w:hAnsi="Arial" w:cs="Arial"/>
          <w:sz w:val="22"/>
          <w:szCs w:val="22"/>
        </w:rPr>
      </w:pPr>
      <w:r w:rsidRPr="002E03B3">
        <w:rPr>
          <w:rFonts w:ascii="Arial" w:hAnsi="Arial" w:cs="Arial"/>
          <w:sz w:val="22"/>
          <w:szCs w:val="22"/>
        </w:rPr>
        <w:t xml:space="preserve">Missoni, E. (2024) Global health, planetary health, One Health: conceptual and ethical challenges and concerns. </w:t>
      </w:r>
      <w:r w:rsidRPr="002E03B3">
        <w:rPr>
          <w:rFonts w:ascii="Arial" w:hAnsi="Arial" w:cs="Arial"/>
          <w:i/>
          <w:iCs/>
          <w:sz w:val="22"/>
          <w:szCs w:val="22"/>
        </w:rPr>
        <w:t>Theoretical Medicine and Bioethics</w:t>
      </w:r>
      <w:r w:rsidRPr="002E03B3">
        <w:rPr>
          <w:rFonts w:ascii="Arial" w:hAnsi="Arial" w:cs="Arial"/>
          <w:sz w:val="22"/>
          <w:szCs w:val="22"/>
        </w:rPr>
        <w:t>, 45(3), pp. 241–250</w:t>
      </w:r>
    </w:p>
    <w:p w14:paraId="1488BDAF" w14:textId="77777777" w:rsidR="00693FAF" w:rsidRPr="002E03B3" w:rsidRDefault="00693FAF" w:rsidP="00693FAF">
      <w:pPr>
        <w:spacing w:line="360" w:lineRule="auto"/>
        <w:ind w:left="720" w:hanging="720"/>
        <w:jc w:val="both"/>
        <w:rPr>
          <w:rFonts w:ascii="Arial" w:hAnsi="Arial" w:cs="Arial"/>
          <w:sz w:val="22"/>
          <w:szCs w:val="22"/>
        </w:rPr>
      </w:pPr>
      <w:r w:rsidRPr="002E03B3">
        <w:rPr>
          <w:rFonts w:ascii="Arial" w:hAnsi="Arial" w:cs="Arial"/>
          <w:sz w:val="22"/>
          <w:szCs w:val="22"/>
        </w:rPr>
        <w:t xml:space="preserve">Oppong, C. (2025) Leveraging governance and accountability for advancing sustainable development goals in Africa. </w:t>
      </w:r>
      <w:r w:rsidRPr="002E03B3">
        <w:rPr>
          <w:rFonts w:ascii="Arial" w:hAnsi="Arial" w:cs="Arial"/>
          <w:i/>
          <w:iCs/>
          <w:sz w:val="22"/>
          <w:szCs w:val="22"/>
        </w:rPr>
        <w:t>Business Strategy &amp; Development</w:t>
      </w:r>
      <w:r w:rsidRPr="002E03B3">
        <w:rPr>
          <w:rFonts w:ascii="Arial" w:hAnsi="Arial" w:cs="Arial"/>
          <w:sz w:val="22"/>
          <w:szCs w:val="22"/>
        </w:rPr>
        <w:t>, 8(2), p. e70115</w:t>
      </w:r>
    </w:p>
    <w:p w14:paraId="5CE1A961" w14:textId="77777777" w:rsidR="00693FAF" w:rsidRPr="002E03B3" w:rsidRDefault="00693FAF" w:rsidP="00693FAF">
      <w:pPr>
        <w:spacing w:line="360" w:lineRule="auto"/>
        <w:ind w:left="720" w:hanging="720"/>
        <w:jc w:val="both"/>
        <w:rPr>
          <w:rFonts w:ascii="Arial" w:hAnsi="Arial" w:cs="Arial"/>
          <w:sz w:val="22"/>
          <w:szCs w:val="22"/>
        </w:rPr>
      </w:pPr>
      <w:r w:rsidRPr="002E03B3">
        <w:rPr>
          <w:rFonts w:ascii="Arial" w:hAnsi="Arial" w:cs="Arial"/>
          <w:sz w:val="22"/>
          <w:szCs w:val="22"/>
        </w:rPr>
        <w:t xml:space="preserve">Raciti, M.M., Alkire, L. and Beatson, A. (2024) SDG commentary: services that provide opportunity for all humans. </w:t>
      </w:r>
      <w:r w:rsidRPr="002E03B3">
        <w:rPr>
          <w:rFonts w:ascii="Arial" w:hAnsi="Arial" w:cs="Arial"/>
          <w:i/>
          <w:iCs/>
          <w:sz w:val="22"/>
          <w:szCs w:val="22"/>
        </w:rPr>
        <w:t>Journal of Services Marketing</w:t>
      </w:r>
      <w:r w:rsidRPr="002E03B3">
        <w:rPr>
          <w:rFonts w:ascii="Arial" w:hAnsi="Arial" w:cs="Arial"/>
          <w:sz w:val="22"/>
          <w:szCs w:val="22"/>
        </w:rPr>
        <w:t>, 38(2), pp. 164–171</w:t>
      </w:r>
    </w:p>
    <w:p w14:paraId="582BE107" w14:textId="77777777" w:rsidR="00693FAF" w:rsidRPr="002E03B3" w:rsidRDefault="00693FAF" w:rsidP="00693FAF">
      <w:pPr>
        <w:spacing w:line="360" w:lineRule="auto"/>
        <w:ind w:left="720" w:hanging="720"/>
        <w:jc w:val="both"/>
        <w:rPr>
          <w:rFonts w:ascii="Arial" w:hAnsi="Arial" w:cs="Arial"/>
          <w:sz w:val="22"/>
          <w:szCs w:val="22"/>
        </w:rPr>
      </w:pPr>
      <w:r w:rsidRPr="002E03B3">
        <w:rPr>
          <w:rFonts w:ascii="Arial" w:hAnsi="Arial" w:cs="Arial"/>
          <w:sz w:val="22"/>
          <w:szCs w:val="22"/>
        </w:rPr>
        <w:t xml:space="preserve">Shabbir, M.S. and Salman, R. (2025) Sustainable development policy interventions: stakeholder engagement and environmental policy in practice. </w:t>
      </w:r>
      <w:r w:rsidRPr="002E03B3">
        <w:rPr>
          <w:rFonts w:ascii="Arial" w:hAnsi="Arial" w:cs="Arial"/>
          <w:i/>
          <w:iCs/>
          <w:sz w:val="22"/>
          <w:szCs w:val="22"/>
        </w:rPr>
        <w:t>Business Strategy and the Environment</w:t>
      </w:r>
    </w:p>
    <w:p w14:paraId="2664ADE0" w14:textId="77777777" w:rsidR="00693FAF" w:rsidRPr="002E03B3" w:rsidRDefault="00693FAF" w:rsidP="00693FAF">
      <w:pPr>
        <w:spacing w:line="360" w:lineRule="auto"/>
        <w:ind w:left="720" w:hanging="720"/>
        <w:jc w:val="both"/>
        <w:rPr>
          <w:rFonts w:ascii="Arial" w:hAnsi="Arial" w:cs="Arial"/>
          <w:sz w:val="22"/>
          <w:szCs w:val="22"/>
        </w:rPr>
      </w:pPr>
      <w:proofErr w:type="spellStart"/>
      <w:r w:rsidRPr="002E03B3">
        <w:rPr>
          <w:rFonts w:ascii="Arial" w:hAnsi="Arial" w:cs="Arial"/>
          <w:sz w:val="22"/>
          <w:szCs w:val="22"/>
        </w:rPr>
        <w:lastRenderedPageBreak/>
        <w:t>Shegani</w:t>
      </w:r>
      <w:proofErr w:type="spellEnd"/>
      <w:r w:rsidRPr="002E03B3">
        <w:rPr>
          <w:rFonts w:ascii="Arial" w:hAnsi="Arial" w:cs="Arial"/>
          <w:sz w:val="22"/>
          <w:szCs w:val="22"/>
        </w:rPr>
        <w:t xml:space="preserve">, A., Ogawa, K., </w:t>
      </w:r>
      <w:proofErr w:type="spellStart"/>
      <w:r w:rsidRPr="002E03B3">
        <w:rPr>
          <w:rFonts w:ascii="Arial" w:hAnsi="Arial" w:cs="Arial"/>
          <w:sz w:val="22"/>
          <w:szCs w:val="22"/>
        </w:rPr>
        <w:t>Tejeria</w:t>
      </w:r>
      <w:proofErr w:type="spellEnd"/>
      <w:r w:rsidRPr="002E03B3">
        <w:rPr>
          <w:rFonts w:ascii="Arial" w:hAnsi="Arial" w:cs="Arial"/>
          <w:sz w:val="22"/>
          <w:szCs w:val="22"/>
        </w:rPr>
        <w:t xml:space="preserve">, M.E., Makrakis, V. and Triantis, C. (2025) A conceptual framework for integrating sustainable development goals in radiopharmaceuticals and nuclear medicine. </w:t>
      </w:r>
      <w:r w:rsidRPr="002E03B3">
        <w:rPr>
          <w:rFonts w:ascii="Arial" w:hAnsi="Arial" w:cs="Arial"/>
          <w:i/>
          <w:iCs/>
          <w:sz w:val="22"/>
          <w:szCs w:val="22"/>
        </w:rPr>
        <w:t>Discover Medicine</w:t>
      </w:r>
      <w:r w:rsidRPr="002E03B3">
        <w:rPr>
          <w:rFonts w:ascii="Arial" w:hAnsi="Arial" w:cs="Arial"/>
          <w:sz w:val="22"/>
          <w:szCs w:val="22"/>
        </w:rPr>
        <w:t>, 2(1), p. 229</w:t>
      </w:r>
    </w:p>
    <w:p w14:paraId="7F6F262A" w14:textId="77777777" w:rsidR="00693FAF" w:rsidRPr="002E03B3" w:rsidRDefault="00693FAF" w:rsidP="00693FAF">
      <w:pPr>
        <w:spacing w:line="360" w:lineRule="auto"/>
        <w:ind w:left="720" w:hanging="720"/>
        <w:jc w:val="both"/>
        <w:rPr>
          <w:rFonts w:ascii="Arial" w:hAnsi="Arial" w:cs="Arial"/>
          <w:sz w:val="22"/>
          <w:szCs w:val="22"/>
        </w:rPr>
      </w:pPr>
      <w:r w:rsidRPr="002E03B3">
        <w:rPr>
          <w:rFonts w:ascii="Arial" w:hAnsi="Arial" w:cs="Arial"/>
          <w:sz w:val="22"/>
          <w:szCs w:val="22"/>
        </w:rPr>
        <w:t xml:space="preserve">Singh, B. and Kumar, A. (2025) Ageing, multimorbidity, and quality of life: a mediation analysis using longitudinal ageing study in India. </w:t>
      </w:r>
      <w:r w:rsidRPr="002E03B3">
        <w:rPr>
          <w:rFonts w:ascii="Arial" w:hAnsi="Arial" w:cs="Arial"/>
          <w:i/>
          <w:iCs/>
          <w:sz w:val="22"/>
          <w:szCs w:val="22"/>
        </w:rPr>
        <w:t>Frontiers in Public Health</w:t>
      </w:r>
      <w:r w:rsidRPr="002E03B3">
        <w:rPr>
          <w:rFonts w:ascii="Arial" w:hAnsi="Arial" w:cs="Arial"/>
          <w:sz w:val="22"/>
          <w:szCs w:val="22"/>
        </w:rPr>
        <w:t>, 13, p. 1562479</w:t>
      </w:r>
    </w:p>
    <w:p w14:paraId="66181783" w14:textId="77777777" w:rsidR="00693FAF" w:rsidRPr="002E03B3" w:rsidRDefault="00693FAF" w:rsidP="00693FAF">
      <w:pPr>
        <w:spacing w:line="360" w:lineRule="auto"/>
        <w:ind w:left="720" w:hanging="720"/>
        <w:jc w:val="both"/>
        <w:rPr>
          <w:rFonts w:ascii="Arial" w:hAnsi="Arial" w:cs="Arial"/>
          <w:sz w:val="22"/>
          <w:szCs w:val="22"/>
        </w:rPr>
      </w:pPr>
      <w:r w:rsidRPr="002E03B3">
        <w:rPr>
          <w:rFonts w:ascii="Arial" w:hAnsi="Arial" w:cs="Arial"/>
          <w:sz w:val="22"/>
          <w:szCs w:val="22"/>
        </w:rPr>
        <w:t xml:space="preserve">Van Den Berg, M., Flavel, J., Schram, A., Friel, S., </w:t>
      </w:r>
      <w:proofErr w:type="spellStart"/>
      <w:r w:rsidRPr="002E03B3">
        <w:rPr>
          <w:rFonts w:ascii="Arial" w:hAnsi="Arial" w:cs="Arial"/>
          <w:sz w:val="22"/>
          <w:szCs w:val="22"/>
        </w:rPr>
        <w:t>Gesesew</w:t>
      </w:r>
      <w:proofErr w:type="spellEnd"/>
      <w:r w:rsidRPr="002E03B3">
        <w:rPr>
          <w:rFonts w:ascii="Arial" w:hAnsi="Arial" w:cs="Arial"/>
          <w:sz w:val="22"/>
          <w:szCs w:val="22"/>
        </w:rPr>
        <w:t xml:space="preserve">, H.A. and Baum, F. (2024) Social, cultural and political conditions for advancing health equity: examples from eight country case studies (2011–2021). </w:t>
      </w:r>
      <w:r w:rsidRPr="002E03B3">
        <w:rPr>
          <w:rFonts w:ascii="Arial" w:hAnsi="Arial" w:cs="Arial"/>
          <w:i/>
          <w:iCs/>
          <w:sz w:val="22"/>
          <w:szCs w:val="22"/>
        </w:rPr>
        <w:t>BMJ Global Health</w:t>
      </w:r>
      <w:r w:rsidRPr="002E03B3">
        <w:rPr>
          <w:rFonts w:ascii="Arial" w:hAnsi="Arial" w:cs="Arial"/>
          <w:sz w:val="22"/>
          <w:szCs w:val="22"/>
        </w:rPr>
        <w:t>, 9(</w:t>
      </w:r>
      <w:proofErr w:type="spellStart"/>
      <w:r w:rsidRPr="002E03B3">
        <w:rPr>
          <w:rFonts w:ascii="Arial" w:hAnsi="Arial" w:cs="Arial"/>
          <w:sz w:val="22"/>
          <w:szCs w:val="22"/>
        </w:rPr>
        <w:t>Suppl</w:t>
      </w:r>
      <w:proofErr w:type="spellEnd"/>
      <w:r w:rsidRPr="002E03B3">
        <w:rPr>
          <w:rFonts w:ascii="Arial" w:hAnsi="Arial" w:cs="Arial"/>
          <w:sz w:val="22"/>
          <w:szCs w:val="22"/>
        </w:rPr>
        <w:t xml:space="preserve"> 1)</w:t>
      </w:r>
    </w:p>
    <w:p w14:paraId="454AD8FA" w14:textId="77777777" w:rsidR="00693FAF" w:rsidRPr="002E03B3" w:rsidRDefault="00693FAF" w:rsidP="00693FAF">
      <w:pPr>
        <w:spacing w:line="360" w:lineRule="auto"/>
        <w:ind w:left="720" w:hanging="720"/>
        <w:jc w:val="both"/>
        <w:rPr>
          <w:rFonts w:ascii="Arial" w:hAnsi="Arial" w:cs="Arial"/>
          <w:sz w:val="22"/>
          <w:szCs w:val="22"/>
        </w:rPr>
      </w:pPr>
      <w:r w:rsidRPr="002E03B3">
        <w:rPr>
          <w:rFonts w:ascii="Arial" w:hAnsi="Arial" w:cs="Arial"/>
          <w:sz w:val="22"/>
          <w:szCs w:val="22"/>
        </w:rPr>
        <w:t xml:space="preserve">Wanyana, I., </w:t>
      </w:r>
      <w:proofErr w:type="spellStart"/>
      <w:r w:rsidRPr="002E03B3">
        <w:rPr>
          <w:rFonts w:ascii="Arial" w:hAnsi="Arial" w:cs="Arial"/>
          <w:sz w:val="22"/>
          <w:szCs w:val="22"/>
        </w:rPr>
        <w:t>Helldén</w:t>
      </w:r>
      <w:proofErr w:type="spellEnd"/>
      <w:r w:rsidRPr="002E03B3">
        <w:rPr>
          <w:rFonts w:ascii="Arial" w:hAnsi="Arial" w:cs="Arial"/>
          <w:sz w:val="22"/>
          <w:szCs w:val="22"/>
        </w:rPr>
        <w:t xml:space="preserve">, D., </w:t>
      </w:r>
      <w:proofErr w:type="spellStart"/>
      <w:r w:rsidRPr="002E03B3">
        <w:rPr>
          <w:rFonts w:ascii="Arial" w:hAnsi="Arial" w:cs="Arial"/>
          <w:sz w:val="22"/>
          <w:szCs w:val="22"/>
        </w:rPr>
        <w:t>Ndejjo</w:t>
      </w:r>
      <w:proofErr w:type="spellEnd"/>
      <w:r w:rsidRPr="002E03B3">
        <w:rPr>
          <w:rFonts w:ascii="Arial" w:hAnsi="Arial" w:cs="Arial"/>
          <w:sz w:val="22"/>
          <w:szCs w:val="22"/>
        </w:rPr>
        <w:t xml:space="preserve">, R., Murzabekov, M., Alfven, T., Wanyenze, R.K. and Viberg, N. (2024) Finding linkages between the Sustainable Development Goals in Uganda: a key to attain health and well-being for all. </w:t>
      </w:r>
      <w:r w:rsidRPr="002E03B3">
        <w:rPr>
          <w:rFonts w:ascii="Arial" w:hAnsi="Arial" w:cs="Arial"/>
          <w:i/>
          <w:iCs/>
          <w:sz w:val="22"/>
          <w:szCs w:val="22"/>
        </w:rPr>
        <w:t>BMJ Public Health</w:t>
      </w:r>
      <w:r w:rsidRPr="002E03B3">
        <w:rPr>
          <w:rFonts w:ascii="Arial" w:hAnsi="Arial" w:cs="Arial"/>
          <w:sz w:val="22"/>
          <w:szCs w:val="22"/>
        </w:rPr>
        <w:t>, 2(2)</w:t>
      </w:r>
    </w:p>
    <w:p w14:paraId="55C569E9" w14:textId="201E0002" w:rsidR="00861631" w:rsidRPr="002E03B3" w:rsidRDefault="00861631" w:rsidP="00693FAF">
      <w:pPr>
        <w:spacing w:line="360" w:lineRule="auto"/>
        <w:jc w:val="both"/>
        <w:rPr>
          <w:rFonts w:ascii="Arial" w:hAnsi="Arial" w:cs="Arial"/>
          <w:sz w:val="22"/>
          <w:szCs w:val="22"/>
        </w:rPr>
      </w:pPr>
    </w:p>
    <w:sectPr w:rsidR="00861631" w:rsidRPr="002E03B3" w:rsidSect="00357BE6">
      <w:footerReference w:type="default" r:id="rId8"/>
      <w:pgSz w:w="12240" w:h="15840" w:code="1"/>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BE9EA5" w14:textId="77777777" w:rsidR="005A4F8E" w:rsidRPr="00693FAF" w:rsidRDefault="005A4F8E" w:rsidP="00693FAF">
      <w:pPr>
        <w:spacing w:after="0" w:line="240" w:lineRule="auto"/>
      </w:pPr>
      <w:r w:rsidRPr="00693FAF">
        <w:separator/>
      </w:r>
    </w:p>
  </w:endnote>
  <w:endnote w:type="continuationSeparator" w:id="0">
    <w:p w14:paraId="10CAAA1F" w14:textId="77777777" w:rsidR="005A4F8E" w:rsidRPr="00693FAF" w:rsidRDefault="005A4F8E" w:rsidP="00693FAF">
      <w:pPr>
        <w:spacing w:after="0" w:line="240" w:lineRule="auto"/>
      </w:pPr>
      <w:r w:rsidRPr="00693FAF">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77862467"/>
      <w:docPartObj>
        <w:docPartGallery w:val="Page Numbers (Bottom of Page)"/>
        <w:docPartUnique/>
      </w:docPartObj>
    </w:sdtPr>
    <w:sdtContent>
      <w:p w14:paraId="14D2B1D1" w14:textId="508628FA" w:rsidR="00693FAF" w:rsidRPr="00693FAF" w:rsidRDefault="00693FAF">
        <w:pPr>
          <w:pStyle w:val="Footer"/>
          <w:jc w:val="center"/>
        </w:pPr>
        <w:r w:rsidRPr="00693FAF">
          <w:fldChar w:fldCharType="begin"/>
        </w:r>
        <w:r w:rsidRPr="00693FAF">
          <w:instrText xml:space="preserve"> PAGE   \* MERGEFORMAT </w:instrText>
        </w:r>
        <w:r w:rsidRPr="00693FAF">
          <w:fldChar w:fldCharType="separate"/>
        </w:r>
        <w:r w:rsidRPr="00693FAF">
          <w:t>2</w:t>
        </w:r>
        <w:r w:rsidRPr="00693FAF">
          <w:fldChar w:fldCharType="end"/>
        </w:r>
      </w:p>
    </w:sdtContent>
  </w:sdt>
  <w:p w14:paraId="0BFB2170" w14:textId="77777777" w:rsidR="00693FAF" w:rsidRPr="00693FAF" w:rsidRDefault="00693F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4814B3" w14:textId="77777777" w:rsidR="005A4F8E" w:rsidRPr="00693FAF" w:rsidRDefault="005A4F8E" w:rsidP="00693FAF">
      <w:pPr>
        <w:spacing w:after="0" w:line="240" w:lineRule="auto"/>
      </w:pPr>
      <w:r w:rsidRPr="00693FAF">
        <w:separator/>
      </w:r>
    </w:p>
  </w:footnote>
  <w:footnote w:type="continuationSeparator" w:id="0">
    <w:p w14:paraId="67134872" w14:textId="77777777" w:rsidR="005A4F8E" w:rsidRPr="00693FAF" w:rsidRDefault="005A4F8E" w:rsidP="00693FAF">
      <w:pPr>
        <w:spacing w:after="0" w:line="240" w:lineRule="auto"/>
      </w:pPr>
      <w:r w:rsidRPr="00693FAF">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7C410D"/>
    <w:multiLevelType w:val="multilevel"/>
    <w:tmpl w:val="B49434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21F68C7"/>
    <w:multiLevelType w:val="hybridMultilevel"/>
    <w:tmpl w:val="C8FC1A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3AD37E7"/>
    <w:multiLevelType w:val="multilevel"/>
    <w:tmpl w:val="8EB645C0"/>
    <w:lvl w:ilvl="0">
      <w:start w:val="1"/>
      <w:numFmt w:val="decimal"/>
      <w:lvlText w:val="%1."/>
      <w:lvlJc w:val="left"/>
      <w:pPr>
        <w:ind w:left="720" w:hanging="360"/>
      </w:pPr>
      <w:rPr>
        <w:rFonts w:hint="default"/>
      </w:rPr>
    </w:lvl>
    <w:lvl w:ilvl="1">
      <w:start w:val="2"/>
      <w:numFmt w:val="decimal"/>
      <w:isLgl/>
      <w:lvlText w:val="%1.%2"/>
      <w:lvlJc w:val="left"/>
      <w:pPr>
        <w:ind w:left="1185" w:hanging="465"/>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520" w:hanging="72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600" w:hanging="108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3" w15:restartNumberingAfterBreak="0">
    <w:nsid w:val="374218F5"/>
    <w:multiLevelType w:val="multilevel"/>
    <w:tmpl w:val="455A1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DDA304B"/>
    <w:multiLevelType w:val="multilevel"/>
    <w:tmpl w:val="FE967362"/>
    <w:lvl w:ilvl="0">
      <w:start w:val="1"/>
      <w:numFmt w:val="decimal"/>
      <w:lvlText w:val="%1."/>
      <w:lvlJc w:val="left"/>
      <w:pPr>
        <w:tabs>
          <w:tab w:val="num" w:pos="360"/>
        </w:tabs>
        <w:ind w:left="360" w:hanging="360"/>
      </w:pPr>
      <w:rPr>
        <w:rFonts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5" w15:restartNumberingAfterBreak="0">
    <w:nsid w:val="7B2514E8"/>
    <w:multiLevelType w:val="hybridMultilevel"/>
    <w:tmpl w:val="8006FD4E"/>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num w:numId="1" w16cid:durableId="1952201621">
    <w:abstractNumId w:val="4"/>
  </w:num>
  <w:num w:numId="2" w16cid:durableId="271865115">
    <w:abstractNumId w:val="3"/>
  </w:num>
  <w:num w:numId="3" w16cid:durableId="55277353">
    <w:abstractNumId w:val="0"/>
  </w:num>
  <w:num w:numId="4" w16cid:durableId="132795407">
    <w:abstractNumId w:val="1"/>
  </w:num>
  <w:num w:numId="5" w16cid:durableId="1082604951">
    <w:abstractNumId w:val="2"/>
  </w:num>
  <w:num w:numId="6" w16cid:durableId="33399194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59BC"/>
    <w:rsid w:val="000558A6"/>
    <w:rsid w:val="000C24E5"/>
    <w:rsid w:val="000F6FC1"/>
    <w:rsid w:val="00111022"/>
    <w:rsid w:val="0018116D"/>
    <w:rsid w:val="002C4D1B"/>
    <w:rsid w:val="002E03B3"/>
    <w:rsid w:val="00357BE6"/>
    <w:rsid w:val="003B04B0"/>
    <w:rsid w:val="004208FD"/>
    <w:rsid w:val="00430E8F"/>
    <w:rsid w:val="00567FAE"/>
    <w:rsid w:val="005A4F8E"/>
    <w:rsid w:val="005C59BC"/>
    <w:rsid w:val="005D7686"/>
    <w:rsid w:val="00640619"/>
    <w:rsid w:val="006718A3"/>
    <w:rsid w:val="00693FAF"/>
    <w:rsid w:val="0084653E"/>
    <w:rsid w:val="00861631"/>
    <w:rsid w:val="00980901"/>
    <w:rsid w:val="00992B79"/>
    <w:rsid w:val="00A27422"/>
    <w:rsid w:val="00A77D9A"/>
    <w:rsid w:val="00A956B9"/>
    <w:rsid w:val="00B90FE7"/>
    <w:rsid w:val="00BA6602"/>
    <w:rsid w:val="00BD5371"/>
    <w:rsid w:val="00C55059"/>
    <w:rsid w:val="00EA425F"/>
    <w:rsid w:val="00EE207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903240"/>
  <w15:chartTrackingRefBased/>
  <w15:docId w15:val="{3CEFB6FE-3E46-4C9D-AC31-27F9BA6ECB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US"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3FAF"/>
    <w:rPr>
      <w:lang w:val="en-GB"/>
    </w:rPr>
  </w:style>
  <w:style w:type="paragraph" w:styleId="Heading1">
    <w:name w:val="heading 1"/>
    <w:basedOn w:val="Normal"/>
    <w:next w:val="Normal"/>
    <w:link w:val="Heading1Char"/>
    <w:uiPriority w:val="9"/>
    <w:qFormat/>
    <w:rsid w:val="00693FAF"/>
    <w:pPr>
      <w:keepNext/>
      <w:keepLines/>
      <w:spacing w:before="320" w:after="0" w:line="240" w:lineRule="auto"/>
      <w:outlineLvl w:val="0"/>
    </w:pPr>
    <w:rPr>
      <w:rFonts w:asciiTheme="minorBidi" w:eastAsiaTheme="majorEastAsia" w:hAnsiTheme="minorBidi"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693FAF"/>
    <w:pPr>
      <w:keepNext/>
      <w:keepLines/>
      <w:spacing w:before="80" w:after="0" w:line="240" w:lineRule="auto"/>
      <w:outlineLvl w:val="1"/>
    </w:pPr>
    <w:rPr>
      <w:rFonts w:asciiTheme="minorBidi" w:eastAsiaTheme="majorEastAsia" w:hAnsiTheme="minorBidi" w:cstheme="majorBidi"/>
      <w:b/>
      <w:sz w:val="28"/>
      <w:szCs w:val="28"/>
    </w:rPr>
  </w:style>
  <w:style w:type="paragraph" w:styleId="Heading3">
    <w:name w:val="heading 3"/>
    <w:basedOn w:val="Normal"/>
    <w:next w:val="Normal"/>
    <w:link w:val="Heading3Char"/>
    <w:uiPriority w:val="9"/>
    <w:semiHidden/>
    <w:unhideWhenUsed/>
    <w:qFormat/>
    <w:rsid w:val="00693FAF"/>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693FAF"/>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693FAF"/>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693FAF"/>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693FAF"/>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693FAF"/>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693FAF"/>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PlainTable21">
    <w:name w:val="Plain Table 21"/>
    <w:basedOn w:val="TableNormal"/>
    <w:uiPriority w:val="42"/>
    <w:qFormat/>
    <w:rsid w:val="004208FD"/>
    <w:pPr>
      <w:spacing w:after="0" w:line="240" w:lineRule="auto"/>
    </w:pPr>
    <w:rPr>
      <w:lang w:val="en-GB" w:eastAsia="en-GB"/>
    </w:rPr>
    <w:tblPr>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customStyle="1" w:styleId="Heading1Char">
    <w:name w:val="Heading 1 Char"/>
    <w:basedOn w:val="DefaultParagraphFont"/>
    <w:link w:val="Heading1"/>
    <w:uiPriority w:val="9"/>
    <w:rsid w:val="00693FAF"/>
    <w:rPr>
      <w:rFonts w:asciiTheme="minorBidi" w:eastAsiaTheme="majorEastAsia" w:hAnsiTheme="minorBidi" w:cstheme="majorBidi"/>
      <w:b/>
      <w:color w:val="2F5496" w:themeColor="accent1" w:themeShade="BF"/>
      <w:sz w:val="28"/>
      <w:szCs w:val="32"/>
      <w:lang w:val="en-GB"/>
    </w:rPr>
  </w:style>
  <w:style w:type="character" w:customStyle="1" w:styleId="Heading2Char">
    <w:name w:val="Heading 2 Char"/>
    <w:basedOn w:val="DefaultParagraphFont"/>
    <w:link w:val="Heading2"/>
    <w:uiPriority w:val="9"/>
    <w:rsid w:val="00693FAF"/>
    <w:rPr>
      <w:rFonts w:asciiTheme="minorBidi" w:eastAsiaTheme="majorEastAsia" w:hAnsiTheme="minorBidi" w:cstheme="majorBidi"/>
      <w:b/>
      <w:sz w:val="28"/>
      <w:szCs w:val="28"/>
    </w:rPr>
  </w:style>
  <w:style w:type="character" w:customStyle="1" w:styleId="Heading3Char">
    <w:name w:val="Heading 3 Char"/>
    <w:basedOn w:val="DefaultParagraphFont"/>
    <w:link w:val="Heading3"/>
    <w:uiPriority w:val="9"/>
    <w:semiHidden/>
    <w:rsid w:val="00693FAF"/>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693FAF"/>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693FAF"/>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693FAF"/>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693FAF"/>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693FAF"/>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693FAF"/>
    <w:rPr>
      <w:rFonts w:asciiTheme="majorHAnsi" w:eastAsiaTheme="majorEastAsia" w:hAnsiTheme="majorHAnsi" w:cstheme="majorBidi"/>
      <w:b/>
      <w:bCs/>
      <w:i/>
      <w:iCs/>
      <w:color w:val="44546A" w:themeColor="text2"/>
    </w:rPr>
  </w:style>
  <w:style w:type="paragraph" w:styleId="Title">
    <w:name w:val="Title"/>
    <w:basedOn w:val="Normal"/>
    <w:next w:val="Normal"/>
    <w:link w:val="TitleChar"/>
    <w:uiPriority w:val="10"/>
    <w:qFormat/>
    <w:rsid w:val="00693FAF"/>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693FAF"/>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693FAF"/>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693FAF"/>
    <w:rPr>
      <w:rFonts w:asciiTheme="majorHAnsi" w:eastAsiaTheme="majorEastAsia" w:hAnsiTheme="majorHAnsi" w:cstheme="majorBidi"/>
      <w:sz w:val="24"/>
      <w:szCs w:val="24"/>
    </w:rPr>
  </w:style>
  <w:style w:type="paragraph" w:styleId="Quote">
    <w:name w:val="Quote"/>
    <w:basedOn w:val="Normal"/>
    <w:next w:val="Normal"/>
    <w:link w:val="QuoteChar"/>
    <w:uiPriority w:val="29"/>
    <w:qFormat/>
    <w:rsid w:val="00693FAF"/>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693FAF"/>
    <w:rPr>
      <w:i/>
      <w:iCs/>
      <w:color w:val="404040" w:themeColor="text1" w:themeTint="BF"/>
    </w:rPr>
  </w:style>
  <w:style w:type="paragraph" w:styleId="ListParagraph">
    <w:name w:val="List Paragraph"/>
    <w:basedOn w:val="Normal"/>
    <w:uiPriority w:val="34"/>
    <w:qFormat/>
    <w:rsid w:val="005C59BC"/>
    <w:pPr>
      <w:ind w:left="720"/>
      <w:contextualSpacing/>
    </w:pPr>
  </w:style>
  <w:style w:type="character" w:styleId="IntenseEmphasis">
    <w:name w:val="Intense Emphasis"/>
    <w:basedOn w:val="DefaultParagraphFont"/>
    <w:uiPriority w:val="21"/>
    <w:qFormat/>
    <w:rsid w:val="00693FAF"/>
    <w:rPr>
      <w:b/>
      <w:bCs/>
      <w:i/>
      <w:iCs/>
    </w:rPr>
  </w:style>
  <w:style w:type="paragraph" w:styleId="IntenseQuote">
    <w:name w:val="Intense Quote"/>
    <w:basedOn w:val="Normal"/>
    <w:next w:val="Normal"/>
    <w:link w:val="IntenseQuoteChar"/>
    <w:uiPriority w:val="30"/>
    <w:qFormat/>
    <w:rsid w:val="00693FAF"/>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693FAF"/>
    <w:rPr>
      <w:rFonts w:asciiTheme="majorHAnsi" w:eastAsiaTheme="majorEastAsia" w:hAnsiTheme="majorHAnsi" w:cstheme="majorBidi"/>
      <w:color w:val="4472C4" w:themeColor="accent1"/>
      <w:sz w:val="28"/>
      <w:szCs w:val="28"/>
    </w:rPr>
  </w:style>
  <w:style w:type="character" w:styleId="IntenseReference">
    <w:name w:val="Intense Reference"/>
    <w:basedOn w:val="DefaultParagraphFont"/>
    <w:uiPriority w:val="32"/>
    <w:qFormat/>
    <w:rsid w:val="00693FAF"/>
    <w:rPr>
      <w:b/>
      <w:bCs/>
      <w:smallCaps/>
      <w:spacing w:val="5"/>
      <w:u w:val="single"/>
    </w:rPr>
  </w:style>
  <w:style w:type="paragraph" w:styleId="Caption">
    <w:name w:val="caption"/>
    <w:basedOn w:val="Normal"/>
    <w:next w:val="Normal"/>
    <w:uiPriority w:val="35"/>
    <w:semiHidden/>
    <w:unhideWhenUsed/>
    <w:qFormat/>
    <w:rsid w:val="00693FAF"/>
    <w:pPr>
      <w:spacing w:line="240" w:lineRule="auto"/>
    </w:pPr>
    <w:rPr>
      <w:b/>
      <w:bCs/>
      <w:smallCaps/>
      <w:color w:val="595959" w:themeColor="text1" w:themeTint="A6"/>
      <w:spacing w:val="6"/>
    </w:rPr>
  </w:style>
  <w:style w:type="character" w:styleId="Strong">
    <w:name w:val="Strong"/>
    <w:basedOn w:val="DefaultParagraphFont"/>
    <w:uiPriority w:val="22"/>
    <w:qFormat/>
    <w:rsid w:val="00693FAF"/>
    <w:rPr>
      <w:b/>
      <w:bCs/>
    </w:rPr>
  </w:style>
  <w:style w:type="character" w:styleId="Emphasis">
    <w:name w:val="Emphasis"/>
    <w:basedOn w:val="DefaultParagraphFont"/>
    <w:uiPriority w:val="20"/>
    <w:qFormat/>
    <w:rsid w:val="00693FAF"/>
    <w:rPr>
      <w:i/>
      <w:iCs/>
    </w:rPr>
  </w:style>
  <w:style w:type="paragraph" w:styleId="NoSpacing">
    <w:name w:val="No Spacing"/>
    <w:uiPriority w:val="1"/>
    <w:qFormat/>
    <w:rsid w:val="00693FAF"/>
    <w:pPr>
      <w:spacing w:after="0" w:line="240" w:lineRule="auto"/>
    </w:pPr>
  </w:style>
  <w:style w:type="character" w:styleId="SubtleEmphasis">
    <w:name w:val="Subtle Emphasis"/>
    <w:basedOn w:val="DefaultParagraphFont"/>
    <w:uiPriority w:val="19"/>
    <w:qFormat/>
    <w:rsid w:val="00693FAF"/>
    <w:rPr>
      <w:i/>
      <w:iCs/>
      <w:color w:val="404040" w:themeColor="text1" w:themeTint="BF"/>
    </w:rPr>
  </w:style>
  <w:style w:type="character" w:styleId="SubtleReference">
    <w:name w:val="Subtle Reference"/>
    <w:basedOn w:val="DefaultParagraphFont"/>
    <w:uiPriority w:val="31"/>
    <w:qFormat/>
    <w:rsid w:val="00693FAF"/>
    <w:rPr>
      <w:smallCaps/>
      <w:color w:val="404040" w:themeColor="text1" w:themeTint="BF"/>
      <w:u w:val="single" w:color="7F7F7F" w:themeColor="text1" w:themeTint="80"/>
    </w:rPr>
  </w:style>
  <w:style w:type="character" w:styleId="BookTitle">
    <w:name w:val="Book Title"/>
    <w:basedOn w:val="DefaultParagraphFont"/>
    <w:uiPriority w:val="33"/>
    <w:qFormat/>
    <w:rsid w:val="00693FAF"/>
    <w:rPr>
      <w:b/>
      <w:bCs/>
      <w:smallCaps/>
    </w:rPr>
  </w:style>
  <w:style w:type="paragraph" w:styleId="TOCHeading">
    <w:name w:val="TOC Heading"/>
    <w:basedOn w:val="Heading1"/>
    <w:next w:val="Normal"/>
    <w:uiPriority w:val="39"/>
    <w:unhideWhenUsed/>
    <w:qFormat/>
    <w:rsid w:val="00693FAF"/>
    <w:pPr>
      <w:outlineLvl w:val="9"/>
    </w:pPr>
  </w:style>
  <w:style w:type="paragraph" w:styleId="Header">
    <w:name w:val="header"/>
    <w:basedOn w:val="Normal"/>
    <w:link w:val="HeaderChar"/>
    <w:uiPriority w:val="99"/>
    <w:unhideWhenUsed/>
    <w:rsid w:val="00693FAF"/>
    <w:pPr>
      <w:tabs>
        <w:tab w:val="center" w:pos="4680"/>
        <w:tab w:val="right" w:pos="9360"/>
      </w:tabs>
      <w:spacing w:after="0" w:line="240" w:lineRule="auto"/>
    </w:pPr>
  </w:style>
  <w:style w:type="character" w:customStyle="1" w:styleId="HeaderChar">
    <w:name w:val="Header Char"/>
    <w:basedOn w:val="DefaultParagraphFont"/>
    <w:link w:val="Header"/>
    <w:uiPriority w:val="99"/>
    <w:rsid w:val="00693FAF"/>
  </w:style>
  <w:style w:type="paragraph" w:styleId="Footer">
    <w:name w:val="footer"/>
    <w:basedOn w:val="Normal"/>
    <w:link w:val="FooterChar"/>
    <w:uiPriority w:val="99"/>
    <w:unhideWhenUsed/>
    <w:rsid w:val="00693FAF"/>
    <w:pPr>
      <w:tabs>
        <w:tab w:val="center" w:pos="4680"/>
        <w:tab w:val="right" w:pos="9360"/>
      </w:tabs>
      <w:spacing w:after="0" w:line="240" w:lineRule="auto"/>
    </w:pPr>
  </w:style>
  <w:style w:type="character" w:customStyle="1" w:styleId="FooterChar">
    <w:name w:val="Footer Char"/>
    <w:basedOn w:val="DefaultParagraphFont"/>
    <w:link w:val="Footer"/>
    <w:uiPriority w:val="99"/>
    <w:rsid w:val="00693FAF"/>
  </w:style>
  <w:style w:type="paragraph" w:styleId="TOC1">
    <w:name w:val="toc 1"/>
    <w:basedOn w:val="Normal"/>
    <w:next w:val="Normal"/>
    <w:autoRedefine/>
    <w:uiPriority w:val="39"/>
    <w:unhideWhenUsed/>
    <w:rsid w:val="000558A6"/>
    <w:pPr>
      <w:spacing w:after="100"/>
    </w:pPr>
  </w:style>
  <w:style w:type="paragraph" w:styleId="TOC2">
    <w:name w:val="toc 2"/>
    <w:basedOn w:val="Normal"/>
    <w:next w:val="Normal"/>
    <w:autoRedefine/>
    <w:uiPriority w:val="39"/>
    <w:unhideWhenUsed/>
    <w:rsid w:val="000558A6"/>
    <w:pPr>
      <w:spacing w:after="100"/>
      <w:ind w:left="200"/>
    </w:pPr>
  </w:style>
  <w:style w:type="character" w:styleId="Hyperlink">
    <w:name w:val="Hyperlink"/>
    <w:basedOn w:val="DefaultParagraphFont"/>
    <w:uiPriority w:val="99"/>
    <w:unhideWhenUsed/>
    <w:rsid w:val="000558A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611023-1307-4054-B0B5-A8EAF60622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11</Pages>
  <Words>2870</Words>
  <Characters>16363</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Anonymous</dc:creator>
  <cp:keywords/>
  <dc:description/>
  <cp:lastModifiedBy>Osagyefo Amoh</cp:lastModifiedBy>
  <cp:revision>14</cp:revision>
  <dcterms:created xsi:type="dcterms:W3CDTF">2026-03-08T06:13:00Z</dcterms:created>
  <dcterms:modified xsi:type="dcterms:W3CDTF">2026-03-09T14:13:00Z</dcterms:modified>
</cp:coreProperties>
</file>