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B69830" w14:textId="4DBA090C" w:rsidR="009865D5" w:rsidRDefault="009865D5" w:rsidP="004A268A">
      <w:pPr>
        <w:spacing w:line="240" w:lineRule="auto"/>
        <w:jc w:val="center"/>
      </w:pPr>
      <w:r w:rsidRPr="004A268A">
        <w:rPr>
          <w:b/>
          <w:bCs/>
          <w:sz w:val="32"/>
          <w:szCs w:val="32"/>
        </w:rPr>
        <w:t>Critically evaluate the arguments for and against raising the MACR (minimum age of criminal responsibility) in England and Wales</w:t>
      </w:r>
      <w:r w:rsidRPr="009865D5">
        <w:t>.</w:t>
      </w:r>
    </w:p>
    <w:p w14:paraId="74FA02DF" w14:textId="364D2C55" w:rsidR="009865D5" w:rsidRDefault="009865D5" w:rsidP="009865D5">
      <w:pPr>
        <w:jc w:val="center"/>
      </w:pPr>
    </w:p>
    <w:p w14:paraId="7063FD4E" w14:textId="77777777" w:rsidR="00E858B7" w:rsidRDefault="001632BF" w:rsidP="004A268A">
      <w:pPr>
        <w:spacing w:line="480" w:lineRule="auto"/>
        <w:rPr>
          <w:sz w:val="24"/>
          <w:szCs w:val="24"/>
        </w:rPr>
      </w:pPr>
      <w:r w:rsidRPr="004A268A">
        <w:rPr>
          <w:sz w:val="24"/>
          <w:szCs w:val="24"/>
        </w:rPr>
        <w:t xml:space="preserve">As the </w:t>
      </w:r>
      <w:r w:rsidR="00095DFC" w:rsidRPr="004A268A">
        <w:rPr>
          <w:sz w:val="24"/>
          <w:szCs w:val="24"/>
        </w:rPr>
        <w:t>House of commons (2016)</w:t>
      </w:r>
      <w:r w:rsidRPr="004A268A">
        <w:rPr>
          <w:sz w:val="24"/>
          <w:szCs w:val="24"/>
        </w:rPr>
        <w:t xml:space="preserve"> states that the age of criminal responsibility, which is the age under which a child is considered not to be able to commit the crime is currently ten years of age in England, Wales and Northern Ireland. Whereas Scotland has the lowest age of criminal responsibility in the whole Europe which is eight years of age. Up until the 1998, there was a legal assumption which was the “doli incapax” where children that were under the age of 14 did not understand the difference between right and wrong and therefor were not capable of committing the crime. This legal assumption was disproved if the prosecution services could convince the court that the child</w:t>
      </w:r>
      <w:r w:rsidR="00AC2B36" w:rsidRPr="004A268A">
        <w:rPr>
          <w:sz w:val="24"/>
          <w:szCs w:val="24"/>
        </w:rPr>
        <w:t xml:space="preserve"> in fact understood that what he or she were doing was significantly wrong and not simply naughty or troublesome. However, in 1998 the doli incapax was abolished and replaced by the section 38 of the Crime and Disorder Act, which means that it is no longer in use. Therefor the criminal law treats children that are aged ten to 13 in the same manner as those that are aged 14 and over. </w:t>
      </w:r>
      <w:r w:rsidR="00BA4A34" w:rsidRPr="004A268A">
        <w:rPr>
          <w:sz w:val="24"/>
          <w:szCs w:val="24"/>
        </w:rPr>
        <w:t xml:space="preserve">Within the 2009 and 2010 parliament sessions the “All Party” which is a Parliamentary Group for children has held number of seminars regarding the “Children in the Youth Justice System in England and Wales”. One of the seminars were about the consideration of the age of the criminal responsibility. </w:t>
      </w:r>
    </w:p>
    <w:p w14:paraId="3EDE4965" w14:textId="2D231EDA" w:rsidR="00095DFC" w:rsidRDefault="008E19A0" w:rsidP="004A268A">
      <w:pPr>
        <w:spacing w:line="480" w:lineRule="auto"/>
        <w:rPr>
          <w:sz w:val="24"/>
          <w:szCs w:val="24"/>
        </w:rPr>
      </w:pPr>
      <w:r>
        <w:rPr>
          <w:sz w:val="24"/>
          <w:szCs w:val="24"/>
        </w:rPr>
        <w:t xml:space="preserve">As Webster (2017) explains that the Common law has held for a long time that in order to commit the crime there has to be an actus rea and a mens rea present. The actus rea is the act itself and the mens rea is the state of mind or the “guilty mind” where the offender understands that the committed act was wrong. There is no </w:t>
      </w:r>
      <w:r w:rsidR="00E858B7">
        <w:rPr>
          <w:sz w:val="24"/>
          <w:szCs w:val="24"/>
        </w:rPr>
        <w:t xml:space="preserve">global agreement about the lowest age at which the child can appear to have such an understanding and in consequence </w:t>
      </w:r>
      <w:r w:rsidR="00E858B7">
        <w:rPr>
          <w:sz w:val="24"/>
          <w:szCs w:val="24"/>
        </w:rPr>
        <w:lastRenderedPageBreak/>
        <w:t xml:space="preserve">be tried and prosecuted of a criminal act. In 2007 the United Nations Committee on the Rights of the Child has recommended an “absolute minimum” criminal responsibility age to be 12 years, and also pleaded for the countries to “continue to increase it to a higher level”. Regardless, it remains a broad contrast across the world. The most common minimal age of criminal responsibility or simply MACR is 14 years of age. </w:t>
      </w:r>
    </w:p>
    <w:p w14:paraId="37635CE0" w14:textId="74AFAEF0" w:rsidR="00B52C6A" w:rsidRDefault="00B52C6A" w:rsidP="004A268A">
      <w:pPr>
        <w:spacing w:line="480" w:lineRule="auto"/>
        <w:rPr>
          <w:sz w:val="24"/>
          <w:szCs w:val="24"/>
        </w:rPr>
      </w:pPr>
      <w:r>
        <w:rPr>
          <w:sz w:val="24"/>
          <w:szCs w:val="24"/>
        </w:rPr>
        <w:t>The Papadodimitraki (2016) presents the international profile evidence an information about the minimum age of the criminal responsibility in Germany for comparison. This profile especially has its focus on the legal policies and practices with reference to investigating the offences that were committed by children and young people. The Key Findings were that even though the MACR is 14, it also subjected to the mental development of the child as well as its age.  Then also every one that participates in the criminal proceedings whether its an adult or a child they have the right to be heard in the court and to respond or not make any statement if they wish so. There are means available to be certain that the offenders’ identity is protected whether the offender is a child or an adult. Then the conviction of a child is used as a last resort measure.</w:t>
      </w:r>
      <w:r w:rsidR="0014433F">
        <w:rPr>
          <w:sz w:val="24"/>
          <w:szCs w:val="24"/>
        </w:rPr>
        <w:t xml:space="preserve"> The principle of “leniency before severity” is used within the cases that involve young individuals. </w:t>
      </w:r>
      <w:r>
        <w:rPr>
          <w:sz w:val="24"/>
          <w:szCs w:val="24"/>
        </w:rPr>
        <w:t xml:space="preserve"> </w:t>
      </w:r>
      <w:r w:rsidR="0014433F">
        <w:rPr>
          <w:sz w:val="24"/>
          <w:szCs w:val="24"/>
        </w:rPr>
        <w:t xml:space="preserve">The foundation principal of educational measures above custodial sentences is also applied. Lastly, the best interests of a child are of a primary thought. </w:t>
      </w:r>
    </w:p>
    <w:p w14:paraId="2AA88D76" w14:textId="57911F2D" w:rsidR="001C6415" w:rsidRDefault="00A05AB2" w:rsidP="004A268A">
      <w:pPr>
        <w:spacing w:line="480" w:lineRule="auto"/>
        <w:rPr>
          <w:sz w:val="24"/>
          <w:szCs w:val="24"/>
        </w:rPr>
      </w:pPr>
      <w:r>
        <w:rPr>
          <w:sz w:val="24"/>
          <w:szCs w:val="24"/>
        </w:rPr>
        <w:t>The UK Parliament (2020) presents the view of Dr Taylor which is that the current minimum age of criminal responsibility is unreasonable</w:t>
      </w:r>
      <w:r w:rsidR="0005624C">
        <w:rPr>
          <w:sz w:val="24"/>
          <w:szCs w:val="24"/>
        </w:rPr>
        <w:t xml:space="preserve">, because it is out of sync across the United Kingdom and the rest of the world. The minimum criminal responsibility age within England and Wales is 10 years of age, then in Scotland it is 12 now. Then the Dr Alexandra follows up by stating that “previously, it was thought that the most significant period of brain </w:t>
      </w:r>
      <w:r w:rsidR="0005624C">
        <w:rPr>
          <w:sz w:val="24"/>
          <w:szCs w:val="24"/>
        </w:rPr>
        <w:lastRenderedPageBreak/>
        <w:t>maturation was in the first five or possibly eight years. We now know that a second critical period takes place in adolescence and is very dramatic development of the frontal lobes, which are, essentially, responsible for decision making, planning, consequential thinking, getting ideas about ourselves and social interaction”. She the expands by stating that</w:t>
      </w:r>
      <w:r w:rsidR="00A114DB">
        <w:rPr>
          <w:sz w:val="24"/>
          <w:szCs w:val="24"/>
        </w:rPr>
        <w:t xml:space="preserve"> understanding from Covid that “science accumulates gradually, but now we have reached a point where nobody is saying any different, and everybody understands that brains are not mature by the age of ten”. Additionally, the brain is still not mature by the age of 13 to 15. It is believed to be a significantly longer process than anyone has expected, which means that it does not make it clear to treat an individual of ten years of age in the same manner as an adult, simply due to their differences regarding decision-making abilities. Next, statistics show that serious crimes committed by ten-to-eleven-year olds are vastly rare. The evidence presents that the </w:t>
      </w:r>
      <w:r w:rsidR="00EC6CA0">
        <w:rPr>
          <w:sz w:val="24"/>
          <w:szCs w:val="24"/>
        </w:rPr>
        <w:t xml:space="preserve">mass of the children that do commit a serios crime also have complicated well-being necessities. It is believed that due to such small numbers of the young offenders that it would be wiser to provide an alternative provision rather than custodial sentences, such as welfare interventions and social services and other programmes. This is believed to be a more effective course of action for the children offenders and their families. </w:t>
      </w:r>
    </w:p>
    <w:p w14:paraId="7565E500" w14:textId="00575A1C" w:rsidR="001C6415" w:rsidRDefault="001C6415" w:rsidP="004A268A">
      <w:pPr>
        <w:spacing w:line="480" w:lineRule="auto"/>
        <w:rPr>
          <w:sz w:val="24"/>
          <w:szCs w:val="24"/>
        </w:rPr>
      </w:pPr>
      <w:r>
        <w:rPr>
          <w:sz w:val="24"/>
          <w:szCs w:val="24"/>
        </w:rPr>
        <w:t>Dwyer and McAlister (2017) explain the recent attention regarding the rules that control the MACR. They state that the discussion on setting a suitable age for criminal responsibility is not such a new subject. It is been pointed out that as early as the 14</w:t>
      </w:r>
      <w:r w:rsidRPr="001C6415">
        <w:rPr>
          <w:sz w:val="24"/>
          <w:szCs w:val="24"/>
          <w:vertAlign w:val="superscript"/>
        </w:rPr>
        <w:t>th</w:t>
      </w:r>
      <w:r>
        <w:rPr>
          <w:sz w:val="24"/>
          <w:szCs w:val="24"/>
        </w:rPr>
        <w:t xml:space="preserve"> century there has been a take on the common law attitude towards that</w:t>
      </w:r>
      <w:r w:rsidR="0039556D">
        <w:rPr>
          <w:sz w:val="24"/>
          <w:szCs w:val="24"/>
        </w:rPr>
        <w:t xml:space="preserve">, </w:t>
      </w:r>
      <w:r>
        <w:rPr>
          <w:sz w:val="24"/>
          <w:szCs w:val="24"/>
        </w:rPr>
        <w:t>the children are absent of the same level of understanding</w:t>
      </w:r>
      <w:r w:rsidR="0039556D">
        <w:rPr>
          <w:sz w:val="24"/>
          <w:szCs w:val="24"/>
        </w:rPr>
        <w:t xml:space="preserve"> as</w:t>
      </w:r>
      <w:r>
        <w:rPr>
          <w:sz w:val="24"/>
          <w:szCs w:val="24"/>
        </w:rPr>
        <w:t xml:space="preserve"> adults, therefor they must not be considered</w:t>
      </w:r>
      <w:r w:rsidR="0039556D">
        <w:rPr>
          <w:sz w:val="24"/>
          <w:szCs w:val="24"/>
        </w:rPr>
        <w:t xml:space="preserve"> fully accountable for their actions. This has then resulted in stating the minimum criminal responsibility age to seven years old and the introduction of the doli incapax doctrine. Although, the MARC did </w:t>
      </w:r>
      <w:r w:rsidR="0039556D">
        <w:rPr>
          <w:sz w:val="24"/>
          <w:szCs w:val="24"/>
        </w:rPr>
        <w:lastRenderedPageBreak/>
        <w:t xml:space="preserve">increase to eight years of age and then to ten eventually, however, no additional changes were put in place, notwithstanding, continuous suggestions were proposed about the levels of protection from the criminal liability presented to young children. </w:t>
      </w:r>
      <w:r w:rsidR="00486876">
        <w:rPr>
          <w:sz w:val="24"/>
          <w:szCs w:val="24"/>
        </w:rPr>
        <w:t xml:space="preserve">Whereas the last several decades has shown an increased movement within frames of mind </w:t>
      </w:r>
      <w:r w:rsidR="00434D3C">
        <w:rPr>
          <w:sz w:val="24"/>
          <w:szCs w:val="24"/>
        </w:rPr>
        <w:t>about</w:t>
      </w:r>
      <w:r w:rsidR="00486876">
        <w:rPr>
          <w:sz w:val="24"/>
          <w:szCs w:val="24"/>
        </w:rPr>
        <w:t xml:space="preserve"> the treatment of the young people that have been in discord with the law, at an international level there has continuously been recollection of the exceptional amenities that are needed for the children who </w:t>
      </w:r>
      <w:r w:rsidR="00434D3C">
        <w:rPr>
          <w:sz w:val="24"/>
          <w:szCs w:val="24"/>
        </w:rPr>
        <w:t>encounter</w:t>
      </w:r>
      <w:r w:rsidR="00486876">
        <w:rPr>
          <w:sz w:val="24"/>
          <w:szCs w:val="24"/>
        </w:rPr>
        <w:t xml:space="preserve"> the justice system. </w:t>
      </w:r>
      <w:r w:rsidR="00434D3C">
        <w:rPr>
          <w:sz w:val="24"/>
          <w:szCs w:val="24"/>
        </w:rPr>
        <w:t xml:space="preserve">The United Nations Committee on the Rights of the Child or also know as the UNCRC, advocates that any MACR`s should not be set at too low of an age level, in consideration to the facts of the mental, intellectual and emotional maturity, and that “there should be a close relationship between the notion of criminal responsibility and other social rights and responsibilities”, such as the marital status, civil majority and so on. Notwithstanding, plain inconsistency that exists between the criminal and social responsibilities, besides the dividing between the Northern Ireland and other European countries. </w:t>
      </w:r>
    </w:p>
    <w:p w14:paraId="322897CC" w14:textId="6EF5DCB6" w:rsidR="001047FA" w:rsidRDefault="001047FA" w:rsidP="004A268A">
      <w:pPr>
        <w:spacing w:line="480" w:lineRule="auto"/>
        <w:rPr>
          <w:sz w:val="24"/>
          <w:szCs w:val="24"/>
        </w:rPr>
      </w:pPr>
      <w:r>
        <w:rPr>
          <w:sz w:val="24"/>
          <w:szCs w:val="24"/>
        </w:rPr>
        <w:t>Guy (2018) explains the case of Silje Redergard in Norway. On the 15</w:t>
      </w:r>
      <w:r w:rsidRPr="001047FA">
        <w:rPr>
          <w:sz w:val="24"/>
          <w:szCs w:val="24"/>
          <w:vertAlign w:val="superscript"/>
        </w:rPr>
        <w:t>th</w:t>
      </w:r>
      <w:r>
        <w:rPr>
          <w:sz w:val="24"/>
          <w:szCs w:val="24"/>
        </w:rPr>
        <w:t xml:space="preserve"> of October 1994, on a housing estate, a five-year-old Silje Redergard was severely assaulted, striped of her clothes and left to freeze to death in the snow by three six-year-old local boys whom she was plating with minutes prior. After this murder has been reported and many years afterwards, there has been significant comparisons made between this case and the murder case of James Bulger in the United Kingdom. </w:t>
      </w:r>
      <w:r w:rsidR="002A2096">
        <w:rPr>
          <w:sz w:val="24"/>
          <w:szCs w:val="24"/>
        </w:rPr>
        <w:t xml:space="preserve">The minimum age of criminal responsibility between Britain and Norway differs by five years, although, discovering most apparent differences in the comeback of these two cases.  As stated previously in Britain the minimum age of criminal responsibility is ten years </w:t>
      </w:r>
      <w:r w:rsidR="00F22E8A">
        <w:rPr>
          <w:sz w:val="24"/>
          <w:szCs w:val="24"/>
        </w:rPr>
        <w:t>old,</w:t>
      </w:r>
      <w:r w:rsidR="002A2096">
        <w:rPr>
          <w:sz w:val="24"/>
          <w:szCs w:val="24"/>
        </w:rPr>
        <w:t xml:space="preserve"> where a child ten years or over is believed to be within capacity of understanding between the right and wrong and be taken accountable for </w:t>
      </w:r>
      <w:r w:rsidR="002A2096">
        <w:rPr>
          <w:sz w:val="24"/>
          <w:szCs w:val="24"/>
        </w:rPr>
        <w:lastRenderedPageBreak/>
        <w:t xml:space="preserve">their actions. Whereas in Norway, this does not apply to the children under the age of 15. Taking this into consideration, the James Bulger murder was instantly a criminal case matter where the responsible two boys were aged ten and therefor did face criminal charges for their actions. Contrary, the Redergard murder in Norway was not criminal case matter. This is due to, that the three boys that were involved were six years old, which means that they were under the Norwegian minimum age of criminal responsibility. </w:t>
      </w:r>
      <w:r w:rsidR="00F22E8A">
        <w:rPr>
          <w:sz w:val="24"/>
          <w:szCs w:val="24"/>
        </w:rPr>
        <w:t xml:space="preserve">As Dr Green (2007) explains that “Norwegians seem culturally incapable” of accepting that young people under the age of 15 should be convicted as adults or that any child deserves to receive a custodial sentence. </w:t>
      </w:r>
    </w:p>
    <w:p w14:paraId="38C54ED9" w14:textId="77777777" w:rsidR="00DD7087" w:rsidRDefault="00DD7087" w:rsidP="00DD7087">
      <w:pPr>
        <w:pStyle w:val="NormalWeb"/>
        <w:shd w:val="clear" w:color="auto" w:fill="FFFFFF"/>
        <w:spacing w:before="0" w:beforeAutospacing="0" w:after="150" w:afterAutospacing="0" w:line="480" w:lineRule="auto"/>
        <w:rPr>
          <w:rFonts w:asciiTheme="minorHAnsi" w:hAnsiTheme="minorHAnsi" w:cstheme="minorHAnsi"/>
        </w:rPr>
      </w:pPr>
      <w:r w:rsidRPr="00BD0A56">
        <w:rPr>
          <w:rFonts w:asciiTheme="minorHAnsi" w:hAnsiTheme="minorHAnsi" w:cstheme="minorHAnsi"/>
        </w:rPr>
        <w:t xml:space="preserve">Hyland (1999) explains the case of James Bulger and how it affected British law. The murder of James Bulger that was caused by two ten-year-old boys in the United Kingdom illustrates the significant consequences that one case can have on youth justice system. </w:t>
      </w:r>
      <w:r>
        <w:rPr>
          <w:rFonts w:asciiTheme="minorHAnsi" w:hAnsiTheme="minorHAnsi" w:cstheme="minorHAnsi"/>
        </w:rPr>
        <w:t>Within this case the relationship between the public, the media and the consecutive governments worked to the disadvantage of children’s rights. The case details of this case is that in 1993, two ten year old boys have kidnaped James Bulger who was two years of age from the shopping centre that he attended with his mother. That following afternoon, the two boys have led him through Liverpool and repeatedly assaulting James, then finally assaulting him unconscious. Then they left James on the railway track where he collided with a train and was cut in half as a result.</w:t>
      </w:r>
    </w:p>
    <w:p w14:paraId="046EB101" w14:textId="77777777" w:rsidR="00DD7087" w:rsidRDefault="00DD7087" w:rsidP="00DD7087">
      <w:pPr>
        <w:pStyle w:val="NormalWeb"/>
        <w:shd w:val="clear" w:color="auto" w:fill="FFFFFF"/>
        <w:spacing w:before="0" w:beforeAutospacing="0" w:after="150" w:afterAutospacing="0" w:line="480" w:lineRule="auto"/>
        <w:rPr>
          <w:rFonts w:asciiTheme="minorHAnsi" w:hAnsiTheme="minorHAnsi" w:cstheme="minorHAnsi"/>
        </w:rPr>
      </w:pPr>
      <w:r>
        <w:rPr>
          <w:rFonts w:asciiTheme="minorHAnsi" w:hAnsiTheme="minorHAnsi" w:cstheme="minorHAnsi"/>
        </w:rPr>
        <w:t xml:space="preserve"> As Littlechild (1997) continued to explain that after police did detain the offenders John Venables and Robert Thompson, they charged the two boys with murder. When they stood trial, they were both 11 years old, the trial took place in the adult court in November 1993. They were prosecuted and sentenced to be locked up until kingdom come at Her Majesty`s </w:t>
      </w:r>
      <w:r>
        <w:rPr>
          <w:rFonts w:asciiTheme="minorHAnsi" w:hAnsiTheme="minorHAnsi" w:cstheme="minorHAnsi"/>
        </w:rPr>
        <w:lastRenderedPageBreak/>
        <w:t xml:space="preserve">pleasure. However, that was not the case and both boys were advised to only serve minimum of ten years. </w:t>
      </w:r>
    </w:p>
    <w:p w14:paraId="2589227F" w14:textId="77777777" w:rsidR="00DD7087" w:rsidRPr="00BD0A56" w:rsidRDefault="00DD7087" w:rsidP="00DD7087">
      <w:pPr>
        <w:pStyle w:val="NormalWeb"/>
        <w:shd w:val="clear" w:color="auto" w:fill="FFFFFF"/>
        <w:spacing w:before="0" w:beforeAutospacing="0" w:after="150" w:afterAutospacing="0" w:line="480" w:lineRule="auto"/>
        <w:rPr>
          <w:rFonts w:asciiTheme="minorHAnsi" w:hAnsiTheme="minorHAnsi" w:cstheme="minorHAnsi"/>
        </w:rPr>
      </w:pPr>
      <w:r>
        <w:rPr>
          <w:rFonts w:asciiTheme="minorHAnsi" w:hAnsiTheme="minorHAnsi" w:cstheme="minorHAnsi"/>
        </w:rPr>
        <w:t xml:space="preserve">As Morrison (2011) explains that the UK media scope of this crime and the trial has significantly inspired the public`s perspective not just regarding the criminals but also the young offenders and as a matter of fact all children in general. Nonetheless, it was not the scope of the media coverage that influence the publics opinion as in such but nevertheless the actual approach that significant amount of the UK media has taken upon its coverage regarding this case. The media slammed the convicted boys in a very unrestrained manner with “undiluted, vitriolic editorialization”. In November 1993, the day after the judgement was presented, the Newsagent Daily Star produced the photographs of the two boys with a headline “How do you feel now you little bastards?”, a question that was impersonated from the shouts from James`s family member after the conviction were decided and implemented. The media felt optimistic enough of the public`s frame of mind to run down the convicted boys to an extravagant level and dictate that they should “rot in jail”, this was accomplished without agitation or failure of distribution. </w:t>
      </w:r>
    </w:p>
    <w:p w14:paraId="69212CEC" w14:textId="77777777" w:rsidR="00DD7087" w:rsidRDefault="00DD7087" w:rsidP="004A268A">
      <w:pPr>
        <w:spacing w:line="480" w:lineRule="auto"/>
        <w:rPr>
          <w:sz w:val="24"/>
          <w:szCs w:val="24"/>
        </w:rPr>
      </w:pPr>
    </w:p>
    <w:p w14:paraId="0E5F839E" w14:textId="153C553B" w:rsidR="00F2251D" w:rsidRDefault="00F2251D" w:rsidP="004A268A">
      <w:pPr>
        <w:spacing w:line="480" w:lineRule="auto"/>
        <w:rPr>
          <w:sz w:val="24"/>
          <w:szCs w:val="24"/>
        </w:rPr>
      </w:pPr>
      <w:r>
        <w:rPr>
          <w:sz w:val="24"/>
          <w:szCs w:val="24"/>
        </w:rPr>
        <w:t xml:space="preserve">As Papamichael (2019) explains that with the change in the law the children now over the age of nine can be arrested, brought to the police station and interviewed and charged with an offence. Then be brought </w:t>
      </w:r>
      <w:r w:rsidR="001A3944">
        <w:rPr>
          <w:sz w:val="24"/>
          <w:szCs w:val="24"/>
        </w:rPr>
        <w:t>Infront</w:t>
      </w:r>
      <w:r>
        <w:rPr>
          <w:sz w:val="24"/>
          <w:szCs w:val="24"/>
        </w:rPr>
        <w:t xml:space="preserve"> of court and convicted of the crimes</w:t>
      </w:r>
      <w:r w:rsidR="001A3944">
        <w:rPr>
          <w:sz w:val="24"/>
          <w:szCs w:val="24"/>
        </w:rPr>
        <w:t xml:space="preserve">, as a result also obtaining a criminal record. Without a doubt, the high profile of the tragic murder of James Bulger, had a significant influence upon the focus on the government issues of the MARC. In the House of Lords settlement of the C a minor v DPP Lord Lowry recognized that there were “popular and political overtones” which enclosed the abolition of the doli incapax. The </w:t>
      </w:r>
      <w:r w:rsidR="001A3944">
        <w:rPr>
          <w:sz w:val="24"/>
          <w:szCs w:val="24"/>
        </w:rPr>
        <w:lastRenderedPageBreak/>
        <w:t xml:space="preserve">government justified their decision of </w:t>
      </w:r>
      <w:r w:rsidR="0080317D">
        <w:rPr>
          <w:sz w:val="24"/>
          <w:szCs w:val="24"/>
        </w:rPr>
        <w:t>abolishing</w:t>
      </w:r>
      <w:r w:rsidR="001A3944">
        <w:rPr>
          <w:sz w:val="24"/>
          <w:szCs w:val="24"/>
        </w:rPr>
        <w:t xml:space="preserve"> doli incapax by summoning it as outdated and unneeded. </w:t>
      </w:r>
      <w:r w:rsidR="0080317D">
        <w:rPr>
          <w:sz w:val="24"/>
          <w:szCs w:val="24"/>
        </w:rPr>
        <w:t xml:space="preserve">It is believed that the criminal law should mimic the morality of the society at the time and progress to the changing frames of mind. Nevertheless, the tragic case of James Bulger illustrates how the government can occasionally stoop to whoever`s voice is presented the loudest. This is viewed as not honest democracy and could potentially result in extensive inequality. Even though the awful violence caused by such young children was and is uncommonly rare, the children of ten years old automatically are now being held criminally accountable in England and Wales. </w:t>
      </w:r>
    </w:p>
    <w:p w14:paraId="7AB97BFF" w14:textId="16D185CA" w:rsidR="00631A28" w:rsidRDefault="00C73F8F" w:rsidP="00AD42B1">
      <w:pPr>
        <w:spacing w:line="480" w:lineRule="auto"/>
        <w:rPr>
          <w:sz w:val="24"/>
          <w:szCs w:val="24"/>
        </w:rPr>
      </w:pPr>
      <w:r>
        <w:rPr>
          <w:sz w:val="24"/>
          <w:szCs w:val="24"/>
        </w:rPr>
        <w:t>Gibson (2019) further explains the doli incapax doctrine and presents the definition of “incapable of committing an offence”. Basically, the doli incapax doctrine produced a protective shield for the children that were aged ten to fourteen</w:t>
      </w:r>
      <w:r w:rsidR="00476634">
        <w:rPr>
          <w:sz w:val="24"/>
          <w:szCs w:val="24"/>
        </w:rPr>
        <w:t xml:space="preserve">. The clear example was defined within the James Bulger case.  John Venables and Robert Thompson both have undergone a psychiatric assessment, which did disclose that both were capable of understanding between right and wrong. The conviction of John Venable and Robert Thompson are explicit examples of the doli incapax working in support of punishing children for their actions. Although, it appeared unclear and unnecessary that the Governments decision of abolishing the doli incapax even though it presented to be practical, as convictions were secured in this case. Regardless of this, there were many academics, politicians and judges that </w:t>
      </w:r>
      <w:r w:rsidR="00D13E00">
        <w:rPr>
          <w:sz w:val="24"/>
          <w:szCs w:val="24"/>
        </w:rPr>
        <w:t xml:space="preserve">defined doli incapax to be “contrary to common sense”. </w:t>
      </w:r>
      <w:r w:rsidR="00DF6A4E">
        <w:rPr>
          <w:sz w:val="24"/>
          <w:szCs w:val="24"/>
        </w:rPr>
        <w:t>The validity of doli incapax has been challenged on several occasions by the judges but in particular</w:t>
      </w:r>
      <w:r w:rsidR="006E6AD3">
        <w:rPr>
          <w:sz w:val="24"/>
          <w:szCs w:val="24"/>
        </w:rPr>
        <w:t>ly</w:t>
      </w:r>
      <w:r w:rsidR="00DF6A4E">
        <w:rPr>
          <w:sz w:val="24"/>
          <w:szCs w:val="24"/>
        </w:rPr>
        <w:t xml:space="preserve"> by Mr Justice Laws, who declared that doli incapax was </w:t>
      </w:r>
      <w:r w:rsidR="006E6AD3">
        <w:rPr>
          <w:sz w:val="24"/>
          <w:szCs w:val="24"/>
        </w:rPr>
        <w:t xml:space="preserve">“no longer part of the Law of England”. Explanation for this is that he did not recognise the need for the doli incapax before abolishing it. Additionally, he stated that regardless to what type of position was in prior years, such as before the system of universal compulsory education was </w:t>
      </w:r>
      <w:r w:rsidR="006E6AD3">
        <w:rPr>
          <w:sz w:val="24"/>
          <w:szCs w:val="24"/>
        </w:rPr>
        <w:lastRenderedPageBreak/>
        <w:t xml:space="preserve">introduced, </w:t>
      </w:r>
      <w:r w:rsidR="00E95D54">
        <w:rPr>
          <w:sz w:val="24"/>
          <w:szCs w:val="24"/>
        </w:rPr>
        <w:t xml:space="preserve">or when the children did not grow as quickly as they do in todays world. This doctrine appears to be disfavour-able to the law system in todays society. </w:t>
      </w:r>
      <w:r w:rsidR="006D047D">
        <w:rPr>
          <w:sz w:val="24"/>
          <w:szCs w:val="24"/>
        </w:rPr>
        <w:t xml:space="preserve">Lord Lowry added that the idea is not and never has been previously fully rational. Even though there was support towards Mr Laws` perception, the House of Lords revoked his judgement and stated that by abolishing the doli incapax it resulted in the significant change within the law and on that account, it should have been a matter of Parliament consideration rather than judiciary decision. </w:t>
      </w:r>
    </w:p>
    <w:p w14:paraId="7F064A61" w14:textId="7773B5AB" w:rsidR="00AD42B1" w:rsidRPr="00AD42B1" w:rsidRDefault="00AD42B1" w:rsidP="00AD42B1">
      <w:pPr>
        <w:spacing w:line="480" w:lineRule="auto"/>
        <w:rPr>
          <w:sz w:val="24"/>
          <w:szCs w:val="24"/>
        </w:rPr>
      </w:pPr>
      <w:r>
        <w:rPr>
          <w:sz w:val="24"/>
          <w:szCs w:val="24"/>
        </w:rPr>
        <w:t>To conclude, firstly, there is no general minimum criminal responsibility age across the world. It appears that most countries have different understanding of suitable age where a child is deemed to understand right from wrong. However, UK has different views depending on the country, such as the England and Wales currently believe that child who Is aged 10 and over is capable to understand their actions. Whereas in Scotland the age of criminal responsibility is currently 12. However, there are many arguments for the increase of the MARC but there are also arguments for keeping it the same that are mentioned previously. There are arguments showing that it is believed that child`s brain has not been fully developed at the age of 10 therefor they cannot fully understand their behaviour and their actions as the adults would. However, there have also been cases mentioned that show how brutal children can be and that there should be a punishment in place. Nevertheless</w:t>
      </w:r>
      <w:r w:rsidR="008B6F2A">
        <w:rPr>
          <w:sz w:val="24"/>
          <w:szCs w:val="24"/>
        </w:rPr>
        <w:t>,</w:t>
      </w:r>
      <w:r>
        <w:rPr>
          <w:sz w:val="24"/>
          <w:szCs w:val="24"/>
        </w:rPr>
        <w:t xml:space="preserve"> the question </w:t>
      </w:r>
      <w:r w:rsidR="008B6F2A">
        <w:rPr>
          <w:sz w:val="24"/>
          <w:szCs w:val="24"/>
        </w:rPr>
        <w:t>remains</w:t>
      </w:r>
      <w:r>
        <w:rPr>
          <w:sz w:val="24"/>
          <w:szCs w:val="24"/>
        </w:rPr>
        <w:t xml:space="preserve"> whether children at the age of 10 can </w:t>
      </w:r>
      <w:r w:rsidR="008B6F2A">
        <w:rPr>
          <w:sz w:val="24"/>
          <w:szCs w:val="24"/>
        </w:rPr>
        <w:t xml:space="preserve">mentally function in the same manner as the fully grown adult could? Also does the environment that the child lives in, is the influencing factor to their criminal behaviour? Many of these questions could not be answered to the full extent as there are too many different compelling arguments. However, what was made clear is that children are in fact capable of vicious acts, and that there needs to a suitable punishment where the victim’s family could receive </w:t>
      </w:r>
      <w:r w:rsidR="008B6F2A">
        <w:rPr>
          <w:sz w:val="24"/>
          <w:szCs w:val="24"/>
        </w:rPr>
        <w:lastRenderedPageBreak/>
        <w:t xml:space="preserve">some sort of closure and to reform children from that sort of behaviour for sake of the future generation. When it comes to MARC there needs to be an open mind and a lot of factors taken into consideration. James Bulger case presented am example where children of the age of 10 were capable of such a tragic actions, also after ongoing assessments the two boys were deemed mentally stable and that they understood that their actions were very wrong. </w:t>
      </w:r>
    </w:p>
    <w:p w14:paraId="19F604A8" w14:textId="0E1D4EAA" w:rsidR="009865D5" w:rsidRPr="009865D5" w:rsidRDefault="009865D5" w:rsidP="009865D5">
      <w:pPr>
        <w:rPr>
          <w:b/>
          <w:bCs/>
          <w:sz w:val="32"/>
          <w:szCs w:val="32"/>
        </w:rPr>
      </w:pPr>
    </w:p>
    <w:p w14:paraId="155F9AFD" w14:textId="12892D5E" w:rsidR="009865D5" w:rsidRDefault="009865D5" w:rsidP="009865D5">
      <w:pPr>
        <w:rPr>
          <w:b/>
          <w:bCs/>
          <w:sz w:val="32"/>
          <w:szCs w:val="32"/>
        </w:rPr>
      </w:pPr>
      <w:r w:rsidRPr="009865D5">
        <w:rPr>
          <w:b/>
          <w:bCs/>
          <w:sz w:val="32"/>
          <w:szCs w:val="32"/>
        </w:rPr>
        <w:t>References</w:t>
      </w:r>
    </w:p>
    <w:p w14:paraId="3BB41AF7" w14:textId="40266D74" w:rsidR="00CB75AE" w:rsidRDefault="00CB75AE" w:rsidP="009865D5">
      <w:r>
        <w:rPr>
          <w:sz w:val="24"/>
          <w:szCs w:val="24"/>
        </w:rPr>
        <w:t xml:space="preserve">Dwyer and McAlister (2017), </w:t>
      </w:r>
      <w:r w:rsidRPr="00CB75AE">
        <w:rPr>
          <w:i/>
          <w:iCs/>
        </w:rPr>
        <w:t>Raising the age of criminal responsibility: endless debate, limited progress</w:t>
      </w:r>
      <w:r>
        <w:t>, Queens University : Belfast, [online], [ Accessed on 4</w:t>
      </w:r>
      <w:r w:rsidRPr="00CB75AE">
        <w:rPr>
          <w:vertAlign w:val="superscript"/>
        </w:rPr>
        <w:t>th</w:t>
      </w:r>
      <w:r>
        <w:t xml:space="preserve"> January 2021], Available at :&lt;</w:t>
      </w:r>
      <w:r w:rsidRPr="00CB75AE">
        <w:t xml:space="preserve"> </w:t>
      </w:r>
      <w:hyperlink r:id="rId6" w:history="1">
        <w:r w:rsidRPr="0002475E">
          <w:rPr>
            <w:rStyle w:val="Hyperlink"/>
          </w:rPr>
          <w:t>https://www.ark.ac.uk/ARK/publications/features?keys=&amp;page=1</w:t>
        </w:r>
      </w:hyperlink>
      <w:r>
        <w:t xml:space="preserve">&gt; </w:t>
      </w:r>
    </w:p>
    <w:p w14:paraId="1F4471F3" w14:textId="2EEE5B51" w:rsidR="00485AF5" w:rsidRDefault="00485AF5" w:rsidP="00EF3DF4">
      <w:r>
        <w:t xml:space="preserve">Gibson (2019), </w:t>
      </w:r>
      <w:r w:rsidRPr="00485AF5">
        <w:rPr>
          <w:i/>
          <w:iCs/>
        </w:rPr>
        <w:t>The Abolition Of Doli Incapax And The Alternatives To Raising The Age Of Criminal Responsibility</w:t>
      </w:r>
      <w:r>
        <w:t>, Northumbria University Newcastle, [online], [Accessed on 13</w:t>
      </w:r>
      <w:r w:rsidRPr="00485AF5">
        <w:rPr>
          <w:vertAlign w:val="superscript"/>
        </w:rPr>
        <w:t>th</w:t>
      </w:r>
      <w:r>
        <w:t xml:space="preserve"> January 2021], Available at:&lt; </w:t>
      </w:r>
      <w:hyperlink r:id="rId7" w:history="1">
        <w:r w:rsidRPr="0002475E">
          <w:rPr>
            <w:rStyle w:val="Hyperlink"/>
          </w:rPr>
          <w:t>https://www.northumbria.ac.uk/about-us/academicdepartments/northumbria-law-school/law-research/</w:t>
        </w:r>
      </w:hyperlink>
      <w:r>
        <w:t xml:space="preserve">.&gt; </w:t>
      </w:r>
    </w:p>
    <w:p w14:paraId="09320E37" w14:textId="77A4276D" w:rsidR="002A2096" w:rsidRPr="002A2096" w:rsidRDefault="002A2096" w:rsidP="00EF3DF4">
      <w:pPr>
        <w:rPr>
          <w:rFonts w:cstheme="minorHAnsi"/>
          <w:sz w:val="24"/>
          <w:szCs w:val="24"/>
        </w:rPr>
      </w:pPr>
      <w:r w:rsidRPr="002A2096">
        <w:rPr>
          <w:rFonts w:cstheme="minorHAnsi"/>
          <w:spacing w:val="-5"/>
          <w:sz w:val="24"/>
          <w:szCs w:val="24"/>
          <w:shd w:val="clear" w:color="auto" w:fill="FFFFFF"/>
        </w:rPr>
        <w:t>Green, (2007). Comparing Penal Cultures: Child‐on‐Child Homicide in England and Norway. </w:t>
      </w:r>
      <w:r w:rsidRPr="002A2096">
        <w:rPr>
          <w:rFonts w:cstheme="minorHAnsi"/>
          <w:i/>
          <w:iCs/>
          <w:spacing w:val="-5"/>
          <w:sz w:val="24"/>
          <w:szCs w:val="24"/>
          <w:shd w:val="clear" w:color="auto" w:fill="FFFFFF"/>
        </w:rPr>
        <w:t>Crime and Justice,</w:t>
      </w:r>
      <w:r w:rsidRPr="002A2096">
        <w:rPr>
          <w:rFonts w:cstheme="minorHAnsi"/>
          <w:spacing w:val="-5"/>
          <w:sz w:val="24"/>
          <w:szCs w:val="24"/>
          <w:shd w:val="clear" w:color="auto" w:fill="FFFFFF"/>
        </w:rPr>
        <w:t> </w:t>
      </w:r>
      <w:r w:rsidRPr="002A2096">
        <w:rPr>
          <w:rFonts w:cstheme="minorHAnsi"/>
          <w:i/>
          <w:iCs/>
          <w:spacing w:val="-5"/>
          <w:sz w:val="24"/>
          <w:szCs w:val="24"/>
          <w:shd w:val="clear" w:color="auto" w:fill="FFFFFF"/>
        </w:rPr>
        <w:t>36</w:t>
      </w:r>
      <w:r w:rsidRPr="002A2096">
        <w:rPr>
          <w:rFonts w:cstheme="minorHAnsi"/>
          <w:spacing w:val="-5"/>
          <w:sz w:val="24"/>
          <w:szCs w:val="24"/>
          <w:shd w:val="clear" w:color="auto" w:fill="FFFFFF"/>
        </w:rPr>
        <w:t>(1), 591-643. doi:10.1086/592809</w:t>
      </w:r>
    </w:p>
    <w:p w14:paraId="42E79BAC" w14:textId="70A5AF56" w:rsidR="00EF3DF4" w:rsidRDefault="00EF3DF4" w:rsidP="00EF3DF4">
      <w:r>
        <w:t xml:space="preserve">Guy (2018), </w:t>
      </w:r>
      <w:r w:rsidRPr="00EF3DF4">
        <w:rPr>
          <w:i/>
          <w:iCs/>
        </w:rPr>
        <w:t>Child On Child Murders: A Comparative Media Analysis</w:t>
      </w:r>
      <w:r>
        <w:t>, Crime Traveller, [online], [Accessed on 1</w:t>
      </w:r>
      <w:r w:rsidRPr="00EF3DF4">
        <w:rPr>
          <w:vertAlign w:val="superscript"/>
        </w:rPr>
        <w:t>st</w:t>
      </w:r>
      <w:r>
        <w:t xml:space="preserve"> January 2021], Available at:&lt; </w:t>
      </w:r>
      <w:hyperlink r:id="rId8" w:history="1">
        <w:r w:rsidRPr="0002475E">
          <w:rPr>
            <w:rStyle w:val="Hyperlink"/>
          </w:rPr>
          <w:t>https://www.crimetraveller.org/2018/01/child-on-child-murders-comparative-media-analysis/</w:t>
        </w:r>
      </w:hyperlink>
      <w:r>
        <w:t xml:space="preserve">&gt;  </w:t>
      </w:r>
    </w:p>
    <w:p w14:paraId="392280C8" w14:textId="23331970" w:rsidR="00631A28" w:rsidRDefault="00631A28" w:rsidP="00631A28">
      <w:proofErr w:type="spellStart"/>
      <w:r>
        <w:rPr>
          <w:sz w:val="24"/>
          <w:szCs w:val="24"/>
        </w:rPr>
        <w:t>Hayland</w:t>
      </w:r>
      <w:proofErr w:type="spellEnd"/>
      <w:r>
        <w:rPr>
          <w:sz w:val="24"/>
          <w:szCs w:val="24"/>
        </w:rPr>
        <w:t xml:space="preserve"> (1999), </w:t>
      </w:r>
      <w:r w:rsidRPr="00631A28">
        <w:rPr>
          <w:i/>
          <w:iCs/>
        </w:rPr>
        <w:t>Britain: Second juror condemns jailing of two boys for the killing of James Bulger</w:t>
      </w:r>
      <w:r>
        <w:t xml:space="preserve">, </w:t>
      </w:r>
      <w:r>
        <w:rPr>
          <w:rFonts w:ascii="Source Sans Pro" w:hAnsi="Source Sans Pro"/>
          <w:color w:val="000000"/>
          <w:sz w:val="21"/>
          <w:szCs w:val="21"/>
          <w:shd w:val="clear" w:color="auto" w:fill="FFFFFF"/>
        </w:rPr>
        <w:t>World Socialist Web Site,  [online], [Accessed on 1</w:t>
      </w:r>
      <w:r w:rsidRPr="00631A28">
        <w:rPr>
          <w:rFonts w:ascii="Source Sans Pro" w:hAnsi="Source Sans Pro"/>
          <w:color w:val="000000"/>
          <w:sz w:val="21"/>
          <w:szCs w:val="21"/>
          <w:shd w:val="clear" w:color="auto" w:fill="FFFFFF"/>
          <w:vertAlign w:val="superscript"/>
        </w:rPr>
        <w:t>st</w:t>
      </w:r>
      <w:r>
        <w:rPr>
          <w:rFonts w:ascii="Source Sans Pro" w:hAnsi="Source Sans Pro"/>
          <w:color w:val="000000"/>
          <w:sz w:val="21"/>
          <w:szCs w:val="21"/>
          <w:shd w:val="clear" w:color="auto" w:fill="FFFFFF"/>
        </w:rPr>
        <w:t xml:space="preserve"> January 2021], Available at:&lt; </w:t>
      </w:r>
      <w:hyperlink r:id="rId9" w:history="1">
        <w:r w:rsidRPr="0002475E">
          <w:rPr>
            <w:rStyle w:val="Hyperlink"/>
            <w:rFonts w:ascii="Source Sans Pro" w:hAnsi="Source Sans Pro"/>
            <w:sz w:val="21"/>
            <w:szCs w:val="21"/>
            <w:shd w:val="clear" w:color="auto" w:fill="FFFFFF"/>
          </w:rPr>
          <w:t>https://www.wsws.org/en/articles/1999/11/bulg-n11.html</w:t>
        </w:r>
      </w:hyperlink>
      <w:r>
        <w:rPr>
          <w:rFonts w:ascii="Source Sans Pro" w:hAnsi="Source Sans Pro"/>
          <w:color w:val="000000"/>
          <w:sz w:val="21"/>
          <w:szCs w:val="21"/>
          <w:shd w:val="clear" w:color="auto" w:fill="FFFFFF"/>
        </w:rPr>
        <w:t xml:space="preserve">&gt; </w:t>
      </w:r>
    </w:p>
    <w:p w14:paraId="339E3582" w14:textId="2D3C8DCA" w:rsidR="009865D5" w:rsidRDefault="009865D5" w:rsidP="009865D5">
      <w:pPr>
        <w:rPr>
          <w:sz w:val="24"/>
          <w:szCs w:val="24"/>
        </w:rPr>
      </w:pPr>
      <w:r w:rsidRPr="009865D5">
        <w:rPr>
          <w:sz w:val="24"/>
          <w:szCs w:val="24"/>
        </w:rPr>
        <w:t>House of commons</w:t>
      </w:r>
      <w:r>
        <w:rPr>
          <w:sz w:val="24"/>
          <w:szCs w:val="24"/>
        </w:rPr>
        <w:t xml:space="preserve"> (2016), </w:t>
      </w:r>
      <w:r w:rsidRPr="009865D5">
        <w:rPr>
          <w:i/>
          <w:iCs/>
          <w:sz w:val="24"/>
          <w:szCs w:val="24"/>
        </w:rPr>
        <w:t>The age of criminal responsibility</w:t>
      </w:r>
      <w:r>
        <w:rPr>
          <w:sz w:val="24"/>
          <w:szCs w:val="24"/>
        </w:rPr>
        <w:t xml:space="preserve">, (7687), </w:t>
      </w:r>
      <w:r w:rsidR="00095DFC">
        <w:rPr>
          <w:sz w:val="24"/>
          <w:szCs w:val="24"/>
        </w:rPr>
        <w:t xml:space="preserve">London: </w:t>
      </w:r>
      <w:r>
        <w:rPr>
          <w:sz w:val="24"/>
          <w:szCs w:val="24"/>
        </w:rPr>
        <w:t>McGuinness</w:t>
      </w:r>
      <w:r w:rsidR="00095DFC">
        <w:rPr>
          <w:sz w:val="24"/>
          <w:szCs w:val="24"/>
        </w:rPr>
        <w:t xml:space="preserve">. </w:t>
      </w:r>
    </w:p>
    <w:p w14:paraId="2B9B29FB" w14:textId="2371D6E9" w:rsidR="00631A28" w:rsidRDefault="00631A28" w:rsidP="00095DFC">
      <w:pPr>
        <w:rPr>
          <w:rFonts w:ascii="Arial" w:hAnsi="Arial" w:cs="Arial"/>
          <w:color w:val="333333"/>
          <w:sz w:val="21"/>
          <w:szCs w:val="21"/>
          <w:shd w:val="clear" w:color="auto" w:fill="FFFFFF"/>
        </w:rPr>
      </w:pPr>
      <w:r>
        <w:rPr>
          <w:rFonts w:ascii="Arial" w:hAnsi="Arial" w:cs="Arial"/>
          <w:color w:val="333333"/>
          <w:sz w:val="21"/>
          <w:szCs w:val="21"/>
          <w:shd w:val="clear" w:color="auto" w:fill="FFFFFF"/>
        </w:rPr>
        <w:t>Littlechild (1997) ‘Young offenders, punitive policies and the rights of children’, </w:t>
      </w:r>
      <w:r>
        <w:rPr>
          <w:rFonts w:ascii="Arial" w:hAnsi="Arial" w:cs="Arial"/>
          <w:i/>
          <w:iCs/>
          <w:color w:val="333333"/>
          <w:sz w:val="21"/>
          <w:szCs w:val="21"/>
          <w:shd w:val="clear" w:color="auto" w:fill="FFFFFF"/>
        </w:rPr>
        <w:t>Critical Social Policy</w:t>
      </w:r>
      <w:r>
        <w:rPr>
          <w:rFonts w:ascii="Arial" w:hAnsi="Arial" w:cs="Arial"/>
          <w:color w:val="333333"/>
          <w:sz w:val="21"/>
          <w:szCs w:val="21"/>
          <w:shd w:val="clear" w:color="auto" w:fill="FFFFFF"/>
        </w:rPr>
        <w:t xml:space="preserve">, 17(53), pp. 73–92. </w:t>
      </w:r>
      <w:proofErr w:type="spellStart"/>
      <w:r>
        <w:rPr>
          <w:rFonts w:ascii="Arial" w:hAnsi="Arial" w:cs="Arial"/>
          <w:color w:val="333333"/>
          <w:sz w:val="21"/>
          <w:szCs w:val="21"/>
          <w:shd w:val="clear" w:color="auto" w:fill="FFFFFF"/>
        </w:rPr>
        <w:t>doi</w:t>
      </w:r>
      <w:proofErr w:type="spellEnd"/>
      <w:r>
        <w:rPr>
          <w:rFonts w:ascii="Arial" w:hAnsi="Arial" w:cs="Arial"/>
          <w:color w:val="333333"/>
          <w:sz w:val="21"/>
          <w:szCs w:val="21"/>
          <w:shd w:val="clear" w:color="auto" w:fill="FFFFFF"/>
        </w:rPr>
        <w:t>: </w:t>
      </w:r>
      <w:hyperlink r:id="rId10" w:history="1">
        <w:r>
          <w:rPr>
            <w:rStyle w:val="Hyperlink"/>
            <w:rFonts w:ascii="Arial" w:hAnsi="Arial" w:cs="Arial"/>
            <w:color w:val="006ACC"/>
            <w:sz w:val="21"/>
            <w:szCs w:val="21"/>
            <w:shd w:val="clear" w:color="auto" w:fill="FFFFFF"/>
          </w:rPr>
          <w:t>10.1177/026101839701705304</w:t>
        </w:r>
      </w:hyperlink>
      <w:r>
        <w:rPr>
          <w:rFonts w:ascii="Arial" w:hAnsi="Arial" w:cs="Arial"/>
          <w:color w:val="333333"/>
          <w:sz w:val="21"/>
          <w:szCs w:val="21"/>
          <w:shd w:val="clear" w:color="auto" w:fill="FFFFFF"/>
        </w:rPr>
        <w:t>.</w:t>
      </w:r>
    </w:p>
    <w:p w14:paraId="614E69D5" w14:textId="572FAF99" w:rsidR="00631A28" w:rsidRDefault="00631A28" w:rsidP="00095DFC">
      <w:pPr>
        <w:rPr>
          <w:sz w:val="24"/>
          <w:szCs w:val="24"/>
        </w:rPr>
      </w:pPr>
      <w:r>
        <w:rPr>
          <w:rFonts w:ascii="Arial" w:hAnsi="Arial" w:cs="Arial"/>
          <w:color w:val="333333"/>
          <w:sz w:val="21"/>
          <w:szCs w:val="21"/>
          <w:shd w:val="clear" w:color="auto" w:fill="FFFFFF"/>
        </w:rPr>
        <w:t xml:space="preserve">Morrison (2011), </w:t>
      </w:r>
      <w:r w:rsidRPr="00631A28">
        <w:rPr>
          <w:rFonts w:ascii="Arial" w:hAnsi="Arial" w:cs="Arial"/>
          <w:i/>
          <w:iCs/>
          <w:color w:val="333333"/>
          <w:sz w:val="21"/>
          <w:szCs w:val="21"/>
          <w:shd w:val="clear" w:color="auto" w:fill="FFFFFF"/>
        </w:rPr>
        <w:t>A Punishment to fit the crime</w:t>
      </w:r>
      <w:r>
        <w:rPr>
          <w:rFonts w:ascii="Arial" w:hAnsi="Arial" w:cs="Arial"/>
          <w:color w:val="333333"/>
          <w:sz w:val="21"/>
          <w:szCs w:val="21"/>
          <w:shd w:val="clear" w:color="auto" w:fill="FFFFFF"/>
        </w:rPr>
        <w:t>, [online], [Accessed on 2</w:t>
      </w:r>
      <w:r w:rsidRPr="00631A28">
        <w:rPr>
          <w:rFonts w:ascii="Arial" w:hAnsi="Arial" w:cs="Arial"/>
          <w:color w:val="333333"/>
          <w:sz w:val="21"/>
          <w:szCs w:val="21"/>
          <w:shd w:val="clear" w:color="auto" w:fill="FFFFFF"/>
          <w:vertAlign w:val="superscript"/>
        </w:rPr>
        <w:t>nd</w:t>
      </w:r>
      <w:r>
        <w:rPr>
          <w:rFonts w:ascii="Arial" w:hAnsi="Arial" w:cs="Arial"/>
          <w:color w:val="333333"/>
          <w:sz w:val="21"/>
          <w:szCs w:val="21"/>
          <w:shd w:val="clear" w:color="auto" w:fill="FFFFFF"/>
        </w:rPr>
        <w:t xml:space="preserve"> January 2021], Available at:&lt;</w:t>
      </w:r>
      <w:r w:rsidRPr="00631A28">
        <w:t xml:space="preserve"> </w:t>
      </w:r>
      <w:hyperlink r:id="rId11" w:history="1">
        <w:r w:rsidRPr="0002475E">
          <w:rPr>
            <w:rStyle w:val="Hyperlink"/>
            <w:rFonts w:ascii="Arial" w:hAnsi="Arial" w:cs="Arial"/>
            <w:sz w:val="21"/>
            <w:szCs w:val="21"/>
            <w:shd w:val="clear" w:color="auto" w:fill="FFFFFF"/>
          </w:rPr>
          <w:t>https://www.independent.co.uk/voices/commentators/a-punishment-to-fit-the-crime-637659.html</w:t>
        </w:r>
      </w:hyperlink>
      <w:r>
        <w:rPr>
          <w:rFonts w:ascii="Arial" w:hAnsi="Arial" w:cs="Arial"/>
          <w:color w:val="333333"/>
          <w:sz w:val="21"/>
          <w:szCs w:val="21"/>
          <w:shd w:val="clear" w:color="auto" w:fill="FFFFFF"/>
        </w:rPr>
        <w:t xml:space="preserve">&gt; </w:t>
      </w:r>
    </w:p>
    <w:p w14:paraId="712347A1" w14:textId="2BF33092" w:rsidR="00B45BF7" w:rsidRDefault="00B45BF7" w:rsidP="00095DFC">
      <w:r w:rsidRPr="00B45BF7">
        <w:rPr>
          <w:sz w:val="24"/>
          <w:szCs w:val="24"/>
        </w:rPr>
        <w:t>Papadodimitraki</w:t>
      </w:r>
      <w:r>
        <w:rPr>
          <w:sz w:val="24"/>
          <w:szCs w:val="24"/>
        </w:rPr>
        <w:t xml:space="preserve"> (2016), </w:t>
      </w:r>
      <w:r w:rsidRPr="00B45BF7">
        <w:rPr>
          <w:i/>
          <w:iCs/>
        </w:rPr>
        <w:t>Minimum Age of Criminal Responsibility (MACR) – Comparative Analysis International Profile – Germany,</w:t>
      </w:r>
      <w:r>
        <w:t xml:space="preserve"> CYCJ, [online], [Accessed on 1</w:t>
      </w:r>
      <w:r w:rsidRPr="00B45BF7">
        <w:rPr>
          <w:vertAlign w:val="superscript"/>
        </w:rPr>
        <w:t>st</w:t>
      </w:r>
      <w:r>
        <w:t xml:space="preserve"> January 2021], Available at:&lt;</w:t>
      </w:r>
      <w:r w:rsidRPr="00B45BF7">
        <w:t xml:space="preserve"> </w:t>
      </w:r>
      <w:hyperlink r:id="rId12" w:history="1">
        <w:r w:rsidRPr="0002475E">
          <w:rPr>
            <w:rStyle w:val="Hyperlink"/>
          </w:rPr>
          <w:t>https://cycj.org.uk/wp-content/uploads/2016/03/AllInternationalProfilesFINAL.pdf</w:t>
        </w:r>
      </w:hyperlink>
      <w:r>
        <w:t xml:space="preserve">&gt; </w:t>
      </w:r>
    </w:p>
    <w:p w14:paraId="4326B279" w14:textId="03C344C0" w:rsidR="00F20ACF" w:rsidRDefault="00F20ACF" w:rsidP="00F20ACF">
      <w:r>
        <w:t>Papamichael (2019), DOLI INCAPAX: WHY DO WE HOLD OUR 10 YEAR OLDS TO HAVE CRIMINAL RESPONSIBILITY?, Hodge Jones &amp; Allen Solicitors, [online], [ Accessed on 12</w:t>
      </w:r>
      <w:r w:rsidRPr="00F20ACF">
        <w:rPr>
          <w:vertAlign w:val="superscript"/>
        </w:rPr>
        <w:t>th</w:t>
      </w:r>
      <w:r>
        <w:t xml:space="preserve"> January 2021], </w:t>
      </w:r>
      <w:r>
        <w:lastRenderedPageBreak/>
        <w:t xml:space="preserve">Available at:&lt; </w:t>
      </w:r>
      <w:hyperlink r:id="rId13" w:history="1">
        <w:r w:rsidRPr="0002475E">
          <w:rPr>
            <w:rStyle w:val="Hyperlink"/>
          </w:rPr>
          <w:t>https://www.hja.net/doli-incapax-why-do-we-hold-our-10-year-olds-to-have-criminal-responsibility/</w:t>
        </w:r>
      </w:hyperlink>
      <w:r>
        <w:t xml:space="preserve">&gt; </w:t>
      </w:r>
    </w:p>
    <w:p w14:paraId="3F660AF0" w14:textId="20058615" w:rsidR="00830FA7" w:rsidRDefault="00830FA7" w:rsidP="00830FA7">
      <w:r>
        <w:rPr>
          <w:sz w:val="24"/>
          <w:szCs w:val="24"/>
        </w:rPr>
        <w:t xml:space="preserve">UK Parliament (2020), </w:t>
      </w:r>
      <w:r w:rsidRPr="00830FA7">
        <w:rPr>
          <w:rStyle w:val="chapterheading1span"/>
          <w:rFonts w:cstheme="minorHAnsi"/>
          <w:i/>
          <w:iCs/>
          <w:color w:val="333333"/>
          <w:sz w:val="24"/>
          <w:szCs w:val="24"/>
        </w:rPr>
        <w:t xml:space="preserve">5 </w:t>
      </w:r>
      <w:r w:rsidRPr="00830FA7">
        <w:rPr>
          <w:i/>
          <w:iCs/>
        </w:rPr>
        <w:t>Minimum age of criminal responsibility</w:t>
      </w:r>
      <w:r>
        <w:t>, [online], [Accessed on 2</w:t>
      </w:r>
      <w:r w:rsidRPr="00830FA7">
        <w:rPr>
          <w:vertAlign w:val="superscript"/>
        </w:rPr>
        <w:t>nd</w:t>
      </w:r>
      <w:r>
        <w:t xml:space="preserve"> Ja</w:t>
      </w:r>
      <w:r w:rsidR="00CB75AE">
        <w:t>nuary 2020], Available at :&lt;</w:t>
      </w:r>
      <w:r w:rsidR="00CB75AE" w:rsidRPr="00CB75AE">
        <w:t xml:space="preserve"> </w:t>
      </w:r>
      <w:hyperlink r:id="rId14" w:history="1">
        <w:r w:rsidR="00CB75AE" w:rsidRPr="0002475E">
          <w:rPr>
            <w:rStyle w:val="Hyperlink"/>
          </w:rPr>
          <w:t>https://publications.parliament.uk/pa/cm5801/cmselect/cmjust/306/30608.htm</w:t>
        </w:r>
      </w:hyperlink>
      <w:r w:rsidR="00CB75AE">
        <w:t xml:space="preserve">&gt; </w:t>
      </w:r>
    </w:p>
    <w:p w14:paraId="36369D88" w14:textId="3BB944C1" w:rsidR="00095DFC" w:rsidRPr="00095DFC" w:rsidRDefault="00095DFC" w:rsidP="00095DFC">
      <w:r w:rsidRPr="00095DFC">
        <w:rPr>
          <w:sz w:val="24"/>
          <w:szCs w:val="24"/>
        </w:rPr>
        <w:t xml:space="preserve">Webster (2017), </w:t>
      </w:r>
      <w:r w:rsidRPr="002723E7">
        <w:rPr>
          <w:i/>
          <w:iCs/>
        </w:rPr>
        <w:t xml:space="preserve">UK Still Out-Of-Step on Age </w:t>
      </w:r>
      <w:r w:rsidR="002723E7" w:rsidRPr="002723E7">
        <w:rPr>
          <w:i/>
          <w:iCs/>
        </w:rPr>
        <w:t>of</w:t>
      </w:r>
      <w:r w:rsidRPr="002723E7">
        <w:rPr>
          <w:i/>
          <w:iCs/>
        </w:rPr>
        <w:t xml:space="preserve"> Criminal Responsibility</w:t>
      </w:r>
      <w:r w:rsidR="002723E7">
        <w:t>, Russel Webster, [online], [Accessed on 14</w:t>
      </w:r>
      <w:r w:rsidR="002723E7" w:rsidRPr="002723E7">
        <w:rPr>
          <w:vertAlign w:val="superscript"/>
        </w:rPr>
        <w:t>th</w:t>
      </w:r>
      <w:r w:rsidR="002723E7">
        <w:t xml:space="preserve"> January 2021], Available at:&lt; </w:t>
      </w:r>
      <w:hyperlink r:id="rId15" w:history="1">
        <w:r w:rsidR="002723E7" w:rsidRPr="0002475E">
          <w:rPr>
            <w:rStyle w:val="Hyperlink"/>
          </w:rPr>
          <w:t>https://www.google.com/search?q=harvard+referencing+website&amp;rlz=1C1CHBF_en-GBGB923GB923&amp;oq=harvard+referencin+we&amp;aqs=chrome.1.69i57j0i13i457j0i13l2j0i13i395l4.10560j1j4&amp;sourceid=chrome&amp;ie=UTF-8</w:t>
        </w:r>
      </w:hyperlink>
      <w:r w:rsidR="002723E7">
        <w:t xml:space="preserve">&gt; </w:t>
      </w:r>
    </w:p>
    <w:p w14:paraId="250D3F49" w14:textId="684632B6" w:rsidR="00095DFC" w:rsidRPr="009865D5" w:rsidRDefault="00095DFC" w:rsidP="009865D5">
      <w:pPr>
        <w:rPr>
          <w:sz w:val="24"/>
          <w:szCs w:val="24"/>
        </w:rPr>
      </w:pPr>
    </w:p>
    <w:sectPr w:rsidR="00095DFC" w:rsidRPr="009865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B61CDA" w14:textId="77777777" w:rsidR="00F70709" w:rsidRDefault="00F70709" w:rsidP="00485AF5">
      <w:pPr>
        <w:spacing w:after="0" w:line="240" w:lineRule="auto"/>
      </w:pPr>
      <w:r>
        <w:separator/>
      </w:r>
    </w:p>
  </w:endnote>
  <w:endnote w:type="continuationSeparator" w:id="0">
    <w:p w14:paraId="2C67A7A6" w14:textId="77777777" w:rsidR="00F70709" w:rsidRDefault="00F70709" w:rsidP="00485A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21C2D2" w14:textId="77777777" w:rsidR="00F70709" w:rsidRDefault="00F70709" w:rsidP="00485AF5">
      <w:pPr>
        <w:spacing w:after="0" w:line="240" w:lineRule="auto"/>
      </w:pPr>
      <w:r>
        <w:separator/>
      </w:r>
    </w:p>
  </w:footnote>
  <w:footnote w:type="continuationSeparator" w:id="0">
    <w:p w14:paraId="2901CBF3" w14:textId="77777777" w:rsidR="00F70709" w:rsidRDefault="00F70709" w:rsidP="00485A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5D5"/>
    <w:rsid w:val="0005624C"/>
    <w:rsid w:val="000872AF"/>
    <w:rsid w:val="00095DFC"/>
    <w:rsid w:val="001047FA"/>
    <w:rsid w:val="0014433F"/>
    <w:rsid w:val="001632BF"/>
    <w:rsid w:val="001A3944"/>
    <w:rsid w:val="001C6415"/>
    <w:rsid w:val="00202F3E"/>
    <w:rsid w:val="00237B5C"/>
    <w:rsid w:val="00254D37"/>
    <w:rsid w:val="002723E7"/>
    <w:rsid w:val="00282693"/>
    <w:rsid w:val="002A2096"/>
    <w:rsid w:val="0039556D"/>
    <w:rsid w:val="00434D3C"/>
    <w:rsid w:val="00437019"/>
    <w:rsid w:val="00476634"/>
    <w:rsid w:val="00485AF5"/>
    <w:rsid w:val="00486876"/>
    <w:rsid w:val="004A268A"/>
    <w:rsid w:val="00631A28"/>
    <w:rsid w:val="006D047D"/>
    <w:rsid w:val="006E6AD3"/>
    <w:rsid w:val="0080317D"/>
    <w:rsid w:val="00830FA7"/>
    <w:rsid w:val="008B6F2A"/>
    <w:rsid w:val="008E19A0"/>
    <w:rsid w:val="009865D5"/>
    <w:rsid w:val="00A05AB2"/>
    <w:rsid w:val="00A114DB"/>
    <w:rsid w:val="00AC2B36"/>
    <w:rsid w:val="00AD42B1"/>
    <w:rsid w:val="00B45BF7"/>
    <w:rsid w:val="00B52C6A"/>
    <w:rsid w:val="00BA4A34"/>
    <w:rsid w:val="00BD0A56"/>
    <w:rsid w:val="00BF21E6"/>
    <w:rsid w:val="00C73F8F"/>
    <w:rsid w:val="00CB75AE"/>
    <w:rsid w:val="00D13E00"/>
    <w:rsid w:val="00D52D6A"/>
    <w:rsid w:val="00DD7087"/>
    <w:rsid w:val="00DF6A4E"/>
    <w:rsid w:val="00E858B7"/>
    <w:rsid w:val="00E95D54"/>
    <w:rsid w:val="00EC6CA0"/>
    <w:rsid w:val="00EF3DF4"/>
    <w:rsid w:val="00F20ACF"/>
    <w:rsid w:val="00F2251D"/>
    <w:rsid w:val="00F22E8A"/>
    <w:rsid w:val="00F707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ADB01"/>
  <w15:chartTrackingRefBased/>
  <w15:docId w15:val="{C2286B47-6B67-4502-B74F-877ADBF9D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95DF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EF3D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next w:val="Normal"/>
    <w:link w:val="Heading5Char"/>
    <w:uiPriority w:val="9"/>
    <w:semiHidden/>
    <w:unhideWhenUsed/>
    <w:qFormat/>
    <w:rsid w:val="00485AF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95D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95DFC"/>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2723E7"/>
    <w:rPr>
      <w:color w:val="0563C1" w:themeColor="hyperlink"/>
      <w:u w:val="single"/>
    </w:rPr>
  </w:style>
  <w:style w:type="character" w:styleId="UnresolvedMention">
    <w:name w:val="Unresolved Mention"/>
    <w:basedOn w:val="DefaultParagraphFont"/>
    <w:uiPriority w:val="99"/>
    <w:semiHidden/>
    <w:unhideWhenUsed/>
    <w:rsid w:val="002723E7"/>
    <w:rPr>
      <w:color w:val="605E5C"/>
      <w:shd w:val="clear" w:color="auto" w:fill="E1DFDD"/>
    </w:rPr>
  </w:style>
  <w:style w:type="paragraph" w:customStyle="1" w:styleId="para1">
    <w:name w:val="para1"/>
    <w:basedOn w:val="Normal"/>
    <w:rsid w:val="00B45B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ootnote-reference">
    <w:name w:val="footnote-reference"/>
    <w:basedOn w:val="DefaultParagraphFont"/>
    <w:rsid w:val="00B45BF7"/>
  </w:style>
  <w:style w:type="paragraph" w:customStyle="1" w:styleId="quote">
    <w:name w:val="quote"/>
    <w:basedOn w:val="Normal"/>
    <w:rsid w:val="00B45B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hapterheading1span">
    <w:name w:val="chapterheading1span"/>
    <w:basedOn w:val="DefaultParagraphFont"/>
    <w:rsid w:val="00830FA7"/>
  </w:style>
  <w:style w:type="paragraph" w:styleId="NoSpacing">
    <w:name w:val="No Spacing"/>
    <w:uiPriority w:val="1"/>
    <w:qFormat/>
    <w:rsid w:val="00830FA7"/>
    <w:pPr>
      <w:spacing w:after="0" w:line="240" w:lineRule="auto"/>
    </w:pPr>
  </w:style>
  <w:style w:type="character" w:styleId="Emphasis">
    <w:name w:val="Emphasis"/>
    <w:basedOn w:val="DefaultParagraphFont"/>
    <w:uiPriority w:val="20"/>
    <w:qFormat/>
    <w:rsid w:val="00EF3DF4"/>
    <w:rPr>
      <w:i/>
      <w:iCs/>
    </w:rPr>
  </w:style>
  <w:style w:type="character" w:customStyle="1" w:styleId="Heading2Char">
    <w:name w:val="Heading 2 Char"/>
    <w:basedOn w:val="DefaultParagraphFont"/>
    <w:link w:val="Heading2"/>
    <w:uiPriority w:val="9"/>
    <w:semiHidden/>
    <w:rsid w:val="00EF3DF4"/>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EF3DF4"/>
    <w:rPr>
      <w:b/>
      <w:bCs/>
    </w:rPr>
  </w:style>
  <w:style w:type="character" w:customStyle="1" w:styleId="Heading5Char">
    <w:name w:val="Heading 5 Char"/>
    <w:basedOn w:val="DefaultParagraphFont"/>
    <w:link w:val="Heading5"/>
    <w:semiHidden/>
    <w:rsid w:val="00485AF5"/>
    <w:rPr>
      <w:rFonts w:asciiTheme="majorHAnsi" w:eastAsiaTheme="majorEastAsia" w:hAnsiTheme="majorHAnsi" w:cstheme="majorBidi"/>
      <w:color w:val="2F5496" w:themeColor="accent1" w:themeShade="BF"/>
    </w:rPr>
  </w:style>
  <w:style w:type="paragraph" w:styleId="FootnoteText">
    <w:name w:val="footnote text"/>
    <w:basedOn w:val="Normal"/>
    <w:link w:val="FootnoteTextChar"/>
    <w:semiHidden/>
    <w:unhideWhenUsed/>
    <w:rsid w:val="00485AF5"/>
    <w:pPr>
      <w:overflowPunct w:val="0"/>
      <w:autoSpaceDE w:val="0"/>
      <w:autoSpaceDN w:val="0"/>
      <w:adjustRightInd w:val="0"/>
      <w:spacing w:after="0" w:line="240" w:lineRule="auto"/>
    </w:pPr>
    <w:rPr>
      <w:rFonts w:ascii="Times New Roman" w:eastAsia="Times New Roman" w:hAnsi="Times New Roman" w:cs="Times New Roman"/>
      <w:sz w:val="20"/>
      <w:szCs w:val="20"/>
    </w:rPr>
  </w:style>
  <w:style w:type="character" w:customStyle="1" w:styleId="FootnoteTextChar">
    <w:name w:val="Footnote Text Char"/>
    <w:basedOn w:val="DefaultParagraphFont"/>
    <w:link w:val="FootnoteText"/>
    <w:semiHidden/>
    <w:rsid w:val="00485AF5"/>
    <w:rPr>
      <w:rFonts w:ascii="Times New Roman" w:eastAsia="Times New Roman" w:hAnsi="Times New Roman" w:cs="Times New Roman"/>
      <w:sz w:val="20"/>
      <w:szCs w:val="20"/>
    </w:rPr>
  </w:style>
  <w:style w:type="character" w:styleId="FootnoteReference">
    <w:name w:val="footnote reference"/>
    <w:basedOn w:val="DefaultParagraphFont"/>
    <w:semiHidden/>
    <w:unhideWhenUsed/>
    <w:rsid w:val="00485AF5"/>
    <w:rPr>
      <w:vertAlign w:val="superscript"/>
    </w:rPr>
  </w:style>
  <w:style w:type="paragraph" w:styleId="Header">
    <w:name w:val="header"/>
    <w:basedOn w:val="Normal"/>
    <w:link w:val="HeaderChar"/>
    <w:uiPriority w:val="99"/>
    <w:unhideWhenUsed/>
    <w:rsid w:val="004A26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68A"/>
  </w:style>
  <w:style w:type="paragraph" w:styleId="Footer">
    <w:name w:val="footer"/>
    <w:basedOn w:val="Normal"/>
    <w:link w:val="FooterChar"/>
    <w:uiPriority w:val="99"/>
    <w:unhideWhenUsed/>
    <w:rsid w:val="004A26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6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761360">
      <w:bodyDiv w:val="1"/>
      <w:marLeft w:val="0"/>
      <w:marRight w:val="0"/>
      <w:marTop w:val="0"/>
      <w:marBottom w:val="0"/>
      <w:divBdr>
        <w:top w:val="none" w:sz="0" w:space="0" w:color="auto"/>
        <w:left w:val="none" w:sz="0" w:space="0" w:color="auto"/>
        <w:bottom w:val="none" w:sz="0" w:space="0" w:color="auto"/>
        <w:right w:val="none" w:sz="0" w:space="0" w:color="auto"/>
      </w:divBdr>
    </w:div>
    <w:div w:id="403188637">
      <w:bodyDiv w:val="1"/>
      <w:marLeft w:val="0"/>
      <w:marRight w:val="0"/>
      <w:marTop w:val="0"/>
      <w:marBottom w:val="0"/>
      <w:divBdr>
        <w:top w:val="none" w:sz="0" w:space="0" w:color="auto"/>
        <w:left w:val="none" w:sz="0" w:space="0" w:color="auto"/>
        <w:bottom w:val="none" w:sz="0" w:space="0" w:color="auto"/>
        <w:right w:val="none" w:sz="0" w:space="0" w:color="auto"/>
      </w:divBdr>
    </w:div>
    <w:div w:id="404307679">
      <w:bodyDiv w:val="1"/>
      <w:marLeft w:val="0"/>
      <w:marRight w:val="0"/>
      <w:marTop w:val="0"/>
      <w:marBottom w:val="0"/>
      <w:divBdr>
        <w:top w:val="none" w:sz="0" w:space="0" w:color="auto"/>
        <w:left w:val="none" w:sz="0" w:space="0" w:color="auto"/>
        <w:bottom w:val="none" w:sz="0" w:space="0" w:color="auto"/>
        <w:right w:val="none" w:sz="0" w:space="0" w:color="auto"/>
      </w:divBdr>
    </w:div>
    <w:div w:id="429159871">
      <w:bodyDiv w:val="1"/>
      <w:marLeft w:val="0"/>
      <w:marRight w:val="0"/>
      <w:marTop w:val="0"/>
      <w:marBottom w:val="0"/>
      <w:divBdr>
        <w:top w:val="none" w:sz="0" w:space="0" w:color="auto"/>
        <w:left w:val="none" w:sz="0" w:space="0" w:color="auto"/>
        <w:bottom w:val="none" w:sz="0" w:space="0" w:color="auto"/>
        <w:right w:val="none" w:sz="0" w:space="0" w:color="auto"/>
      </w:divBdr>
    </w:div>
    <w:div w:id="547184405">
      <w:bodyDiv w:val="1"/>
      <w:marLeft w:val="0"/>
      <w:marRight w:val="0"/>
      <w:marTop w:val="0"/>
      <w:marBottom w:val="0"/>
      <w:divBdr>
        <w:top w:val="none" w:sz="0" w:space="0" w:color="auto"/>
        <w:left w:val="none" w:sz="0" w:space="0" w:color="auto"/>
        <w:bottom w:val="none" w:sz="0" w:space="0" w:color="auto"/>
        <w:right w:val="none" w:sz="0" w:space="0" w:color="auto"/>
      </w:divBdr>
    </w:div>
    <w:div w:id="1122920867">
      <w:bodyDiv w:val="1"/>
      <w:marLeft w:val="0"/>
      <w:marRight w:val="0"/>
      <w:marTop w:val="0"/>
      <w:marBottom w:val="0"/>
      <w:divBdr>
        <w:top w:val="none" w:sz="0" w:space="0" w:color="auto"/>
        <w:left w:val="none" w:sz="0" w:space="0" w:color="auto"/>
        <w:bottom w:val="none" w:sz="0" w:space="0" w:color="auto"/>
        <w:right w:val="none" w:sz="0" w:space="0" w:color="auto"/>
      </w:divBdr>
    </w:div>
    <w:div w:id="1528903692">
      <w:bodyDiv w:val="1"/>
      <w:marLeft w:val="0"/>
      <w:marRight w:val="0"/>
      <w:marTop w:val="0"/>
      <w:marBottom w:val="0"/>
      <w:divBdr>
        <w:top w:val="none" w:sz="0" w:space="0" w:color="auto"/>
        <w:left w:val="none" w:sz="0" w:space="0" w:color="auto"/>
        <w:bottom w:val="none" w:sz="0" w:space="0" w:color="auto"/>
        <w:right w:val="none" w:sz="0" w:space="0" w:color="auto"/>
      </w:divBdr>
    </w:div>
    <w:div w:id="1664972233">
      <w:bodyDiv w:val="1"/>
      <w:marLeft w:val="0"/>
      <w:marRight w:val="0"/>
      <w:marTop w:val="0"/>
      <w:marBottom w:val="0"/>
      <w:divBdr>
        <w:top w:val="none" w:sz="0" w:space="0" w:color="auto"/>
        <w:left w:val="none" w:sz="0" w:space="0" w:color="auto"/>
        <w:bottom w:val="none" w:sz="0" w:space="0" w:color="auto"/>
        <w:right w:val="none" w:sz="0" w:space="0" w:color="auto"/>
      </w:divBdr>
    </w:div>
    <w:div w:id="1764841702">
      <w:bodyDiv w:val="1"/>
      <w:marLeft w:val="0"/>
      <w:marRight w:val="0"/>
      <w:marTop w:val="0"/>
      <w:marBottom w:val="0"/>
      <w:divBdr>
        <w:top w:val="none" w:sz="0" w:space="0" w:color="auto"/>
        <w:left w:val="none" w:sz="0" w:space="0" w:color="auto"/>
        <w:bottom w:val="none" w:sz="0" w:space="0" w:color="auto"/>
        <w:right w:val="none" w:sz="0" w:space="0" w:color="auto"/>
      </w:divBdr>
    </w:div>
    <w:div w:id="1846167816">
      <w:bodyDiv w:val="1"/>
      <w:marLeft w:val="0"/>
      <w:marRight w:val="0"/>
      <w:marTop w:val="0"/>
      <w:marBottom w:val="0"/>
      <w:divBdr>
        <w:top w:val="none" w:sz="0" w:space="0" w:color="auto"/>
        <w:left w:val="none" w:sz="0" w:space="0" w:color="auto"/>
        <w:bottom w:val="none" w:sz="0" w:space="0" w:color="auto"/>
        <w:right w:val="none" w:sz="0" w:space="0" w:color="auto"/>
      </w:divBdr>
    </w:div>
    <w:div w:id="2020425323">
      <w:bodyDiv w:val="1"/>
      <w:marLeft w:val="0"/>
      <w:marRight w:val="0"/>
      <w:marTop w:val="0"/>
      <w:marBottom w:val="0"/>
      <w:divBdr>
        <w:top w:val="none" w:sz="0" w:space="0" w:color="auto"/>
        <w:left w:val="none" w:sz="0" w:space="0" w:color="auto"/>
        <w:bottom w:val="none" w:sz="0" w:space="0" w:color="auto"/>
        <w:right w:val="none" w:sz="0" w:space="0" w:color="auto"/>
      </w:divBdr>
    </w:div>
    <w:div w:id="2092391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imetraveller.org/2018/01/child-on-child-murders-comparative-media-analysis/" TargetMode="External"/><Relationship Id="rId13" Type="http://schemas.openxmlformats.org/officeDocument/2006/relationships/hyperlink" Target="https://www.hja.net/doli-incapax-why-do-we-hold-our-10-year-olds-to-have-criminal-responsibility/" TargetMode="External"/><Relationship Id="rId3" Type="http://schemas.openxmlformats.org/officeDocument/2006/relationships/webSettings" Target="webSettings.xml"/><Relationship Id="rId7" Type="http://schemas.openxmlformats.org/officeDocument/2006/relationships/hyperlink" Target="https://www.northumbria.ac.uk/about-us/academicdepartments/northumbria-law-school/law-research/" TargetMode="External"/><Relationship Id="rId12" Type="http://schemas.openxmlformats.org/officeDocument/2006/relationships/hyperlink" Target="https://cycj.org.uk/wp-content/uploads/2016/03/AllInternationalProfilesFINAL.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rk.ac.uk/ARK/publications/features?keys=&amp;page=1" TargetMode="External"/><Relationship Id="rId11" Type="http://schemas.openxmlformats.org/officeDocument/2006/relationships/hyperlink" Target="https://www.independent.co.uk/voices/commentators/a-punishment-to-fit-the-crime-637659.html" TargetMode="External"/><Relationship Id="rId5" Type="http://schemas.openxmlformats.org/officeDocument/2006/relationships/endnotes" Target="endnotes.xml"/><Relationship Id="rId15" Type="http://schemas.openxmlformats.org/officeDocument/2006/relationships/hyperlink" Target="https://www.google.com/search?q=harvard+referencing+website&amp;rlz=1C1CHBF_en-GBGB923GB923&amp;oq=harvard+referencin+we&amp;aqs=chrome.1.69i57j0i13i457j0i13l2j0i13i395l4.10560j1j4&amp;sourceid=chrome&amp;ie=UTF-8" TargetMode="External"/><Relationship Id="rId10" Type="http://schemas.openxmlformats.org/officeDocument/2006/relationships/hyperlink" Target="https://doi.org/10.1177/026101839701705304" TargetMode="External"/><Relationship Id="rId4" Type="http://schemas.openxmlformats.org/officeDocument/2006/relationships/footnotes" Target="footnotes.xml"/><Relationship Id="rId9" Type="http://schemas.openxmlformats.org/officeDocument/2006/relationships/hyperlink" Target="https://www.wsws.org/en/articles/1999/11/bulg-n11.html" TargetMode="External"/><Relationship Id="rId14" Type="http://schemas.openxmlformats.org/officeDocument/2006/relationships/hyperlink" Target="https://publications.parliament.uk/pa/cm5801/cmselect/cmjust/306/30608.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1434</TotalTime>
  <Pages>10</Pages>
  <Words>3029</Words>
  <Characters>17266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Karina Griba (1702591)</dc:creator>
  <cp:keywords/>
  <dc:description/>
  <cp:lastModifiedBy>Karina Griba (1702591)</cp:lastModifiedBy>
  <cp:revision>9</cp:revision>
  <dcterms:created xsi:type="dcterms:W3CDTF">2021-01-14T21:39:00Z</dcterms:created>
  <dcterms:modified xsi:type="dcterms:W3CDTF">2021-01-15T21:40:00Z</dcterms:modified>
</cp:coreProperties>
</file>