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D77B7" w14:textId="77777777" w:rsidR="00460F44" w:rsidRDefault="00460F44" w:rsidP="004C5549">
      <w:pPr>
        <w:rPr>
          <w:rFonts w:ascii="Arial" w:hAnsi="Arial" w:cs="Arial"/>
          <w:noProof/>
          <w:color w:val="000000" w:themeColor="text1"/>
          <w:lang w:val="en-US"/>
        </w:rPr>
      </w:pPr>
    </w:p>
    <w:p w14:paraId="357802ED" w14:textId="65F6DE5D" w:rsidR="00F976F2" w:rsidRPr="00B3537C" w:rsidRDefault="00242669" w:rsidP="004C5549">
      <w:pPr>
        <w:rPr>
          <w:rFonts w:ascii="Arial" w:hAnsi="Arial" w:cs="Arial"/>
          <w:b/>
          <w:bCs/>
          <w:color w:val="000000" w:themeColor="text1"/>
          <w:sz w:val="24"/>
          <w:szCs w:val="24"/>
        </w:rPr>
      </w:pPr>
      <w:r w:rsidRPr="00B3537C">
        <w:rPr>
          <w:rFonts w:ascii="Arial" w:hAnsi="Arial" w:cs="Arial"/>
          <w:noProof/>
          <w:color w:val="000000" w:themeColor="text1"/>
          <w:lang w:val="en-US"/>
        </w:rPr>
        <w:drawing>
          <wp:inline distT="0" distB="0" distL="0" distR="0" wp14:anchorId="3D224A5F" wp14:editId="4CD3F297">
            <wp:extent cx="2663472" cy="9525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69882" cy="954792"/>
                    </a:xfrm>
                    <a:prstGeom prst="rect">
                      <a:avLst/>
                    </a:prstGeom>
                  </pic:spPr>
                </pic:pic>
              </a:graphicData>
            </a:graphic>
          </wp:inline>
        </w:drawing>
      </w:r>
    </w:p>
    <w:p w14:paraId="3CC85DE9" w14:textId="77777777" w:rsidR="00F976F2" w:rsidRPr="00B3537C" w:rsidRDefault="00F976F2" w:rsidP="00F976F2">
      <w:pPr>
        <w:jc w:val="center"/>
        <w:rPr>
          <w:rFonts w:ascii="Arial" w:hAnsi="Arial" w:cs="Arial"/>
          <w:b/>
          <w:bCs/>
          <w:color w:val="000000" w:themeColor="text1"/>
          <w:sz w:val="24"/>
          <w:szCs w:val="24"/>
        </w:rPr>
      </w:pPr>
    </w:p>
    <w:p w14:paraId="1DFD23A2" w14:textId="77777777" w:rsidR="00F976F2" w:rsidRPr="00B3537C" w:rsidRDefault="00F976F2" w:rsidP="00EF1CDD">
      <w:pPr>
        <w:rPr>
          <w:rFonts w:ascii="Arial" w:hAnsi="Arial" w:cs="Arial"/>
          <w:b/>
          <w:bCs/>
          <w:color w:val="000000" w:themeColor="text1"/>
          <w:sz w:val="24"/>
          <w:szCs w:val="24"/>
        </w:rPr>
      </w:pPr>
    </w:p>
    <w:p w14:paraId="4E0EFDB1" w14:textId="77777777" w:rsidR="00460F44" w:rsidRDefault="00F976F2" w:rsidP="00460F44">
      <w:pPr>
        <w:spacing w:line="480" w:lineRule="auto"/>
        <w:jc w:val="center"/>
        <w:rPr>
          <w:rFonts w:ascii="Arial" w:hAnsi="Arial" w:cs="Arial"/>
          <w:b/>
          <w:bCs/>
          <w:color w:val="000000" w:themeColor="text1"/>
          <w:sz w:val="24"/>
          <w:szCs w:val="24"/>
        </w:rPr>
      </w:pPr>
      <w:r w:rsidRPr="00B3537C">
        <w:rPr>
          <w:rFonts w:ascii="Arial" w:hAnsi="Arial" w:cs="Arial"/>
          <w:b/>
          <w:bCs/>
          <w:color w:val="000000" w:themeColor="text1"/>
          <w:sz w:val="24"/>
          <w:szCs w:val="24"/>
        </w:rPr>
        <w:t>Programme:</w:t>
      </w:r>
    </w:p>
    <w:p w14:paraId="509D6274" w14:textId="30273FA0" w:rsidR="00F976F2" w:rsidRPr="00460F44" w:rsidRDefault="00F976F2" w:rsidP="00460F44">
      <w:pPr>
        <w:spacing w:line="480" w:lineRule="auto"/>
        <w:jc w:val="center"/>
        <w:rPr>
          <w:rFonts w:ascii="Arial" w:hAnsi="Arial" w:cs="Arial"/>
          <w:color w:val="000000" w:themeColor="text1"/>
          <w:sz w:val="24"/>
          <w:szCs w:val="24"/>
        </w:rPr>
      </w:pPr>
      <w:r w:rsidRPr="00460F44">
        <w:rPr>
          <w:rFonts w:ascii="Arial" w:hAnsi="Arial" w:cs="Arial"/>
          <w:color w:val="000000" w:themeColor="text1"/>
          <w:sz w:val="24"/>
          <w:szCs w:val="24"/>
        </w:rPr>
        <w:t>Master of Business Administration</w:t>
      </w:r>
    </w:p>
    <w:p w14:paraId="369A0607" w14:textId="77777777" w:rsidR="00460F44" w:rsidRDefault="00F976F2" w:rsidP="00460F44">
      <w:pPr>
        <w:spacing w:line="480" w:lineRule="auto"/>
        <w:jc w:val="center"/>
        <w:rPr>
          <w:rFonts w:ascii="Arial" w:hAnsi="Arial" w:cs="Arial"/>
          <w:b/>
          <w:bCs/>
          <w:color w:val="000000" w:themeColor="text1"/>
          <w:sz w:val="24"/>
          <w:szCs w:val="24"/>
        </w:rPr>
      </w:pPr>
      <w:r w:rsidRPr="00B3537C">
        <w:rPr>
          <w:rFonts w:ascii="Arial" w:hAnsi="Arial" w:cs="Arial"/>
          <w:b/>
          <w:bCs/>
          <w:color w:val="000000" w:themeColor="text1"/>
          <w:sz w:val="24"/>
          <w:szCs w:val="24"/>
        </w:rPr>
        <w:t xml:space="preserve">Module: </w:t>
      </w:r>
    </w:p>
    <w:p w14:paraId="0D9C6732" w14:textId="4B9560D6" w:rsidR="00F976F2" w:rsidRDefault="00F976F2" w:rsidP="00460F44">
      <w:pPr>
        <w:spacing w:line="480" w:lineRule="auto"/>
        <w:jc w:val="center"/>
        <w:rPr>
          <w:rFonts w:ascii="Arial" w:hAnsi="Arial" w:cs="Arial"/>
          <w:b/>
          <w:bCs/>
          <w:color w:val="000000" w:themeColor="text1"/>
          <w:sz w:val="24"/>
          <w:szCs w:val="24"/>
        </w:rPr>
      </w:pPr>
      <w:r w:rsidRPr="00460F44">
        <w:rPr>
          <w:rFonts w:ascii="Arial" w:hAnsi="Arial" w:cs="Arial"/>
          <w:color w:val="000000" w:themeColor="text1"/>
          <w:sz w:val="24"/>
          <w:szCs w:val="24"/>
        </w:rPr>
        <w:t>Financial Management</w:t>
      </w:r>
      <w:r w:rsidR="00460F44">
        <w:rPr>
          <w:rFonts w:ascii="Arial" w:hAnsi="Arial" w:cs="Arial"/>
          <w:b/>
          <w:bCs/>
          <w:color w:val="000000" w:themeColor="text1"/>
          <w:sz w:val="24"/>
          <w:szCs w:val="24"/>
        </w:rPr>
        <w:t xml:space="preserve"> [</w:t>
      </w:r>
      <w:r w:rsidRPr="00460F44">
        <w:rPr>
          <w:rFonts w:ascii="Arial" w:hAnsi="Arial" w:cs="Arial"/>
          <w:color w:val="000000" w:themeColor="text1"/>
          <w:sz w:val="24"/>
          <w:szCs w:val="24"/>
        </w:rPr>
        <w:t>Module code: LCMB7002</w:t>
      </w:r>
      <w:r w:rsidR="00460F44" w:rsidRPr="00460F44">
        <w:rPr>
          <w:rFonts w:ascii="Arial" w:hAnsi="Arial" w:cs="Arial"/>
          <w:b/>
          <w:bCs/>
          <w:color w:val="000000" w:themeColor="text1"/>
          <w:sz w:val="24"/>
          <w:szCs w:val="24"/>
        </w:rPr>
        <w:t>]</w:t>
      </w:r>
    </w:p>
    <w:p w14:paraId="659E8360" w14:textId="22C07A4A" w:rsidR="00460F44" w:rsidRDefault="00460F44" w:rsidP="00460F44">
      <w:pPr>
        <w:spacing w:line="480" w:lineRule="auto"/>
        <w:jc w:val="center"/>
        <w:rPr>
          <w:rFonts w:ascii="Arial" w:hAnsi="Arial" w:cs="Arial"/>
          <w:b/>
          <w:bCs/>
          <w:color w:val="000000" w:themeColor="text1"/>
          <w:sz w:val="24"/>
          <w:szCs w:val="24"/>
        </w:rPr>
      </w:pPr>
      <w:r>
        <w:rPr>
          <w:rFonts w:ascii="Arial" w:hAnsi="Arial" w:cs="Arial"/>
          <w:b/>
          <w:bCs/>
          <w:color w:val="000000" w:themeColor="text1"/>
          <w:sz w:val="24"/>
          <w:szCs w:val="24"/>
        </w:rPr>
        <w:t>Module Lecturer:</w:t>
      </w:r>
    </w:p>
    <w:p w14:paraId="67597FA6" w14:textId="01F12F27" w:rsidR="00460F44" w:rsidRDefault="008F1F59" w:rsidP="00460F44">
      <w:pPr>
        <w:spacing w:line="480" w:lineRule="auto"/>
        <w:jc w:val="center"/>
        <w:rPr>
          <w:rFonts w:ascii="Arial" w:hAnsi="Arial" w:cs="Arial"/>
          <w:color w:val="000000" w:themeColor="text1"/>
          <w:sz w:val="24"/>
          <w:szCs w:val="24"/>
        </w:rPr>
      </w:pPr>
      <w:r>
        <w:rPr>
          <w:rFonts w:ascii="Arial" w:hAnsi="Arial" w:cs="Arial"/>
          <w:color w:val="000000" w:themeColor="text1"/>
          <w:sz w:val="24"/>
          <w:szCs w:val="24"/>
        </w:rPr>
        <w:t xml:space="preserve">Dr. </w:t>
      </w:r>
      <w:proofErr w:type="spellStart"/>
      <w:r w:rsidR="00460F44" w:rsidRPr="00460F44">
        <w:rPr>
          <w:rFonts w:ascii="Arial" w:hAnsi="Arial" w:cs="Arial"/>
          <w:color w:val="000000" w:themeColor="text1"/>
          <w:sz w:val="24"/>
          <w:szCs w:val="24"/>
        </w:rPr>
        <w:t>Shengfeng</w:t>
      </w:r>
      <w:proofErr w:type="spellEnd"/>
      <w:r w:rsidR="00460F44" w:rsidRPr="00460F44">
        <w:rPr>
          <w:rFonts w:ascii="Arial" w:hAnsi="Arial" w:cs="Arial"/>
          <w:color w:val="000000" w:themeColor="text1"/>
          <w:sz w:val="24"/>
          <w:szCs w:val="24"/>
        </w:rPr>
        <w:t xml:space="preserve"> Mei</w:t>
      </w:r>
    </w:p>
    <w:p w14:paraId="007556CB" w14:textId="22410631" w:rsidR="00460F44" w:rsidRDefault="00460F44" w:rsidP="00460F44">
      <w:pPr>
        <w:spacing w:line="480" w:lineRule="auto"/>
        <w:jc w:val="center"/>
        <w:rPr>
          <w:rFonts w:ascii="Arial" w:hAnsi="Arial" w:cs="Arial"/>
          <w:b/>
          <w:bCs/>
          <w:color w:val="000000" w:themeColor="text1"/>
          <w:sz w:val="24"/>
          <w:szCs w:val="24"/>
        </w:rPr>
      </w:pPr>
      <w:r w:rsidRPr="00460F44">
        <w:rPr>
          <w:rFonts w:ascii="Arial" w:hAnsi="Arial" w:cs="Arial"/>
          <w:b/>
          <w:bCs/>
          <w:color w:val="000000" w:themeColor="text1"/>
          <w:sz w:val="24"/>
          <w:szCs w:val="24"/>
        </w:rPr>
        <w:t>Assignment Title:</w:t>
      </w:r>
    </w:p>
    <w:p w14:paraId="729BF870" w14:textId="7FD7DC01" w:rsidR="00EF1CDD" w:rsidRDefault="00EF1CDD" w:rsidP="00460F44">
      <w:pPr>
        <w:spacing w:line="480" w:lineRule="auto"/>
        <w:jc w:val="center"/>
        <w:rPr>
          <w:rFonts w:ascii="Arial" w:hAnsi="Arial" w:cs="Arial"/>
          <w:color w:val="000000" w:themeColor="text1"/>
          <w:sz w:val="24"/>
          <w:szCs w:val="24"/>
        </w:rPr>
      </w:pPr>
      <w:r w:rsidRPr="00EF1CDD">
        <w:rPr>
          <w:rFonts w:ascii="Arial" w:hAnsi="Arial" w:cs="Arial"/>
          <w:color w:val="000000" w:themeColor="text1"/>
          <w:sz w:val="24"/>
          <w:szCs w:val="24"/>
        </w:rPr>
        <w:t>Strategic CFO Challenge</w:t>
      </w:r>
      <w:r w:rsidR="008F1F59">
        <w:rPr>
          <w:rFonts w:ascii="Arial" w:hAnsi="Arial" w:cs="Arial"/>
          <w:color w:val="000000" w:themeColor="text1"/>
          <w:sz w:val="24"/>
          <w:szCs w:val="24"/>
        </w:rPr>
        <w:t>[Financial Report]</w:t>
      </w:r>
    </w:p>
    <w:p w14:paraId="0E37FED4" w14:textId="036B7A71" w:rsidR="00EF1CDD" w:rsidRDefault="00EF1CDD" w:rsidP="00460F44">
      <w:pPr>
        <w:spacing w:line="480" w:lineRule="auto"/>
        <w:jc w:val="center"/>
        <w:rPr>
          <w:rFonts w:ascii="Arial" w:hAnsi="Arial" w:cs="Arial"/>
          <w:b/>
          <w:bCs/>
          <w:color w:val="000000" w:themeColor="text1"/>
          <w:sz w:val="24"/>
          <w:szCs w:val="24"/>
        </w:rPr>
      </w:pPr>
      <w:r w:rsidRPr="00EF1CDD">
        <w:rPr>
          <w:rFonts w:ascii="Arial" w:hAnsi="Arial" w:cs="Arial"/>
          <w:b/>
          <w:bCs/>
          <w:color w:val="000000" w:themeColor="text1"/>
          <w:sz w:val="24"/>
          <w:szCs w:val="24"/>
        </w:rPr>
        <w:t>Company Name:</w:t>
      </w:r>
    </w:p>
    <w:p w14:paraId="3BF9E733" w14:textId="77777777" w:rsidR="008F1F59" w:rsidRDefault="00EF1CDD" w:rsidP="00EF1CDD">
      <w:pPr>
        <w:spacing w:line="480" w:lineRule="auto"/>
        <w:jc w:val="center"/>
        <w:rPr>
          <w:rFonts w:ascii="Arial" w:hAnsi="Arial" w:cs="Arial"/>
          <w:color w:val="000000" w:themeColor="text1"/>
          <w:sz w:val="24"/>
          <w:szCs w:val="24"/>
        </w:rPr>
      </w:pPr>
      <w:r w:rsidRPr="00EF1CDD">
        <w:rPr>
          <w:rFonts w:ascii="Arial" w:hAnsi="Arial" w:cs="Arial"/>
          <w:color w:val="000000" w:themeColor="text1"/>
          <w:sz w:val="24"/>
          <w:szCs w:val="24"/>
        </w:rPr>
        <w:t>Toyota Motor Corporation</w:t>
      </w:r>
    </w:p>
    <w:p w14:paraId="3B8E09AD" w14:textId="5626984F" w:rsidR="00EF1CDD" w:rsidRDefault="00EF1CDD" w:rsidP="00460F44">
      <w:pPr>
        <w:spacing w:line="480" w:lineRule="auto"/>
        <w:jc w:val="center"/>
        <w:rPr>
          <w:rFonts w:ascii="Arial" w:hAnsi="Arial" w:cs="Arial"/>
          <w:b/>
          <w:bCs/>
          <w:color w:val="000000" w:themeColor="text1"/>
          <w:sz w:val="24"/>
          <w:szCs w:val="24"/>
        </w:rPr>
      </w:pPr>
      <w:r w:rsidRPr="00EF1CDD">
        <w:rPr>
          <w:rFonts w:ascii="Arial" w:hAnsi="Arial" w:cs="Arial"/>
          <w:b/>
          <w:bCs/>
          <w:color w:val="000000" w:themeColor="text1"/>
          <w:sz w:val="24"/>
          <w:szCs w:val="24"/>
        </w:rPr>
        <w:t>Submitted by:</w:t>
      </w:r>
    </w:p>
    <w:p w14:paraId="28516136" w14:textId="7D766616" w:rsidR="00EF1CDD" w:rsidRDefault="00EF1CDD" w:rsidP="00460F44">
      <w:pPr>
        <w:spacing w:line="480" w:lineRule="auto"/>
        <w:jc w:val="center"/>
        <w:rPr>
          <w:rFonts w:ascii="Arial" w:hAnsi="Arial" w:cs="Arial"/>
          <w:color w:val="000000" w:themeColor="text1"/>
          <w:sz w:val="24"/>
          <w:szCs w:val="24"/>
        </w:rPr>
      </w:pPr>
      <w:r w:rsidRPr="00EF1CDD">
        <w:rPr>
          <w:rFonts w:ascii="Arial" w:hAnsi="Arial" w:cs="Arial"/>
          <w:color w:val="000000" w:themeColor="text1"/>
          <w:sz w:val="24"/>
          <w:szCs w:val="24"/>
        </w:rPr>
        <w:t>[Muhammed Salim</w:t>
      </w:r>
      <w:r>
        <w:rPr>
          <w:rFonts w:ascii="Arial" w:hAnsi="Arial" w:cs="Arial"/>
          <w:color w:val="000000" w:themeColor="text1"/>
          <w:sz w:val="24"/>
          <w:szCs w:val="24"/>
        </w:rPr>
        <w:t>]</w:t>
      </w:r>
    </w:p>
    <w:p w14:paraId="559D7166" w14:textId="1414452B" w:rsidR="00EF1CDD" w:rsidRPr="00EF1CDD" w:rsidRDefault="00EF1CDD" w:rsidP="00EF1CDD">
      <w:pPr>
        <w:spacing w:line="480" w:lineRule="auto"/>
        <w:jc w:val="center"/>
        <w:rPr>
          <w:rFonts w:ascii="Arial" w:hAnsi="Arial" w:cs="Arial"/>
          <w:color w:val="000000" w:themeColor="text1"/>
          <w:sz w:val="24"/>
          <w:szCs w:val="24"/>
        </w:rPr>
      </w:pPr>
      <w:r w:rsidRPr="00EF1CDD">
        <w:rPr>
          <w:rFonts w:ascii="Arial" w:hAnsi="Arial" w:cs="Arial"/>
          <w:b/>
          <w:bCs/>
          <w:color w:val="000000" w:themeColor="text1"/>
          <w:sz w:val="24"/>
          <w:szCs w:val="24"/>
        </w:rPr>
        <w:t>Student ID:</w:t>
      </w:r>
      <w:r>
        <w:rPr>
          <w:rFonts w:ascii="Arial" w:hAnsi="Arial" w:cs="Arial"/>
          <w:b/>
          <w:bCs/>
          <w:color w:val="000000" w:themeColor="text1"/>
          <w:sz w:val="24"/>
          <w:szCs w:val="24"/>
        </w:rPr>
        <w:t xml:space="preserve"> </w:t>
      </w:r>
      <w:r w:rsidRPr="00EF1CDD">
        <w:rPr>
          <w:rFonts w:ascii="Arial" w:hAnsi="Arial" w:cs="Arial"/>
          <w:color w:val="000000" w:themeColor="text1"/>
          <w:sz w:val="24"/>
          <w:szCs w:val="24"/>
        </w:rPr>
        <w:t>[2518573]</w:t>
      </w:r>
    </w:p>
    <w:p w14:paraId="61B98F43" w14:textId="4610694F" w:rsidR="008F1F59" w:rsidRPr="00EF1CDD" w:rsidRDefault="008F1F59" w:rsidP="008F1F59">
      <w:pPr>
        <w:spacing w:line="480" w:lineRule="auto"/>
        <w:jc w:val="center"/>
        <w:rPr>
          <w:rFonts w:ascii="Arial" w:hAnsi="Arial" w:cs="Arial"/>
          <w:color w:val="000000" w:themeColor="text1"/>
          <w:sz w:val="24"/>
          <w:szCs w:val="24"/>
        </w:rPr>
      </w:pPr>
      <w:r>
        <w:rPr>
          <w:rFonts w:ascii="Arial" w:hAnsi="Arial" w:cs="Arial"/>
          <w:b/>
          <w:bCs/>
          <w:color w:val="000000" w:themeColor="text1"/>
          <w:sz w:val="24"/>
          <w:szCs w:val="24"/>
        </w:rPr>
        <w:t>Submission Date</w:t>
      </w:r>
      <w:r w:rsidRPr="008F1F59">
        <w:rPr>
          <w:rFonts w:ascii="Arial" w:hAnsi="Arial" w:cs="Arial"/>
          <w:color w:val="000000" w:themeColor="text1"/>
          <w:sz w:val="24"/>
          <w:szCs w:val="24"/>
        </w:rPr>
        <w:t>: 24 April</w:t>
      </w:r>
      <w:r w:rsidRPr="008F1F59">
        <w:rPr>
          <w:rFonts w:ascii="Arial" w:hAnsi="Arial" w:cs="Arial"/>
          <w:color w:val="000000" w:themeColor="text1"/>
          <w:sz w:val="24"/>
          <w:szCs w:val="24"/>
        </w:rPr>
        <w:t xml:space="preserve"> 2026</w:t>
      </w:r>
    </w:p>
    <w:p w14:paraId="59D54DA2" w14:textId="238C833C" w:rsidR="00242669" w:rsidRPr="00B3537C" w:rsidRDefault="00242669" w:rsidP="00242669">
      <w:pPr>
        <w:rPr>
          <w:rFonts w:ascii="Arial" w:eastAsia="Times New Roman" w:hAnsi="Arial" w:cs="Arial"/>
          <w:b/>
          <w:bCs/>
          <w:color w:val="000000" w:themeColor="text1"/>
          <w:kern w:val="36"/>
          <w:sz w:val="24"/>
          <w:szCs w:val="24"/>
          <w:lang w:eastAsia="en-GB"/>
          <w14:ligatures w14:val="none"/>
        </w:rPr>
      </w:pPr>
    </w:p>
    <w:sdt>
      <w:sdtPr>
        <w:rPr>
          <w:rFonts w:ascii="Arial" w:eastAsiaTheme="minorHAnsi" w:hAnsi="Arial" w:cstheme="minorBidi"/>
          <w:color w:val="auto"/>
          <w:kern w:val="2"/>
          <w:sz w:val="22"/>
          <w:szCs w:val="22"/>
          <w:lang w:val="en-GB" w:eastAsia="en-US"/>
          <w14:ligatures w14:val="standardContextual"/>
        </w:rPr>
        <w:id w:val="346303059"/>
        <w:docPartObj>
          <w:docPartGallery w:val="Table of Contents"/>
          <w:docPartUnique/>
        </w:docPartObj>
      </w:sdtPr>
      <w:sdtEndPr>
        <w:rPr>
          <w:b/>
          <w:bCs/>
          <w:noProof/>
          <w:sz w:val="24"/>
        </w:rPr>
      </w:sdtEndPr>
      <w:sdtContent>
        <w:p w14:paraId="00F1FAA4" w14:textId="7B807696" w:rsidR="00A9012B" w:rsidRPr="00B3537C" w:rsidRDefault="00A9012B" w:rsidP="00242669">
          <w:pPr>
            <w:pStyle w:val="TOCHeading"/>
            <w:rPr>
              <w:rFonts w:ascii="Arial" w:hAnsi="Arial"/>
              <w:b/>
            </w:rPr>
          </w:pPr>
          <w:r w:rsidRPr="00B3537C">
            <w:rPr>
              <w:rFonts w:ascii="Arial" w:hAnsi="Arial"/>
              <w:b/>
            </w:rPr>
            <w:t>Contents</w:t>
          </w:r>
        </w:p>
        <w:p w14:paraId="51C11D4F" w14:textId="357A1686" w:rsidR="00B3537C" w:rsidRPr="00B3537C" w:rsidRDefault="00A9012B">
          <w:pPr>
            <w:pStyle w:val="TOC1"/>
            <w:tabs>
              <w:tab w:val="right" w:leader="dot" w:pos="9350"/>
            </w:tabs>
            <w:rPr>
              <w:rFonts w:ascii="Arial" w:eastAsiaTheme="minorEastAsia" w:hAnsi="Arial" w:cs="Arial"/>
              <w:noProof/>
              <w:kern w:val="0"/>
              <w:lang w:val="en-US"/>
              <w14:ligatures w14:val="none"/>
            </w:rPr>
          </w:pPr>
          <w:r w:rsidRPr="00B3537C">
            <w:rPr>
              <w:rFonts w:ascii="Arial" w:hAnsi="Arial" w:cs="Arial"/>
              <w:color w:val="000000" w:themeColor="text1"/>
              <w:sz w:val="24"/>
              <w:szCs w:val="24"/>
            </w:rPr>
            <w:fldChar w:fldCharType="begin"/>
          </w:r>
          <w:r w:rsidRPr="00B3537C">
            <w:rPr>
              <w:rFonts w:ascii="Arial" w:hAnsi="Arial" w:cs="Arial"/>
              <w:color w:val="000000" w:themeColor="text1"/>
              <w:sz w:val="24"/>
              <w:szCs w:val="24"/>
            </w:rPr>
            <w:instrText xml:space="preserve"> TOC \o "1-3" \h \z \u </w:instrText>
          </w:r>
          <w:r w:rsidRPr="00B3537C">
            <w:rPr>
              <w:rFonts w:ascii="Arial" w:hAnsi="Arial" w:cs="Arial"/>
              <w:color w:val="000000" w:themeColor="text1"/>
              <w:sz w:val="24"/>
              <w:szCs w:val="24"/>
            </w:rPr>
            <w:fldChar w:fldCharType="separate"/>
          </w:r>
          <w:hyperlink w:anchor="_Toc227926138" w:history="1">
            <w:r w:rsidR="00B3537C" w:rsidRPr="00B3537C">
              <w:rPr>
                <w:rStyle w:val="Hyperlink"/>
                <w:rFonts w:ascii="Arial" w:hAnsi="Arial" w:cs="Arial"/>
                <w:noProof/>
              </w:rPr>
              <w:t>Introduction</w:t>
            </w:r>
            <w:r w:rsidR="00B3537C" w:rsidRPr="00B3537C">
              <w:rPr>
                <w:rFonts w:ascii="Arial" w:hAnsi="Arial" w:cs="Arial"/>
                <w:noProof/>
                <w:webHidden/>
              </w:rPr>
              <w:tab/>
            </w:r>
            <w:r w:rsidR="00B3537C" w:rsidRPr="00B3537C">
              <w:rPr>
                <w:rFonts w:ascii="Arial" w:hAnsi="Arial" w:cs="Arial"/>
                <w:noProof/>
                <w:webHidden/>
              </w:rPr>
              <w:fldChar w:fldCharType="begin"/>
            </w:r>
            <w:r w:rsidR="00B3537C" w:rsidRPr="00B3537C">
              <w:rPr>
                <w:rFonts w:ascii="Arial" w:hAnsi="Arial" w:cs="Arial"/>
                <w:noProof/>
                <w:webHidden/>
              </w:rPr>
              <w:instrText xml:space="preserve"> PAGEREF _Toc227926138 \h </w:instrText>
            </w:r>
            <w:r w:rsidR="00B3537C" w:rsidRPr="00B3537C">
              <w:rPr>
                <w:rFonts w:ascii="Arial" w:hAnsi="Arial" w:cs="Arial"/>
                <w:noProof/>
                <w:webHidden/>
              </w:rPr>
            </w:r>
            <w:r w:rsidR="00B3537C" w:rsidRPr="00B3537C">
              <w:rPr>
                <w:rFonts w:ascii="Arial" w:hAnsi="Arial" w:cs="Arial"/>
                <w:noProof/>
                <w:webHidden/>
              </w:rPr>
              <w:fldChar w:fldCharType="separate"/>
            </w:r>
            <w:r w:rsidR="00B3537C" w:rsidRPr="00B3537C">
              <w:rPr>
                <w:rFonts w:ascii="Arial" w:hAnsi="Arial" w:cs="Arial"/>
                <w:noProof/>
                <w:webHidden/>
              </w:rPr>
              <w:t>4</w:t>
            </w:r>
            <w:r w:rsidR="00B3537C" w:rsidRPr="00B3537C">
              <w:rPr>
                <w:rFonts w:ascii="Arial" w:hAnsi="Arial" w:cs="Arial"/>
                <w:noProof/>
                <w:webHidden/>
              </w:rPr>
              <w:fldChar w:fldCharType="end"/>
            </w:r>
          </w:hyperlink>
        </w:p>
        <w:p w14:paraId="788E4EAA" w14:textId="6CC3B530" w:rsidR="00B3537C" w:rsidRPr="00B3537C" w:rsidRDefault="00B3537C">
          <w:pPr>
            <w:pStyle w:val="TOC1"/>
            <w:tabs>
              <w:tab w:val="right" w:leader="dot" w:pos="9350"/>
            </w:tabs>
            <w:rPr>
              <w:rFonts w:ascii="Arial" w:eastAsiaTheme="minorEastAsia" w:hAnsi="Arial" w:cs="Arial"/>
              <w:noProof/>
              <w:kern w:val="0"/>
              <w:lang w:val="en-US"/>
              <w14:ligatures w14:val="none"/>
            </w:rPr>
          </w:pPr>
          <w:hyperlink w:anchor="_Toc227926139" w:history="1">
            <w:r w:rsidRPr="00B3537C">
              <w:rPr>
                <w:rStyle w:val="Hyperlink"/>
                <w:rFonts w:ascii="Arial" w:hAnsi="Arial" w:cs="Arial"/>
                <w:noProof/>
              </w:rPr>
              <w:t>Section 1: Financial Health Check</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_Toc227926139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5</w:t>
            </w:r>
            <w:r w:rsidRPr="00B3537C">
              <w:rPr>
                <w:rFonts w:ascii="Arial" w:hAnsi="Arial" w:cs="Arial"/>
                <w:noProof/>
                <w:webHidden/>
              </w:rPr>
              <w:fldChar w:fldCharType="end"/>
            </w:r>
          </w:hyperlink>
        </w:p>
        <w:p w14:paraId="066CD057" w14:textId="1D7419B3"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40" w:history="1">
            <w:r w:rsidRPr="00B3537C">
              <w:rPr>
                <w:rStyle w:val="Hyperlink"/>
                <w:rFonts w:ascii="Arial" w:hAnsi="Arial" w:cs="Arial"/>
                <w:noProof/>
              </w:rPr>
              <w:t>1.1 Overview of Financial Performance</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_Toc227926140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5</w:t>
            </w:r>
            <w:r w:rsidRPr="00B3537C">
              <w:rPr>
                <w:rFonts w:ascii="Arial" w:hAnsi="Arial" w:cs="Arial"/>
                <w:noProof/>
                <w:webHidden/>
              </w:rPr>
              <w:fldChar w:fldCharType="end"/>
            </w:r>
          </w:hyperlink>
        </w:p>
        <w:p w14:paraId="17814165" w14:textId="37F85266" w:rsidR="00B3537C" w:rsidRPr="00B3537C" w:rsidRDefault="00B3537C">
          <w:pPr>
            <w:pStyle w:val="TOC3"/>
            <w:tabs>
              <w:tab w:val="right" w:leader="dot" w:pos="9350"/>
            </w:tabs>
            <w:rPr>
              <w:rFonts w:ascii="Arial" w:eastAsiaTheme="minorEastAsia" w:hAnsi="Arial" w:cs="Arial"/>
              <w:noProof/>
              <w:kern w:val="0"/>
              <w:lang w:val="en-US"/>
              <w14:ligatures w14:val="none"/>
            </w:rPr>
          </w:pPr>
          <w:hyperlink w:anchor="_Toc227926141" w:history="1">
            <w:r w:rsidRPr="00B3537C">
              <w:rPr>
                <w:rStyle w:val="Hyperlink"/>
                <w:rFonts w:ascii="Arial" w:eastAsia="Times New Roman" w:hAnsi="Arial" w:cs="Arial"/>
                <w:noProof/>
                <w:lang w:eastAsia="en-GB"/>
              </w:rPr>
              <w:t>Revenue Trends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_Toc227926141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5</w:t>
            </w:r>
            <w:r w:rsidRPr="00B3537C">
              <w:rPr>
                <w:rFonts w:ascii="Arial" w:hAnsi="Arial" w:cs="Arial"/>
                <w:noProof/>
                <w:webHidden/>
              </w:rPr>
              <w:fldChar w:fldCharType="end"/>
            </w:r>
          </w:hyperlink>
        </w:p>
        <w:p w14:paraId="54B6847A" w14:textId="72F8BC3C" w:rsidR="00B3537C" w:rsidRPr="00B3537C" w:rsidRDefault="00B3537C">
          <w:pPr>
            <w:pStyle w:val="TOC3"/>
            <w:tabs>
              <w:tab w:val="right" w:leader="dot" w:pos="9350"/>
            </w:tabs>
            <w:rPr>
              <w:rFonts w:ascii="Arial" w:eastAsiaTheme="minorEastAsia" w:hAnsi="Arial" w:cs="Arial"/>
              <w:noProof/>
              <w:kern w:val="0"/>
              <w:lang w:val="en-US"/>
              <w14:ligatures w14:val="none"/>
            </w:rPr>
          </w:pPr>
          <w:hyperlink w:anchor="_Toc227926142" w:history="1">
            <w:r w:rsidRPr="00B3537C">
              <w:rPr>
                <w:rStyle w:val="Hyperlink"/>
                <w:rFonts w:ascii="Arial" w:eastAsia="Times New Roman" w:hAnsi="Arial" w:cs="Arial"/>
                <w:noProof/>
                <w:lang w:eastAsia="en-GB"/>
              </w:rPr>
              <w:t>Profit Trends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_Toc227926142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5</w:t>
            </w:r>
            <w:r w:rsidRPr="00B3537C">
              <w:rPr>
                <w:rFonts w:ascii="Arial" w:hAnsi="Arial" w:cs="Arial"/>
                <w:noProof/>
                <w:webHidden/>
              </w:rPr>
              <w:fldChar w:fldCharType="end"/>
            </w:r>
          </w:hyperlink>
        </w:p>
        <w:p w14:paraId="79050C6A" w14:textId="2128E006"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43" w:history="1">
            <w:r w:rsidRPr="00B3537C">
              <w:rPr>
                <w:rStyle w:val="Hyperlink"/>
                <w:rFonts w:ascii="Arial" w:hAnsi="Arial" w:cs="Arial"/>
                <w:noProof/>
              </w:rPr>
              <w:t>1.2 Ratio Analysis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_Toc227926143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6</w:t>
            </w:r>
            <w:r w:rsidRPr="00B3537C">
              <w:rPr>
                <w:rFonts w:ascii="Arial" w:hAnsi="Arial" w:cs="Arial"/>
                <w:noProof/>
                <w:webHidden/>
              </w:rPr>
              <w:fldChar w:fldCharType="end"/>
            </w:r>
          </w:hyperlink>
        </w:p>
        <w:p w14:paraId="51BA4561" w14:textId="398785BD" w:rsidR="00B3537C" w:rsidRPr="00B3537C" w:rsidRDefault="00B3537C">
          <w:pPr>
            <w:pStyle w:val="TOC3"/>
            <w:tabs>
              <w:tab w:val="right" w:leader="dot" w:pos="9350"/>
            </w:tabs>
            <w:rPr>
              <w:rFonts w:ascii="Arial" w:eastAsiaTheme="minorEastAsia" w:hAnsi="Arial" w:cs="Arial"/>
              <w:noProof/>
              <w:kern w:val="0"/>
              <w:lang w:val="en-US"/>
              <w14:ligatures w14:val="none"/>
            </w:rPr>
          </w:pPr>
          <w:hyperlink w:anchor="_Toc227926144" w:history="1">
            <w:r w:rsidRPr="00B3537C">
              <w:rPr>
                <w:rStyle w:val="Hyperlink"/>
                <w:rFonts w:ascii="Arial" w:eastAsia="Times New Roman" w:hAnsi="Arial" w:cs="Arial"/>
                <w:noProof/>
                <w:lang w:eastAsia="en-GB"/>
              </w:rPr>
              <w:t>a) Profitability Ratios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_Toc227926144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6</w:t>
            </w:r>
            <w:r w:rsidRPr="00B3537C">
              <w:rPr>
                <w:rFonts w:ascii="Arial" w:hAnsi="Arial" w:cs="Arial"/>
                <w:noProof/>
                <w:webHidden/>
              </w:rPr>
              <w:fldChar w:fldCharType="end"/>
            </w:r>
          </w:hyperlink>
        </w:p>
        <w:p w14:paraId="72047247" w14:textId="2FF23AFD" w:rsidR="00B3537C" w:rsidRPr="00B3537C" w:rsidRDefault="00B3537C">
          <w:pPr>
            <w:pStyle w:val="TOC3"/>
            <w:tabs>
              <w:tab w:val="right" w:leader="dot" w:pos="9350"/>
            </w:tabs>
            <w:rPr>
              <w:rFonts w:ascii="Arial" w:eastAsiaTheme="minorEastAsia" w:hAnsi="Arial" w:cs="Arial"/>
              <w:noProof/>
              <w:kern w:val="0"/>
              <w:lang w:val="en-US"/>
              <w14:ligatures w14:val="none"/>
            </w:rPr>
          </w:pPr>
          <w:hyperlink w:anchor="_Toc227926145" w:history="1">
            <w:r w:rsidRPr="00B3537C">
              <w:rPr>
                <w:rStyle w:val="Hyperlink"/>
                <w:rFonts w:ascii="Arial" w:eastAsia="Times New Roman" w:hAnsi="Arial" w:cs="Arial"/>
                <w:noProof/>
                <w:lang w:eastAsia="en-GB"/>
              </w:rPr>
              <w:t>b) Liquidity Ratios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_Toc227926145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6</w:t>
            </w:r>
            <w:r w:rsidRPr="00B3537C">
              <w:rPr>
                <w:rFonts w:ascii="Arial" w:hAnsi="Arial" w:cs="Arial"/>
                <w:noProof/>
                <w:webHidden/>
              </w:rPr>
              <w:fldChar w:fldCharType="end"/>
            </w:r>
          </w:hyperlink>
        </w:p>
        <w:p w14:paraId="2FA0F80B" w14:textId="14255C7D" w:rsidR="00B3537C" w:rsidRPr="00B3537C" w:rsidRDefault="00B3537C">
          <w:pPr>
            <w:pStyle w:val="TOC3"/>
            <w:tabs>
              <w:tab w:val="right" w:leader="dot" w:pos="9350"/>
            </w:tabs>
            <w:rPr>
              <w:rFonts w:ascii="Arial" w:eastAsiaTheme="minorEastAsia" w:hAnsi="Arial" w:cs="Arial"/>
              <w:noProof/>
              <w:kern w:val="0"/>
              <w:lang w:val="en-US"/>
              <w14:ligatures w14:val="none"/>
            </w:rPr>
          </w:pPr>
          <w:hyperlink w:anchor="_Toc227926146" w:history="1">
            <w:r w:rsidRPr="00B3537C">
              <w:rPr>
                <w:rStyle w:val="Hyperlink"/>
                <w:rFonts w:ascii="Arial" w:eastAsia="Times New Roman" w:hAnsi="Arial" w:cs="Arial"/>
                <w:noProof/>
                <w:lang w:eastAsia="en-GB"/>
              </w:rPr>
              <w:t>c) Efficiency Ratios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_Toc227926146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7</w:t>
            </w:r>
            <w:r w:rsidRPr="00B3537C">
              <w:rPr>
                <w:rFonts w:ascii="Arial" w:hAnsi="Arial" w:cs="Arial"/>
                <w:noProof/>
                <w:webHidden/>
              </w:rPr>
              <w:fldChar w:fldCharType="end"/>
            </w:r>
          </w:hyperlink>
        </w:p>
        <w:p w14:paraId="4D58875A" w14:textId="4B3417A5" w:rsidR="00B3537C" w:rsidRPr="00B3537C" w:rsidRDefault="00B3537C">
          <w:pPr>
            <w:pStyle w:val="TOC3"/>
            <w:tabs>
              <w:tab w:val="right" w:leader="dot" w:pos="9350"/>
            </w:tabs>
            <w:rPr>
              <w:rFonts w:ascii="Arial" w:eastAsiaTheme="minorEastAsia" w:hAnsi="Arial" w:cs="Arial"/>
              <w:noProof/>
              <w:kern w:val="0"/>
              <w:lang w:val="en-US"/>
              <w14:ligatures w14:val="none"/>
            </w:rPr>
          </w:pPr>
          <w:hyperlink w:anchor="_Toc227926147" w:history="1">
            <w:r w:rsidRPr="00B3537C">
              <w:rPr>
                <w:rStyle w:val="Hyperlink"/>
                <w:rFonts w:ascii="Arial" w:eastAsia="Times New Roman" w:hAnsi="Arial" w:cs="Arial"/>
                <w:noProof/>
                <w:lang w:eastAsia="en-GB"/>
              </w:rPr>
              <w:t>d) Gearing (Leverage) Ratios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_Toc227926147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7</w:t>
            </w:r>
            <w:r w:rsidRPr="00B3537C">
              <w:rPr>
                <w:rFonts w:ascii="Arial" w:hAnsi="Arial" w:cs="Arial"/>
                <w:noProof/>
                <w:webHidden/>
              </w:rPr>
              <w:fldChar w:fldCharType="end"/>
            </w:r>
          </w:hyperlink>
        </w:p>
        <w:p w14:paraId="584D5ADD" w14:textId="3589D029" w:rsidR="00B3537C" w:rsidRPr="00B3537C" w:rsidRDefault="00B3537C">
          <w:pPr>
            <w:pStyle w:val="TOC3"/>
            <w:tabs>
              <w:tab w:val="right" w:leader="dot" w:pos="9350"/>
            </w:tabs>
            <w:rPr>
              <w:rFonts w:ascii="Arial" w:eastAsiaTheme="minorEastAsia" w:hAnsi="Arial" w:cs="Arial"/>
              <w:noProof/>
              <w:kern w:val="0"/>
              <w:lang w:val="en-US"/>
              <w14:ligatures w14:val="none"/>
            </w:rPr>
          </w:pPr>
          <w:hyperlink w:anchor="_Toc227926148" w:history="1">
            <w:r w:rsidRPr="00B3537C">
              <w:rPr>
                <w:rStyle w:val="Hyperlink"/>
                <w:rFonts w:ascii="Arial" w:eastAsia="Times New Roman" w:hAnsi="Arial" w:cs="Arial"/>
                <w:noProof/>
                <w:lang w:eastAsia="en-GB"/>
              </w:rPr>
              <w:t>e) Investment Ratios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_Toc227926148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8</w:t>
            </w:r>
            <w:r w:rsidRPr="00B3537C">
              <w:rPr>
                <w:rFonts w:ascii="Arial" w:hAnsi="Arial" w:cs="Arial"/>
                <w:noProof/>
                <w:webHidden/>
              </w:rPr>
              <w:fldChar w:fldCharType="end"/>
            </w:r>
          </w:hyperlink>
        </w:p>
        <w:p w14:paraId="2AA3C1F4" w14:textId="47A96862" w:rsidR="00B3537C" w:rsidRPr="00B3537C" w:rsidRDefault="00B3537C">
          <w:pPr>
            <w:pStyle w:val="TOC3"/>
            <w:tabs>
              <w:tab w:val="right" w:leader="dot" w:pos="9350"/>
            </w:tabs>
            <w:rPr>
              <w:rFonts w:ascii="Arial" w:eastAsiaTheme="minorEastAsia" w:hAnsi="Arial" w:cs="Arial"/>
              <w:noProof/>
              <w:kern w:val="0"/>
              <w:lang w:val="en-US"/>
              <w14:ligatures w14:val="none"/>
            </w:rPr>
          </w:pPr>
          <w:hyperlink w:anchor="_Toc227926149" w:history="1">
            <w:r w:rsidRPr="00B3537C">
              <w:rPr>
                <w:rStyle w:val="Hyperlink"/>
                <w:rFonts w:ascii="Arial" w:eastAsia="Times New Roman" w:hAnsi="Arial" w:cs="Arial"/>
                <w:noProof/>
                <w:lang w:eastAsia="en-GB"/>
              </w:rPr>
              <w:t>f) Cash Flow Analysis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_Toc227926149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8</w:t>
            </w:r>
            <w:r w:rsidRPr="00B3537C">
              <w:rPr>
                <w:rFonts w:ascii="Arial" w:hAnsi="Arial" w:cs="Arial"/>
                <w:noProof/>
                <w:webHidden/>
              </w:rPr>
              <w:fldChar w:fldCharType="end"/>
            </w:r>
          </w:hyperlink>
        </w:p>
        <w:p w14:paraId="6754762B" w14:textId="2650BD5F"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50" w:history="1">
            <w:r w:rsidRPr="00B3537C">
              <w:rPr>
                <w:rStyle w:val="Hyperlink"/>
                <w:rFonts w:ascii="Arial" w:hAnsi="Arial" w:cs="Arial"/>
                <w:noProof/>
              </w:rPr>
              <w:t>1.3 Trend Analysis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_Toc227926150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8</w:t>
            </w:r>
            <w:r w:rsidRPr="00B3537C">
              <w:rPr>
                <w:rFonts w:ascii="Arial" w:hAnsi="Arial" w:cs="Arial"/>
                <w:noProof/>
                <w:webHidden/>
              </w:rPr>
              <w:fldChar w:fldCharType="end"/>
            </w:r>
          </w:hyperlink>
        </w:p>
        <w:p w14:paraId="2E46493B" w14:textId="1DB29178" w:rsidR="00B3537C" w:rsidRPr="00B3537C" w:rsidRDefault="00B3537C">
          <w:pPr>
            <w:pStyle w:val="TOC3"/>
            <w:tabs>
              <w:tab w:val="right" w:leader="dot" w:pos="9350"/>
            </w:tabs>
            <w:rPr>
              <w:rFonts w:ascii="Arial" w:eastAsiaTheme="minorEastAsia" w:hAnsi="Arial" w:cs="Arial"/>
              <w:noProof/>
              <w:kern w:val="0"/>
              <w:lang w:val="en-US"/>
              <w14:ligatures w14:val="none"/>
            </w:rPr>
          </w:pPr>
          <w:hyperlink w:anchor="_Toc227926151" w:history="1">
            <w:r w:rsidRPr="00B3537C">
              <w:rPr>
                <w:rStyle w:val="Hyperlink"/>
                <w:rFonts w:ascii="Arial" w:eastAsia="Times New Roman" w:hAnsi="Arial" w:cs="Arial"/>
                <w:noProof/>
                <w:lang w:eastAsia="en-GB"/>
              </w:rPr>
              <w:t>Strengths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_Toc227926151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8</w:t>
            </w:r>
            <w:r w:rsidRPr="00B3537C">
              <w:rPr>
                <w:rFonts w:ascii="Arial" w:hAnsi="Arial" w:cs="Arial"/>
                <w:noProof/>
                <w:webHidden/>
              </w:rPr>
              <w:fldChar w:fldCharType="end"/>
            </w:r>
          </w:hyperlink>
        </w:p>
        <w:p w14:paraId="59742EB4" w14:textId="0C45E93D" w:rsidR="00B3537C" w:rsidRPr="00B3537C" w:rsidRDefault="00B3537C">
          <w:pPr>
            <w:pStyle w:val="TOC3"/>
            <w:tabs>
              <w:tab w:val="right" w:leader="dot" w:pos="9350"/>
            </w:tabs>
            <w:rPr>
              <w:rFonts w:ascii="Arial" w:eastAsiaTheme="minorEastAsia" w:hAnsi="Arial" w:cs="Arial"/>
              <w:noProof/>
              <w:kern w:val="0"/>
              <w:lang w:val="en-US"/>
              <w14:ligatures w14:val="none"/>
            </w:rPr>
          </w:pPr>
          <w:hyperlink w:anchor="_Toc227926152" w:history="1">
            <w:r w:rsidRPr="00B3537C">
              <w:rPr>
                <w:rStyle w:val="Hyperlink"/>
                <w:rFonts w:ascii="Arial" w:eastAsia="Times New Roman" w:hAnsi="Arial" w:cs="Arial"/>
                <w:noProof/>
                <w:lang w:eastAsia="en-GB"/>
              </w:rPr>
              <w:t>Weaknesses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_Toc227926152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9</w:t>
            </w:r>
            <w:r w:rsidRPr="00B3537C">
              <w:rPr>
                <w:rFonts w:ascii="Arial" w:hAnsi="Arial" w:cs="Arial"/>
                <w:noProof/>
                <w:webHidden/>
              </w:rPr>
              <w:fldChar w:fldCharType="end"/>
            </w:r>
          </w:hyperlink>
        </w:p>
        <w:p w14:paraId="59309A2A" w14:textId="5671D691" w:rsidR="00B3537C" w:rsidRPr="00B3537C" w:rsidRDefault="00B3537C">
          <w:pPr>
            <w:pStyle w:val="TOC3"/>
            <w:tabs>
              <w:tab w:val="right" w:leader="dot" w:pos="9350"/>
            </w:tabs>
            <w:rPr>
              <w:rFonts w:ascii="Arial" w:eastAsiaTheme="minorEastAsia" w:hAnsi="Arial" w:cs="Arial"/>
              <w:noProof/>
              <w:kern w:val="0"/>
              <w:lang w:val="en-US"/>
              <w14:ligatures w14:val="none"/>
            </w:rPr>
          </w:pPr>
          <w:hyperlink w:anchor="_Toc227926153" w:history="1">
            <w:r w:rsidRPr="00B3537C">
              <w:rPr>
                <w:rStyle w:val="Hyperlink"/>
                <w:rFonts w:ascii="Arial" w:eastAsia="Times New Roman" w:hAnsi="Arial" w:cs="Arial"/>
                <w:noProof/>
                <w:lang w:eastAsia="en-GB"/>
              </w:rPr>
              <w:t>Threats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_Toc227926153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9</w:t>
            </w:r>
            <w:r w:rsidRPr="00B3537C">
              <w:rPr>
                <w:rFonts w:ascii="Arial" w:hAnsi="Arial" w:cs="Arial"/>
                <w:noProof/>
                <w:webHidden/>
              </w:rPr>
              <w:fldChar w:fldCharType="end"/>
            </w:r>
          </w:hyperlink>
        </w:p>
        <w:p w14:paraId="389710E1" w14:textId="2044C9B3" w:rsidR="00B3537C" w:rsidRPr="00B3537C" w:rsidRDefault="00B3537C">
          <w:pPr>
            <w:pStyle w:val="TOC1"/>
            <w:tabs>
              <w:tab w:val="right" w:leader="dot" w:pos="9350"/>
            </w:tabs>
            <w:rPr>
              <w:rFonts w:ascii="Arial" w:eastAsiaTheme="minorEastAsia" w:hAnsi="Arial" w:cs="Arial"/>
              <w:noProof/>
              <w:kern w:val="0"/>
              <w:lang w:val="en-US"/>
              <w14:ligatures w14:val="none"/>
            </w:rPr>
          </w:pPr>
          <w:hyperlink w:anchor="_Toc227926154" w:history="1">
            <w:r w:rsidRPr="00B3537C">
              <w:rPr>
                <w:rStyle w:val="Hyperlink"/>
                <w:rFonts w:ascii="Arial" w:hAnsi="Arial" w:cs="Arial"/>
                <w:noProof/>
              </w:rPr>
              <w:t>SECTION 2: Working Capital Management</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_Toc227926154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10</w:t>
            </w:r>
            <w:r w:rsidRPr="00B3537C">
              <w:rPr>
                <w:rFonts w:ascii="Arial" w:hAnsi="Arial" w:cs="Arial"/>
                <w:noProof/>
                <w:webHidden/>
              </w:rPr>
              <w:fldChar w:fldCharType="end"/>
            </w:r>
          </w:hyperlink>
        </w:p>
        <w:p w14:paraId="166F567E" w14:textId="512578C1"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55" w:history="1">
            <w:r w:rsidRPr="00B3537C">
              <w:rPr>
                <w:rStyle w:val="Hyperlink"/>
                <w:rFonts w:ascii="Arial" w:hAnsi="Arial" w:cs="Arial"/>
                <w:noProof/>
              </w:rPr>
              <w:t>2.1 Cash Operating Cycle</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_Toc227926155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10</w:t>
            </w:r>
            <w:r w:rsidRPr="00B3537C">
              <w:rPr>
                <w:rFonts w:ascii="Arial" w:hAnsi="Arial" w:cs="Arial"/>
                <w:noProof/>
                <w:webHidden/>
              </w:rPr>
              <w:fldChar w:fldCharType="end"/>
            </w:r>
          </w:hyperlink>
        </w:p>
        <w:p w14:paraId="4855CF94" w14:textId="5B228029"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56" w:history="1">
            <w:r w:rsidRPr="00B3537C">
              <w:rPr>
                <w:rStyle w:val="Hyperlink"/>
                <w:rFonts w:ascii="Arial" w:hAnsi="Arial" w:cs="Arial"/>
                <w:noProof/>
              </w:rPr>
              <w:t>2.2 Evaluation of Efficiency</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_Toc227926156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10</w:t>
            </w:r>
            <w:r w:rsidRPr="00B3537C">
              <w:rPr>
                <w:rFonts w:ascii="Arial" w:hAnsi="Arial" w:cs="Arial"/>
                <w:noProof/>
                <w:webHidden/>
              </w:rPr>
              <w:fldChar w:fldCharType="end"/>
            </w:r>
          </w:hyperlink>
        </w:p>
        <w:p w14:paraId="1F093643" w14:textId="5D177BDD"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57" w:history="1">
            <w:r w:rsidRPr="00B3537C">
              <w:rPr>
                <w:rStyle w:val="Hyperlink"/>
                <w:rFonts w:ascii="Arial" w:hAnsi="Arial" w:cs="Arial"/>
                <w:noProof/>
              </w:rPr>
              <w:t>2.3 Improvement Strategies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_Toc227926157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11</w:t>
            </w:r>
            <w:r w:rsidRPr="00B3537C">
              <w:rPr>
                <w:rFonts w:ascii="Arial" w:hAnsi="Arial" w:cs="Arial"/>
                <w:noProof/>
                <w:webHidden/>
              </w:rPr>
              <w:fldChar w:fldCharType="end"/>
            </w:r>
          </w:hyperlink>
        </w:p>
        <w:p w14:paraId="3F73657B" w14:textId="49C17700" w:rsidR="00B3537C" w:rsidRPr="00B3537C" w:rsidRDefault="00B3537C">
          <w:pPr>
            <w:pStyle w:val="TOC3"/>
            <w:tabs>
              <w:tab w:val="left" w:pos="880"/>
              <w:tab w:val="right" w:leader="dot" w:pos="9350"/>
            </w:tabs>
            <w:rPr>
              <w:rFonts w:ascii="Arial" w:eastAsiaTheme="minorEastAsia" w:hAnsi="Arial" w:cs="Arial"/>
              <w:noProof/>
              <w:kern w:val="0"/>
              <w:lang w:val="en-US"/>
              <w14:ligatures w14:val="none"/>
            </w:rPr>
          </w:pPr>
          <w:hyperlink w:anchor="_Toc227926158" w:history="1">
            <w:r w:rsidRPr="00B3537C">
              <w:rPr>
                <w:rStyle w:val="Hyperlink"/>
                <w:rFonts w:ascii="Arial" w:eastAsia="Times New Roman" w:hAnsi="Arial" w:cs="Arial"/>
                <w:noProof/>
                <w:lang w:eastAsia="en-GB"/>
              </w:rPr>
              <w:t>a)</w:t>
            </w:r>
            <w:r w:rsidRPr="00B3537C">
              <w:rPr>
                <w:rFonts w:ascii="Arial" w:eastAsiaTheme="minorEastAsia" w:hAnsi="Arial" w:cs="Arial"/>
                <w:noProof/>
                <w:kern w:val="0"/>
                <w:lang w:val="en-US"/>
                <w14:ligatures w14:val="none"/>
              </w:rPr>
              <w:tab/>
            </w:r>
            <w:r w:rsidRPr="00B3537C">
              <w:rPr>
                <w:rStyle w:val="Hyperlink"/>
                <w:rFonts w:ascii="Arial" w:eastAsia="Times New Roman" w:hAnsi="Arial" w:cs="Arial"/>
                <w:noProof/>
                <w:lang w:eastAsia="en-GB"/>
              </w:rPr>
              <w:t>Hybrid inventory model</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_Toc227926158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11</w:t>
            </w:r>
            <w:r w:rsidRPr="00B3537C">
              <w:rPr>
                <w:rFonts w:ascii="Arial" w:hAnsi="Arial" w:cs="Arial"/>
                <w:noProof/>
                <w:webHidden/>
              </w:rPr>
              <w:fldChar w:fldCharType="end"/>
            </w:r>
          </w:hyperlink>
        </w:p>
        <w:p w14:paraId="490901EA" w14:textId="084AFC1B" w:rsidR="00B3537C" w:rsidRPr="00B3537C" w:rsidRDefault="00B3537C">
          <w:pPr>
            <w:pStyle w:val="TOC3"/>
            <w:tabs>
              <w:tab w:val="left" w:pos="880"/>
              <w:tab w:val="right" w:leader="dot" w:pos="9350"/>
            </w:tabs>
            <w:rPr>
              <w:rFonts w:ascii="Arial" w:eastAsiaTheme="minorEastAsia" w:hAnsi="Arial" w:cs="Arial"/>
              <w:noProof/>
              <w:kern w:val="0"/>
              <w:lang w:val="en-US"/>
              <w14:ligatures w14:val="none"/>
            </w:rPr>
          </w:pPr>
          <w:hyperlink w:anchor="_Toc227926159" w:history="1">
            <w:r w:rsidRPr="00B3537C">
              <w:rPr>
                <w:rStyle w:val="Hyperlink"/>
                <w:rFonts w:ascii="Arial" w:eastAsia="Times New Roman" w:hAnsi="Arial" w:cs="Arial"/>
                <w:noProof/>
                <w:lang w:eastAsia="en-GB"/>
              </w:rPr>
              <w:t>b)</w:t>
            </w:r>
            <w:r w:rsidRPr="00B3537C">
              <w:rPr>
                <w:rFonts w:ascii="Arial" w:eastAsiaTheme="minorEastAsia" w:hAnsi="Arial" w:cs="Arial"/>
                <w:noProof/>
                <w:kern w:val="0"/>
                <w:lang w:val="en-US"/>
                <w14:ligatures w14:val="none"/>
              </w:rPr>
              <w:tab/>
            </w:r>
            <w:r w:rsidRPr="00B3537C">
              <w:rPr>
                <w:rStyle w:val="Hyperlink"/>
                <w:rFonts w:ascii="Arial" w:eastAsia="Times New Roman" w:hAnsi="Arial" w:cs="Arial"/>
                <w:noProof/>
                <w:lang w:eastAsia="en-GB"/>
              </w:rPr>
              <w:t>Supplier Renegotiation</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_Toc227926159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12</w:t>
            </w:r>
            <w:r w:rsidRPr="00B3537C">
              <w:rPr>
                <w:rFonts w:ascii="Arial" w:hAnsi="Arial" w:cs="Arial"/>
                <w:noProof/>
                <w:webHidden/>
              </w:rPr>
              <w:fldChar w:fldCharType="end"/>
            </w:r>
          </w:hyperlink>
        </w:p>
        <w:p w14:paraId="799B4CDD" w14:textId="5CC3AF21" w:rsidR="00B3537C" w:rsidRPr="00B3537C" w:rsidRDefault="00B3537C">
          <w:pPr>
            <w:pStyle w:val="TOC3"/>
            <w:tabs>
              <w:tab w:val="left" w:pos="880"/>
              <w:tab w:val="right" w:leader="dot" w:pos="9350"/>
            </w:tabs>
            <w:rPr>
              <w:rFonts w:ascii="Arial" w:eastAsiaTheme="minorEastAsia" w:hAnsi="Arial" w:cs="Arial"/>
              <w:noProof/>
              <w:kern w:val="0"/>
              <w:lang w:val="en-US"/>
              <w14:ligatures w14:val="none"/>
            </w:rPr>
          </w:pPr>
          <w:hyperlink w:anchor="_Toc227926160" w:history="1">
            <w:r w:rsidRPr="00B3537C">
              <w:rPr>
                <w:rStyle w:val="Hyperlink"/>
                <w:rFonts w:ascii="Arial" w:eastAsia="Times New Roman" w:hAnsi="Arial" w:cs="Arial"/>
                <w:noProof/>
                <w:lang w:eastAsia="en-GB"/>
              </w:rPr>
              <w:t>c)</w:t>
            </w:r>
            <w:r w:rsidRPr="00B3537C">
              <w:rPr>
                <w:rFonts w:ascii="Arial" w:eastAsiaTheme="minorEastAsia" w:hAnsi="Arial" w:cs="Arial"/>
                <w:noProof/>
                <w:kern w:val="0"/>
                <w:lang w:val="en-US"/>
                <w14:ligatures w14:val="none"/>
              </w:rPr>
              <w:tab/>
            </w:r>
            <w:r w:rsidRPr="00B3537C">
              <w:rPr>
                <w:rStyle w:val="Hyperlink"/>
                <w:rFonts w:ascii="Arial" w:eastAsia="Times New Roman" w:hAnsi="Arial" w:cs="Arial"/>
                <w:noProof/>
                <w:lang w:eastAsia="en-GB"/>
              </w:rPr>
              <w:t>Faster Receivables Collection</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_Toc227926160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12</w:t>
            </w:r>
            <w:r w:rsidRPr="00B3537C">
              <w:rPr>
                <w:rFonts w:ascii="Arial" w:hAnsi="Arial" w:cs="Arial"/>
                <w:noProof/>
                <w:webHidden/>
              </w:rPr>
              <w:fldChar w:fldCharType="end"/>
            </w:r>
          </w:hyperlink>
        </w:p>
        <w:p w14:paraId="55E0B8D7" w14:textId="36437D70"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61" w:history="1">
            <w:r w:rsidRPr="00B3537C">
              <w:rPr>
                <w:rStyle w:val="Hyperlink"/>
                <w:rFonts w:ascii="Arial" w:hAnsi="Arial" w:cs="Arial"/>
                <w:noProof/>
              </w:rPr>
              <w:t>2.4 Financing Options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_Toc227926161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12</w:t>
            </w:r>
            <w:r w:rsidRPr="00B3537C">
              <w:rPr>
                <w:rFonts w:ascii="Arial" w:hAnsi="Arial" w:cs="Arial"/>
                <w:noProof/>
                <w:webHidden/>
              </w:rPr>
              <w:fldChar w:fldCharType="end"/>
            </w:r>
          </w:hyperlink>
        </w:p>
        <w:p w14:paraId="291FE201" w14:textId="065B314D" w:rsidR="00B3537C" w:rsidRPr="00B3537C" w:rsidRDefault="00B3537C">
          <w:pPr>
            <w:pStyle w:val="TOC3"/>
            <w:tabs>
              <w:tab w:val="right" w:leader="dot" w:pos="9350"/>
            </w:tabs>
            <w:rPr>
              <w:rFonts w:ascii="Arial" w:eastAsiaTheme="minorEastAsia" w:hAnsi="Arial" w:cs="Arial"/>
              <w:noProof/>
              <w:kern w:val="0"/>
              <w:lang w:val="en-US"/>
              <w14:ligatures w14:val="none"/>
            </w:rPr>
          </w:pPr>
          <w:hyperlink w:anchor="_Toc227926162" w:history="1">
            <w:r w:rsidRPr="00B3537C">
              <w:rPr>
                <w:rStyle w:val="Hyperlink"/>
                <w:rFonts w:ascii="Arial" w:eastAsia="Times New Roman" w:hAnsi="Arial" w:cs="Arial"/>
                <w:noProof/>
                <w:lang w:eastAsia="en-GB"/>
              </w:rPr>
              <w:t>Short-Term Financing</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_Toc227926162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13</w:t>
            </w:r>
            <w:r w:rsidRPr="00B3537C">
              <w:rPr>
                <w:rFonts w:ascii="Arial" w:hAnsi="Arial" w:cs="Arial"/>
                <w:noProof/>
                <w:webHidden/>
              </w:rPr>
              <w:fldChar w:fldCharType="end"/>
            </w:r>
          </w:hyperlink>
        </w:p>
        <w:p w14:paraId="472E084B" w14:textId="74CF48ED" w:rsidR="00B3537C" w:rsidRPr="00B3537C" w:rsidRDefault="00B3537C">
          <w:pPr>
            <w:pStyle w:val="TOC3"/>
            <w:tabs>
              <w:tab w:val="right" w:leader="dot" w:pos="9350"/>
            </w:tabs>
            <w:rPr>
              <w:rFonts w:ascii="Arial" w:eastAsiaTheme="minorEastAsia" w:hAnsi="Arial" w:cs="Arial"/>
              <w:noProof/>
              <w:kern w:val="0"/>
              <w:lang w:val="en-US"/>
              <w14:ligatures w14:val="none"/>
            </w:rPr>
          </w:pPr>
          <w:hyperlink w:anchor="_Toc227926163" w:history="1">
            <w:r w:rsidRPr="00B3537C">
              <w:rPr>
                <w:rStyle w:val="Hyperlink"/>
                <w:rFonts w:ascii="Arial" w:eastAsia="Times New Roman" w:hAnsi="Arial" w:cs="Arial"/>
                <w:noProof/>
                <w:lang w:eastAsia="en-GB"/>
              </w:rPr>
              <w:t>Long-Term Financing</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_Toc227926163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13</w:t>
            </w:r>
            <w:r w:rsidRPr="00B3537C">
              <w:rPr>
                <w:rFonts w:ascii="Arial" w:hAnsi="Arial" w:cs="Arial"/>
                <w:noProof/>
                <w:webHidden/>
              </w:rPr>
              <w:fldChar w:fldCharType="end"/>
            </w:r>
          </w:hyperlink>
        </w:p>
        <w:p w14:paraId="4C010D79" w14:textId="29FF0B70"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64" w:history="1">
            <w:r w:rsidRPr="00B3537C">
              <w:rPr>
                <w:rStyle w:val="Hyperlink"/>
                <w:rFonts w:ascii="Arial" w:hAnsi="Arial" w:cs="Arial"/>
                <w:noProof/>
              </w:rPr>
              <w:t>Comparison: Cost, Risk, and Flexibility</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_Toc227926164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14</w:t>
            </w:r>
            <w:r w:rsidRPr="00B3537C">
              <w:rPr>
                <w:rFonts w:ascii="Arial" w:hAnsi="Arial" w:cs="Arial"/>
                <w:noProof/>
                <w:webHidden/>
              </w:rPr>
              <w:fldChar w:fldCharType="end"/>
            </w:r>
          </w:hyperlink>
        </w:p>
        <w:p w14:paraId="5F6EA7D5" w14:textId="23FB9ED4" w:rsidR="00B3537C" w:rsidRPr="00B3537C" w:rsidRDefault="00B3537C">
          <w:pPr>
            <w:pStyle w:val="TOC1"/>
            <w:tabs>
              <w:tab w:val="right" w:leader="dot" w:pos="9350"/>
            </w:tabs>
            <w:rPr>
              <w:rFonts w:ascii="Arial" w:eastAsiaTheme="minorEastAsia" w:hAnsi="Arial" w:cs="Arial"/>
              <w:noProof/>
              <w:kern w:val="0"/>
              <w:lang w:val="en-US"/>
              <w14:ligatures w14:val="none"/>
            </w:rPr>
          </w:pPr>
          <w:hyperlink w:anchor="_Toc227926165" w:history="1">
            <w:r w:rsidRPr="00B3537C">
              <w:rPr>
                <w:rStyle w:val="Hyperlink"/>
                <w:rFonts w:ascii="Arial" w:hAnsi="Arial" w:cs="Arial"/>
                <w:noProof/>
              </w:rPr>
              <w:t>SECTION 3: Strategic Financial Restructuring Plan</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_Toc227926165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15</w:t>
            </w:r>
            <w:r w:rsidRPr="00B3537C">
              <w:rPr>
                <w:rFonts w:ascii="Arial" w:hAnsi="Arial" w:cs="Arial"/>
                <w:noProof/>
                <w:webHidden/>
              </w:rPr>
              <w:fldChar w:fldCharType="end"/>
            </w:r>
          </w:hyperlink>
        </w:p>
        <w:p w14:paraId="33297E28" w14:textId="02AEF369"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66" w:history="1">
            <w:r w:rsidRPr="00B3537C">
              <w:rPr>
                <w:rStyle w:val="Hyperlink"/>
                <w:rFonts w:ascii="Arial" w:hAnsi="Arial" w:cs="Arial"/>
                <w:noProof/>
              </w:rPr>
              <w:t>3.1 Identified Problems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_Toc227926166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15</w:t>
            </w:r>
            <w:r w:rsidRPr="00B3537C">
              <w:rPr>
                <w:rFonts w:ascii="Arial" w:hAnsi="Arial" w:cs="Arial"/>
                <w:noProof/>
                <w:webHidden/>
              </w:rPr>
              <w:fldChar w:fldCharType="end"/>
            </w:r>
          </w:hyperlink>
        </w:p>
        <w:p w14:paraId="59D98DF6" w14:textId="5E4C5E55"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67" w:history="1">
            <w:r w:rsidRPr="00B3537C">
              <w:rPr>
                <w:rStyle w:val="Hyperlink"/>
                <w:rFonts w:ascii="Arial" w:hAnsi="Arial" w:cs="Arial"/>
                <w:noProof/>
              </w:rPr>
              <w:t>3.2 Recommended Strategies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_Toc227926167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15</w:t>
            </w:r>
            <w:r w:rsidRPr="00B3537C">
              <w:rPr>
                <w:rFonts w:ascii="Arial" w:hAnsi="Arial" w:cs="Arial"/>
                <w:noProof/>
                <w:webHidden/>
              </w:rPr>
              <w:fldChar w:fldCharType="end"/>
            </w:r>
          </w:hyperlink>
        </w:p>
        <w:p w14:paraId="0A27F082" w14:textId="410C216F" w:rsidR="00B3537C" w:rsidRPr="00B3537C" w:rsidRDefault="00B3537C">
          <w:pPr>
            <w:pStyle w:val="TOC3"/>
            <w:tabs>
              <w:tab w:val="right" w:leader="dot" w:pos="9350"/>
            </w:tabs>
            <w:rPr>
              <w:rFonts w:ascii="Arial" w:eastAsiaTheme="minorEastAsia" w:hAnsi="Arial" w:cs="Arial"/>
              <w:noProof/>
              <w:kern w:val="0"/>
              <w:lang w:val="en-US"/>
              <w14:ligatures w14:val="none"/>
            </w:rPr>
          </w:pPr>
          <w:hyperlink w:anchor="_Toc227926168" w:history="1">
            <w:r w:rsidRPr="00B3537C">
              <w:rPr>
                <w:rStyle w:val="Hyperlink"/>
                <w:rFonts w:ascii="Arial" w:eastAsia="Times New Roman" w:hAnsi="Arial" w:cs="Arial"/>
                <w:noProof/>
                <w:lang w:eastAsia="en-GB"/>
              </w:rPr>
              <w:t>a) Divestiture</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_Toc227926168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16</w:t>
            </w:r>
            <w:r w:rsidRPr="00B3537C">
              <w:rPr>
                <w:rFonts w:ascii="Arial" w:hAnsi="Arial" w:cs="Arial"/>
                <w:noProof/>
                <w:webHidden/>
              </w:rPr>
              <w:fldChar w:fldCharType="end"/>
            </w:r>
          </w:hyperlink>
        </w:p>
        <w:p w14:paraId="39427269" w14:textId="14B539C9" w:rsidR="00B3537C" w:rsidRPr="00B3537C" w:rsidRDefault="00B3537C">
          <w:pPr>
            <w:pStyle w:val="TOC3"/>
            <w:tabs>
              <w:tab w:val="right" w:leader="dot" w:pos="9350"/>
            </w:tabs>
            <w:rPr>
              <w:rFonts w:ascii="Arial" w:eastAsiaTheme="minorEastAsia" w:hAnsi="Arial" w:cs="Arial"/>
              <w:noProof/>
              <w:kern w:val="0"/>
              <w:lang w:val="en-US"/>
              <w14:ligatures w14:val="none"/>
            </w:rPr>
          </w:pPr>
          <w:hyperlink w:anchor="_Toc227926169" w:history="1">
            <w:r w:rsidRPr="00B3537C">
              <w:rPr>
                <w:rStyle w:val="Hyperlink"/>
                <w:rFonts w:ascii="Arial" w:eastAsia="Times New Roman" w:hAnsi="Arial" w:cs="Arial"/>
                <w:noProof/>
                <w:lang w:eastAsia="en-GB"/>
              </w:rPr>
              <w:t>b) Equity Injection</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_Toc227926169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16</w:t>
            </w:r>
            <w:r w:rsidRPr="00B3537C">
              <w:rPr>
                <w:rFonts w:ascii="Arial" w:hAnsi="Arial" w:cs="Arial"/>
                <w:noProof/>
                <w:webHidden/>
              </w:rPr>
              <w:fldChar w:fldCharType="end"/>
            </w:r>
          </w:hyperlink>
        </w:p>
        <w:p w14:paraId="452BEF0D" w14:textId="2355343D" w:rsidR="00B3537C" w:rsidRPr="00B3537C" w:rsidRDefault="00B3537C">
          <w:pPr>
            <w:pStyle w:val="TOC3"/>
            <w:tabs>
              <w:tab w:val="right" w:leader="dot" w:pos="9350"/>
            </w:tabs>
            <w:rPr>
              <w:rFonts w:ascii="Arial" w:eastAsiaTheme="minorEastAsia" w:hAnsi="Arial" w:cs="Arial"/>
              <w:noProof/>
              <w:kern w:val="0"/>
              <w:lang w:val="en-US"/>
              <w14:ligatures w14:val="none"/>
            </w:rPr>
          </w:pPr>
          <w:hyperlink w:anchor="_Toc227926170" w:history="1">
            <w:r w:rsidRPr="00B3537C">
              <w:rPr>
                <w:rStyle w:val="Hyperlink"/>
                <w:rFonts w:ascii="Arial" w:eastAsia="Times New Roman" w:hAnsi="Arial" w:cs="Arial"/>
                <w:noProof/>
                <w:lang w:eastAsia="en-GB"/>
              </w:rPr>
              <w:t>c) Debt Restructuring</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_Toc227926170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16</w:t>
            </w:r>
            <w:r w:rsidRPr="00B3537C">
              <w:rPr>
                <w:rFonts w:ascii="Arial" w:hAnsi="Arial" w:cs="Arial"/>
                <w:noProof/>
                <w:webHidden/>
              </w:rPr>
              <w:fldChar w:fldCharType="end"/>
            </w:r>
          </w:hyperlink>
        </w:p>
        <w:p w14:paraId="417E9572" w14:textId="3E6F85EF" w:rsidR="00B3537C" w:rsidRPr="00B3537C" w:rsidRDefault="00B3537C">
          <w:pPr>
            <w:pStyle w:val="TOC3"/>
            <w:tabs>
              <w:tab w:val="right" w:leader="dot" w:pos="9350"/>
            </w:tabs>
            <w:rPr>
              <w:rFonts w:ascii="Arial" w:eastAsiaTheme="minorEastAsia" w:hAnsi="Arial" w:cs="Arial"/>
              <w:noProof/>
              <w:kern w:val="0"/>
              <w:lang w:val="en-US"/>
              <w14:ligatures w14:val="none"/>
            </w:rPr>
          </w:pPr>
          <w:hyperlink w:anchor="_Toc227926171" w:history="1">
            <w:r w:rsidRPr="00B3537C">
              <w:rPr>
                <w:rStyle w:val="Hyperlink"/>
                <w:rFonts w:ascii="Arial" w:hAnsi="Arial" w:cs="Arial"/>
                <w:noProof/>
                <w:lang w:eastAsia="en-GB"/>
              </w:rPr>
              <w:t>d) Strategic alliances / Mergers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_Toc227926171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17</w:t>
            </w:r>
            <w:r w:rsidRPr="00B3537C">
              <w:rPr>
                <w:rFonts w:ascii="Arial" w:hAnsi="Arial" w:cs="Arial"/>
                <w:noProof/>
                <w:webHidden/>
              </w:rPr>
              <w:fldChar w:fldCharType="end"/>
            </w:r>
          </w:hyperlink>
        </w:p>
        <w:p w14:paraId="30381A72" w14:textId="218501DC"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72" w:history="1">
            <w:r w:rsidRPr="00B3537C">
              <w:rPr>
                <w:rStyle w:val="Hyperlink"/>
                <w:rFonts w:ascii="Arial" w:hAnsi="Arial" w:cs="Arial"/>
                <w:noProof/>
              </w:rPr>
              <w:t>3.3 Impact Analysis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_Toc227926172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17</w:t>
            </w:r>
            <w:r w:rsidRPr="00B3537C">
              <w:rPr>
                <w:rFonts w:ascii="Arial" w:hAnsi="Arial" w:cs="Arial"/>
                <w:noProof/>
                <w:webHidden/>
              </w:rPr>
              <w:fldChar w:fldCharType="end"/>
            </w:r>
          </w:hyperlink>
        </w:p>
        <w:p w14:paraId="735B4DB2" w14:textId="561F0A48" w:rsidR="00B3537C" w:rsidRPr="00B3537C" w:rsidRDefault="00B3537C">
          <w:pPr>
            <w:pStyle w:val="TOC3"/>
            <w:tabs>
              <w:tab w:val="left" w:pos="880"/>
              <w:tab w:val="right" w:leader="dot" w:pos="9350"/>
            </w:tabs>
            <w:rPr>
              <w:rFonts w:ascii="Arial" w:eastAsiaTheme="minorEastAsia" w:hAnsi="Arial" w:cs="Arial"/>
              <w:noProof/>
              <w:kern w:val="0"/>
              <w:lang w:val="en-US"/>
              <w14:ligatures w14:val="none"/>
            </w:rPr>
          </w:pPr>
          <w:hyperlink w:anchor="_Toc227926173" w:history="1">
            <w:r w:rsidRPr="00B3537C">
              <w:rPr>
                <w:rStyle w:val="Hyperlink"/>
                <w:rFonts w:ascii="Arial" w:eastAsia="Times New Roman" w:hAnsi="Arial" w:cs="Arial"/>
                <w:noProof/>
                <w:lang w:eastAsia="en-GB"/>
              </w:rPr>
              <w:t>a)</w:t>
            </w:r>
            <w:r w:rsidRPr="00B3537C">
              <w:rPr>
                <w:rFonts w:ascii="Arial" w:eastAsiaTheme="minorEastAsia" w:hAnsi="Arial" w:cs="Arial"/>
                <w:noProof/>
                <w:kern w:val="0"/>
                <w:lang w:val="en-US"/>
                <w14:ligatures w14:val="none"/>
              </w:rPr>
              <w:tab/>
            </w:r>
            <w:r w:rsidRPr="00B3537C">
              <w:rPr>
                <w:rStyle w:val="Hyperlink"/>
                <w:rFonts w:ascii="Arial" w:eastAsia="Times New Roman" w:hAnsi="Arial" w:cs="Arial"/>
                <w:noProof/>
                <w:lang w:eastAsia="en-GB"/>
              </w:rPr>
              <w:t>Shareholder Value</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_Toc227926173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17</w:t>
            </w:r>
            <w:r w:rsidRPr="00B3537C">
              <w:rPr>
                <w:rFonts w:ascii="Arial" w:hAnsi="Arial" w:cs="Arial"/>
                <w:noProof/>
                <w:webHidden/>
              </w:rPr>
              <w:fldChar w:fldCharType="end"/>
            </w:r>
          </w:hyperlink>
        </w:p>
        <w:p w14:paraId="10C08E0B" w14:textId="1E85069E" w:rsidR="00B3537C" w:rsidRPr="00B3537C" w:rsidRDefault="00B3537C">
          <w:pPr>
            <w:pStyle w:val="TOC3"/>
            <w:tabs>
              <w:tab w:val="left" w:pos="880"/>
              <w:tab w:val="right" w:leader="dot" w:pos="9350"/>
            </w:tabs>
            <w:rPr>
              <w:rFonts w:ascii="Arial" w:eastAsiaTheme="minorEastAsia" w:hAnsi="Arial" w:cs="Arial"/>
              <w:noProof/>
              <w:kern w:val="0"/>
              <w:lang w:val="en-US"/>
              <w14:ligatures w14:val="none"/>
            </w:rPr>
          </w:pPr>
          <w:hyperlink w:anchor="_Toc227926174" w:history="1">
            <w:r w:rsidRPr="00B3537C">
              <w:rPr>
                <w:rStyle w:val="Hyperlink"/>
                <w:rFonts w:ascii="Arial" w:eastAsia="Times New Roman" w:hAnsi="Arial" w:cs="Arial"/>
                <w:noProof/>
                <w:lang w:eastAsia="en-GB"/>
              </w:rPr>
              <w:t>b)</w:t>
            </w:r>
            <w:r w:rsidRPr="00B3537C">
              <w:rPr>
                <w:rFonts w:ascii="Arial" w:eastAsiaTheme="minorEastAsia" w:hAnsi="Arial" w:cs="Arial"/>
                <w:noProof/>
                <w:kern w:val="0"/>
                <w:lang w:val="en-US"/>
                <w14:ligatures w14:val="none"/>
              </w:rPr>
              <w:tab/>
            </w:r>
            <w:r w:rsidRPr="00B3537C">
              <w:rPr>
                <w:rStyle w:val="Hyperlink"/>
                <w:rFonts w:ascii="Arial" w:eastAsia="Times New Roman" w:hAnsi="Arial" w:cs="Arial"/>
                <w:noProof/>
                <w:lang w:eastAsia="en-GB"/>
              </w:rPr>
              <w:t>Debt Structure</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_Toc227926174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18</w:t>
            </w:r>
            <w:r w:rsidRPr="00B3537C">
              <w:rPr>
                <w:rFonts w:ascii="Arial" w:hAnsi="Arial" w:cs="Arial"/>
                <w:noProof/>
                <w:webHidden/>
              </w:rPr>
              <w:fldChar w:fldCharType="end"/>
            </w:r>
          </w:hyperlink>
        </w:p>
        <w:p w14:paraId="4615F085" w14:textId="2AC789F9" w:rsidR="00B3537C" w:rsidRPr="00B3537C" w:rsidRDefault="00B3537C">
          <w:pPr>
            <w:pStyle w:val="TOC3"/>
            <w:tabs>
              <w:tab w:val="left" w:pos="880"/>
              <w:tab w:val="right" w:leader="dot" w:pos="9350"/>
            </w:tabs>
            <w:rPr>
              <w:rFonts w:ascii="Arial" w:eastAsiaTheme="minorEastAsia" w:hAnsi="Arial" w:cs="Arial"/>
              <w:noProof/>
              <w:kern w:val="0"/>
              <w:lang w:val="en-US"/>
              <w14:ligatures w14:val="none"/>
            </w:rPr>
          </w:pPr>
          <w:hyperlink w:anchor="_Toc227926175" w:history="1">
            <w:r w:rsidRPr="00B3537C">
              <w:rPr>
                <w:rStyle w:val="Hyperlink"/>
                <w:rFonts w:ascii="Arial" w:eastAsia="Times New Roman" w:hAnsi="Arial" w:cs="Arial"/>
                <w:noProof/>
                <w:lang w:eastAsia="en-GB"/>
              </w:rPr>
              <w:t>c)</w:t>
            </w:r>
            <w:r w:rsidRPr="00B3537C">
              <w:rPr>
                <w:rFonts w:ascii="Arial" w:eastAsiaTheme="minorEastAsia" w:hAnsi="Arial" w:cs="Arial"/>
                <w:noProof/>
                <w:kern w:val="0"/>
                <w:lang w:val="en-US"/>
                <w14:ligatures w14:val="none"/>
              </w:rPr>
              <w:tab/>
            </w:r>
            <w:r w:rsidRPr="00B3537C">
              <w:rPr>
                <w:rStyle w:val="Hyperlink"/>
                <w:rFonts w:ascii="Arial" w:eastAsia="Times New Roman" w:hAnsi="Arial" w:cs="Arial"/>
                <w:noProof/>
                <w:lang w:eastAsia="en-GB"/>
              </w:rPr>
              <w:t>Operational Flexibility</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_Toc227926175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18</w:t>
            </w:r>
            <w:r w:rsidRPr="00B3537C">
              <w:rPr>
                <w:rFonts w:ascii="Arial" w:hAnsi="Arial" w:cs="Arial"/>
                <w:noProof/>
                <w:webHidden/>
              </w:rPr>
              <w:fldChar w:fldCharType="end"/>
            </w:r>
          </w:hyperlink>
        </w:p>
        <w:p w14:paraId="52B904D1" w14:textId="7733838E"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76" w:history="1">
            <w:r w:rsidRPr="00B3537C">
              <w:rPr>
                <w:rStyle w:val="Hyperlink"/>
                <w:rFonts w:ascii="Arial" w:hAnsi="Arial" w:cs="Arial"/>
                <w:noProof/>
              </w:rPr>
              <w:t>3.4 International &amp; Ethical Considerations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_Toc227926176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18</w:t>
            </w:r>
            <w:r w:rsidRPr="00B3537C">
              <w:rPr>
                <w:rFonts w:ascii="Arial" w:hAnsi="Arial" w:cs="Arial"/>
                <w:noProof/>
                <w:webHidden/>
              </w:rPr>
              <w:fldChar w:fldCharType="end"/>
            </w:r>
          </w:hyperlink>
        </w:p>
        <w:p w14:paraId="1EFAB259" w14:textId="44D99F6E" w:rsidR="00B3537C" w:rsidRPr="00B3537C" w:rsidRDefault="00B3537C">
          <w:pPr>
            <w:pStyle w:val="TOC3"/>
            <w:tabs>
              <w:tab w:val="left" w:pos="880"/>
              <w:tab w:val="right" w:leader="dot" w:pos="9350"/>
            </w:tabs>
            <w:rPr>
              <w:rFonts w:ascii="Arial" w:eastAsiaTheme="minorEastAsia" w:hAnsi="Arial" w:cs="Arial"/>
              <w:noProof/>
              <w:kern w:val="0"/>
              <w:lang w:val="en-US"/>
              <w14:ligatures w14:val="none"/>
            </w:rPr>
          </w:pPr>
          <w:hyperlink w:anchor="_Toc227926177" w:history="1">
            <w:r w:rsidRPr="00B3537C">
              <w:rPr>
                <w:rStyle w:val="Hyperlink"/>
                <w:rFonts w:ascii="Arial" w:eastAsia="Times New Roman" w:hAnsi="Arial" w:cs="Arial"/>
                <w:noProof/>
                <w:lang w:eastAsia="en-GB"/>
              </w:rPr>
              <w:t>a)</w:t>
            </w:r>
            <w:r w:rsidRPr="00B3537C">
              <w:rPr>
                <w:rFonts w:ascii="Arial" w:eastAsiaTheme="minorEastAsia" w:hAnsi="Arial" w:cs="Arial"/>
                <w:noProof/>
                <w:kern w:val="0"/>
                <w:lang w:val="en-US"/>
                <w14:ligatures w14:val="none"/>
              </w:rPr>
              <w:tab/>
            </w:r>
            <w:r w:rsidRPr="00B3537C">
              <w:rPr>
                <w:rStyle w:val="Hyperlink"/>
                <w:rFonts w:ascii="Arial" w:eastAsia="Times New Roman" w:hAnsi="Arial" w:cs="Arial"/>
                <w:noProof/>
                <w:lang w:eastAsia="en-GB"/>
              </w:rPr>
              <w:t>Currency Risk:</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_Toc227926177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18</w:t>
            </w:r>
            <w:r w:rsidRPr="00B3537C">
              <w:rPr>
                <w:rFonts w:ascii="Arial" w:hAnsi="Arial" w:cs="Arial"/>
                <w:noProof/>
                <w:webHidden/>
              </w:rPr>
              <w:fldChar w:fldCharType="end"/>
            </w:r>
          </w:hyperlink>
        </w:p>
        <w:p w14:paraId="1298D3CE" w14:textId="2CFFE551" w:rsidR="00B3537C" w:rsidRPr="00B3537C" w:rsidRDefault="00B3537C">
          <w:pPr>
            <w:pStyle w:val="TOC3"/>
            <w:tabs>
              <w:tab w:val="left" w:pos="880"/>
              <w:tab w:val="right" w:leader="dot" w:pos="9350"/>
            </w:tabs>
            <w:rPr>
              <w:rFonts w:ascii="Arial" w:eastAsiaTheme="minorEastAsia" w:hAnsi="Arial" w:cs="Arial"/>
              <w:noProof/>
              <w:kern w:val="0"/>
              <w:lang w:val="en-US"/>
              <w14:ligatures w14:val="none"/>
            </w:rPr>
          </w:pPr>
          <w:hyperlink w:anchor="_Toc227926178" w:history="1">
            <w:r w:rsidRPr="00B3537C">
              <w:rPr>
                <w:rStyle w:val="Hyperlink"/>
                <w:rFonts w:ascii="Arial" w:eastAsia="Times New Roman" w:hAnsi="Arial" w:cs="Arial"/>
                <w:noProof/>
                <w:lang w:eastAsia="en-GB"/>
              </w:rPr>
              <w:t>b)</w:t>
            </w:r>
            <w:r w:rsidRPr="00B3537C">
              <w:rPr>
                <w:rFonts w:ascii="Arial" w:eastAsiaTheme="minorEastAsia" w:hAnsi="Arial" w:cs="Arial"/>
                <w:noProof/>
                <w:kern w:val="0"/>
                <w:lang w:val="en-US"/>
                <w14:ligatures w14:val="none"/>
              </w:rPr>
              <w:tab/>
            </w:r>
            <w:r w:rsidRPr="00B3537C">
              <w:rPr>
                <w:rStyle w:val="Hyperlink"/>
                <w:rFonts w:ascii="Arial" w:eastAsia="Times New Roman" w:hAnsi="Arial" w:cs="Arial"/>
                <w:noProof/>
                <w:lang w:eastAsia="en-GB"/>
              </w:rPr>
              <w:t>Inflation:</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_Toc227926178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19</w:t>
            </w:r>
            <w:r w:rsidRPr="00B3537C">
              <w:rPr>
                <w:rFonts w:ascii="Arial" w:hAnsi="Arial" w:cs="Arial"/>
                <w:noProof/>
                <w:webHidden/>
              </w:rPr>
              <w:fldChar w:fldCharType="end"/>
            </w:r>
          </w:hyperlink>
        </w:p>
        <w:p w14:paraId="0C0246A7" w14:textId="14153680" w:rsidR="00B3537C" w:rsidRPr="00B3537C" w:rsidRDefault="00B3537C">
          <w:pPr>
            <w:pStyle w:val="TOC3"/>
            <w:tabs>
              <w:tab w:val="left" w:pos="880"/>
              <w:tab w:val="right" w:leader="dot" w:pos="9350"/>
            </w:tabs>
            <w:rPr>
              <w:rFonts w:ascii="Arial" w:eastAsiaTheme="minorEastAsia" w:hAnsi="Arial" w:cs="Arial"/>
              <w:noProof/>
              <w:kern w:val="0"/>
              <w:lang w:val="en-US"/>
              <w14:ligatures w14:val="none"/>
            </w:rPr>
          </w:pPr>
          <w:hyperlink w:anchor="_Toc227926179" w:history="1">
            <w:r w:rsidRPr="00B3537C">
              <w:rPr>
                <w:rStyle w:val="Hyperlink"/>
                <w:rFonts w:ascii="Arial" w:eastAsia="Times New Roman" w:hAnsi="Arial" w:cs="Arial"/>
                <w:noProof/>
                <w:lang w:eastAsia="en-GB"/>
              </w:rPr>
              <w:t>c)</w:t>
            </w:r>
            <w:r w:rsidRPr="00B3537C">
              <w:rPr>
                <w:rFonts w:ascii="Arial" w:eastAsiaTheme="minorEastAsia" w:hAnsi="Arial" w:cs="Arial"/>
                <w:noProof/>
                <w:kern w:val="0"/>
                <w:lang w:val="en-US"/>
                <w14:ligatures w14:val="none"/>
              </w:rPr>
              <w:tab/>
            </w:r>
            <w:r w:rsidRPr="00B3537C">
              <w:rPr>
                <w:rStyle w:val="Hyperlink"/>
                <w:rFonts w:ascii="Arial" w:eastAsia="Times New Roman" w:hAnsi="Arial" w:cs="Arial"/>
                <w:noProof/>
                <w:lang w:eastAsia="en-GB"/>
              </w:rPr>
              <w:t>Taxation:</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_Toc227926179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19</w:t>
            </w:r>
            <w:r w:rsidRPr="00B3537C">
              <w:rPr>
                <w:rFonts w:ascii="Arial" w:hAnsi="Arial" w:cs="Arial"/>
                <w:noProof/>
                <w:webHidden/>
              </w:rPr>
              <w:fldChar w:fldCharType="end"/>
            </w:r>
          </w:hyperlink>
        </w:p>
        <w:p w14:paraId="4E5D2CB7" w14:textId="57C916C3" w:rsidR="00B3537C" w:rsidRPr="00B3537C" w:rsidRDefault="00B3537C">
          <w:pPr>
            <w:pStyle w:val="TOC3"/>
            <w:tabs>
              <w:tab w:val="right" w:leader="dot" w:pos="9350"/>
            </w:tabs>
            <w:rPr>
              <w:rFonts w:ascii="Arial" w:eastAsiaTheme="minorEastAsia" w:hAnsi="Arial" w:cs="Arial"/>
              <w:noProof/>
              <w:kern w:val="0"/>
              <w:lang w:val="en-US"/>
              <w14:ligatures w14:val="none"/>
            </w:rPr>
          </w:pPr>
          <w:hyperlink w:anchor="_Toc227926180" w:history="1">
            <w:r w:rsidRPr="00B3537C">
              <w:rPr>
                <w:rStyle w:val="Hyperlink"/>
                <w:rFonts w:ascii="Arial" w:eastAsia="Times New Roman" w:hAnsi="Arial" w:cs="Arial"/>
                <w:noProof/>
                <w:lang w:eastAsia="en-GB"/>
              </w:rPr>
              <w:t>ESG and CSR Reflection:</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_Toc227926180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19</w:t>
            </w:r>
            <w:r w:rsidRPr="00B3537C">
              <w:rPr>
                <w:rFonts w:ascii="Arial" w:hAnsi="Arial" w:cs="Arial"/>
                <w:noProof/>
                <w:webHidden/>
              </w:rPr>
              <w:fldChar w:fldCharType="end"/>
            </w:r>
          </w:hyperlink>
        </w:p>
        <w:p w14:paraId="67893D39" w14:textId="6D3DD294" w:rsidR="00B3537C" w:rsidRPr="00B3537C" w:rsidRDefault="00B3537C">
          <w:pPr>
            <w:pStyle w:val="TOC1"/>
            <w:tabs>
              <w:tab w:val="right" w:leader="dot" w:pos="9350"/>
            </w:tabs>
            <w:rPr>
              <w:rFonts w:ascii="Arial" w:eastAsiaTheme="minorEastAsia" w:hAnsi="Arial" w:cs="Arial"/>
              <w:noProof/>
              <w:kern w:val="0"/>
              <w:lang w:val="en-US"/>
              <w14:ligatures w14:val="none"/>
            </w:rPr>
          </w:pPr>
          <w:hyperlink w:anchor="_Toc227926181" w:history="1">
            <w:r w:rsidRPr="00B3537C">
              <w:rPr>
                <w:rStyle w:val="Hyperlink"/>
                <w:rFonts w:ascii="Arial" w:hAnsi="Arial" w:cs="Arial"/>
                <w:noProof/>
              </w:rPr>
              <w:t>SECTION 4: Investment Appraisal &amp; Capital Budgeting</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_Toc227926181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20</w:t>
            </w:r>
            <w:r w:rsidRPr="00B3537C">
              <w:rPr>
                <w:rFonts w:ascii="Arial" w:hAnsi="Arial" w:cs="Arial"/>
                <w:noProof/>
                <w:webHidden/>
              </w:rPr>
              <w:fldChar w:fldCharType="end"/>
            </w:r>
          </w:hyperlink>
        </w:p>
        <w:p w14:paraId="16FE9E42" w14:textId="28771CCF"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82" w:history="1">
            <w:r w:rsidRPr="00B3537C">
              <w:rPr>
                <w:rStyle w:val="Hyperlink"/>
                <w:rFonts w:ascii="Arial" w:hAnsi="Arial" w:cs="Arial"/>
                <w:noProof/>
              </w:rPr>
              <w:t>4.1 Overview of Projects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_Toc227926182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20</w:t>
            </w:r>
            <w:r w:rsidRPr="00B3537C">
              <w:rPr>
                <w:rFonts w:ascii="Arial" w:hAnsi="Arial" w:cs="Arial"/>
                <w:noProof/>
                <w:webHidden/>
              </w:rPr>
              <w:fldChar w:fldCharType="end"/>
            </w:r>
          </w:hyperlink>
        </w:p>
        <w:p w14:paraId="410A08B1" w14:textId="6CA8730B"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83" w:history="1">
            <w:r w:rsidRPr="00B3537C">
              <w:rPr>
                <w:rStyle w:val="Hyperlink"/>
                <w:rFonts w:ascii="Arial" w:hAnsi="Arial" w:cs="Arial"/>
                <w:noProof/>
              </w:rPr>
              <w:t>4.2 Calculation Methods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_Toc227926183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20</w:t>
            </w:r>
            <w:r w:rsidRPr="00B3537C">
              <w:rPr>
                <w:rFonts w:ascii="Arial" w:hAnsi="Arial" w:cs="Arial"/>
                <w:noProof/>
                <w:webHidden/>
              </w:rPr>
              <w:fldChar w:fldCharType="end"/>
            </w:r>
          </w:hyperlink>
        </w:p>
        <w:p w14:paraId="38FC496A" w14:textId="43DD777B"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84" w:history="1">
            <w:r w:rsidRPr="00B3537C">
              <w:rPr>
                <w:rStyle w:val="Hyperlink"/>
                <w:rFonts w:ascii="Arial" w:hAnsi="Arial" w:cs="Arial"/>
                <w:noProof/>
              </w:rPr>
              <w:t>4.3 Project Evaluation</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_Toc227926184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21</w:t>
            </w:r>
            <w:r w:rsidRPr="00B3537C">
              <w:rPr>
                <w:rFonts w:ascii="Arial" w:hAnsi="Arial" w:cs="Arial"/>
                <w:noProof/>
                <w:webHidden/>
              </w:rPr>
              <w:fldChar w:fldCharType="end"/>
            </w:r>
          </w:hyperlink>
        </w:p>
        <w:p w14:paraId="41993C8D" w14:textId="5F5DAC8C"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85" w:history="1">
            <w:r w:rsidRPr="00B3537C">
              <w:rPr>
                <w:rStyle w:val="Hyperlink"/>
                <w:rFonts w:ascii="Arial" w:hAnsi="Arial" w:cs="Arial"/>
                <w:noProof/>
              </w:rPr>
              <w:t>4.4 Recommendation of One Project</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_Toc227926185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22</w:t>
            </w:r>
            <w:r w:rsidRPr="00B3537C">
              <w:rPr>
                <w:rFonts w:ascii="Arial" w:hAnsi="Arial" w:cs="Arial"/>
                <w:noProof/>
                <w:webHidden/>
              </w:rPr>
              <w:fldChar w:fldCharType="end"/>
            </w:r>
          </w:hyperlink>
        </w:p>
        <w:p w14:paraId="2EB4CD48" w14:textId="18C1980B"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86" w:history="1">
            <w:r w:rsidRPr="00B3537C">
              <w:rPr>
                <w:rStyle w:val="Hyperlink"/>
                <w:rFonts w:ascii="Arial" w:hAnsi="Arial" w:cs="Arial"/>
                <w:noProof/>
              </w:rPr>
              <w:t>4.5 Capital Rationing Decision (£100m Limit)</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_Toc227926186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22</w:t>
            </w:r>
            <w:r w:rsidRPr="00B3537C">
              <w:rPr>
                <w:rFonts w:ascii="Arial" w:hAnsi="Arial" w:cs="Arial"/>
                <w:noProof/>
                <w:webHidden/>
              </w:rPr>
              <w:fldChar w:fldCharType="end"/>
            </w:r>
          </w:hyperlink>
        </w:p>
        <w:p w14:paraId="693417C0" w14:textId="0FF2FECE"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87" w:history="1">
            <w:r w:rsidRPr="00B3537C">
              <w:rPr>
                <w:rStyle w:val="Hyperlink"/>
                <w:rFonts w:ascii="Arial" w:hAnsi="Arial" w:cs="Arial"/>
                <w:noProof/>
              </w:rPr>
              <w:t>4.6 Non-Financial Factors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_Toc227926187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23</w:t>
            </w:r>
            <w:r w:rsidRPr="00B3537C">
              <w:rPr>
                <w:rFonts w:ascii="Arial" w:hAnsi="Arial" w:cs="Arial"/>
                <w:noProof/>
                <w:webHidden/>
              </w:rPr>
              <w:fldChar w:fldCharType="end"/>
            </w:r>
          </w:hyperlink>
        </w:p>
        <w:p w14:paraId="0E7FFD5D" w14:textId="5B4850C0" w:rsidR="00B3537C" w:rsidRPr="00B3537C" w:rsidRDefault="00B3537C">
          <w:pPr>
            <w:pStyle w:val="TOC1"/>
            <w:tabs>
              <w:tab w:val="right" w:leader="dot" w:pos="9350"/>
            </w:tabs>
            <w:rPr>
              <w:rFonts w:ascii="Arial" w:eastAsiaTheme="minorEastAsia" w:hAnsi="Arial" w:cs="Arial"/>
              <w:noProof/>
              <w:kern w:val="0"/>
              <w:lang w:val="en-US"/>
              <w14:ligatures w14:val="none"/>
            </w:rPr>
          </w:pPr>
          <w:hyperlink w:anchor="_Toc227926188" w:history="1">
            <w:r w:rsidRPr="00B3537C">
              <w:rPr>
                <w:rStyle w:val="Hyperlink"/>
                <w:rFonts w:ascii="Arial" w:hAnsi="Arial" w:cs="Arial"/>
                <w:noProof/>
              </w:rPr>
              <w:t>Conclusion</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_Toc227926188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24</w:t>
            </w:r>
            <w:r w:rsidRPr="00B3537C">
              <w:rPr>
                <w:rFonts w:ascii="Arial" w:hAnsi="Arial" w:cs="Arial"/>
                <w:noProof/>
                <w:webHidden/>
              </w:rPr>
              <w:fldChar w:fldCharType="end"/>
            </w:r>
          </w:hyperlink>
        </w:p>
        <w:p w14:paraId="5F279FBE" w14:textId="575FE8B1" w:rsidR="00B3537C" w:rsidRPr="00B3537C" w:rsidRDefault="00B3537C">
          <w:pPr>
            <w:pStyle w:val="TOC1"/>
            <w:tabs>
              <w:tab w:val="right" w:leader="dot" w:pos="9350"/>
            </w:tabs>
            <w:rPr>
              <w:rFonts w:ascii="Arial" w:eastAsiaTheme="minorEastAsia" w:hAnsi="Arial" w:cs="Arial"/>
              <w:noProof/>
              <w:kern w:val="0"/>
              <w:lang w:val="en-US"/>
              <w14:ligatures w14:val="none"/>
            </w:rPr>
          </w:pPr>
          <w:hyperlink w:anchor="_Toc227926189" w:history="1">
            <w:r w:rsidRPr="00B3537C">
              <w:rPr>
                <w:rStyle w:val="Hyperlink"/>
                <w:rFonts w:ascii="Arial" w:hAnsi="Arial" w:cs="Arial"/>
                <w:noProof/>
              </w:rPr>
              <w:t>Reference</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_Toc227926189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25</w:t>
            </w:r>
            <w:r w:rsidRPr="00B3537C">
              <w:rPr>
                <w:rFonts w:ascii="Arial" w:hAnsi="Arial" w:cs="Arial"/>
                <w:noProof/>
                <w:webHidden/>
              </w:rPr>
              <w:fldChar w:fldCharType="end"/>
            </w:r>
          </w:hyperlink>
        </w:p>
        <w:p w14:paraId="0E281664" w14:textId="11C9015A" w:rsidR="00B3537C" w:rsidRPr="00B3537C" w:rsidRDefault="00B3537C">
          <w:pPr>
            <w:pStyle w:val="TOC1"/>
            <w:tabs>
              <w:tab w:val="right" w:leader="dot" w:pos="9350"/>
            </w:tabs>
            <w:rPr>
              <w:rFonts w:ascii="Arial" w:eastAsiaTheme="minorEastAsia" w:hAnsi="Arial" w:cs="Arial"/>
              <w:noProof/>
              <w:kern w:val="0"/>
              <w:lang w:val="en-US"/>
              <w14:ligatures w14:val="none"/>
            </w:rPr>
          </w:pPr>
          <w:hyperlink w:anchor="_Toc227926190" w:history="1">
            <w:r w:rsidRPr="00B3537C">
              <w:rPr>
                <w:rStyle w:val="Hyperlink"/>
                <w:rFonts w:ascii="Arial" w:hAnsi="Arial" w:cs="Arial"/>
                <w:noProof/>
              </w:rPr>
              <w:t>Appendices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_Toc227926190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29</w:t>
            </w:r>
            <w:r w:rsidRPr="00B3537C">
              <w:rPr>
                <w:rFonts w:ascii="Arial" w:hAnsi="Arial" w:cs="Arial"/>
                <w:noProof/>
                <w:webHidden/>
              </w:rPr>
              <w:fldChar w:fldCharType="end"/>
            </w:r>
          </w:hyperlink>
        </w:p>
        <w:p w14:paraId="32EFB00E" w14:textId="1EC5807A"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91" w:history="1">
            <w:r w:rsidRPr="00B3537C">
              <w:rPr>
                <w:rStyle w:val="Hyperlink"/>
                <w:rFonts w:ascii="Arial" w:hAnsi="Arial" w:cs="Arial"/>
                <w:noProof/>
              </w:rPr>
              <w:t>Appendix A: (Income statement)</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_Toc227926191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29</w:t>
            </w:r>
            <w:r w:rsidRPr="00B3537C">
              <w:rPr>
                <w:rFonts w:ascii="Arial" w:hAnsi="Arial" w:cs="Arial"/>
                <w:noProof/>
                <w:webHidden/>
              </w:rPr>
              <w:fldChar w:fldCharType="end"/>
            </w:r>
          </w:hyperlink>
        </w:p>
        <w:p w14:paraId="3041C5A1" w14:textId="091FB151"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92" w:history="1">
            <w:r w:rsidRPr="00B3537C">
              <w:rPr>
                <w:rStyle w:val="Hyperlink"/>
                <w:rFonts w:ascii="Arial" w:hAnsi="Arial" w:cs="Arial"/>
                <w:noProof/>
              </w:rPr>
              <w:t>Appendix B: (Balance Sheet)</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_Toc227926192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30</w:t>
            </w:r>
            <w:r w:rsidRPr="00B3537C">
              <w:rPr>
                <w:rFonts w:ascii="Arial" w:hAnsi="Arial" w:cs="Arial"/>
                <w:noProof/>
                <w:webHidden/>
              </w:rPr>
              <w:fldChar w:fldCharType="end"/>
            </w:r>
          </w:hyperlink>
        </w:p>
        <w:p w14:paraId="66478255" w14:textId="33C7DDA0"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93" w:history="1">
            <w:r w:rsidRPr="00B3537C">
              <w:rPr>
                <w:rStyle w:val="Hyperlink"/>
                <w:rFonts w:ascii="Arial" w:hAnsi="Arial" w:cs="Arial"/>
                <w:noProof/>
              </w:rPr>
              <w:t>Appendix C: Cash Flow Statement</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_Toc227926193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30</w:t>
            </w:r>
            <w:r w:rsidRPr="00B3537C">
              <w:rPr>
                <w:rFonts w:ascii="Arial" w:hAnsi="Arial" w:cs="Arial"/>
                <w:noProof/>
                <w:webHidden/>
              </w:rPr>
              <w:fldChar w:fldCharType="end"/>
            </w:r>
          </w:hyperlink>
        </w:p>
        <w:p w14:paraId="605FF6B4" w14:textId="62642342" w:rsidR="00B3537C" w:rsidRPr="00B3537C" w:rsidRDefault="00B3537C">
          <w:pPr>
            <w:pStyle w:val="TOC2"/>
            <w:tabs>
              <w:tab w:val="right" w:leader="dot" w:pos="9350"/>
            </w:tabs>
            <w:rPr>
              <w:rFonts w:ascii="Arial" w:eastAsiaTheme="minorEastAsia" w:hAnsi="Arial" w:cs="Arial"/>
              <w:noProof/>
              <w:kern w:val="0"/>
              <w:lang w:val="en-US"/>
              <w14:ligatures w14:val="none"/>
            </w:rPr>
          </w:pPr>
          <w:hyperlink w:anchor="_Toc227926194" w:history="1">
            <w:r w:rsidRPr="00B3537C">
              <w:rPr>
                <w:rStyle w:val="Hyperlink"/>
                <w:rFonts w:ascii="Arial" w:hAnsi="Arial" w:cs="Arial"/>
                <w:noProof/>
              </w:rPr>
              <w:t>Appendix D: Ratio Calculations</w:t>
            </w:r>
            <w:r w:rsidRPr="00B3537C">
              <w:rPr>
                <w:rFonts w:ascii="Arial" w:hAnsi="Arial" w:cs="Arial"/>
                <w:noProof/>
                <w:webHidden/>
              </w:rPr>
              <w:tab/>
            </w:r>
            <w:r w:rsidRPr="00B3537C">
              <w:rPr>
                <w:rFonts w:ascii="Arial" w:hAnsi="Arial" w:cs="Arial"/>
                <w:noProof/>
                <w:webHidden/>
              </w:rPr>
              <w:fldChar w:fldCharType="begin"/>
            </w:r>
            <w:r w:rsidRPr="00B3537C">
              <w:rPr>
                <w:rFonts w:ascii="Arial" w:hAnsi="Arial" w:cs="Arial"/>
                <w:noProof/>
                <w:webHidden/>
              </w:rPr>
              <w:instrText xml:space="preserve"> PAGEREF _Toc227926194 \h </w:instrText>
            </w:r>
            <w:r w:rsidRPr="00B3537C">
              <w:rPr>
                <w:rFonts w:ascii="Arial" w:hAnsi="Arial" w:cs="Arial"/>
                <w:noProof/>
                <w:webHidden/>
              </w:rPr>
            </w:r>
            <w:r w:rsidRPr="00B3537C">
              <w:rPr>
                <w:rFonts w:ascii="Arial" w:hAnsi="Arial" w:cs="Arial"/>
                <w:noProof/>
                <w:webHidden/>
              </w:rPr>
              <w:fldChar w:fldCharType="separate"/>
            </w:r>
            <w:r w:rsidRPr="00B3537C">
              <w:rPr>
                <w:rFonts w:ascii="Arial" w:hAnsi="Arial" w:cs="Arial"/>
                <w:noProof/>
                <w:webHidden/>
              </w:rPr>
              <w:t>31</w:t>
            </w:r>
            <w:r w:rsidRPr="00B3537C">
              <w:rPr>
                <w:rFonts w:ascii="Arial" w:hAnsi="Arial" w:cs="Arial"/>
                <w:noProof/>
                <w:webHidden/>
              </w:rPr>
              <w:fldChar w:fldCharType="end"/>
            </w:r>
          </w:hyperlink>
        </w:p>
        <w:p w14:paraId="5E2903FF" w14:textId="624A26D8" w:rsidR="00A9012B" w:rsidRPr="00B3537C" w:rsidRDefault="00A9012B">
          <w:pPr>
            <w:rPr>
              <w:rFonts w:ascii="Arial" w:hAnsi="Arial" w:cs="Arial"/>
              <w:color w:val="000000" w:themeColor="text1"/>
              <w:sz w:val="24"/>
              <w:szCs w:val="24"/>
            </w:rPr>
          </w:pPr>
          <w:r w:rsidRPr="00B3537C">
            <w:rPr>
              <w:rFonts w:ascii="Arial" w:hAnsi="Arial" w:cs="Arial"/>
              <w:b/>
              <w:bCs/>
              <w:noProof/>
              <w:color w:val="000000" w:themeColor="text1"/>
              <w:sz w:val="24"/>
              <w:szCs w:val="24"/>
            </w:rPr>
            <w:fldChar w:fldCharType="end"/>
          </w:r>
        </w:p>
      </w:sdtContent>
    </w:sdt>
    <w:p w14:paraId="6F7D439F" w14:textId="6B17AC8E" w:rsidR="00D942FF" w:rsidRPr="00B3537C" w:rsidRDefault="00A9012B" w:rsidP="00A9012B">
      <w:pPr>
        <w:rPr>
          <w:rFonts w:ascii="Arial" w:eastAsia="Times New Roman" w:hAnsi="Arial" w:cs="Arial"/>
          <w:b/>
          <w:bCs/>
          <w:color w:val="000000" w:themeColor="text1"/>
          <w:kern w:val="36"/>
          <w:sz w:val="24"/>
          <w:szCs w:val="24"/>
          <w:lang w:eastAsia="en-GB"/>
          <w14:ligatures w14:val="none"/>
        </w:rPr>
      </w:pPr>
      <w:r w:rsidRPr="00B3537C">
        <w:rPr>
          <w:rFonts w:ascii="Arial" w:eastAsia="Times New Roman" w:hAnsi="Arial" w:cs="Arial"/>
          <w:b/>
          <w:bCs/>
          <w:color w:val="000000" w:themeColor="text1"/>
          <w:kern w:val="36"/>
          <w:sz w:val="24"/>
          <w:szCs w:val="24"/>
          <w:lang w:eastAsia="en-GB"/>
          <w14:ligatures w14:val="none"/>
        </w:rPr>
        <w:br w:type="page"/>
      </w:r>
    </w:p>
    <w:p w14:paraId="78364AC6" w14:textId="28C6B32C" w:rsidR="00D942FF" w:rsidRPr="00B3537C" w:rsidRDefault="00D942FF" w:rsidP="00242669">
      <w:pPr>
        <w:pStyle w:val="Heading1"/>
      </w:pPr>
      <w:bookmarkStart w:id="0" w:name="_Toc227926138"/>
      <w:r w:rsidRPr="00B3537C">
        <w:lastRenderedPageBreak/>
        <w:t>Introduction</w:t>
      </w:r>
      <w:bookmarkEnd w:id="0"/>
    </w:p>
    <w:p w14:paraId="1FF7761C" w14:textId="2432A824" w:rsidR="00DB3D47" w:rsidRPr="00B3537C" w:rsidRDefault="00DB3D47" w:rsidP="00DB3D47">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Toyota Motor Corporation is a company that manufactures automotive products on a global scale, with a rich brand name and a hybrid motor technology. Toyota operates in several continents, and over the years, it has managed to maintain the same financial results because of its ability to prioritize efficiency, cost leadership, and technological reliability</w:t>
      </w:r>
      <w:r w:rsidR="00A87C84" w:rsidRPr="00B3537C">
        <w:rPr>
          <w:rFonts w:ascii="Arial" w:eastAsia="Times New Roman" w:hAnsi="Arial" w:cs="Arial"/>
          <w:color w:val="000000" w:themeColor="text1"/>
          <w:kern w:val="0"/>
          <w:sz w:val="24"/>
          <w:szCs w:val="24"/>
          <w:lang w:eastAsia="en-GB"/>
          <w14:ligatures w14:val="none"/>
        </w:rPr>
        <w:t xml:space="preserve"> (Mahtani, and Sunil, 2020)</w:t>
      </w:r>
      <w:r w:rsidRPr="00B3537C">
        <w:rPr>
          <w:rFonts w:ascii="Arial" w:eastAsia="Times New Roman" w:hAnsi="Arial" w:cs="Arial"/>
          <w:color w:val="000000" w:themeColor="text1"/>
          <w:kern w:val="0"/>
          <w:sz w:val="24"/>
          <w:szCs w:val="24"/>
          <w:lang w:eastAsia="en-GB"/>
          <w14:ligatures w14:val="none"/>
        </w:rPr>
        <w:t>.</w:t>
      </w:r>
    </w:p>
    <w:p w14:paraId="737AD447" w14:textId="532B3BB5" w:rsidR="00DB3D47" w:rsidRPr="00B3537C" w:rsidRDefault="00DB3D47" w:rsidP="00DB3D47">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xml:space="preserve">The automotive industry of the world is now in the transition phase of structural change due to the swift transition to electric vehicles (EVs). Governments all over the world are implementing tougher emissions laws, and rival companies are speeding up the investment in EVs. Other firms like Tesla and BYD have achieved a high market share and are increasing competition. Toyota and hybrid technology, despite leading the way in hybrid technology, have also been criticized as being comparatively slower in hybrid to fully electric vehicle conversion, casting doubt on its long-term status in the EV </w:t>
      </w:r>
      <w:r w:rsidR="004C5549" w:rsidRPr="00B3537C">
        <w:rPr>
          <w:rFonts w:ascii="Arial" w:eastAsia="Times New Roman" w:hAnsi="Arial" w:cs="Arial"/>
          <w:color w:val="000000" w:themeColor="text1"/>
          <w:kern w:val="0"/>
          <w:sz w:val="24"/>
          <w:szCs w:val="24"/>
          <w:lang w:eastAsia="en-GB"/>
          <w14:ligatures w14:val="none"/>
        </w:rPr>
        <w:t>market (</w:t>
      </w:r>
      <w:r w:rsidR="0095489E" w:rsidRPr="00B3537C">
        <w:rPr>
          <w:rFonts w:ascii="Arial" w:eastAsia="Times New Roman" w:hAnsi="Arial" w:cs="Arial"/>
          <w:color w:val="000000" w:themeColor="text1"/>
          <w:kern w:val="0"/>
          <w:sz w:val="24"/>
          <w:szCs w:val="24"/>
          <w:lang w:eastAsia="en-GB"/>
          <w14:ligatures w14:val="none"/>
        </w:rPr>
        <w:t>Toyota, 2025)</w:t>
      </w:r>
      <w:r w:rsidRPr="00B3537C">
        <w:rPr>
          <w:rFonts w:ascii="Arial" w:eastAsia="Times New Roman" w:hAnsi="Arial" w:cs="Arial"/>
          <w:color w:val="000000" w:themeColor="text1"/>
          <w:kern w:val="0"/>
          <w:sz w:val="24"/>
          <w:szCs w:val="24"/>
          <w:lang w:eastAsia="en-GB"/>
          <w14:ligatures w14:val="none"/>
        </w:rPr>
        <w:t>.</w:t>
      </w:r>
    </w:p>
    <w:p w14:paraId="5D5F4FD9" w14:textId="5592E6A5" w:rsidR="00D942FF" w:rsidRPr="00B3537C" w:rsidRDefault="00DB3D47" w:rsidP="00A17956">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xml:space="preserve">The purpose of this report is to assess the financial health of Toyota during the last five years (2021-2025) based on the financial </w:t>
      </w:r>
      <w:r w:rsidR="004C5549" w:rsidRPr="00B3537C">
        <w:rPr>
          <w:rFonts w:ascii="Arial" w:eastAsia="Times New Roman" w:hAnsi="Arial" w:cs="Arial"/>
          <w:color w:val="000000" w:themeColor="text1"/>
          <w:kern w:val="0"/>
          <w:sz w:val="24"/>
          <w:szCs w:val="24"/>
          <w:lang w:eastAsia="en-GB"/>
          <w14:ligatures w14:val="none"/>
        </w:rPr>
        <w:t xml:space="preserve">statement, balance sheet and cash flow statement </w:t>
      </w:r>
      <w:r w:rsidR="00A7577E" w:rsidRPr="00B3537C">
        <w:rPr>
          <w:rFonts w:ascii="Arial" w:eastAsia="Times New Roman" w:hAnsi="Arial" w:cs="Arial"/>
          <w:color w:val="000000" w:themeColor="text1"/>
          <w:kern w:val="0"/>
          <w:sz w:val="24"/>
          <w:szCs w:val="24"/>
          <w:lang w:eastAsia="en-GB"/>
          <w14:ligatures w14:val="none"/>
        </w:rPr>
        <w:t>as attached in Appendix A, B and C</w:t>
      </w:r>
      <w:r w:rsidR="004C5549" w:rsidRPr="00B3537C">
        <w:rPr>
          <w:rFonts w:ascii="Arial" w:eastAsia="Times New Roman" w:hAnsi="Arial" w:cs="Arial"/>
          <w:color w:val="000000" w:themeColor="text1"/>
          <w:kern w:val="0"/>
          <w:sz w:val="24"/>
          <w:szCs w:val="24"/>
          <w:lang w:eastAsia="en-GB"/>
          <w14:ligatures w14:val="none"/>
        </w:rPr>
        <w:t xml:space="preserve"> </w:t>
      </w:r>
      <w:r w:rsidR="00B93B23" w:rsidRPr="00B3537C">
        <w:rPr>
          <w:rFonts w:ascii="Arial" w:eastAsia="Times New Roman" w:hAnsi="Arial" w:cs="Arial"/>
          <w:color w:val="000000" w:themeColor="text1"/>
          <w:kern w:val="0"/>
          <w:sz w:val="24"/>
          <w:szCs w:val="24"/>
          <w:lang w:eastAsia="en-GB"/>
          <w14:ligatures w14:val="none"/>
        </w:rPr>
        <w:t>respectively,</w:t>
      </w:r>
      <w:r w:rsidR="0035791D" w:rsidRPr="00B3537C">
        <w:rPr>
          <w:rFonts w:ascii="Arial" w:eastAsia="Times New Roman" w:hAnsi="Arial" w:cs="Arial"/>
          <w:color w:val="000000" w:themeColor="text1"/>
          <w:kern w:val="0"/>
          <w:sz w:val="24"/>
          <w:szCs w:val="24"/>
          <w:lang w:eastAsia="en-GB"/>
          <w14:ligatures w14:val="none"/>
        </w:rPr>
        <w:t xml:space="preserve"> by </w:t>
      </w:r>
      <w:r w:rsidR="00C646D8" w:rsidRPr="00B3537C">
        <w:rPr>
          <w:rFonts w:ascii="Arial" w:eastAsia="Times New Roman" w:hAnsi="Arial" w:cs="Arial"/>
          <w:color w:val="000000" w:themeColor="text1"/>
          <w:kern w:val="0"/>
          <w:sz w:val="24"/>
          <w:szCs w:val="24"/>
          <w:lang w:eastAsia="en-GB"/>
          <w14:ligatures w14:val="none"/>
        </w:rPr>
        <w:t>evaluating ratio</w:t>
      </w:r>
      <w:r w:rsidR="007F447B" w:rsidRPr="00B3537C">
        <w:rPr>
          <w:rFonts w:ascii="Arial" w:eastAsia="Times New Roman" w:hAnsi="Arial" w:cs="Arial"/>
          <w:color w:val="000000" w:themeColor="text1"/>
          <w:kern w:val="0"/>
          <w:sz w:val="24"/>
          <w:szCs w:val="24"/>
          <w:lang w:eastAsia="en-GB"/>
          <w14:ligatures w14:val="none"/>
        </w:rPr>
        <w:t xml:space="preserve"> analysis. The analysis </w:t>
      </w:r>
      <w:r w:rsidRPr="00B3537C">
        <w:rPr>
          <w:rFonts w:ascii="Arial" w:eastAsia="Times New Roman" w:hAnsi="Arial" w:cs="Arial"/>
          <w:color w:val="000000" w:themeColor="text1"/>
          <w:kern w:val="0"/>
          <w:sz w:val="24"/>
          <w:szCs w:val="24"/>
          <w:lang w:eastAsia="en-GB"/>
          <w14:ligatures w14:val="none"/>
        </w:rPr>
        <w:t>reveals the main strengths and weaknesses in the level of profitability, liquidity, efficiency, and capital structure. Moreover, there are strategic financial restructuring options that are proposed in the report to increase competitiveness and sustainability. Lastly, investment appraisal methods are used to evaluate future decisions on capital allocation, and make sure that the proposed strategies are in line with maximising shareholder value and long-term financial stability</w:t>
      </w:r>
      <w:r w:rsidR="00D942FF" w:rsidRPr="00B3537C">
        <w:rPr>
          <w:rFonts w:ascii="Arial" w:eastAsia="Times New Roman" w:hAnsi="Arial" w:cs="Arial"/>
          <w:color w:val="000000" w:themeColor="text1"/>
          <w:kern w:val="0"/>
          <w:sz w:val="24"/>
          <w:szCs w:val="24"/>
          <w:lang w:eastAsia="en-GB"/>
          <w14:ligatures w14:val="none"/>
        </w:rPr>
        <w:t>.</w:t>
      </w:r>
    </w:p>
    <w:p w14:paraId="7FA72A2B" w14:textId="77777777" w:rsidR="00242669" w:rsidRPr="00B3537C" w:rsidRDefault="00242669" w:rsidP="00A17956">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p>
    <w:p w14:paraId="2D8ADF61" w14:textId="19DEEE6B" w:rsidR="00540ECF" w:rsidRPr="00B3537C" w:rsidRDefault="00540ECF" w:rsidP="00242669">
      <w:pPr>
        <w:pStyle w:val="Heading1"/>
      </w:pPr>
      <w:bookmarkStart w:id="1" w:name="_Toc227926139"/>
      <w:r w:rsidRPr="00B3537C">
        <w:lastRenderedPageBreak/>
        <w:t>S</w:t>
      </w:r>
      <w:r w:rsidR="00242669" w:rsidRPr="00B3537C">
        <w:t xml:space="preserve">ection </w:t>
      </w:r>
      <w:r w:rsidRPr="00B3537C">
        <w:t>1: Financial Health Check</w:t>
      </w:r>
      <w:bookmarkEnd w:id="1"/>
      <w:r w:rsidRPr="00B3537C">
        <w:t xml:space="preserve"> </w:t>
      </w:r>
    </w:p>
    <w:p w14:paraId="7025DA4E" w14:textId="346F5133" w:rsidR="00540ECF" w:rsidRPr="00B3537C" w:rsidRDefault="00540ECF" w:rsidP="00242669">
      <w:pPr>
        <w:pStyle w:val="Heading2"/>
        <w:rPr>
          <w:color w:val="000000" w:themeColor="text1"/>
        </w:rPr>
      </w:pPr>
      <w:bookmarkStart w:id="2" w:name="_Toc227926140"/>
      <w:r w:rsidRPr="00B3537C">
        <w:rPr>
          <w:color w:val="000000" w:themeColor="text1"/>
        </w:rPr>
        <w:t>1.1 Overview of Financial Performance</w:t>
      </w:r>
      <w:bookmarkEnd w:id="2"/>
    </w:p>
    <w:p w14:paraId="6A22A9FE" w14:textId="77777777" w:rsidR="00540ECF" w:rsidRPr="00B3537C" w:rsidRDefault="00540ECF" w:rsidP="00540ECF">
      <w:pPr>
        <w:pStyle w:val="Heading3"/>
        <w:rPr>
          <w:rFonts w:ascii="Arial" w:eastAsia="Times New Roman" w:hAnsi="Arial" w:cs="Arial"/>
          <w:color w:val="000000" w:themeColor="text1"/>
          <w:lang w:eastAsia="en-GB"/>
        </w:rPr>
      </w:pPr>
      <w:bookmarkStart w:id="3" w:name="_Toc227926141"/>
      <w:r w:rsidRPr="00B3537C">
        <w:rPr>
          <w:rFonts w:ascii="Arial" w:eastAsia="Times New Roman" w:hAnsi="Arial" w:cs="Arial"/>
          <w:color w:val="000000" w:themeColor="text1"/>
          <w:lang w:eastAsia="en-GB"/>
        </w:rPr>
        <w:t>Revenue Trends</w:t>
      </w:r>
      <w:bookmarkEnd w:id="3"/>
    </w:p>
    <w:p w14:paraId="4EE06F08" w14:textId="58426E12" w:rsidR="00540ECF" w:rsidRPr="00B3537C" w:rsidRDefault="00DB3D47" w:rsidP="00DB3D47">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xml:space="preserve">The total revenue of Toyota rose to 317,042 million in 2025 compared to 255,817 million in 2021, indicating that it has grown steadily over the long term, even though short-term income patterns vary unpredictably. In 2023, revenue declined slightly, to $274,942m due to disruptions in the global supply chains, especially semiconductor shortages, it bounced back strongly in 2024 and 2025. </w:t>
      </w:r>
    </w:p>
    <w:p w14:paraId="1310661E" w14:textId="77777777" w:rsidR="00540ECF" w:rsidRPr="00B3537C" w:rsidRDefault="00540ECF" w:rsidP="00540ECF">
      <w:pPr>
        <w:pStyle w:val="Heading3"/>
        <w:rPr>
          <w:rFonts w:ascii="Arial" w:eastAsia="Times New Roman" w:hAnsi="Arial" w:cs="Arial"/>
          <w:color w:val="000000" w:themeColor="text1"/>
          <w:lang w:eastAsia="en-GB"/>
        </w:rPr>
      </w:pPr>
      <w:bookmarkStart w:id="4" w:name="_Toc227926142"/>
      <w:r w:rsidRPr="00B3537C">
        <w:rPr>
          <w:rFonts w:ascii="Arial" w:eastAsia="Times New Roman" w:hAnsi="Arial" w:cs="Arial"/>
          <w:color w:val="000000" w:themeColor="text1"/>
          <w:lang w:eastAsia="en-GB"/>
        </w:rPr>
        <w:t>Profit Trends</w:t>
      </w:r>
      <w:bookmarkEnd w:id="4"/>
    </w:p>
    <w:p w14:paraId="4AAB4DC7" w14:textId="1736FB19" w:rsidR="009F6198" w:rsidRPr="00B3537C" w:rsidRDefault="009F6198" w:rsidP="009F6198">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xml:space="preserve">Net Income rose from $21,105m (2021) to $31,450m (2025), though it experienced volatility, particularly a decline in 2023 ($18,140m). Gross Profit rose to 63, 215m (2025) and 45,424m (2021), indicating better cost management and pricing policies. EBIT also followed a similar trend, growing from $20,658m (2021) to $31,651m (2025), with a notable </w:t>
      </w:r>
      <w:r w:rsidR="0095489E" w:rsidRPr="00B3537C">
        <w:rPr>
          <w:rFonts w:ascii="Arial" w:eastAsia="Times New Roman" w:hAnsi="Arial" w:cs="Arial"/>
          <w:color w:val="000000" w:themeColor="text1"/>
          <w:kern w:val="0"/>
          <w:sz w:val="24"/>
          <w:szCs w:val="24"/>
          <w:lang w:eastAsia="en-GB"/>
          <w14:ligatures w14:val="none"/>
        </w:rPr>
        <w:t>incline</w:t>
      </w:r>
      <w:r w:rsidRPr="00B3537C">
        <w:rPr>
          <w:rFonts w:ascii="Arial" w:eastAsia="Times New Roman" w:hAnsi="Arial" w:cs="Arial"/>
          <w:color w:val="000000" w:themeColor="text1"/>
          <w:kern w:val="0"/>
          <w:sz w:val="24"/>
          <w:szCs w:val="24"/>
          <w:lang w:eastAsia="en-GB"/>
          <w14:ligatures w14:val="none"/>
        </w:rPr>
        <w:t xml:space="preserve"> in 2023</w:t>
      </w:r>
      <w:r w:rsidR="0095489E" w:rsidRPr="00B3537C">
        <w:rPr>
          <w:rFonts w:ascii="Arial" w:eastAsia="Times New Roman" w:hAnsi="Arial" w:cs="Arial"/>
          <w:color w:val="000000" w:themeColor="text1"/>
          <w:kern w:val="0"/>
          <w:sz w:val="24"/>
          <w:szCs w:val="24"/>
          <w:lang w:eastAsia="en-GB"/>
          <w14:ligatures w14:val="none"/>
        </w:rPr>
        <w:t xml:space="preserve"> (Toyota, 2025a)</w:t>
      </w:r>
      <w:r w:rsidRPr="00B3537C">
        <w:rPr>
          <w:rFonts w:ascii="Arial" w:eastAsia="Times New Roman" w:hAnsi="Arial" w:cs="Arial"/>
          <w:color w:val="000000" w:themeColor="text1"/>
          <w:kern w:val="0"/>
          <w:sz w:val="24"/>
          <w:szCs w:val="24"/>
          <w:lang w:eastAsia="en-GB"/>
          <w14:ligatures w14:val="none"/>
        </w:rPr>
        <w:t xml:space="preserve">. </w:t>
      </w:r>
    </w:p>
    <w:p w14:paraId="28D39A58" w14:textId="77777777" w:rsidR="009F6198" w:rsidRPr="00B3537C" w:rsidRDefault="009F6198" w:rsidP="009F6198">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drop in 2023 may be explained by:</w:t>
      </w:r>
    </w:p>
    <w:p w14:paraId="58D4EDA5" w14:textId="77777777" w:rsidR="009F6198" w:rsidRPr="00B3537C" w:rsidRDefault="009F6198" w:rsidP="009F6198">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w:t>
      </w:r>
      <w:r w:rsidRPr="00B3537C">
        <w:rPr>
          <w:rFonts w:ascii="Arial" w:eastAsia="Times New Roman" w:hAnsi="Arial" w:cs="Arial"/>
          <w:color w:val="000000" w:themeColor="text1"/>
          <w:kern w:val="0"/>
          <w:sz w:val="24"/>
          <w:szCs w:val="24"/>
          <w:lang w:eastAsia="en-GB"/>
          <w14:ligatures w14:val="none"/>
        </w:rPr>
        <w:tab/>
        <w:t xml:space="preserve">Supply chain disruptions </w:t>
      </w:r>
    </w:p>
    <w:p w14:paraId="7BADBE4F" w14:textId="77777777" w:rsidR="009F6198" w:rsidRPr="00B3537C" w:rsidRDefault="009F6198" w:rsidP="009F6198">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w:t>
      </w:r>
      <w:r w:rsidRPr="00B3537C">
        <w:rPr>
          <w:rFonts w:ascii="Arial" w:eastAsia="Times New Roman" w:hAnsi="Arial" w:cs="Arial"/>
          <w:color w:val="000000" w:themeColor="text1"/>
          <w:kern w:val="0"/>
          <w:sz w:val="24"/>
          <w:szCs w:val="24"/>
          <w:lang w:eastAsia="en-GB"/>
          <w14:ligatures w14:val="none"/>
        </w:rPr>
        <w:tab/>
        <w:t xml:space="preserve">Rising input costs </w:t>
      </w:r>
    </w:p>
    <w:p w14:paraId="536AE811" w14:textId="77777777" w:rsidR="009F6198" w:rsidRPr="00B3537C" w:rsidRDefault="009F6198" w:rsidP="009F6198">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w:t>
      </w:r>
      <w:r w:rsidRPr="00B3537C">
        <w:rPr>
          <w:rFonts w:ascii="Arial" w:eastAsia="Times New Roman" w:hAnsi="Arial" w:cs="Arial"/>
          <w:color w:val="000000" w:themeColor="text1"/>
          <w:kern w:val="0"/>
          <w:sz w:val="24"/>
          <w:szCs w:val="24"/>
          <w:lang w:eastAsia="en-GB"/>
          <w14:ligatures w14:val="none"/>
        </w:rPr>
        <w:tab/>
        <w:t xml:space="preserve">Global economic uncertainty </w:t>
      </w:r>
    </w:p>
    <w:p w14:paraId="54C4AD95" w14:textId="529E2F67" w:rsidR="00540ECF" w:rsidRPr="00B3537C" w:rsidRDefault="009F6198" w:rsidP="009F6198">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Nevertheless, the recovery in 2024-2025 implies the efficiency of operations and stabilisation of demand</w:t>
      </w:r>
      <w:r w:rsidR="00540ECF" w:rsidRPr="00B3537C">
        <w:rPr>
          <w:rFonts w:ascii="Arial" w:eastAsia="Times New Roman" w:hAnsi="Arial" w:cs="Arial"/>
          <w:color w:val="000000" w:themeColor="text1"/>
          <w:kern w:val="0"/>
          <w:sz w:val="24"/>
          <w:szCs w:val="24"/>
          <w:lang w:eastAsia="en-GB"/>
          <w14:ligatures w14:val="none"/>
        </w:rPr>
        <w:t>.</w:t>
      </w:r>
    </w:p>
    <w:p w14:paraId="03428ADD" w14:textId="6DFB49E2" w:rsidR="007561E5" w:rsidRPr="00B3537C" w:rsidRDefault="007561E5" w:rsidP="00242669">
      <w:pPr>
        <w:pStyle w:val="Heading2"/>
        <w:rPr>
          <w:color w:val="000000" w:themeColor="text1"/>
        </w:rPr>
      </w:pPr>
      <w:bookmarkStart w:id="5" w:name="_Toc227926143"/>
      <w:r w:rsidRPr="00B3537C">
        <w:rPr>
          <w:color w:val="000000" w:themeColor="text1"/>
        </w:rPr>
        <w:lastRenderedPageBreak/>
        <w:t>1.2 Ratio Analysis</w:t>
      </w:r>
      <w:bookmarkEnd w:id="5"/>
    </w:p>
    <w:p w14:paraId="2AD5EE98" w14:textId="77777777" w:rsidR="007561E5" w:rsidRPr="00B3537C" w:rsidRDefault="007561E5" w:rsidP="007561E5">
      <w:pPr>
        <w:pStyle w:val="Heading3"/>
        <w:rPr>
          <w:rFonts w:ascii="Arial" w:eastAsia="Times New Roman" w:hAnsi="Arial" w:cs="Arial"/>
          <w:color w:val="000000" w:themeColor="text1"/>
          <w:lang w:eastAsia="en-GB"/>
        </w:rPr>
      </w:pPr>
      <w:bookmarkStart w:id="6" w:name="_Toc227926144"/>
      <w:r w:rsidRPr="00B3537C">
        <w:rPr>
          <w:rFonts w:ascii="Arial" w:eastAsia="Times New Roman" w:hAnsi="Arial" w:cs="Arial"/>
          <w:color w:val="000000" w:themeColor="text1"/>
          <w:lang w:eastAsia="en-GB"/>
        </w:rPr>
        <w:t>a) Profitability Ratios</w:t>
      </w:r>
      <w:bookmarkEnd w:id="6"/>
    </w:p>
    <w:p w14:paraId="6D88C481" w14:textId="538C8C9E" w:rsidR="00033709" w:rsidRPr="00B3537C" w:rsidRDefault="00033709" w:rsidP="00033709">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xml:space="preserve">The profitability ratios of Toyota show that there is a fairly good, yet fluctuating performance, over the five years. The gross profit margin improved overall from 17.76% in 2021 to 19.94% in 2025, despite a noticeable dip to 16.99% in 2023. This reduction can be attributed to high production costs, especially with the global supply chain disruption and escalated prices of raw materials. Nevertheless, the year 2024 and 2025 recovery </w:t>
      </w:r>
      <w:r w:rsidR="0095489E" w:rsidRPr="00B3537C">
        <w:rPr>
          <w:rFonts w:ascii="Arial" w:eastAsia="Times New Roman" w:hAnsi="Arial" w:cs="Arial"/>
          <w:color w:val="000000" w:themeColor="text1"/>
          <w:kern w:val="0"/>
          <w:sz w:val="24"/>
          <w:szCs w:val="24"/>
          <w:lang w:eastAsia="en-GB"/>
          <w14:ligatures w14:val="none"/>
        </w:rPr>
        <w:t>indicates</w:t>
      </w:r>
      <w:r w:rsidRPr="00B3537C">
        <w:rPr>
          <w:rFonts w:ascii="Arial" w:eastAsia="Times New Roman" w:hAnsi="Arial" w:cs="Arial"/>
          <w:color w:val="000000" w:themeColor="text1"/>
          <w:kern w:val="0"/>
          <w:sz w:val="24"/>
          <w:szCs w:val="24"/>
          <w:lang w:eastAsia="en-GB"/>
          <w14:ligatures w14:val="none"/>
        </w:rPr>
        <w:t xml:space="preserve"> that Toyota has been able to put in place cost control measures and pricing strategies (</w:t>
      </w:r>
      <w:r w:rsidR="00A7577E" w:rsidRPr="00B3537C">
        <w:rPr>
          <w:rFonts w:ascii="Arial" w:eastAsia="Times New Roman" w:hAnsi="Arial" w:cs="Arial"/>
          <w:color w:val="000000" w:themeColor="text1"/>
          <w:kern w:val="0"/>
          <w:sz w:val="24"/>
          <w:szCs w:val="24"/>
          <w:lang w:eastAsia="en-GB"/>
          <w14:ligatures w14:val="none"/>
        </w:rPr>
        <w:t>Table 1</w:t>
      </w:r>
      <w:r w:rsidRPr="00B3537C">
        <w:rPr>
          <w:rFonts w:ascii="Arial" w:eastAsia="Times New Roman" w:hAnsi="Arial" w:cs="Arial"/>
          <w:color w:val="000000" w:themeColor="text1"/>
          <w:kern w:val="0"/>
          <w:sz w:val="24"/>
          <w:szCs w:val="24"/>
          <w:lang w:eastAsia="en-GB"/>
          <w14:ligatures w14:val="none"/>
        </w:rPr>
        <w:t>).</w:t>
      </w:r>
    </w:p>
    <w:p w14:paraId="32E78B17" w14:textId="4753529E" w:rsidR="00033709" w:rsidRPr="00B3537C" w:rsidRDefault="00033709" w:rsidP="00033709">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operating margin (EBIT margin) is no exception and drops to 7.33% in 2023 and then increases dramatically to 11.87% in 2024 and 9.99% in 2025. This shows increased efficiency in operations and control of operating costs following a difficult period</w:t>
      </w:r>
      <w:r w:rsidR="0095489E" w:rsidRPr="00B3537C">
        <w:rPr>
          <w:rFonts w:ascii="Arial" w:eastAsia="Times New Roman" w:hAnsi="Arial" w:cs="Arial"/>
          <w:color w:val="000000" w:themeColor="text1"/>
          <w:kern w:val="0"/>
          <w:sz w:val="24"/>
          <w:szCs w:val="24"/>
          <w:lang w:eastAsia="en-GB"/>
          <w14:ligatures w14:val="none"/>
        </w:rPr>
        <w:t xml:space="preserve"> (Macro Trends, 2025)</w:t>
      </w:r>
      <w:r w:rsidRPr="00B3537C">
        <w:rPr>
          <w:rFonts w:ascii="Arial" w:eastAsia="Times New Roman" w:hAnsi="Arial" w:cs="Arial"/>
          <w:color w:val="000000" w:themeColor="text1"/>
          <w:kern w:val="0"/>
          <w:sz w:val="24"/>
          <w:szCs w:val="24"/>
          <w:lang w:eastAsia="en-GB"/>
          <w14:ligatures w14:val="none"/>
        </w:rPr>
        <w:t>.</w:t>
      </w:r>
    </w:p>
    <w:p w14:paraId="77CFBF81" w14:textId="3088BAA2" w:rsidR="00033709" w:rsidRPr="00B3537C" w:rsidRDefault="00033709" w:rsidP="00033709">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net profit margin is also resilient, as it shows that in 2021, the net profit margin was 8.25% and in 2025, the net profit margin was 9.92%, with a temporary decline in 2023. This implies that Toyota is very profitable even when it is externally pressured.</w:t>
      </w:r>
    </w:p>
    <w:p w14:paraId="35366421" w14:textId="6E1A90DB" w:rsidR="007561E5" w:rsidRPr="00B3537C" w:rsidRDefault="00033709" w:rsidP="00033709">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ROA and ROE are improving significantly, especially in 2024-2025, with respect to returns. In 2024, ROE reached its highest point of 14.03%, which shows good returns to shareholders. On the whole, Toyota has good profitability, which is backed by effective operations and good positioning in the market</w:t>
      </w:r>
      <w:r w:rsidR="0095489E" w:rsidRPr="00B3537C">
        <w:rPr>
          <w:rFonts w:ascii="Arial" w:eastAsia="Times New Roman" w:hAnsi="Arial" w:cs="Arial"/>
          <w:color w:val="000000" w:themeColor="text1"/>
          <w:kern w:val="0"/>
          <w:sz w:val="24"/>
          <w:szCs w:val="24"/>
          <w:lang w:eastAsia="en-GB"/>
          <w14:ligatures w14:val="none"/>
        </w:rPr>
        <w:t xml:space="preserve"> (</w:t>
      </w:r>
      <w:r w:rsidR="00D5185C" w:rsidRPr="00B3537C">
        <w:rPr>
          <w:rFonts w:ascii="Arial" w:eastAsia="Times New Roman" w:hAnsi="Arial" w:cs="Arial"/>
          <w:color w:val="000000" w:themeColor="text1"/>
          <w:kern w:val="0"/>
          <w:sz w:val="24"/>
          <w:szCs w:val="24"/>
          <w:lang w:eastAsia="en-GB"/>
          <w14:ligatures w14:val="none"/>
        </w:rPr>
        <w:t>TOYOTA,</w:t>
      </w:r>
      <w:r w:rsidR="0095489E" w:rsidRPr="00B3537C">
        <w:rPr>
          <w:rFonts w:ascii="Arial" w:eastAsia="Times New Roman" w:hAnsi="Arial" w:cs="Arial"/>
          <w:color w:val="000000" w:themeColor="text1"/>
          <w:kern w:val="0"/>
          <w:sz w:val="24"/>
          <w:szCs w:val="24"/>
          <w:lang w:eastAsia="en-GB"/>
          <w14:ligatures w14:val="none"/>
        </w:rPr>
        <w:t xml:space="preserve"> 2024)</w:t>
      </w:r>
      <w:r w:rsidR="007561E5" w:rsidRPr="00B3537C">
        <w:rPr>
          <w:rFonts w:ascii="Arial" w:eastAsia="Times New Roman" w:hAnsi="Arial" w:cs="Arial"/>
          <w:color w:val="000000" w:themeColor="text1"/>
          <w:kern w:val="0"/>
          <w:sz w:val="24"/>
          <w:szCs w:val="24"/>
          <w:lang w:eastAsia="en-GB"/>
          <w14:ligatures w14:val="none"/>
        </w:rPr>
        <w:t>.</w:t>
      </w:r>
    </w:p>
    <w:p w14:paraId="02AC2081" w14:textId="77777777" w:rsidR="007561E5" w:rsidRPr="00B3537C" w:rsidRDefault="007561E5" w:rsidP="007561E5">
      <w:pPr>
        <w:pStyle w:val="Heading3"/>
        <w:rPr>
          <w:rFonts w:ascii="Arial" w:eastAsia="Times New Roman" w:hAnsi="Arial" w:cs="Arial"/>
          <w:color w:val="000000" w:themeColor="text1"/>
          <w:lang w:eastAsia="en-GB"/>
        </w:rPr>
      </w:pPr>
      <w:bookmarkStart w:id="7" w:name="_Toc227926145"/>
      <w:r w:rsidRPr="00B3537C">
        <w:rPr>
          <w:rFonts w:ascii="Arial" w:eastAsia="Times New Roman" w:hAnsi="Arial" w:cs="Arial"/>
          <w:color w:val="000000" w:themeColor="text1"/>
          <w:lang w:eastAsia="en-GB"/>
        </w:rPr>
        <w:t>b) Liquidity Ratios</w:t>
      </w:r>
      <w:bookmarkEnd w:id="7"/>
    </w:p>
    <w:p w14:paraId="0DC6B813" w14:textId="25B4630C" w:rsidR="00033709" w:rsidRPr="00B3537C" w:rsidRDefault="00033709" w:rsidP="00033709">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liquidity situation of Toyota has been improving continuously throughout the period, which means that the company has become more financially stable in the short term. Compared to the current ratio of 1.06 in 2021, the current ratio of this year stands at 1.26, indicating that the company has continued to enhance its short-term liquidity (</w:t>
      </w:r>
      <w:r w:rsidR="00265127" w:rsidRPr="00B3537C">
        <w:rPr>
          <w:rFonts w:ascii="Arial" w:eastAsia="Times New Roman" w:hAnsi="Arial" w:cs="Arial"/>
          <w:color w:val="000000" w:themeColor="text1"/>
          <w:kern w:val="0"/>
          <w:sz w:val="24"/>
          <w:szCs w:val="24"/>
          <w:lang w:eastAsia="en-GB"/>
          <w14:ligatures w14:val="none"/>
        </w:rPr>
        <w:t>Table 2</w:t>
      </w:r>
      <w:r w:rsidRPr="00B3537C">
        <w:rPr>
          <w:rFonts w:ascii="Arial" w:eastAsia="Times New Roman" w:hAnsi="Arial" w:cs="Arial"/>
          <w:color w:val="000000" w:themeColor="text1"/>
          <w:kern w:val="0"/>
          <w:sz w:val="24"/>
          <w:szCs w:val="24"/>
          <w:lang w:eastAsia="en-GB"/>
          <w14:ligatures w14:val="none"/>
        </w:rPr>
        <w:t>).</w:t>
      </w:r>
    </w:p>
    <w:p w14:paraId="1B90729E" w14:textId="54371A92" w:rsidR="00033709" w:rsidRPr="00B3537C" w:rsidRDefault="00033709" w:rsidP="00033709">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lastRenderedPageBreak/>
        <w:t>The quick ratio, which does not include inventory, also rose from below 1 in previous years to above 1 in 2024 and 2025. This shows that Toyota does not depend on inventory to finance its short-term liabilities, thus having a better liquidity position</w:t>
      </w:r>
      <w:r w:rsidR="0095489E" w:rsidRPr="00B3537C">
        <w:rPr>
          <w:rFonts w:ascii="Arial" w:eastAsia="Times New Roman" w:hAnsi="Arial" w:cs="Arial"/>
          <w:color w:val="000000" w:themeColor="text1"/>
          <w:kern w:val="0"/>
          <w:sz w:val="24"/>
          <w:szCs w:val="24"/>
          <w:lang w:eastAsia="en-GB"/>
          <w14:ligatures w14:val="none"/>
        </w:rPr>
        <w:t xml:space="preserve"> (Toyota, 2024)</w:t>
      </w:r>
      <w:r w:rsidRPr="00B3537C">
        <w:rPr>
          <w:rFonts w:ascii="Arial" w:eastAsia="Times New Roman" w:hAnsi="Arial" w:cs="Arial"/>
          <w:color w:val="000000" w:themeColor="text1"/>
          <w:kern w:val="0"/>
          <w:sz w:val="24"/>
          <w:szCs w:val="24"/>
          <w:lang w:eastAsia="en-GB"/>
          <w14:ligatures w14:val="none"/>
        </w:rPr>
        <w:t>.</w:t>
      </w:r>
    </w:p>
    <w:p w14:paraId="7E3672DC" w14:textId="77777777" w:rsidR="007561E5" w:rsidRPr="00B3537C" w:rsidRDefault="007561E5" w:rsidP="007561E5">
      <w:pPr>
        <w:pStyle w:val="Heading3"/>
        <w:rPr>
          <w:rFonts w:ascii="Arial" w:eastAsia="Times New Roman" w:hAnsi="Arial" w:cs="Arial"/>
          <w:color w:val="000000" w:themeColor="text1"/>
          <w:lang w:eastAsia="en-GB"/>
        </w:rPr>
      </w:pPr>
      <w:bookmarkStart w:id="8" w:name="_Toc227926146"/>
      <w:r w:rsidRPr="00B3537C">
        <w:rPr>
          <w:rFonts w:ascii="Arial" w:eastAsia="Times New Roman" w:hAnsi="Arial" w:cs="Arial"/>
          <w:color w:val="000000" w:themeColor="text1"/>
          <w:lang w:eastAsia="en-GB"/>
        </w:rPr>
        <w:t>c) Efficiency Ratios</w:t>
      </w:r>
      <w:bookmarkEnd w:id="8"/>
    </w:p>
    <w:p w14:paraId="6BFE1E43" w14:textId="45C8D3B5" w:rsidR="00967E4D" w:rsidRPr="00B3537C" w:rsidRDefault="00967E4D" w:rsidP="00967E4D">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Efficiency ratios reveal the efficiency with which Toyota uses its assets and operates. Inventory turnover ratio improved tremendously from 2022 to 2025, with 6.65 times to 8.37, respectively. This means enhanced inventory flow and efficiency in production, which is essential in the automotive industry, where inventory holding costs are high (</w:t>
      </w:r>
      <w:r w:rsidR="009C0DBB" w:rsidRPr="00B3537C">
        <w:rPr>
          <w:rFonts w:ascii="Arial" w:eastAsia="Times New Roman" w:hAnsi="Arial" w:cs="Arial"/>
          <w:color w:val="000000" w:themeColor="text1"/>
          <w:kern w:val="0"/>
          <w:sz w:val="24"/>
          <w:szCs w:val="24"/>
          <w:lang w:eastAsia="en-GB"/>
          <w14:ligatures w14:val="none"/>
        </w:rPr>
        <w:t>Table 3</w:t>
      </w:r>
      <w:r w:rsidRPr="00B3537C">
        <w:rPr>
          <w:rFonts w:ascii="Arial" w:eastAsia="Times New Roman" w:hAnsi="Arial" w:cs="Arial"/>
          <w:color w:val="000000" w:themeColor="text1"/>
          <w:kern w:val="0"/>
          <w:sz w:val="24"/>
          <w:szCs w:val="24"/>
          <w:lang w:eastAsia="en-GB"/>
          <w14:ligatures w14:val="none"/>
        </w:rPr>
        <w:t>).</w:t>
      </w:r>
    </w:p>
    <w:p w14:paraId="0EDBE9A7" w14:textId="7A69122D" w:rsidR="00967E4D" w:rsidRPr="00B3537C" w:rsidRDefault="00967E4D" w:rsidP="00967E4D">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receivables days dropped to about 132 days in 2021 to 117 days in 2025, which represented better credit control and quicker cash collection. This promotes liquidity and decreases the risk of bad debts</w:t>
      </w:r>
      <w:r w:rsidR="0095489E" w:rsidRPr="00B3537C">
        <w:rPr>
          <w:rFonts w:ascii="Arial" w:eastAsia="Times New Roman" w:hAnsi="Arial" w:cs="Arial"/>
          <w:color w:val="000000" w:themeColor="text1"/>
          <w:kern w:val="0"/>
          <w:sz w:val="24"/>
          <w:szCs w:val="24"/>
          <w:lang w:eastAsia="en-GB"/>
          <w14:ligatures w14:val="none"/>
        </w:rPr>
        <w:t xml:space="preserve"> (Toyota, 2025b)</w:t>
      </w:r>
      <w:r w:rsidRPr="00B3537C">
        <w:rPr>
          <w:rFonts w:ascii="Arial" w:eastAsia="Times New Roman" w:hAnsi="Arial" w:cs="Arial"/>
          <w:color w:val="000000" w:themeColor="text1"/>
          <w:kern w:val="0"/>
          <w:sz w:val="24"/>
          <w:szCs w:val="24"/>
          <w:lang w:eastAsia="en-GB"/>
          <w14:ligatures w14:val="none"/>
        </w:rPr>
        <w:t>.</w:t>
      </w:r>
    </w:p>
    <w:p w14:paraId="31396571" w14:textId="58108D06" w:rsidR="007561E5" w:rsidRPr="00B3537C" w:rsidRDefault="00967E4D" w:rsidP="00967E4D">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payables days, however, dropped to approximately 38 days in 2025 as compared to approximately 47 days in 2021. Although it might be an indication of lower supplier relations, it also means that Toyota is paying suppliers faster, and that may strain the cash flows.</w:t>
      </w:r>
    </w:p>
    <w:p w14:paraId="01F5704E" w14:textId="77777777" w:rsidR="007561E5" w:rsidRPr="00B3537C" w:rsidRDefault="007561E5" w:rsidP="007561E5">
      <w:pPr>
        <w:pStyle w:val="Heading3"/>
        <w:rPr>
          <w:rFonts w:ascii="Arial" w:eastAsia="Times New Roman" w:hAnsi="Arial" w:cs="Arial"/>
          <w:color w:val="000000" w:themeColor="text1"/>
          <w:lang w:eastAsia="en-GB"/>
        </w:rPr>
      </w:pPr>
      <w:bookmarkStart w:id="9" w:name="_Toc227926147"/>
      <w:r w:rsidRPr="00B3537C">
        <w:rPr>
          <w:rFonts w:ascii="Arial" w:eastAsia="Times New Roman" w:hAnsi="Arial" w:cs="Arial"/>
          <w:color w:val="000000" w:themeColor="text1"/>
          <w:lang w:eastAsia="en-GB"/>
        </w:rPr>
        <w:t>d) Gearing (Leverage) Ratios</w:t>
      </w:r>
      <w:bookmarkEnd w:id="9"/>
    </w:p>
    <w:p w14:paraId="3B68C57E" w14:textId="3B6073E0" w:rsidR="007561E5" w:rsidRPr="00B3537C" w:rsidRDefault="00967E4D" w:rsidP="00967E4D">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Toyota has a stable gearing with a debt-to-equity ratio of 1.49 to 1.56, which implies a balanced capital structure and moderate financial risk (</w:t>
      </w:r>
      <w:r w:rsidR="00A061C2" w:rsidRPr="00B3537C">
        <w:rPr>
          <w:rFonts w:ascii="Arial" w:eastAsia="Times New Roman" w:hAnsi="Arial" w:cs="Arial"/>
          <w:color w:val="000000" w:themeColor="text1"/>
          <w:kern w:val="0"/>
          <w:sz w:val="24"/>
          <w:szCs w:val="24"/>
          <w:lang w:eastAsia="en-GB"/>
          <w14:ligatures w14:val="none"/>
        </w:rPr>
        <w:t>Table 4</w:t>
      </w:r>
      <w:r w:rsidRPr="00B3537C">
        <w:rPr>
          <w:rFonts w:ascii="Arial" w:eastAsia="Times New Roman" w:hAnsi="Arial" w:cs="Arial"/>
          <w:color w:val="000000" w:themeColor="text1"/>
          <w:kern w:val="0"/>
          <w:sz w:val="24"/>
          <w:szCs w:val="24"/>
          <w:lang w:eastAsia="en-GB"/>
          <w14:ligatures w14:val="none"/>
        </w:rPr>
        <w:t>). The company is not over-reliant on debt, which keeps it financially flexible. The interest coverage ratio is very high with a company, between 61 and 111 times, which is very high compared to the normal level</w:t>
      </w:r>
      <w:r w:rsidR="0095489E" w:rsidRPr="00B3537C">
        <w:rPr>
          <w:rFonts w:ascii="Arial" w:eastAsia="Times New Roman" w:hAnsi="Arial" w:cs="Arial"/>
          <w:color w:val="000000" w:themeColor="text1"/>
          <w:kern w:val="0"/>
          <w:sz w:val="24"/>
          <w:szCs w:val="24"/>
          <w:lang w:eastAsia="en-GB"/>
          <w14:ligatures w14:val="none"/>
        </w:rPr>
        <w:t xml:space="preserve"> (Trading Economics, 2025)</w:t>
      </w:r>
      <w:r w:rsidRPr="00B3537C">
        <w:rPr>
          <w:rFonts w:ascii="Arial" w:eastAsia="Times New Roman" w:hAnsi="Arial" w:cs="Arial"/>
          <w:color w:val="000000" w:themeColor="text1"/>
          <w:kern w:val="0"/>
          <w:sz w:val="24"/>
          <w:szCs w:val="24"/>
          <w:lang w:eastAsia="en-GB"/>
          <w14:ligatures w14:val="none"/>
        </w:rPr>
        <w:t xml:space="preserve">. This indicates that Toyota is able to make enough operating income to comfortably pay interest. In spite of the fact that the ratio decreased slightly after 2022, it is very high, indicating low default risk. On the whole, the leverage position of Toyota is more than stable, and it allows the company to afford large-scale </w:t>
      </w:r>
      <w:r w:rsidRPr="00B3537C">
        <w:rPr>
          <w:rFonts w:ascii="Arial" w:eastAsia="Times New Roman" w:hAnsi="Arial" w:cs="Arial"/>
          <w:color w:val="000000" w:themeColor="text1"/>
          <w:kern w:val="0"/>
          <w:sz w:val="24"/>
          <w:szCs w:val="24"/>
          <w:lang w:eastAsia="en-GB"/>
          <w14:ligatures w14:val="none"/>
        </w:rPr>
        <w:lastRenderedPageBreak/>
        <w:t>investments, especially in the development of electric vehicles, without affecting financial stability</w:t>
      </w:r>
      <w:r w:rsidR="007561E5" w:rsidRPr="00B3537C">
        <w:rPr>
          <w:rFonts w:ascii="Arial" w:eastAsia="Times New Roman" w:hAnsi="Arial" w:cs="Arial"/>
          <w:color w:val="000000" w:themeColor="text1"/>
          <w:kern w:val="0"/>
          <w:sz w:val="24"/>
          <w:szCs w:val="24"/>
          <w:lang w:eastAsia="en-GB"/>
          <w14:ligatures w14:val="none"/>
        </w:rPr>
        <w:t>.</w:t>
      </w:r>
    </w:p>
    <w:p w14:paraId="3D6D49FE" w14:textId="77777777" w:rsidR="007561E5" w:rsidRPr="00B3537C" w:rsidRDefault="007561E5" w:rsidP="007561E5">
      <w:pPr>
        <w:pStyle w:val="Heading3"/>
        <w:rPr>
          <w:rFonts w:ascii="Arial" w:eastAsia="Times New Roman" w:hAnsi="Arial" w:cs="Arial"/>
          <w:color w:val="000000" w:themeColor="text1"/>
          <w:lang w:eastAsia="en-GB"/>
        </w:rPr>
      </w:pPr>
      <w:bookmarkStart w:id="10" w:name="_Toc227926148"/>
      <w:r w:rsidRPr="00B3537C">
        <w:rPr>
          <w:rFonts w:ascii="Arial" w:eastAsia="Times New Roman" w:hAnsi="Arial" w:cs="Arial"/>
          <w:color w:val="000000" w:themeColor="text1"/>
          <w:lang w:eastAsia="en-GB"/>
        </w:rPr>
        <w:t>e) Investment Ratios</w:t>
      </w:r>
      <w:bookmarkEnd w:id="10"/>
    </w:p>
    <w:p w14:paraId="728593F5" w14:textId="0DFEFAF8" w:rsidR="007561E5" w:rsidRPr="00B3537C" w:rsidRDefault="000178FF" w:rsidP="000178FF">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earnings per share (EPS) of Toyota demonstrate an overall positive trend, with an increase in earnings per share to 23.73 in 2025, although the earnings per share decreased in 2023 because of the low profitability. This implies a long-term value creation to the shareholders (</w:t>
      </w:r>
      <w:r w:rsidR="00A061C2" w:rsidRPr="00B3537C">
        <w:rPr>
          <w:rFonts w:ascii="Arial" w:eastAsia="Times New Roman" w:hAnsi="Arial" w:cs="Arial"/>
          <w:color w:val="000000" w:themeColor="text1"/>
          <w:kern w:val="0"/>
          <w:sz w:val="24"/>
          <w:szCs w:val="24"/>
          <w:lang w:eastAsia="en-GB"/>
          <w14:ligatures w14:val="none"/>
        </w:rPr>
        <w:t>Table 5</w:t>
      </w:r>
      <w:r w:rsidRPr="00B3537C">
        <w:rPr>
          <w:rFonts w:ascii="Arial" w:eastAsia="Times New Roman" w:hAnsi="Arial" w:cs="Arial"/>
          <w:color w:val="000000" w:themeColor="text1"/>
          <w:kern w:val="0"/>
          <w:sz w:val="24"/>
          <w:szCs w:val="24"/>
          <w:lang w:eastAsia="en-GB"/>
          <w14:ligatures w14:val="none"/>
        </w:rPr>
        <w:t>). The price-to-earnings (P/E) ratio is very volatile, with a high of 195.07 in 2023, and it indicates high expectations of investors despite the poor earnings</w:t>
      </w:r>
      <w:r w:rsidR="0095489E" w:rsidRPr="00B3537C">
        <w:rPr>
          <w:rFonts w:ascii="Arial" w:eastAsia="Times New Roman" w:hAnsi="Arial" w:cs="Arial"/>
          <w:color w:val="000000" w:themeColor="text1"/>
          <w:kern w:val="0"/>
          <w:sz w:val="24"/>
          <w:szCs w:val="24"/>
          <w:lang w:eastAsia="en-GB"/>
          <w14:ligatures w14:val="none"/>
        </w:rPr>
        <w:t xml:space="preserve"> (Fusion Media Limited, 2026)</w:t>
      </w:r>
      <w:r w:rsidRPr="00B3537C">
        <w:rPr>
          <w:rFonts w:ascii="Arial" w:eastAsia="Times New Roman" w:hAnsi="Arial" w:cs="Arial"/>
          <w:color w:val="000000" w:themeColor="text1"/>
          <w:kern w:val="0"/>
          <w:sz w:val="24"/>
          <w:szCs w:val="24"/>
          <w:lang w:eastAsia="en-GB"/>
          <w14:ligatures w14:val="none"/>
        </w:rPr>
        <w:t xml:space="preserve">. The following decrease in 2024 and 2025 portrays a more stable market feeling in line with better financial performance. All in all, Toyota is also a good investment option, as its earnings have been steadily increasing. </w:t>
      </w:r>
    </w:p>
    <w:p w14:paraId="098A08A1" w14:textId="77777777" w:rsidR="007561E5" w:rsidRPr="00B3537C" w:rsidRDefault="007561E5" w:rsidP="007561E5">
      <w:pPr>
        <w:pStyle w:val="Heading3"/>
        <w:rPr>
          <w:rFonts w:ascii="Arial" w:eastAsia="Times New Roman" w:hAnsi="Arial" w:cs="Arial"/>
          <w:color w:val="000000" w:themeColor="text1"/>
          <w:lang w:eastAsia="en-GB"/>
        </w:rPr>
      </w:pPr>
      <w:bookmarkStart w:id="11" w:name="_Toc227926149"/>
      <w:r w:rsidRPr="00B3537C">
        <w:rPr>
          <w:rFonts w:ascii="Arial" w:eastAsia="Times New Roman" w:hAnsi="Arial" w:cs="Arial"/>
          <w:color w:val="000000" w:themeColor="text1"/>
          <w:lang w:eastAsia="en-GB"/>
        </w:rPr>
        <w:t>f) Cash Flow Analysis</w:t>
      </w:r>
      <w:bookmarkEnd w:id="11"/>
    </w:p>
    <w:p w14:paraId="07946A22" w14:textId="09EEC321" w:rsidR="007561E5" w:rsidRPr="00B3537C" w:rsidRDefault="00AA44DD" w:rsidP="00AA44DD">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Toyota has a good operating cash flow, with the highest in 2022 and a steady trend since then, which reflects that it has good cash generation in its core business (</w:t>
      </w:r>
      <w:r w:rsidR="00517B79" w:rsidRPr="00B3537C">
        <w:rPr>
          <w:rFonts w:ascii="Arial" w:eastAsia="Times New Roman" w:hAnsi="Arial" w:cs="Arial"/>
          <w:color w:val="000000" w:themeColor="text1"/>
          <w:kern w:val="0"/>
          <w:sz w:val="24"/>
          <w:szCs w:val="24"/>
          <w:lang w:eastAsia="en-GB"/>
          <w14:ligatures w14:val="none"/>
        </w:rPr>
        <w:t>Table 6</w:t>
      </w:r>
      <w:r w:rsidRPr="00B3537C">
        <w:rPr>
          <w:rFonts w:ascii="Arial" w:eastAsia="Times New Roman" w:hAnsi="Arial" w:cs="Arial"/>
          <w:color w:val="000000" w:themeColor="text1"/>
          <w:kern w:val="0"/>
          <w:sz w:val="24"/>
          <w:szCs w:val="24"/>
          <w:lang w:eastAsia="en-GB"/>
          <w14:ligatures w14:val="none"/>
        </w:rPr>
        <w:t>). Nonetheless, there is a considerable decrease in the free cash flow, which is expected to hit its lowest point of 1,437 million in 2025 as a result of higher capital expenditure</w:t>
      </w:r>
      <w:r w:rsidR="0095489E" w:rsidRPr="00B3537C">
        <w:rPr>
          <w:rFonts w:ascii="Arial" w:eastAsia="Times New Roman" w:hAnsi="Arial" w:cs="Arial"/>
          <w:color w:val="000000" w:themeColor="text1"/>
          <w:kern w:val="0"/>
          <w:sz w:val="24"/>
          <w:szCs w:val="24"/>
          <w:lang w:eastAsia="en-GB"/>
          <w14:ligatures w14:val="none"/>
        </w:rPr>
        <w:t xml:space="preserve"> (Yahoo Finance, 2025)</w:t>
      </w:r>
      <w:r w:rsidRPr="00B3537C">
        <w:rPr>
          <w:rFonts w:ascii="Arial" w:eastAsia="Times New Roman" w:hAnsi="Arial" w:cs="Arial"/>
          <w:color w:val="000000" w:themeColor="text1"/>
          <w:kern w:val="0"/>
          <w:sz w:val="24"/>
          <w:szCs w:val="24"/>
          <w:lang w:eastAsia="en-GB"/>
          <w14:ligatures w14:val="none"/>
        </w:rPr>
        <w:t xml:space="preserve">. This is indicative of high investment in long-term growth projects, such as EV development. Cash flow adequacy ratio is low (0.13- 0.20), indicating that operating cash flow is not adequate to meet capital expenditure, debt, and dividends. </w:t>
      </w:r>
    </w:p>
    <w:p w14:paraId="31046A63" w14:textId="77777777" w:rsidR="007561E5" w:rsidRPr="00B3537C" w:rsidRDefault="007561E5" w:rsidP="00242669">
      <w:pPr>
        <w:pStyle w:val="Heading2"/>
        <w:rPr>
          <w:color w:val="000000" w:themeColor="text1"/>
        </w:rPr>
      </w:pPr>
      <w:bookmarkStart w:id="12" w:name="_Toc227926150"/>
      <w:r w:rsidRPr="00B3537C">
        <w:rPr>
          <w:color w:val="000000" w:themeColor="text1"/>
        </w:rPr>
        <w:t>1.3 Trend Analysis</w:t>
      </w:r>
      <w:bookmarkEnd w:id="12"/>
    </w:p>
    <w:p w14:paraId="117221D9" w14:textId="77777777" w:rsidR="007561E5" w:rsidRPr="00B3537C" w:rsidRDefault="007561E5" w:rsidP="007561E5">
      <w:pPr>
        <w:pStyle w:val="Heading3"/>
        <w:rPr>
          <w:rFonts w:ascii="Arial" w:eastAsia="Times New Roman" w:hAnsi="Arial" w:cs="Arial"/>
          <w:color w:val="000000" w:themeColor="text1"/>
          <w:lang w:eastAsia="en-GB"/>
        </w:rPr>
      </w:pPr>
      <w:bookmarkStart w:id="13" w:name="_Toc227926151"/>
      <w:r w:rsidRPr="00B3537C">
        <w:rPr>
          <w:rFonts w:ascii="Arial" w:eastAsia="Times New Roman" w:hAnsi="Arial" w:cs="Arial"/>
          <w:color w:val="000000" w:themeColor="text1"/>
          <w:lang w:eastAsia="en-GB"/>
        </w:rPr>
        <w:t>Strengths</w:t>
      </w:r>
      <w:bookmarkEnd w:id="13"/>
    </w:p>
    <w:p w14:paraId="23DFAA8D" w14:textId="6DBA9076" w:rsidR="00AA44DD" w:rsidRPr="00B3537C" w:rsidRDefault="00AA44DD" w:rsidP="00AA44DD">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Toyota is one company that has a high and solid profitability as one of its strengths. The company has been able to achieve high returns on equity and healthy margins despite the intermittent blips. Secondly, Toyota shows strong creation of cash flow, which contributes to the fact that it can afford to make big investments without relying too heavily on external funding</w:t>
      </w:r>
      <w:r w:rsidR="00540B00" w:rsidRPr="00B3537C">
        <w:rPr>
          <w:rFonts w:ascii="Arial" w:eastAsia="Times New Roman" w:hAnsi="Arial" w:cs="Arial"/>
          <w:color w:val="000000" w:themeColor="text1"/>
          <w:kern w:val="0"/>
          <w:sz w:val="24"/>
          <w:szCs w:val="24"/>
          <w:lang w:eastAsia="en-GB"/>
          <w14:ligatures w14:val="none"/>
        </w:rPr>
        <w:t xml:space="preserve"> (Nkomo, 2019)</w:t>
      </w:r>
      <w:r w:rsidRPr="00B3537C">
        <w:rPr>
          <w:rFonts w:ascii="Arial" w:eastAsia="Times New Roman" w:hAnsi="Arial" w:cs="Arial"/>
          <w:color w:val="000000" w:themeColor="text1"/>
          <w:kern w:val="0"/>
          <w:sz w:val="24"/>
          <w:szCs w:val="24"/>
          <w:lang w:eastAsia="en-GB"/>
          <w14:ligatures w14:val="none"/>
        </w:rPr>
        <w:t>.</w:t>
      </w:r>
    </w:p>
    <w:p w14:paraId="5A9C696F" w14:textId="0B5FD326" w:rsidR="007561E5" w:rsidRPr="00B3537C" w:rsidRDefault="007561E5" w:rsidP="007561E5">
      <w:pPr>
        <w:spacing w:after="0" w:line="240" w:lineRule="auto"/>
        <w:rPr>
          <w:rFonts w:ascii="Arial" w:eastAsia="Times New Roman" w:hAnsi="Arial" w:cs="Arial"/>
          <w:color w:val="000000" w:themeColor="text1"/>
          <w:kern w:val="0"/>
          <w:sz w:val="24"/>
          <w:szCs w:val="24"/>
          <w:lang w:eastAsia="en-GB"/>
          <w14:ligatures w14:val="none"/>
        </w:rPr>
      </w:pPr>
    </w:p>
    <w:p w14:paraId="3D85A848" w14:textId="77777777" w:rsidR="007561E5" w:rsidRPr="00B3537C" w:rsidRDefault="007561E5" w:rsidP="007561E5">
      <w:pPr>
        <w:pStyle w:val="Heading3"/>
        <w:rPr>
          <w:rFonts w:ascii="Arial" w:eastAsia="Times New Roman" w:hAnsi="Arial" w:cs="Arial"/>
          <w:color w:val="000000" w:themeColor="text1"/>
          <w:lang w:eastAsia="en-GB"/>
        </w:rPr>
      </w:pPr>
      <w:bookmarkStart w:id="14" w:name="_Toc227926152"/>
      <w:r w:rsidRPr="00B3537C">
        <w:rPr>
          <w:rFonts w:ascii="Arial" w:eastAsia="Times New Roman" w:hAnsi="Arial" w:cs="Arial"/>
          <w:color w:val="000000" w:themeColor="text1"/>
          <w:lang w:eastAsia="en-GB"/>
        </w:rPr>
        <w:t>Weaknesses</w:t>
      </w:r>
      <w:bookmarkEnd w:id="14"/>
    </w:p>
    <w:p w14:paraId="044DF727" w14:textId="00257478" w:rsidR="00AA44DD" w:rsidRPr="00B3537C" w:rsidRDefault="00AA44DD" w:rsidP="00AA44DD">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One of the weaknesses is the variability in profitability, especially the significant drop in 2023. This means that it has been sensitive to external shocks like supply chain disruptions and inflation of costs</w:t>
      </w:r>
      <w:r w:rsidR="00540B00" w:rsidRPr="00B3537C">
        <w:rPr>
          <w:rFonts w:ascii="Arial" w:eastAsia="Times New Roman" w:hAnsi="Arial" w:cs="Arial"/>
          <w:color w:val="000000" w:themeColor="text1"/>
          <w:kern w:val="0"/>
          <w:sz w:val="24"/>
          <w:szCs w:val="24"/>
          <w:lang w:eastAsia="en-GB"/>
          <w14:ligatures w14:val="none"/>
        </w:rPr>
        <w:t xml:space="preserve"> (Xinyao et al, 2023)</w:t>
      </w:r>
      <w:r w:rsidRPr="00B3537C">
        <w:rPr>
          <w:rFonts w:ascii="Arial" w:eastAsia="Times New Roman" w:hAnsi="Arial" w:cs="Arial"/>
          <w:color w:val="000000" w:themeColor="text1"/>
          <w:kern w:val="0"/>
          <w:sz w:val="24"/>
          <w:szCs w:val="24"/>
          <w:lang w:eastAsia="en-GB"/>
          <w14:ligatures w14:val="none"/>
        </w:rPr>
        <w:t>.</w:t>
      </w:r>
    </w:p>
    <w:p w14:paraId="76A1F4AE" w14:textId="69B714C4" w:rsidR="007561E5" w:rsidRPr="00B3537C" w:rsidRDefault="00AA44DD" w:rsidP="00AA44DD">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Also, the reduction in days outstanding payables indicates that Toyota is paying its suppliers at a quicker rate, which can adversely affect its cash flow. The pressure caused by high capital expenditure is also evident in the relatively low free cash flow in the year 2025</w:t>
      </w:r>
      <w:r w:rsidR="007561E5" w:rsidRPr="00B3537C">
        <w:rPr>
          <w:rFonts w:ascii="Arial" w:eastAsia="Times New Roman" w:hAnsi="Arial" w:cs="Arial"/>
          <w:color w:val="000000" w:themeColor="text1"/>
          <w:kern w:val="0"/>
          <w:sz w:val="24"/>
          <w:szCs w:val="24"/>
          <w:lang w:eastAsia="en-GB"/>
          <w14:ligatures w14:val="none"/>
        </w:rPr>
        <w:t>.</w:t>
      </w:r>
    </w:p>
    <w:p w14:paraId="3E34B40B" w14:textId="77777777" w:rsidR="007561E5" w:rsidRPr="00B3537C" w:rsidRDefault="007561E5" w:rsidP="007561E5">
      <w:pPr>
        <w:pStyle w:val="Heading3"/>
        <w:rPr>
          <w:rFonts w:ascii="Arial" w:eastAsia="Times New Roman" w:hAnsi="Arial" w:cs="Arial"/>
          <w:color w:val="000000" w:themeColor="text1"/>
          <w:lang w:eastAsia="en-GB"/>
        </w:rPr>
      </w:pPr>
      <w:bookmarkStart w:id="15" w:name="_Toc227926153"/>
      <w:r w:rsidRPr="00B3537C">
        <w:rPr>
          <w:rFonts w:ascii="Arial" w:eastAsia="Times New Roman" w:hAnsi="Arial" w:cs="Arial"/>
          <w:color w:val="000000" w:themeColor="text1"/>
          <w:lang w:eastAsia="en-GB"/>
        </w:rPr>
        <w:t>Threats</w:t>
      </w:r>
      <w:bookmarkEnd w:id="15"/>
    </w:p>
    <w:p w14:paraId="6B97B661" w14:textId="0968C646" w:rsidR="00AA44DD" w:rsidRPr="00B3537C" w:rsidRDefault="00AA44DD" w:rsidP="00AA44DD">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Toyota is exposed to major external threats, especially in the form of increasing competition in the EV market. Other companies like Tesla and BYD are quickly developing their EV models, which may eat away at the market share of Toyota.</w:t>
      </w:r>
    </w:p>
    <w:p w14:paraId="100A5C7E" w14:textId="01A6BF62" w:rsidR="007F2F89" w:rsidRPr="00B3537C" w:rsidRDefault="00AA44DD" w:rsidP="00AA44DD">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other significant risk is the increase in the cost of production, both in raw materials and energy prices, which can squeeze profit margin. Also, there are further risks of global economic uncertainty, fluctuations in the currency, and regulatory pressure on environmental standards</w:t>
      </w:r>
      <w:r w:rsidR="007561E5" w:rsidRPr="00B3537C">
        <w:rPr>
          <w:rFonts w:ascii="Arial" w:eastAsia="Times New Roman" w:hAnsi="Arial" w:cs="Arial"/>
          <w:color w:val="000000" w:themeColor="text1"/>
          <w:kern w:val="0"/>
          <w:sz w:val="24"/>
          <w:szCs w:val="24"/>
          <w:lang w:eastAsia="en-GB"/>
          <w14:ligatures w14:val="none"/>
        </w:rPr>
        <w:t>.</w:t>
      </w:r>
    </w:p>
    <w:p w14:paraId="7508B943" w14:textId="17E492AA" w:rsidR="007F2F89" w:rsidRPr="00B3537C" w:rsidRDefault="007F2F89">
      <w:pPr>
        <w:rPr>
          <w:rFonts w:ascii="Arial" w:eastAsia="Times New Roman" w:hAnsi="Arial" w:cs="Arial"/>
          <w:color w:val="000000" w:themeColor="text1"/>
          <w:kern w:val="0"/>
          <w:sz w:val="24"/>
          <w:szCs w:val="24"/>
          <w:lang w:eastAsia="en-GB"/>
          <w14:ligatures w14:val="none"/>
        </w:rPr>
      </w:pPr>
    </w:p>
    <w:p w14:paraId="7771E718" w14:textId="77777777" w:rsidR="00242669" w:rsidRPr="00B3537C" w:rsidRDefault="00242669">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br w:type="page"/>
      </w:r>
    </w:p>
    <w:p w14:paraId="101A47FC" w14:textId="77777777" w:rsidR="007561E5" w:rsidRPr="00B3537C" w:rsidRDefault="007561E5" w:rsidP="00242669">
      <w:pPr>
        <w:pStyle w:val="Heading1"/>
      </w:pPr>
      <w:bookmarkStart w:id="16" w:name="_Toc227926154"/>
      <w:r w:rsidRPr="00B3537C">
        <w:lastRenderedPageBreak/>
        <w:t>SECTION 2: Working Capital Management</w:t>
      </w:r>
      <w:bookmarkEnd w:id="16"/>
    </w:p>
    <w:p w14:paraId="5B48567A" w14:textId="77777777" w:rsidR="007561E5" w:rsidRPr="00B3537C" w:rsidRDefault="007561E5" w:rsidP="00242669">
      <w:pPr>
        <w:pStyle w:val="Heading2"/>
        <w:rPr>
          <w:color w:val="000000" w:themeColor="text1"/>
        </w:rPr>
      </w:pPr>
      <w:bookmarkStart w:id="17" w:name="_Toc227926155"/>
      <w:r w:rsidRPr="00B3537C">
        <w:rPr>
          <w:color w:val="000000" w:themeColor="text1"/>
        </w:rPr>
        <w:t>2.1 Cash Operating Cycle</w:t>
      </w:r>
      <w:bookmarkEnd w:id="17"/>
    </w:p>
    <w:p w14:paraId="64B31FC5" w14:textId="7E458B88" w:rsidR="00F630F8" w:rsidRPr="00B3537C" w:rsidRDefault="00F630F8" w:rsidP="00F630F8">
      <w:pPr>
        <w:pStyle w:val="NormalWeb"/>
        <w:spacing w:line="360" w:lineRule="auto"/>
        <w:jc w:val="both"/>
        <w:rPr>
          <w:rFonts w:ascii="Arial" w:hAnsi="Arial" w:cs="Arial"/>
          <w:color w:val="000000" w:themeColor="text1"/>
        </w:rPr>
      </w:pPr>
      <w:r w:rsidRPr="00B3537C">
        <w:rPr>
          <w:rFonts w:ascii="Arial" w:hAnsi="Arial" w:cs="Arial"/>
          <w:color w:val="000000" w:themeColor="text1"/>
        </w:rPr>
        <w:t>Working capital management is also important in evaluating the financial efficiency of the firm in the short-term, especially in terms of the cash operating cycle (</w:t>
      </w:r>
      <w:r w:rsidR="00D630B9" w:rsidRPr="00B3537C">
        <w:rPr>
          <w:rFonts w:ascii="Arial" w:hAnsi="Arial" w:cs="Arial"/>
          <w:color w:val="000000" w:themeColor="text1"/>
        </w:rPr>
        <w:t>Table 7</w:t>
      </w:r>
      <w:r w:rsidRPr="00B3537C">
        <w:rPr>
          <w:rFonts w:ascii="Arial" w:hAnsi="Arial" w:cs="Arial"/>
          <w:color w:val="000000" w:themeColor="text1"/>
        </w:rPr>
        <w:t>). The cash conversion cycle (CCC) is a measure of the period that a company requires to turn investments in its inventory and other inputs used in its operations into cash inflows as a result of sales.</w:t>
      </w:r>
    </w:p>
    <w:p w14:paraId="46D6B8BC" w14:textId="582BE5D8" w:rsidR="00F630F8" w:rsidRPr="00B3537C" w:rsidRDefault="00F630F8" w:rsidP="00F630F8">
      <w:pPr>
        <w:pStyle w:val="NormalWeb"/>
        <w:spacing w:line="360" w:lineRule="auto"/>
        <w:jc w:val="both"/>
        <w:rPr>
          <w:rFonts w:ascii="Arial" w:hAnsi="Arial" w:cs="Arial"/>
          <w:color w:val="000000" w:themeColor="text1"/>
        </w:rPr>
      </w:pPr>
      <w:r w:rsidRPr="00B3537C">
        <w:rPr>
          <w:rFonts w:ascii="Arial" w:hAnsi="Arial" w:cs="Arial"/>
          <w:color w:val="000000" w:themeColor="text1"/>
        </w:rPr>
        <w:t>In Toyota Motor Corporation, the five-year performance of the components of the CCC indicates significant improvements. The inventory days decreased to 43.62 days compared to 54.9 days in 2022, which shows better inventory management and quicker turnover. In the same manner, the days of receivables dropped to 131.85 days in 2021 and 116.65 days in 2025 as an indicator of better customer payment collection. Nevertheless, the value of payables days dropped to 38.34 days in 2025 (compared to 46.68 days in 2021), indicating that Toyota is paying its suppliers faster</w:t>
      </w:r>
      <w:r w:rsidR="00540B00" w:rsidRPr="00B3537C">
        <w:rPr>
          <w:rFonts w:ascii="Arial" w:hAnsi="Arial" w:cs="Arial"/>
          <w:color w:val="000000" w:themeColor="text1"/>
        </w:rPr>
        <w:t xml:space="preserve"> (</w:t>
      </w:r>
      <w:proofErr w:type="spellStart"/>
      <w:r w:rsidR="00540B00" w:rsidRPr="00B3537C">
        <w:rPr>
          <w:rFonts w:ascii="Arial" w:hAnsi="Arial" w:cs="Arial"/>
          <w:color w:val="000000" w:themeColor="text1"/>
        </w:rPr>
        <w:t>Bhattacheryay</w:t>
      </w:r>
      <w:proofErr w:type="spellEnd"/>
      <w:r w:rsidR="00540B00" w:rsidRPr="00B3537C">
        <w:rPr>
          <w:rFonts w:ascii="Arial" w:hAnsi="Arial" w:cs="Arial"/>
          <w:color w:val="000000" w:themeColor="text1"/>
        </w:rPr>
        <w:t>, 2023)</w:t>
      </w:r>
      <w:r w:rsidRPr="00B3537C">
        <w:rPr>
          <w:rFonts w:ascii="Arial" w:hAnsi="Arial" w:cs="Arial"/>
          <w:color w:val="000000" w:themeColor="text1"/>
        </w:rPr>
        <w:t>.</w:t>
      </w:r>
    </w:p>
    <w:p w14:paraId="615FD8DF" w14:textId="6C956E48" w:rsidR="007561E5" w:rsidRPr="00B3537C" w:rsidRDefault="00F630F8" w:rsidP="00F630F8">
      <w:pPr>
        <w:pStyle w:val="NormalWeb"/>
        <w:spacing w:line="360" w:lineRule="auto"/>
        <w:jc w:val="both"/>
        <w:rPr>
          <w:rFonts w:ascii="Arial" w:hAnsi="Arial" w:cs="Arial"/>
          <w:color w:val="000000" w:themeColor="text1"/>
        </w:rPr>
      </w:pPr>
      <w:r w:rsidRPr="00B3537C">
        <w:rPr>
          <w:rFonts w:ascii="Arial" w:hAnsi="Arial" w:cs="Arial"/>
          <w:color w:val="000000" w:themeColor="text1"/>
        </w:rPr>
        <w:t xml:space="preserve">The CCC, which is the sum of inventory days and receivables days divided by payables days, has been increasing over the years, reaching its highest point of 136.18 days in 2022 and then dropping to 121.93 days in 2025. </w:t>
      </w:r>
    </w:p>
    <w:p w14:paraId="350FC4CB" w14:textId="77777777" w:rsidR="007561E5" w:rsidRPr="00B3537C" w:rsidRDefault="007561E5" w:rsidP="00242669">
      <w:pPr>
        <w:pStyle w:val="Heading2"/>
        <w:rPr>
          <w:color w:val="000000" w:themeColor="text1"/>
        </w:rPr>
      </w:pPr>
      <w:bookmarkStart w:id="18" w:name="_Toc227926156"/>
      <w:r w:rsidRPr="00B3537C">
        <w:rPr>
          <w:color w:val="000000" w:themeColor="text1"/>
        </w:rPr>
        <w:t>2.2 Evaluation of Efficiency</w:t>
      </w:r>
      <w:bookmarkEnd w:id="18"/>
    </w:p>
    <w:p w14:paraId="26F9BEFB" w14:textId="2E9BDEEF" w:rsidR="00F630F8" w:rsidRPr="00B3537C" w:rsidRDefault="00F630F8" w:rsidP="00F630F8">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working capital efficiency of Toyota has been improving slowly, though in some areas, it still needs improvement.</w:t>
      </w:r>
      <w:r w:rsidR="008F17B6" w:rsidRPr="00B3537C">
        <w:rPr>
          <w:rFonts w:ascii="Arial" w:eastAsia="Times New Roman" w:hAnsi="Arial" w:cs="Arial"/>
          <w:color w:val="000000" w:themeColor="text1"/>
          <w:kern w:val="0"/>
          <w:sz w:val="24"/>
          <w:szCs w:val="24"/>
          <w:lang w:eastAsia="en-GB"/>
          <w14:ligatures w14:val="none"/>
        </w:rPr>
        <w:t xml:space="preserve"> </w:t>
      </w:r>
      <w:r w:rsidRPr="00B3537C">
        <w:rPr>
          <w:rFonts w:ascii="Arial" w:eastAsia="Times New Roman" w:hAnsi="Arial" w:cs="Arial"/>
          <w:color w:val="000000" w:themeColor="text1"/>
          <w:kern w:val="0"/>
          <w:sz w:val="24"/>
          <w:szCs w:val="24"/>
          <w:lang w:eastAsia="en-GB"/>
          <w14:ligatures w14:val="none"/>
        </w:rPr>
        <w:t>The decrease in inventory days is an indication of improved production planning and inventory management, which is especially significant in the automotive sector, where excess inventory can be quite expensive. This enhancement indicates that Toyota has optimized its supply chain and demand forecasting.</w:t>
      </w:r>
    </w:p>
    <w:p w14:paraId="56205DA0" w14:textId="1D97530C" w:rsidR="00F630F8" w:rsidRPr="00B3537C" w:rsidRDefault="00F630F8" w:rsidP="00F630F8">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lastRenderedPageBreak/>
        <w:t>In the same way, the decrease in the receivables days is a sign of better credit management and quicker payment of outstanding receivables. This has a positive effect on liquidity since it guarantees faster cash flows</w:t>
      </w:r>
      <w:r w:rsidR="00540B00" w:rsidRPr="00B3537C">
        <w:rPr>
          <w:rFonts w:ascii="Arial" w:eastAsia="Times New Roman" w:hAnsi="Arial" w:cs="Arial"/>
          <w:color w:val="000000" w:themeColor="text1"/>
          <w:kern w:val="0"/>
          <w:sz w:val="24"/>
          <w:szCs w:val="24"/>
          <w:lang w:eastAsia="en-GB"/>
          <w14:ligatures w14:val="none"/>
        </w:rPr>
        <w:t xml:space="preserve"> (Minh, 2023)</w:t>
      </w:r>
      <w:r w:rsidRPr="00B3537C">
        <w:rPr>
          <w:rFonts w:ascii="Arial" w:eastAsia="Times New Roman" w:hAnsi="Arial" w:cs="Arial"/>
          <w:color w:val="000000" w:themeColor="text1"/>
          <w:kern w:val="0"/>
          <w:sz w:val="24"/>
          <w:szCs w:val="24"/>
          <w:lang w:eastAsia="en-GB"/>
          <w14:ligatures w14:val="none"/>
        </w:rPr>
        <w:t>.</w:t>
      </w:r>
    </w:p>
    <w:p w14:paraId="32B4B70A" w14:textId="2F9AC365" w:rsidR="00F630F8" w:rsidRPr="00B3537C" w:rsidRDefault="00F630F8" w:rsidP="00F630F8">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decrease in payables days, however, might not be totally positive. Although paying suppliers early may help build relationships and may negotiate more favourable terms, it also means that Toyota does not have as much time to use supplier credit, which can strain cash flows.</w:t>
      </w:r>
    </w:p>
    <w:p w14:paraId="4C33FDD6" w14:textId="4B58023E" w:rsidR="007561E5" w:rsidRPr="00B3537C" w:rsidRDefault="00F630F8" w:rsidP="00F630F8">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Overall, the CCC trend is improving and has reduced to 121.93 days in 2025. In spite of this development, the cycle is still quite long, and it means that a lot of capital is still invested in operations. Toyota can also optimise its working capital cycle further as compared to industry expectations</w:t>
      </w:r>
      <w:r w:rsidR="007561E5" w:rsidRPr="00B3537C">
        <w:rPr>
          <w:rFonts w:ascii="Arial" w:eastAsia="Times New Roman" w:hAnsi="Arial" w:cs="Arial"/>
          <w:color w:val="000000" w:themeColor="text1"/>
          <w:kern w:val="0"/>
          <w:sz w:val="24"/>
          <w:szCs w:val="24"/>
          <w:lang w:eastAsia="en-GB"/>
          <w14:ligatures w14:val="none"/>
        </w:rPr>
        <w:t>.</w:t>
      </w:r>
    </w:p>
    <w:p w14:paraId="019DEB4A" w14:textId="77777777" w:rsidR="007561E5" w:rsidRPr="00B3537C" w:rsidRDefault="007561E5" w:rsidP="00242669">
      <w:pPr>
        <w:pStyle w:val="Heading2"/>
        <w:rPr>
          <w:color w:val="000000" w:themeColor="text1"/>
        </w:rPr>
      </w:pPr>
      <w:bookmarkStart w:id="19" w:name="_Toc227926157"/>
      <w:r w:rsidRPr="00B3537C">
        <w:rPr>
          <w:color w:val="000000" w:themeColor="text1"/>
        </w:rPr>
        <w:t>2.3 Improvement Strategies</w:t>
      </w:r>
      <w:bookmarkEnd w:id="19"/>
    </w:p>
    <w:p w14:paraId="2258229E" w14:textId="54D9696F" w:rsidR="007561E5" w:rsidRPr="00B3537C" w:rsidRDefault="008F17B6" w:rsidP="008F17B6">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To become much more efficient in working capital, Toyota Motor Corporation should focus on more strategic, innovation-driven approaches that would transcend the conventional ones</w:t>
      </w:r>
      <w:r w:rsidR="007561E5" w:rsidRPr="00B3537C">
        <w:rPr>
          <w:rFonts w:ascii="Arial" w:eastAsia="Times New Roman" w:hAnsi="Arial" w:cs="Arial"/>
          <w:color w:val="000000" w:themeColor="text1"/>
          <w:kern w:val="0"/>
          <w:sz w:val="24"/>
          <w:szCs w:val="24"/>
          <w:lang w:eastAsia="en-GB"/>
          <w14:ligatures w14:val="none"/>
        </w:rPr>
        <w:t>:</w:t>
      </w:r>
    </w:p>
    <w:p w14:paraId="2A34CBBC" w14:textId="02FB70B2" w:rsidR="007561E5" w:rsidRPr="00B3537C" w:rsidRDefault="00B10651" w:rsidP="00B10651">
      <w:pPr>
        <w:pStyle w:val="Heading3"/>
        <w:numPr>
          <w:ilvl w:val="0"/>
          <w:numId w:val="20"/>
        </w:numPr>
        <w:rPr>
          <w:rFonts w:ascii="Arial" w:eastAsia="Times New Roman" w:hAnsi="Arial" w:cs="Arial"/>
          <w:color w:val="000000" w:themeColor="text1"/>
          <w:lang w:eastAsia="en-GB"/>
        </w:rPr>
      </w:pPr>
      <w:bookmarkStart w:id="20" w:name="_Toc227926158"/>
      <w:r w:rsidRPr="00B3537C">
        <w:rPr>
          <w:rFonts w:ascii="Arial" w:eastAsia="Times New Roman" w:hAnsi="Arial" w:cs="Arial"/>
          <w:color w:val="000000" w:themeColor="text1"/>
          <w:kern w:val="0"/>
          <w:lang w:eastAsia="en-GB"/>
          <w14:ligatures w14:val="none"/>
        </w:rPr>
        <w:t>Hybrid inventory model</w:t>
      </w:r>
      <w:bookmarkEnd w:id="20"/>
    </w:p>
    <w:p w14:paraId="71D83286" w14:textId="29B0A059" w:rsidR="007561E5" w:rsidRPr="00B3537C" w:rsidRDefault="005B77E5" w:rsidP="00F630F8">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Toyota needs to shift towards a hybrid inventory model that balances efficiency with resilience of the supply chain. Global disruptions (e.g., semiconductor shortages) in the recent past have highlighted risks of ultra-lean systems. Thus, Toyota is able to undertake a strategic buffer stock of critical parts and lean on non-critical parts. Also, AI-driven supply chain risk analytics can be used to predict disruptions and proactively change inventory levels. By incorporating supplier information into a real-time online environment, it would also be possible to make dynamic adjustments in inventory throughout the regions. It helps to minimize the risks of stockout and does not tie up capital in excess, enhancing efficiency and operational stability (</w:t>
      </w:r>
      <w:proofErr w:type="spellStart"/>
      <w:r w:rsidRPr="00B3537C">
        <w:rPr>
          <w:rFonts w:ascii="Arial" w:eastAsia="Times New Roman" w:hAnsi="Arial" w:cs="Arial"/>
          <w:color w:val="000000" w:themeColor="text1"/>
          <w:kern w:val="0"/>
          <w:sz w:val="24"/>
          <w:szCs w:val="24"/>
          <w:lang w:eastAsia="en-GB"/>
          <w14:ligatures w14:val="none"/>
        </w:rPr>
        <w:t>Mácsay</w:t>
      </w:r>
      <w:proofErr w:type="spellEnd"/>
      <w:r w:rsidRPr="00B3537C">
        <w:rPr>
          <w:rFonts w:ascii="Arial" w:eastAsia="Times New Roman" w:hAnsi="Arial" w:cs="Arial"/>
          <w:color w:val="000000" w:themeColor="text1"/>
          <w:kern w:val="0"/>
          <w:sz w:val="24"/>
          <w:szCs w:val="24"/>
          <w:lang w:eastAsia="en-GB"/>
          <w14:ligatures w14:val="none"/>
        </w:rPr>
        <w:t xml:space="preserve"> and Bányai, 2017)</w:t>
      </w:r>
      <w:r w:rsidR="007561E5" w:rsidRPr="00B3537C">
        <w:rPr>
          <w:rFonts w:ascii="Arial" w:eastAsia="Times New Roman" w:hAnsi="Arial" w:cs="Arial"/>
          <w:color w:val="000000" w:themeColor="text1"/>
          <w:kern w:val="0"/>
          <w:sz w:val="24"/>
          <w:szCs w:val="24"/>
          <w:lang w:eastAsia="en-GB"/>
          <w14:ligatures w14:val="none"/>
        </w:rPr>
        <w:t>.</w:t>
      </w:r>
    </w:p>
    <w:p w14:paraId="0E1720EA" w14:textId="77777777" w:rsidR="007561E5" w:rsidRPr="00B3537C" w:rsidRDefault="007561E5" w:rsidP="007D5883">
      <w:pPr>
        <w:pStyle w:val="Heading3"/>
        <w:numPr>
          <w:ilvl w:val="0"/>
          <w:numId w:val="20"/>
        </w:numPr>
        <w:rPr>
          <w:rFonts w:ascii="Arial" w:eastAsia="Times New Roman" w:hAnsi="Arial" w:cs="Arial"/>
          <w:color w:val="000000" w:themeColor="text1"/>
          <w:lang w:eastAsia="en-GB"/>
        </w:rPr>
      </w:pPr>
      <w:bookmarkStart w:id="21" w:name="_Toc227926159"/>
      <w:r w:rsidRPr="00B3537C">
        <w:rPr>
          <w:rFonts w:ascii="Arial" w:eastAsia="Times New Roman" w:hAnsi="Arial" w:cs="Arial"/>
          <w:color w:val="000000" w:themeColor="text1"/>
          <w:lang w:eastAsia="en-GB"/>
        </w:rPr>
        <w:lastRenderedPageBreak/>
        <w:t>Supplier Renegotiation</w:t>
      </w:r>
      <w:bookmarkEnd w:id="21"/>
    </w:p>
    <w:p w14:paraId="28566995" w14:textId="07858E4C" w:rsidR="007561E5" w:rsidRPr="00B3537C" w:rsidRDefault="005B77E5" w:rsidP="00F630F8">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Toyota may follow a supply chain financing (SCF) approach, in which suppliers receive funds on Toyota's behalf early, but Toyota repays later. This will enable suppliers to stay in a liquidity position as Toyota enhances its cash position. Also, Toyota can implement performance-based payment systems where suppliers who are cost-efficient, sustainable, or innovative are given better terms. This forms a win-win ecosystem, as opposed to a transactional relationship. Toyota can also consolidate its supplier base to have improved bargaining power since it has a stronger position in the market. Such tactics enhance cash flow without hurting the long-term relationships with suppliers (Wilhelm and Sydow, 2018)</w:t>
      </w:r>
      <w:r w:rsidR="007561E5" w:rsidRPr="00B3537C">
        <w:rPr>
          <w:rFonts w:ascii="Arial" w:eastAsia="Times New Roman" w:hAnsi="Arial" w:cs="Arial"/>
          <w:color w:val="000000" w:themeColor="text1"/>
          <w:kern w:val="0"/>
          <w:sz w:val="24"/>
          <w:szCs w:val="24"/>
          <w:lang w:eastAsia="en-GB"/>
          <w14:ligatures w14:val="none"/>
        </w:rPr>
        <w:t>.</w:t>
      </w:r>
    </w:p>
    <w:p w14:paraId="161D31ED" w14:textId="77777777" w:rsidR="007561E5" w:rsidRPr="00B3537C" w:rsidRDefault="007561E5" w:rsidP="007D5883">
      <w:pPr>
        <w:pStyle w:val="Heading3"/>
        <w:numPr>
          <w:ilvl w:val="0"/>
          <w:numId w:val="20"/>
        </w:numPr>
        <w:rPr>
          <w:rFonts w:ascii="Arial" w:eastAsia="Times New Roman" w:hAnsi="Arial" w:cs="Arial"/>
          <w:color w:val="000000" w:themeColor="text1"/>
          <w:lang w:eastAsia="en-GB"/>
        </w:rPr>
      </w:pPr>
      <w:bookmarkStart w:id="22" w:name="_Toc227926160"/>
      <w:r w:rsidRPr="00B3537C">
        <w:rPr>
          <w:rFonts w:ascii="Arial" w:eastAsia="Times New Roman" w:hAnsi="Arial" w:cs="Arial"/>
          <w:color w:val="000000" w:themeColor="text1"/>
          <w:lang w:eastAsia="en-GB"/>
        </w:rPr>
        <w:t>Faster Receivables Collection</w:t>
      </w:r>
      <w:bookmarkEnd w:id="22"/>
    </w:p>
    <w:p w14:paraId="5C32A9D9" w14:textId="092BAAB0" w:rsidR="007561E5" w:rsidRPr="00B3537C" w:rsidRDefault="005B77E5" w:rsidP="00F630F8">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Toyota can go beyond the simple credit control and adopt dynamic receivables management systems. An example is the segmentation of customers according to payment behaviour using data analytics to offer individualised credit terms and collection strategies. The high risk customers can be moved to shorter credit periods and the reliable customers are allowed to have flexibility. Moreover, Toyota has the option of securitisation or factoring of receivables, meaning converting receivables into cash instantaneously without having to go through the payment cycles. An increase in the application of blockchain invoicing systems may also enhance transparency and lower uncertainty, speeding up payments. These innovative methods boost liquidity, minimise credit risk, and greatly decrease the cash conversion cycle (Bennet et al., 2011)</w:t>
      </w:r>
      <w:r w:rsidR="007561E5" w:rsidRPr="00B3537C">
        <w:rPr>
          <w:rFonts w:ascii="Arial" w:eastAsia="Times New Roman" w:hAnsi="Arial" w:cs="Arial"/>
          <w:color w:val="000000" w:themeColor="text1"/>
          <w:kern w:val="0"/>
          <w:sz w:val="24"/>
          <w:szCs w:val="24"/>
          <w:lang w:eastAsia="en-GB"/>
          <w14:ligatures w14:val="none"/>
        </w:rPr>
        <w:t>.</w:t>
      </w:r>
    </w:p>
    <w:p w14:paraId="1EAADCD0" w14:textId="77777777" w:rsidR="007561E5" w:rsidRPr="00B3537C" w:rsidRDefault="007561E5" w:rsidP="00242669">
      <w:pPr>
        <w:pStyle w:val="Heading2"/>
        <w:rPr>
          <w:color w:val="000000" w:themeColor="text1"/>
        </w:rPr>
      </w:pPr>
      <w:bookmarkStart w:id="23" w:name="_Toc227926161"/>
      <w:r w:rsidRPr="00B3537C">
        <w:rPr>
          <w:color w:val="000000" w:themeColor="text1"/>
        </w:rPr>
        <w:t>2.4 Financing Options</w:t>
      </w:r>
      <w:bookmarkEnd w:id="23"/>
    </w:p>
    <w:p w14:paraId="1BE5D3CF" w14:textId="7DDE7F07" w:rsidR="007561E5" w:rsidRPr="00B3537C" w:rsidRDefault="005B77E5" w:rsidP="00B77D20">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Managing working capital effectively requires not only operational efficiency but also a choice of financing sources. These may be mainly categorized into short-term and long-term, having various implications of cost, risk, and flexibility (Cheng et al., 2014).</w:t>
      </w:r>
    </w:p>
    <w:p w14:paraId="5AFB612C" w14:textId="77777777" w:rsidR="007561E5" w:rsidRPr="00B3537C" w:rsidRDefault="007561E5" w:rsidP="00B77D20">
      <w:pPr>
        <w:pStyle w:val="Heading3"/>
        <w:rPr>
          <w:rFonts w:ascii="Arial" w:eastAsia="Times New Roman" w:hAnsi="Arial" w:cs="Arial"/>
          <w:color w:val="000000" w:themeColor="text1"/>
          <w:lang w:eastAsia="en-GB"/>
        </w:rPr>
      </w:pPr>
      <w:bookmarkStart w:id="24" w:name="_Toc227926162"/>
      <w:r w:rsidRPr="00B3537C">
        <w:rPr>
          <w:rFonts w:ascii="Arial" w:eastAsia="Times New Roman" w:hAnsi="Arial" w:cs="Arial"/>
          <w:color w:val="000000" w:themeColor="text1"/>
          <w:lang w:eastAsia="en-GB"/>
        </w:rPr>
        <w:lastRenderedPageBreak/>
        <w:t>Short-Term Financing</w:t>
      </w:r>
      <w:bookmarkEnd w:id="24"/>
    </w:p>
    <w:p w14:paraId="49D9911B" w14:textId="77777777" w:rsidR="00B77D20" w:rsidRPr="00B3537C" w:rsidRDefault="00B77D20" w:rsidP="002421B1">
      <w:pPr>
        <w:rPr>
          <w:rFonts w:ascii="Arial" w:hAnsi="Arial" w:cs="Arial"/>
          <w:b/>
          <w:color w:val="000000" w:themeColor="text1"/>
          <w:sz w:val="24"/>
          <w:szCs w:val="24"/>
          <w:u w:val="single"/>
          <w:lang w:eastAsia="en-GB"/>
        </w:rPr>
      </w:pPr>
      <w:r w:rsidRPr="00B3537C">
        <w:rPr>
          <w:rFonts w:ascii="Arial" w:hAnsi="Arial" w:cs="Arial"/>
          <w:b/>
          <w:color w:val="000000" w:themeColor="text1"/>
          <w:sz w:val="24"/>
          <w:szCs w:val="24"/>
          <w:u w:val="single"/>
          <w:lang w:eastAsia="en-GB"/>
        </w:rPr>
        <w:t>Bank Overdrafts</w:t>
      </w:r>
    </w:p>
    <w:p w14:paraId="4B9EB779" w14:textId="1E5AECF5" w:rsidR="005B77E5" w:rsidRPr="00B3537C" w:rsidRDefault="005B77E5" w:rsidP="005B77E5">
      <w:pPr>
        <w:pStyle w:val="ListParagraph"/>
        <w:numPr>
          <w:ilvl w:val="0"/>
          <w:numId w:val="21"/>
        </w:numPr>
        <w:spacing w:line="360" w:lineRule="auto"/>
        <w:jc w:val="both"/>
        <w:rPr>
          <w:rFonts w:ascii="Arial" w:hAnsi="Arial" w:cs="Arial"/>
          <w:color w:val="000000" w:themeColor="text1"/>
          <w:sz w:val="24"/>
          <w:szCs w:val="24"/>
          <w:lang w:eastAsia="en-GB"/>
        </w:rPr>
      </w:pPr>
      <w:r w:rsidRPr="00B3537C">
        <w:rPr>
          <w:rFonts w:ascii="Arial" w:hAnsi="Arial" w:cs="Arial"/>
          <w:color w:val="000000" w:themeColor="text1"/>
          <w:sz w:val="24"/>
          <w:szCs w:val="24"/>
          <w:lang w:eastAsia="en-GB"/>
        </w:rPr>
        <w:t xml:space="preserve">Flexible and fit short-term requirements, but they are usually charged with variable and comparatively high interest rates. </w:t>
      </w:r>
    </w:p>
    <w:p w14:paraId="5EFE9B28" w14:textId="4FBAC830" w:rsidR="00B77D20" w:rsidRPr="00B3537C" w:rsidRDefault="005B77E5" w:rsidP="005B77E5">
      <w:pPr>
        <w:pStyle w:val="ListParagraph"/>
        <w:numPr>
          <w:ilvl w:val="0"/>
          <w:numId w:val="21"/>
        </w:numPr>
        <w:spacing w:line="360" w:lineRule="auto"/>
        <w:jc w:val="both"/>
        <w:rPr>
          <w:rFonts w:ascii="Arial" w:hAnsi="Arial" w:cs="Arial"/>
          <w:color w:val="000000" w:themeColor="text1"/>
          <w:sz w:val="24"/>
          <w:szCs w:val="24"/>
          <w:lang w:eastAsia="en-GB"/>
        </w:rPr>
      </w:pPr>
      <w:r w:rsidRPr="00B3537C">
        <w:rPr>
          <w:rFonts w:ascii="Arial" w:hAnsi="Arial" w:cs="Arial"/>
          <w:color w:val="000000" w:themeColor="text1"/>
          <w:sz w:val="24"/>
          <w:szCs w:val="24"/>
          <w:lang w:eastAsia="en-GB"/>
        </w:rPr>
        <w:t>Excessive use of overdrafts can cause financial strain and indicate poor cash flow management, and it is only appropriate to serve as an additional source of finance.</w:t>
      </w:r>
    </w:p>
    <w:p w14:paraId="68934663" w14:textId="77777777" w:rsidR="00B77D20" w:rsidRPr="00B3537C" w:rsidRDefault="00B77D20" w:rsidP="002421B1">
      <w:pPr>
        <w:rPr>
          <w:rFonts w:ascii="Arial" w:hAnsi="Arial" w:cs="Arial"/>
          <w:b/>
          <w:color w:val="000000" w:themeColor="text1"/>
          <w:sz w:val="24"/>
          <w:szCs w:val="24"/>
          <w:u w:val="single"/>
          <w:lang w:eastAsia="en-GB"/>
        </w:rPr>
      </w:pPr>
      <w:r w:rsidRPr="00B3537C">
        <w:rPr>
          <w:rFonts w:ascii="Arial" w:hAnsi="Arial" w:cs="Arial"/>
          <w:b/>
          <w:color w:val="000000" w:themeColor="text1"/>
          <w:sz w:val="24"/>
          <w:szCs w:val="24"/>
          <w:u w:val="single"/>
          <w:lang w:eastAsia="en-GB"/>
        </w:rPr>
        <w:t>Trade Credit</w:t>
      </w:r>
    </w:p>
    <w:p w14:paraId="1FE30FC7" w14:textId="77777777" w:rsidR="005B77E5" w:rsidRPr="00B3537C" w:rsidRDefault="005B77E5" w:rsidP="005B77E5">
      <w:pPr>
        <w:pStyle w:val="ListParagraph"/>
        <w:numPr>
          <w:ilvl w:val="0"/>
          <w:numId w:val="22"/>
        </w:numPr>
        <w:spacing w:line="360" w:lineRule="auto"/>
        <w:jc w:val="both"/>
        <w:rPr>
          <w:rFonts w:ascii="Arial" w:eastAsia="Times New Roman" w:hAnsi="Arial" w:cs="Arial"/>
          <w:color w:val="000000" w:themeColor="text1"/>
          <w:kern w:val="0"/>
          <w:sz w:val="24"/>
          <w:szCs w:val="24"/>
          <w:lang w:eastAsia="en-GB"/>
          <w14:ligatures w14:val="none"/>
        </w:rPr>
      </w:pPr>
      <w:r w:rsidRPr="00B3537C">
        <w:rPr>
          <w:rFonts w:ascii="Arial" w:hAnsi="Arial" w:cs="Arial"/>
          <w:color w:val="000000" w:themeColor="text1"/>
          <w:sz w:val="24"/>
          <w:szCs w:val="24"/>
          <w:lang w:eastAsia="en-GB"/>
        </w:rPr>
        <w:t xml:space="preserve">Trade credit is also one of the major elements of working capital financing, enabling the company to postpone payments to suppliers without explicit interest costs. </w:t>
      </w:r>
    </w:p>
    <w:p w14:paraId="662FB261" w14:textId="29DBE7D5" w:rsidR="00B77D20" w:rsidRPr="00B3537C" w:rsidRDefault="005B77E5" w:rsidP="005B77E5">
      <w:pPr>
        <w:pStyle w:val="ListParagraph"/>
        <w:numPr>
          <w:ilvl w:val="0"/>
          <w:numId w:val="22"/>
        </w:numPr>
        <w:spacing w:line="360" w:lineRule="auto"/>
        <w:jc w:val="both"/>
        <w:rPr>
          <w:rFonts w:ascii="Arial" w:eastAsia="Times New Roman" w:hAnsi="Arial" w:cs="Arial"/>
          <w:color w:val="000000" w:themeColor="text1"/>
          <w:kern w:val="0"/>
          <w:sz w:val="24"/>
          <w:szCs w:val="24"/>
          <w:lang w:eastAsia="en-GB"/>
          <w14:ligatures w14:val="none"/>
        </w:rPr>
      </w:pPr>
      <w:r w:rsidRPr="00B3537C">
        <w:rPr>
          <w:rFonts w:ascii="Arial" w:hAnsi="Arial" w:cs="Arial"/>
          <w:color w:val="000000" w:themeColor="text1"/>
          <w:sz w:val="24"/>
          <w:szCs w:val="24"/>
          <w:lang w:eastAsia="en-GB"/>
        </w:rPr>
        <w:t>It must thus be handled strategically to achieve a balance between the liquidity gains and the stability of the supply chain</w:t>
      </w:r>
      <w:r w:rsidR="00B77D20" w:rsidRPr="00B3537C">
        <w:rPr>
          <w:rFonts w:ascii="Arial" w:eastAsia="Times New Roman" w:hAnsi="Arial" w:cs="Arial"/>
          <w:color w:val="000000" w:themeColor="text1"/>
          <w:kern w:val="0"/>
          <w:sz w:val="24"/>
          <w:szCs w:val="24"/>
          <w:lang w:eastAsia="en-GB"/>
          <w14:ligatures w14:val="none"/>
        </w:rPr>
        <w:t>.</w:t>
      </w:r>
    </w:p>
    <w:p w14:paraId="69313EB3" w14:textId="773C7A60" w:rsidR="007561E5" w:rsidRPr="00B3537C" w:rsidRDefault="007561E5" w:rsidP="00B77D20">
      <w:pPr>
        <w:pStyle w:val="Heading3"/>
        <w:rPr>
          <w:rFonts w:ascii="Arial" w:eastAsia="Times New Roman" w:hAnsi="Arial" w:cs="Arial"/>
          <w:color w:val="000000" w:themeColor="text1"/>
          <w:lang w:eastAsia="en-GB"/>
        </w:rPr>
      </w:pPr>
      <w:bookmarkStart w:id="25" w:name="_Toc227926163"/>
      <w:r w:rsidRPr="00B3537C">
        <w:rPr>
          <w:rFonts w:ascii="Arial" w:eastAsia="Times New Roman" w:hAnsi="Arial" w:cs="Arial"/>
          <w:color w:val="000000" w:themeColor="text1"/>
          <w:lang w:eastAsia="en-GB"/>
        </w:rPr>
        <w:t>Long-Term Financing</w:t>
      </w:r>
      <w:bookmarkEnd w:id="25"/>
    </w:p>
    <w:p w14:paraId="213F3FE8" w14:textId="77777777" w:rsidR="007561E5" w:rsidRPr="00B3537C" w:rsidRDefault="007561E5" w:rsidP="002421B1">
      <w:pPr>
        <w:rPr>
          <w:rFonts w:ascii="Arial" w:hAnsi="Arial" w:cs="Arial"/>
          <w:b/>
          <w:color w:val="000000" w:themeColor="text1"/>
          <w:sz w:val="24"/>
          <w:szCs w:val="24"/>
          <w:u w:val="single"/>
          <w:lang w:eastAsia="en-GB"/>
        </w:rPr>
      </w:pPr>
      <w:r w:rsidRPr="00B3537C">
        <w:rPr>
          <w:rFonts w:ascii="Arial" w:hAnsi="Arial" w:cs="Arial"/>
          <w:b/>
          <w:color w:val="000000" w:themeColor="text1"/>
          <w:sz w:val="24"/>
          <w:szCs w:val="24"/>
          <w:u w:val="single"/>
          <w:lang w:eastAsia="en-GB"/>
        </w:rPr>
        <w:t>Bonds (Debt Financing)</w:t>
      </w:r>
    </w:p>
    <w:p w14:paraId="14170D26" w14:textId="77777777" w:rsidR="005B77E5" w:rsidRPr="00B3537C" w:rsidRDefault="005B77E5" w:rsidP="005B77E5">
      <w:pPr>
        <w:pStyle w:val="ListParagraph"/>
        <w:numPr>
          <w:ilvl w:val="0"/>
          <w:numId w:val="23"/>
        </w:numPr>
        <w:spacing w:line="360" w:lineRule="auto"/>
        <w:jc w:val="both"/>
        <w:rPr>
          <w:rFonts w:ascii="Arial" w:hAnsi="Arial" w:cs="Arial"/>
          <w:color w:val="000000" w:themeColor="text1"/>
          <w:sz w:val="24"/>
          <w:szCs w:val="24"/>
          <w:lang w:eastAsia="en-GB"/>
        </w:rPr>
      </w:pPr>
      <w:r w:rsidRPr="00B3537C">
        <w:rPr>
          <w:rFonts w:ascii="Arial" w:hAnsi="Arial" w:cs="Arial"/>
          <w:color w:val="000000" w:themeColor="text1"/>
          <w:sz w:val="24"/>
          <w:szCs w:val="24"/>
          <w:lang w:eastAsia="en-GB"/>
        </w:rPr>
        <w:t xml:space="preserve">Bonds are a means of reaching massive funding at comparatively fixed and frequently reduced rates of interest as compared to short-term borrowing. </w:t>
      </w:r>
    </w:p>
    <w:p w14:paraId="730B99D1" w14:textId="77777777" w:rsidR="005B77E5" w:rsidRPr="00B3537C" w:rsidRDefault="005B77E5" w:rsidP="005B77E5">
      <w:pPr>
        <w:pStyle w:val="ListParagraph"/>
        <w:numPr>
          <w:ilvl w:val="0"/>
          <w:numId w:val="23"/>
        </w:numPr>
        <w:spacing w:line="360" w:lineRule="auto"/>
        <w:jc w:val="both"/>
        <w:rPr>
          <w:rFonts w:ascii="Arial" w:hAnsi="Arial" w:cs="Arial"/>
          <w:color w:val="000000" w:themeColor="text1"/>
          <w:sz w:val="24"/>
          <w:szCs w:val="24"/>
          <w:lang w:eastAsia="en-GB"/>
        </w:rPr>
      </w:pPr>
      <w:r w:rsidRPr="00B3537C">
        <w:rPr>
          <w:rFonts w:ascii="Arial" w:hAnsi="Arial" w:cs="Arial"/>
          <w:color w:val="000000" w:themeColor="text1"/>
          <w:sz w:val="24"/>
          <w:szCs w:val="24"/>
          <w:lang w:eastAsia="en-GB"/>
        </w:rPr>
        <w:t xml:space="preserve">This type of financing is especially applicable to capital-intensive and long-term investments like technological development or expansion projects. </w:t>
      </w:r>
    </w:p>
    <w:p w14:paraId="748CBA71" w14:textId="4EB0E344" w:rsidR="00B77D20" w:rsidRPr="00B3537C" w:rsidRDefault="005B77E5" w:rsidP="005B77E5">
      <w:pPr>
        <w:pStyle w:val="ListParagraph"/>
        <w:numPr>
          <w:ilvl w:val="0"/>
          <w:numId w:val="23"/>
        </w:numPr>
        <w:spacing w:line="360" w:lineRule="auto"/>
        <w:jc w:val="both"/>
        <w:rPr>
          <w:rFonts w:ascii="Arial" w:hAnsi="Arial" w:cs="Arial"/>
          <w:color w:val="000000" w:themeColor="text1"/>
          <w:sz w:val="24"/>
          <w:szCs w:val="24"/>
          <w:lang w:eastAsia="en-GB"/>
        </w:rPr>
      </w:pPr>
      <w:r w:rsidRPr="00B3537C">
        <w:rPr>
          <w:rFonts w:ascii="Arial" w:hAnsi="Arial" w:cs="Arial"/>
          <w:color w:val="000000" w:themeColor="text1"/>
          <w:sz w:val="24"/>
          <w:szCs w:val="24"/>
          <w:lang w:eastAsia="en-GB"/>
        </w:rPr>
        <w:t>It leads to higher fixed financial commitments and interest rate risk that needs to be carefully managed to enable the firm not to become over-levered</w:t>
      </w:r>
      <w:r w:rsidR="00B77D20" w:rsidRPr="00B3537C">
        <w:rPr>
          <w:rFonts w:ascii="Arial" w:hAnsi="Arial" w:cs="Arial"/>
          <w:color w:val="000000" w:themeColor="text1"/>
          <w:sz w:val="24"/>
          <w:szCs w:val="24"/>
          <w:lang w:eastAsia="en-GB"/>
        </w:rPr>
        <w:t xml:space="preserve">. </w:t>
      </w:r>
    </w:p>
    <w:p w14:paraId="600C9521" w14:textId="77777777" w:rsidR="00B77D20" w:rsidRPr="00B3537C" w:rsidRDefault="00B77D20" w:rsidP="00B77D20">
      <w:pPr>
        <w:spacing w:after="0" w:line="240" w:lineRule="auto"/>
        <w:rPr>
          <w:rFonts w:ascii="Arial" w:eastAsia="Times New Roman" w:hAnsi="Arial" w:cs="Arial"/>
          <w:color w:val="000000" w:themeColor="text1"/>
          <w:kern w:val="0"/>
          <w:sz w:val="24"/>
          <w:szCs w:val="24"/>
          <w:lang w:eastAsia="en-GB"/>
          <w14:ligatures w14:val="none"/>
        </w:rPr>
      </w:pPr>
    </w:p>
    <w:p w14:paraId="55D982E7" w14:textId="77777777" w:rsidR="00B77D20" w:rsidRPr="00B3537C" w:rsidRDefault="00B77D20" w:rsidP="002421B1">
      <w:pPr>
        <w:rPr>
          <w:rFonts w:ascii="Arial" w:hAnsi="Arial" w:cs="Arial"/>
          <w:b/>
          <w:color w:val="000000" w:themeColor="text1"/>
          <w:sz w:val="24"/>
          <w:szCs w:val="24"/>
          <w:u w:val="single"/>
          <w:lang w:eastAsia="en-GB"/>
        </w:rPr>
      </w:pPr>
      <w:r w:rsidRPr="00B3537C">
        <w:rPr>
          <w:rFonts w:ascii="Arial" w:hAnsi="Arial" w:cs="Arial"/>
          <w:b/>
          <w:color w:val="000000" w:themeColor="text1"/>
          <w:sz w:val="24"/>
          <w:szCs w:val="24"/>
          <w:u w:val="single"/>
          <w:lang w:eastAsia="en-GB"/>
        </w:rPr>
        <w:t>Equity Financing</w:t>
      </w:r>
    </w:p>
    <w:p w14:paraId="2FDFFC8F" w14:textId="77777777" w:rsidR="005B77E5" w:rsidRPr="00B3537C" w:rsidRDefault="005B77E5" w:rsidP="005B77E5">
      <w:pPr>
        <w:pStyle w:val="ListParagraph"/>
        <w:numPr>
          <w:ilvl w:val="0"/>
          <w:numId w:val="17"/>
        </w:numPr>
        <w:spacing w:line="360" w:lineRule="auto"/>
        <w:jc w:val="both"/>
        <w:rPr>
          <w:rFonts w:ascii="Arial" w:hAnsi="Arial" w:cs="Arial"/>
          <w:color w:val="000000" w:themeColor="text1"/>
          <w:sz w:val="24"/>
          <w:szCs w:val="24"/>
          <w:lang w:eastAsia="en-GB"/>
        </w:rPr>
      </w:pPr>
      <w:r w:rsidRPr="00B3537C">
        <w:rPr>
          <w:rFonts w:ascii="Arial" w:hAnsi="Arial" w:cs="Arial"/>
          <w:color w:val="000000" w:themeColor="text1"/>
          <w:sz w:val="24"/>
          <w:szCs w:val="24"/>
          <w:lang w:eastAsia="en-GB"/>
        </w:rPr>
        <w:t xml:space="preserve">Equity financing is a process of raising funds by issuing shares, which becomes a long-term source of funds without the need to pay back. </w:t>
      </w:r>
    </w:p>
    <w:p w14:paraId="5EF35857" w14:textId="77777777" w:rsidR="00724915" w:rsidRPr="00B3537C" w:rsidRDefault="005B77E5" w:rsidP="005B77E5">
      <w:pPr>
        <w:pStyle w:val="ListParagraph"/>
        <w:numPr>
          <w:ilvl w:val="0"/>
          <w:numId w:val="17"/>
        </w:numPr>
        <w:spacing w:line="360" w:lineRule="auto"/>
        <w:jc w:val="both"/>
        <w:rPr>
          <w:rFonts w:ascii="Arial" w:hAnsi="Arial" w:cs="Arial"/>
          <w:color w:val="000000" w:themeColor="text1"/>
          <w:sz w:val="24"/>
          <w:szCs w:val="24"/>
          <w:lang w:eastAsia="en-GB"/>
        </w:rPr>
      </w:pPr>
      <w:r w:rsidRPr="00B3537C">
        <w:rPr>
          <w:rFonts w:ascii="Arial" w:hAnsi="Arial" w:cs="Arial"/>
          <w:color w:val="000000" w:themeColor="text1"/>
          <w:sz w:val="24"/>
          <w:szCs w:val="24"/>
          <w:lang w:eastAsia="en-GB"/>
        </w:rPr>
        <w:t>Minimizes the financial risk and enhances the balance sheet strength of the company.</w:t>
      </w:r>
    </w:p>
    <w:p w14:paraId="119E0782" w14:textId="77777777" w:rsidR="00724915" w:rsidRPr="00B3537C" w:rsidRDefault="00724915" w:rsidP="005B77E5">
      <w:pPr>
        <w:pStyle w:val="ListParagraph"/>
        <w:numPr>
          <w:ilvl w:val="0"/>
          <w:numId w:val="17"/>
        </w:numPr>
        <w:spacing w:line="360" w:lineRule="auto"/>
        <w:jc w:val="both"/>
        <w:rPr>
          <w:rFonts w:ascii="Arial" w:hAnsi="Arial" w:cs="Arial"/>
          <w:color w:val="000000" w:themeColor="text1"/>
          <w:sz w:val="24"/>
          <w:szCs w:val="24"/>
          <w:lang w:eastAsia="en-GB"/>
        </w:rPr>
      </w:pPr>
      <w:r w:rsidRPr="00B3537C">
        <w:rPr>
          <w:rFonts w:ascii="Arial" w:hAnsi="Arial" w:cs="Arial"/>
          <w:color w:val="000000" w:themeColor="text1"/>
          <w:sz w:val="24"/>
          <w:szCs w:val="24"/>
          <w:lang w:eastAsia="en-GB"/>
        </w:rPr>
        <w:t>D</w:t>
      </w:r>
      <w:r w:rsidR="005B77E5" w:rsidRPr="00B3537C">
        <w:rPr>
          <w:rFonts w:ascii="Arial" w:hAnsi="Arial" w:cs="Arial"/>
          <w:color w:val="000000" w:themeColor="text1"/>
          <w:sz w:val="24"/>
          <w:szCs w:val="24"/>
          <w:lang w:eastAsia="en-GB"/>
        </w:rPr>
        <w:t xml:space="preserve">ilutes current ownership and </w:t>
      </w:r>
      <w:r w:rsidRPr="00B3537C">
        <w:rPr>
          <w:rFonts w:ascii="Arial" w:hAnsi="Arial" w:cs="Arial"/>
          <w:color w:val="000000" w:themeColor="text1"/>
          <w:sz w:val="24"/>
          <w:szCs w:val="24"/>
          <w:lang w:eastAsia="en-GB"/>
        </w:rPr>
        <w:t>decreases</w:t>
      </w:r>
      <w:r w:rsidR="005B77E5" w:rsidRPr="00B3537C">
        <w:rPr>
          <w:rFonts w:ascii="Arial" w:hAnsi="Arial" w:cs="Arial"/>
          <w:color w:val="000000" w:themeColor="text1"/>
          <w:sz w:val="24"/>
          <w:szCs w:val="24"/>
          <w:lang w:eastAsia="en-GB"/>
        </w:rPr>
        <w:t xml:space="preserve"> earnings per share, which can impact shareholder perceptions. </w:t>
      </w:r>
    </w:p>
    <w:p w14:paraId="1A3DCD2B" w14:textId="0673555A" w:rsidR="007561E5" w:rsidRPr="00B3537C" w:rsidRDefault="005B77E5" w:rsidP="005B77E5">
      <w:pPr>
        <w:pStyle w:val="ListParagraph"/>
        <w:numPr>
          <w:ilvl w:val="0"/>
          <w:numId w:val="17"/>
        </w:numPr>
        <w:spacing w:line="360" w:lineRule="auto"/>
        <w:jc w:val="both"/>
        <w:rPr>
          <w:rFonts w:ascii="Arial" w:hAnsi="Arial" w:cs="Arial"/>
          <w:color w:val="000000" w:themeColor="text1"/>
          <w:sz w:val="24"/>
          <w:szCs w:val="24"/>
          <w:lang w:eastAsia="en-GB"/>
        </w:rPr>
      </w:pPr>
      <w:r w:rsidRPr="00B3537C">
        <w:rPr>
          <w:rFonts w:ascii="Arial" w:hAnsi="Arial" w:cs="Arial"/>
          <w:color w:val="000000" w:themeColor="text1"/>
          <w:sz w:val="24"/>
          <w:szCs w:val="24"/>
          <w:lang w:eastAsia="en-GB"/>
        </w:rPr>
        <w:t>Equity financing is therefore best suited to strategic investments where long-term growth is a priority more than short-term dilution issues</w:t>
      </w:r>
      <w:r w:rsidR="00B77D20" w:rsidRPr="00B3537C">
        <w:rPr>
          <w:rFonts w:ascii="Arial" w:hAnsi="Arial" w:cs="Arial"/>
          <w:color w:val="000000" w:themeColor="text1"/>
          <w:sz w:val="24"/>
          <w:szCs w:val="24"/>
          <w:lang w:eastAsia="en-GB"/>
        </w:rPr>
        <w:t>.</w:t>
      </w:r>
    </w:p>
    <w:p w14:paraId="4FF4A3DE" w14:textId="31A7E674" w:rsidR="007561E5" w:rsidRPr="00B3537C" w:rsidRDefault="007561E5" w:rsidP="00242669">
      <w:pPr>
        <w:pStyle w:val="Heading2"/>
        <w:rPr>
          <w:color w:val="000000" w:themeColor="text1"/>
        </w:rPr>
      </w:pPr>
      <w:bookmarkStart w:id="26" w:name="_Toc227926164"/>
      <w:r w:rsidRPr="00B3537C">
        <w:rPr>
          <w:color w:val="000000" w:themeColor="text1"/>
        </w:rPr>
        <w:lastRenderedPageBreak/>
        <w:t>Comparison: Cost, Risk, and Flexibility</w:t>
      </w:r>
      <w:bookmarkEnd w:id="26"/>
    </w:p>
    <w:p w14:paraId="1140B36E" w14:textId="1CAEC6E4" w:rsidR="00A7577E" w:rsidRPr="00B3537C" w:rsidRDefault="00A7577E" w:rsidP="00A7577E">
      <w:pPr>
        <w:rPr>
          <w:rFonts w:ascii="Arial" w:hAnsi="Arial" w:cs="Arial"/>
          <w:color w:val="000000" w:themeColor="text1"/>
          <w:sz w:val="24"/>
          <w:szCs w:val="24"/>
          <w:lang w:eastAsia="en-GB"/>
        </w:rPr>
      </w:pPr>
      <w:r w:rsidRPr="00B3537C">
        <w:rPr>
          <w:rFonts w:ascii="Arial" w:hAnsi="Arial" w:cs="Arial"/>
          <w:noProof/>
          <w:color w:val="000000" w:themeColor="text1"/>
          <w:sz w:val="24"/>
          <w:szCs w:val="24"/>
          <w:lang w:val="en-US"/>
        </w:rPr>
        <w:drawing>
          <wp:inline distT="0" distB="0" distL="0" distR="0" wp14:anchorId="7810E241" wp14:editId="229EB866">
            <wp:extent cx="5943600" cy="4610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xdd.PNG"/>
                    <pic:cNvPicPr/>
                  </pic:nvPicPr>
                  <pic:blipFill>
                    <a:blip r:embed="rId9">
                      <a:extLst>
                        <a:ext uri="{28A0092B-C50C-407E-A947-70E740481C1C}">
                          <a14:useLocalDpi xmlns:a14="http://schemas.microsoft.com/office/drawing/2010/main" val="0"/>
                        </a:ext>
                      </a:extLst>
                    </a:blip>
                    <a:stretch>
                      <a:fillRect/>
                    </a:stretch>
                  </pic:blipFill>
                  <pic:spPr>
                    <a:xfrm>
                      <a:off x="0" y="0"/>
                      <a:ext cx="5943600" cy="4610100"/>
                    </a:xfrm>
                    <a:prstGeom prst="rect">
                      <a:avLst/>
                    </a:prstGeom>
                  </pic:spPr>
                </pic:pic>
              </a:graphicData>
            </a:graphic>
          </wp:inline>
        </w:drawing>
      </w:r>
    </w:p>
    <w:p w14:paraId="6C8EA139" w14:textId="6E2819C5" w:rsidR="00A9012B" w:rsidRPr="00B3537C" w:rsidRDefault="00A9012B" w:rsidP="00242669">
      <w:pPr>
        <w:rPr>
          <w:rFonts w:ascii="Arial" w:hAnsi="Arial" w:cs="Arial"/>
          <w:color w:val="000000" w:themeColor="text1"/>
        </w:rPr>
      </w:pPr>
    </w:p>
    <w:p w14:paraId="13718C16" w14:textId="5C5694D9" w:rsidR="00A17956" w:rsidRPr="00B3537C" w:rsidRDefault="00A17956">
      <w:pPr>
        <w:rPr>
          <w:rFonts w:ascii="Arial" w:eastAsia="Times New Roman" w:hAnsi="Arial" w:cs="Arial"/>
          <w:color w:val="000000" w:themeColor="text1"/>
          <w:sz w:val="24"/>
          <w:szCs w:val="24"/>
          <w:lang w:eastAsia="en-GB"/>
        </w:rPr>
      </w:pPr>
      <w:r w:rsidRPr="00B3537C">
        <w:rPr>
          <w:rFonts w:ascii="Arial" w:eastAsia="Times New Roman" w:hAnsi="Arial" w:cs="Arial"/>
          <w:color w:val="000000" w:themeColor="text1"/>
          <w:sz w:val="24"/>
          <w:szCs w:val="24"/>
          <w:lang w:eastAsia="en-GB"/>
        </w:rPr>
        <w:br w:type="page"/>
      </w:r>
    </w:p>
    <w:p w14:paraId="33D6E2E1" w14:textId="77F0D0FE" w:rsidR="00DB3D47" w:rsidRPr="00B3537C" w:rsidRDefault="00DB3D47" w:rsidP="00242669">
      <w:pPr>
        <w:pStyle w:val="Heading1"/>
      </w:pPr>
      <w:bookmarkStart w:id="27" w:name="_Toc227926165"/>
      <w:r w:rsidRPr="00B3537C">
        <w:lastRenderedPageBreak/>
        <w:t>SECTION 3: Strategic Financial Restructuring Plan</w:t>
      </w:r>
      <w:bookmarkEnd w:id="27"/>
    </w:p>
    <w:p w14:paraId="55CA91A7" w14:textId="77777777" w:rsidR="00DB3D47" w:rsidRPr="00B3537C" w:rsidRDefault="00DB3D47" w:rsidP="00242669">
      <w:pPr>
        <w:pStyle w:val="Heading2"/>
        <w:rPr>
          <w:color w:val="000000" w:themeColor="text1"/>
        </w:rPr>
      </w:pPr>
      <w:bookmarkStart w:id="28" w:name="_Toc227926166"/>
      <w:r w:rsidRPr="00B3537C">
        <w:rPr>
          <w:color w:val="000000" w:themeColor="text1"/>
        </w:rPr>
        <w:t>3.1 Identified Problems</w:t>
      </w:r>
      <w:bookmarkEnd w:id="28"/>
    </w:p>
    <w:p w14:paraId="2EF14672" w14:textId="5339789D" w:rsidR="00D02E2B" w:rsidRPr="00B3537C" w:rsidRDefault="00D02E2B" w:rsidP="00D02E2B">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xml:space="preserve">Toyota is strategically challenged by several financial problems, despite its good financial performance, which may impact its competitiveness in the long run. Among the significant problems is high capital expenditure, which has been on the rise in recent years, to almost 23 billion in 2025. Although this indicates investment in growth, especially in electrification, it has contributed to the </w:t>
      </w:r>
      <w:r w:rsidR="00FD463A" w:rsidRPr="00B3537C">
        <w:rPr>
          <w:rFonts w:ascii="Arial" w:eastAsia="Times New Roman" w:hAnsi="Arial" w:cs="Arial"/>
          <w:color w:val="000000" w:themeColor="text1"/>
          <w:kern w:val="0"/>
          <w:sz w:val="24"/>
          <w:szCs w:val="24"/>
          <w:lang w:eastAsia="en-GB"/>
          <w14:ligatures w14:val="none"/>
        </w:rPr>
        <w:t>decline in free cash flow, which strains short-term liquidity (Andrews et al.</w:t>
      </w:r>
      <w:r w:rsidR="0098664E" w:rsidRPr="00B3537C">
        <w:rPr>
          <w:rFonts w:ascii="Arial" w:eastAsia="Times New Roman" w:hAnsi="Arial" w:cs="Arial"/>
          <w:color w:val="000000" w:themeColor="text1"/>
          <w:kern w:val="0"/>
          <w:sz w:val="24"/>
          <w:szCs w:val="24"/>
          <w:lang w:eastAsia="en-GB"/>
          <w14:ligatures w14:val="none"/>
        </w:rPr>
        <w:t>, 2011)</w:t>
      </w:r>
      <w:r w:rsidRPr="00B3537C">
        <w:rPr>
          <w:rFonts w:ascii="Arial" w:eastAsia="Times New Roman" w:hAnsi="Arial" w:cs="Arial"/>
          <w:color w:val="000000" w:themeColor="text1"/>
          <w:kern w:val="0"/>
          <w:sz w:val="24"/>
          <w:szCs w:val="24"/>
          <w:lang w:eastAsia="en-GB"/>
          <w14:ligatures w14:val="none"/>
        </w:rPr>
        <w:t>.</w:t>
      </w:r>
    </w:p>
    <w:p w14:paraId="78778F25" w14:textId="77777777" w:rsidR="00FD463A" w:rsidRPr="00B3537C" w:rsidRDefault="00FD463A" w:rsidP="00FD463A">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second significant barrier is the cost of electric vehicles (EVs) switching. Toyota has historically focused on hybrid technology as compared to other competitors who have been aggressive in their implementation of the EV strategy. This gradual conversion requires huge investment in research and development, battery technology, and manufacturing facilities, which is a burden on the financial resources.</w:t>
      </w:r>
    </w:p>
    <w:p w14:paraId="5CEFD8DA" w14:textId="22E11721" w:rsidR="00DB3D47" w:rsidRPr="00B3537C" w:rsidRDefault="00FD463A" w:rsidP="00FD463A">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Moreover, Toyota is under pressure on its profit margin due to the escalation of cost of inputs, including raw materials and energy prices, and the global supply chain disruption. The volatility of 2023 shows how the company is exposed to external shocks. Additionally, the adequacy ratio of cash flows is not very good, which shows that operating cash flows are insufficient to finance the investment and financial needs, which increases the reliance on external financing</w:t>
      </w:r>
      <w:r w:rsidR="00DB3D47" w:rsidRPr="00B3537C">
        <w:rPr>
          <w:rFonts w:ascii="Arial" w:eastAsia="Times New Roman" w:hAnsi="Arial" w:cs="Arial"/>
          <w:color w:val="000000" w:themeColor="text1"/>
          <w:kern w:val="0"/>
          <w:sz w:val="24"/>
          <w:szCs w:val="24"/>
          <w:lang w:eastAsia="en-GB"/>
          <w14:ligatures w14:val="none"/>
        </w:rPr>
        <w:t>.</w:t>
      </w:r>
    </w:p>
    <w:p w14:paraId="785F0F63" w14:textId="77777777" w:rsidR="00DB3D47" w:rsidRPr="00B3537C" w:rsidRDefault="00DB3D47" w:rsidP="00242669">
      <w:pPr>
        <w:pStyle w:val="Heading2"/>
        <w:rPr>
          <w:color w:val="000000" w:themeColor="text1"/>
        </w:rPr>
      </w:pPr>
      <w:bookmarkStart w:id="29" w:name="_Toc227926167"/>
      <w:r w:rsidRPr="00B3537C">
        <w:rPr>
          <w:color w:val="000000" w:themeColor="text1"/>
        </w:rPr>
        <w:t>3.2 Recommended Strategies</w:t>
      </w:r>
      <w:bookmarkEnd w:id="29"/>
    </w:p>
    <w:p w14:paraId="22F78443" w14:textId="4041DF5D" w:rsidR="00934BA9" w:rsidRPr="00B3537C" w:rsidRDefault="00FD463A" w:rsidP="0098664E">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To address these problems, Toyota would have to implement an elaborate financial restructuring strategy, which would result in efficiency, better liquidity, and long-term growth</w:t>
      </w:r>
      <w:r w:rsidR="00934BA9" w:rsidRPr="00B3537C">
        <w:rPr>
          <w:rFonts w:ascii="Arial" w:eastAsia="Times New Roman" w:hAnsi="Arial" w:cs="Arial"/>
          <w:color w:val="000000" w:themeColor="text1"/>
          <w:kern w:val="0"/>
          <w:sz w:val="24"/>
          <w:szCs w:val="24"/>
          <w:lang w:eastAsia="en-GB"/>
          <w14:ligatures w14:val="none"/>
        </w:rPr>
        <w:t>.</w:t>
      </w:r>
    </w:p>
    <w:p w14:paraId="0C99BBB6" w14:textId="77777777" w:rsidR="00934BA9" w:rsidRPr="00B3537C" w:rsidRDefault="00934BA9" w:rsidP="00934BA9">
      <w:pPr>
        <w:pStyle w:val="Heading3"/>
        <w:rPr>
          <w:rFonts w:ascii="Arial" w:eastAsia="Times New Roman" w:hAnsi="Arial" w:cs="Arial"/>
          <w:color w:val="000000" w:themeColor="text1"/>
          <w:lang w:eastAsia="en-GB"/>
        </w:rPr>
      </w:pPr>
      <w:bookmarkStart w:id="30" w:name="_Toc227926168"/>
      <w:r w:rsidRPr="00B3537C">
        <w:rPr>
          <w:rFonts w:ascii="Arial" w:eastAsia="Times New Roman" w:hAnsi="Arial" w:cs="Arial"/>
          <w:color w:val="000000" w:themeColor="text1"/>
          <w:lang w:eastAsia="en-GB"/>
        </w:rPr>
        <w:lastRenderedPageBreak/>
        <w:t>a) Divestiture</w:t>
      </w:r>
      <w:bookmarkEnd w:id="30"/>
    </w:p>
    <w:p w14:paraId="53C54FEA" w14:textId="77777777" w:rsidR="00FD463A" w:rsidRPr="00B3537C" w:rsidRDefault="00FD463A" w:rsidP="00FD463A">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Toyota should consider divesting non-core or poor businesses to free up cash. This can include the selling of less profitable subsidiaries, redundant manufacturing plants or strategic investments. The cash flows generated through divestiture would be available instantly and can be diverted to high growth opportunities such as EV development and digital innovations (Ushijima, 2009).</w:t>
      </w:r>
    </w:p>
    <w:p w14:paraId="36B55773" w14:textId="7D4F9FD1" w:rsidR="00934BA9" w:rsidRPr="00B3537C" w:rsidRDefault="00FD463A" w:rsidP="00FD463A">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Investing in the key competencies can assist Toyota in improving the efficiency of operations and reducing the unnecessary expenses. However, it should be critically examined to ensure that the divestitures will not impact negatively on the strategic positioning in the long term</w:t>
      </w:r>
      <w:r w:rsidR="00934BA9" w:rsidRPr="00B3537C">
        <w:rPr>
          <w:rFonts w:ascii="Arial" w:eastAsia="Times New Roman" w:hAnsi="Arial" w:cs="Arial"/>
          <w:color w:val="000000" w:themeColor="text1"/>
          <w:kern w:val="0"/>
          <w:sz w:val="24"/>
          <w:szCs w:val="24"/>
          <w:lang w:eastAsia="en-GB"/>
          <w14:ligatures w14:val="none"/>
        </w:rPr>
        <w:t>.</w:t>
      </w:r>
    </w:p>
    <w:p w14:paraId="65E8A97F" w14:textId="77777777" w:rsidR="00934BA9" w:rsidRPr="00B3537C" w:rsidRDefault="00934BA9" w:rsidP="00934BA9">
      <w:pPr>
        <w:pStyle w:val="Heading3"/>
        <w:rPr>
          <w:rFonts w:ascii="Arial" w:eastAsia="Times New Roman" w:hAnsi="Arial" w:cs="Arial"/>
          <w:color w:val="000000" w:themeColor="text1"/>
          <w:lang w:eastAsia="en-GB"/>
        </w:rPr>
      </w:pPr>
      <w:bookmarkStart w:id="31" w:name="_Toc227926169"/>
      <w:r w:rsidRPr="00B3537C">
        <w:rPr>
          <w:rFonts w:ascii="Arial" w:eastAsia="Times New Roman" w:hAnsi="Arial" w:cs="Arial"/>
          <w:color w:val="000000" w:themeColor="text1"/>
          <w:lang w:eastAsia="en-GB"/>
        </w:rPr>
        <w:t>b) Equity Injection</w:t>
      </w:r>
      <w:bookmarkEnd w:id="31"/>
    </w:p>
    <w:p w14:paraId="6B6846B9" w14:textId="3214A30F" w:rsidR="00FD463A" w:rsidRPr="00B3537C" w:rsidRDefault="00FD463A" w:rsidP="00FD463A">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new share issue can provide Toyota with additional finances to invest in the transition to electric mobility. Equity financing will help reduce debt and financial risk, which is particularly essential due to the large financial obligations of the company already (</w:t>
      </w:r>
      <w:proofErr w:type="spellStart"/>
      <w:r w:rsidRPr="00B3537C">
        <w:rPr>
          <w:rFonts w:ascii="Arial" w:eastAsia="Times New Roman" w:hAnsi="Arial" w:cs="Arial"/>
          <w:color w:val="000000" w:themeColor="text1"/>
          <w:kern w:val="0"/>
          <w:sz w:val="24"/>
          <w:szCs w:val="24"/>
          <w:lang w:eastAsia="en-GB"/>
          <w14:ligatures w14:val="none"/>
        </w:rPr>
        <w:t>Okanga</w:t>
      </w:r>
      <w:proofErr w:type="spellEnd"/>
      <w:r w:rsidRPr="00B3537C">
        <w:rPr>
          <w:rFonts w:ascii="Arial" w:eastAsia="Times New Roman" w:hAnsi="Arial" w:cs="Arial"/>
          <w:color w:val="000000" w:themeColor="text1"/>
          <w:kern w:val="0"/>
          <w:sz w:val="24"/>
          <w:szCs w:val="24"/>
          <w:lang w:eastAsia="en-GB"/>
          <w14:ligatures w14:val="none"/>
        </w:rPr>
        <w:t>, 2022).</w:t>
      </w:r>
    </w:p>
    <w:p w14:paraId="5E9C5B6C" w14:textId="0A83EB97" w:rsidR="00934BA9" w:rsidRPr="00B3537C" w:rsidRDefault="00FD463A" w:rsidP="00FD463A">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Equity injection will dilute the existing shareholders, yet it will inflate the balance sheet and raise financial flexibility</w:t>
      </w:r>
      <w:r w:rsidR="00934BA9" w:rsidRPr="00B3537C">
        <w:rPr>
          <w:rFonts w:ascii="Arial" w:eastAsia="Times New Roman" w:hAnsi="Arial" w:cs="Arial"/>
          <w:color w:val="000000" w:themeColor="text1"/>
          <w:kern w:val="0"/>
          <w:sz w:val="24"/>
          <w:szCs w:val="24"/>
          <w:lang w:eastAsia="en-GB"/>
          <w14:ligatures w14:val="none"/>
        </w:rPr>
        <w:t>. It is particularly appropriate when it comes to financing projects that are both large-scale and long-term, like battery manufacturing and EV infrastructure, whose benefits might not be realised in the short term.</w:t>
      </w:r>
    </w:p>
    <w:p w14:paraId="2F6C25A3" w14:textId="77777777" w:rsidR="00934BA9" w:rsidRPr="00B3537C" w:rsidRDefault="00934BA9" w:rsidP="00934BA9">
      <w:pPr>
        <w:pStyle w:val="Heading3"/>
        <w:rPr>
          <w:rFonts w:ascii="Arial" w:eastAsia="Times New Roman" w:hAnsi="Arial" w:cs="Arial"/>
          <w:color w:val="000000" w:themeColor="text1"/>
          <w:lang w:eastAsia="en-GB"/>
        </w:rPr>
      </w:pPr>
      <w:bookmarkStart w:id="32" w:name="_Toc227926170"/>
      <w:r w:rsidRPr="00B3537C">
        <w:rPr>
          <w:rFonts w:ascii="Arial" w:eastAsia="Times New Roman" w:hAnsi="Arial" w:cs="Arial"/>
          <w:color w:val="000000" w:themeColor="text1"/>
          <w:lang w:eastAsia="en-GB"/>
        </w:rPr>
        <w:t>c) Debt Restructuring</w:t>
      </w:r>
      <w:bookmarkEnd w:id="32"/>
    </w:p>
    <w:p w14:paraId="62ECAB2A" w14:textId="0FDD45E5" w:rsidR="00934BA9" w:rsidRPr="00B3537C" w:rsidRDefault="00934BA9" w:rsidP="00934BA9">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Toyota can optimise its debt position by refinancing its expensive debt with lower-interest debt. With its good credit profile and interest coverage ratio, the company can negotiate favourable terms of borrowing</w:t>
      </w:r>
      <w:r w:rsidR="0098664E" w:rsidRPr="00B3537C">
        <w:rPr>
          <w:rFonts w:ascii="Arial" w:eastAsia="Times New Roman" w:hAnsi="Arial" w:cs="Arial"/>
          <w:color w:val="000000" w:themeColor="text1"/>
          <w:kern w:val="0"/>
          <w:sz w:val="24"/>
          <w:szCs w:val="24"/>
          <w:lang w:eastAsia="en-GB"/>
          <w14:ligatures w14:val="none"/>
        </w:rPr>
        <w:t xml:space="preserve"> (Mehri, 2012)</w:t>
      </w:r>
      <w:r w:rsidRPr="00B3537C">
        <w:rPr>
          <w:rFonts w:ascii="Arial" w:eastAsia="Times New Roman" w:hAnsi="Arial" w:cs="Arial"/>
          <w:color w:val="000000" w:themeColor="text1"/>
          <w:kern w:val="0"/>
          <w:sz w:val="24"/>
          <w:szCs w:val="24"/>
          <w:lang w:eastAsia="en-GB"/>
          <w14:ligatures w14:val="none"/>
        </w:rPr>
        <w:t>.</w:t>
      </w:r>
    </w:p>
    <w:p w14:paraId="46B640AC" w14:textId="3DAA24CC" w:rsidR="00934BA9" w:rsidRPr="00B3537C" w:rsidRDefault="00934BA9" w:rsidP="00934BA9">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xml:space="preserve">Restructuring of debts can help to lower interest, increase cash flow, and improve financial stability. Furthermore, the maturity of debts can be extended to minimize the </w:t>
      </w:r>
      <w:r w:rsidRPr="00B3537C">
        <w:rPr>
          <w:rFonts w:ascii="Arial" w:eastAsia="Times New Roman" w:hAnsi="Arial" w:cs="Arial"/>
          <w:color w:val="000000" w:themeColor="text1"/>
          <w:kern w:val="0"/>
          <w:sz w:val="24"/>
          <w:szCs w:val="24"/>
          <w:lang w:eastAsia="en-GB"/>
          <w14:ligatures w14:val="none"/>
        </w:rPr>
        <w:lastRenderedPageBreak/>
        <w:t>short-term repayment pressures and to match financing with long-term investment horizons. Nevertheless, there should be no overdependence on debt to have a balanced capital structure.</w:t>
      </w:r>
    </w:p>
    <w:p w14:paraId="58DBE0FF" w14:textId="0E55713C" w:rsidR="00934BA9" w:rsidRPr="00B3537C" w:rsidRDefault="00934BA9" w:rsidP="00934BA9">
      <w:pPr>
        <w:spacing w:before="100" w:beforeAutospacing="1" w:after="100" w:afterAutospacing="1" w:line="240" w:lineRule="auto"/>
        <w:rPr>
          <w:rFonts w:ascii="Arial" w:eastAsia="Times New Roman" w:hAnsi="Arial" w:cs="Arial"/>
          <w:color w:val="000000" w:themeColor="text1"/>
          <w:kern w:val="0"/>
          <w:sz w:val="24"/>
          <w:szCs w:val="24"/>
          <w:lang w:eastAsia="en-GB"/>
          <w14:ligatures w14:val="none"/>
        </w:rPr>
      </w:pPr>
      <w:bookmarkStart w:id="33" w:name="_Toc227926171"/>
      <w:r w:rsidRPr="00B3537C">
        <w:rPr>
          <w:rStyle w:val="Heading3Char"/>
          <w:rFonts w:ascii="Arial" w:hAnsi="Arial" w:cs="Arial"/>
          <w:color w:val="000000" w:themeColor="text1"/>
          <w:lang w:eastAsia="en-GB"/>
        </w:rPr>
        <w:t>d) Strategic alliances / Mergers</w:t>
      </w:r>
      <w:bookmarkEnd w:id="33"/>
    </w:p>
    <w:p w14:paraId="3A2EC678" w14:textId="76465F81" w:rsidR="00934BA9" w:rsidRPr="00B3537C" w:rsidRDefault="00934BA9" w:rsidP="00934BA9">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collaboration with other firms can significantly reduce the financial burden of EV development. Toyota can also form strategic alliances with technology companies, battery makers, or even other automobile makers to share the costs, risk and expertise</w:t>
      </w:r>
      <w:r w:rsidR="0098664E" w:rsidRPr="00B3537C">
        <w:rPr>
          <w:rFonts w:ascii="Arial" w:eastAsia="Times New Roman" w:hAnsi="Arial" w:cs="Arial"/>
          <w:color w:val="000000" w:themeColor="text1"/>
          <w:kern w:val="0"/>
          <w:sz w:val="24"/>
          <w:szCs w:val="24"/>
          <w:lang w:eastAsia="en-GB"/>
          <w14:ligatures w14:val="none"/>
        </w:rPr>
        <w:t xml:space="preserve"> (Takeuchi et al, 2023)</w:t>
      </w:r>
      <w:r w:rsidRPr="00B3537C">
        <w:rPr>
          <w:rFonts w:ascii="Arial" w:eastAsia="Times New Roman" w:hAnsi="Arial" w:cs="Arial"/>
          <w:color w:val="000000" w:themeColor="text1"/>
          <w:kern w:val="0"/>
          <w:sz w:val="24"/>
          <w:szCs w:val="24"/>
          <w:lang w:eastAsia="en-GB"/>
          <w14:ligatures w14:val="none"/>
        </w:rPr>
        <w:t>.</w:t>
      </w:r>
    </w:p>
    <w:p w14:paraId="1FAA829B" w14:textId="6392A901" w:rsidR="00DB3D47" w:rsidRPr="00B3537C" w:rsidRDefault="00934BA9" w:rsidP="00934BA9">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Such partnerships can accelerate the innovation process, enlarge the economies of scale and competitiveness in the dynamic EV market. It may prove particularly handy in battery production or charging systems joint ventures. This strategy will see Toyota not bear all the transformation costs by itself.</w:t>
      </w:r>
    </w:p>
    <w:p w14:paraId="6B6126CF" w14:textId="77777777" w:rsidR="00DB3D47" w:rsidRPr="00B3537C" w:rsidRDefault="00DB3D47" w:rsidP="00242669">
      <w:pPr>
        <w:pStyle w:val="Heading2"/>
        <w:rPr>
          <w:color w:val="000000" w:themeColor="text1"/>
        </w:rPr>
      </w:pPr>
      <w:bookmarkStart w:id="34" w:name="_Toc227926172"/>
      <w:r w:rsidRPr="00B3537C">
        <w:rPr>
          <w:color w:val="000000" w:themeColor="text1"/>
        </w:rPr>
        <w:t>3.3 Impact Analysis</w:t>
      </w:r>
      <w:bookmarkEnd w:id="34"/>
    </w:p>
    <w:p w14:paraId="22AB019E" w14:textId="71F3801B" w:rsidR="00934BA9" w:rsidRPr="00B3537C" w:rsidRDefault="00724915" w:rsidP="00BB6B45">
      <w:pPr>
        <w:spacing w:line="360" w:lineRule="auto"/>
        <w:rPr>
          <w:rFonts w:ascii="Arial" w:hAnsi="Arial" w:cs="Arial"/>
          <w:color w:val="000000" w:themeColor="text1"/>
          <w:sz w:val="24"/>
          <w:szCs w:val="24"/>
          <w:lang w:eastAsia="en-GB"/>
        </w:rPr>
      </w:pPr>
      <w:r w:rsidRPr="00B3537C">
        <w:rPr>
          <w:rFonts w:ascii="Arial" w:hAnsi="Arial" w:cs="Arial"/>
          <w:color w:val="000000" w:themeColor="text1"/>
          <w:sz w:val="24"/>
          <w:szCs w:val="24"/>
          <w:lang w:eastAsia="en-GB"/>
        </w:rPr>
        <w:t>It is believed that the financial restructuring strategies will enhance the financial health of Toyota Motor Corporation by enhancing efficiency, lowering financial risk, and sustaining long-term growth</w:t>
      </w:r>
      <w:r w:rsidR="00934BA9" w:rsidRPr="00B3537C">
        <w:rPr>
          <w:rFonts w:ascii="Arial" w:hAnsi="Arial" w:cs="Arial"/>
          <w:color w:val="000000" w:themeColor="text1"/>
          <w:sz w:val="24"/>
          <w:szCs w:val="24"/>
          <w:lang w:eastAsia="en-GB"/>
        </w:rPr>
        <w:t>.</w:t>
      </w:r>
    </w:p>
    <w:p w14:paraId="091ABD60" w14:textId="16D273A3" w:rsidR="00DB3D47" w:rsidRPr="00B3537C" w:rsidRDefault="00DB3D47" w:rsidP="00BB6B45">
      <w:pPr>
        <w:pStyle w:val="Heading3"/>
        <w:numPr>
          <w:ilvl w:val="0"/>
          <w:numId w:val="18"/>
        </w:numPr>
        <w:rPr>
          <w:rFonts w:ascii="Arial" w:eastAsia="Times New Roman" w:hAnsi="Arial" w:cs="Arial"/>
          <w:color w:val="000000" w:themeColor="text1"/>
          <w:lang w:eastAsia="en-GB"/>
        </w:rPr>
      </w:pPr>
      <w:bookmarkStart w:id="35" w:name="_Toc227926173"/>
      <w:r w:rsidRPr="00B3537C">
        <w:rPr>
          <w:rFonts w:ascii="Arial" w:eastAsia="Times New Roman" w:hAnsi="Arial" w:cs="Arial"/>
          <w:color w:val="000000" w:themeColor="text1"/>
          <w:lang w:eastAsia="en-GB"/>
        </w:rPr>
        <w:t>Shareholder Value</w:t>
      </w:r>
      <w:bookmarkEnd w:id="35"/>
    </w:p>
    <w:p w14:paraId="61DFCE2F" w14:textId="145B7E0D" w:rsidR="00DB3D47" w:rsidRPr="00B3537C" w:rsidRDefault="00724915" w:rsidP="00934BA9">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strategies will probably increase the shareholder values by increasing the profitability and securing sustainable growth. Operational efficiency and returns can be enhanced by divestitures of non-core assets and cost optimisation. Meanwhile, further investment in electric vehicle (EV) technology prepares the company for the future market. Equity financing, though, can dilute the ownership of the existing shareholders in the short run, but it minimizes financial risk and enhances long-term value creation by enhancing the capital base of the firm (Toma et al., 2018).</w:t>
      </w:r>
    </w:p>
    <w:p w14:paraId="61F5D7C2" w14:textId="77777777" w:rsidR="00DB3D47" w:rsidRPr="00B3537C" w:rsidRDefault="00DB3D47" w:rsidP="00BB6B45">
      <w:pPr>
        <w:pStyle w:val="Heading3"/>
        <w:numPr>
          <w:ilvl w:val="0"/>
          <w:numId w:val="18"/>
        </w:numPr>
        <w:rPr>
          <w:rFonts w:ascii="Arial" w:eastAsia="Times New Roman" w:hAnsi="Arial" w:cs="Arial"/>
          <w:color w:val="000000" w:themeColor="text1"/>
          <w:lang w:eastAsia="en-GB"/>
        </w:rPr>
      </w:pPr>
      <w:bookmarkStart w:id="36" w:name="_Toc227926174"/>
      <w:r w:rsidRPr="00B3537C">
        <w:rPr>
          <w:rFonts w:ascii="Arial" w:eastAsia="Times New Roman" w:hAnsi="Arial" w:cs="Arial"/>
          <w:color w:val="000000" w:themeColor="text1"/>
          <w:lang w:eastAsia="en-GB"/>
        </w:rPr>
        <w:lastRenderedPageBreak/>
        <w:t>Debt Structure</w:t>
      </w:r>
      <w:bookmarkEnd w:id="36"/>
    </w:p>
    <w:p w14:paraId="2F6322E4" w14:textId="7D828451" w:rsidR="00DB3D47" w:rsidRPr="00B3537C" w:rsidRDefault="00724915" w:rsidP="00934BA9">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restructuring of the debt, together with the equity injection, will aid in developing a more balanced and sustainable capital structure. Refinancing of high-interest debt would reduce interest costs and enhance cash flow. The moderate level of leverage enables the firm to enjoy the tax benefits but not to take too much risk. This moderating strategy boosts financial stability without reducing the availability of funds to invest in the future (Kim, 2013).</w:t>
      </w:r>
    </w:p>
    <w:p w14:paraId="093E5082" w14:textId="77777777" w:rsidR="00DB3D47" w:rsidRPr="00B3537C" w:rsidRDefault="00DB3D47" w:rsidP="00BB6B45">
      <w:pPr>
        <w:pStyle w:val="Heading3"/>
        <w:numPr>
          <w:ilvl w:val="0"/>
          <w:numId w:val="18"/>
        </w:numPr>
        <w:rPr>
          <w:rFonts w:ascii="Arial" w:eastAsia="Times New Roman" w:hAnsi="Arial" w:cs="Arial"/>
          <w:color w:val="000000" w:themeColor="text1"/>
          <w:lang w:eastAsia="en-GB"/>
        </w:rPr>
      </w:pPr>
      <w:bookmarkStart w:id="37" w:name="_Toc227926175"/>
      <w:r w:rsidRPr="00B3537C">
        <w:rPr>
          <w:rFonts w:ascii="Arial" w:eastAsia="Times New Roman" w:hAnsi="Arial" w:cs="Arial"/>
          <w:color w:val="000000" w:themeColor="text1"/>
          <w:lang w:eastAsia="en-GB"/>
        </w:rPr>
        <w:t>Operational Flexibility</w:t>
      </w:r>
      <w:bookmarkEnd w:id="37"/>
    </w:p>
    <w:p w14:paraId="3249F2CD" w14:textId="089EA2A8" w:rsidR="00DB3D47" w:rsidRPr="00B3537C" w:rsidRDefault="00724915" w:rsidP="00934BA9">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restructuring plan will enhance the operational flexibility by enhancing liquidity and releasing resources. Divestiture is a source of funds to invest in core operations; strategic alliances allow entry into new markets and technologies. This is critical in the flexibility of adjusting to the swift technological and regulatory changes in the automotive market (</w:t>
      </w:r>
      <w:proofErr w:type="spellStart"/>
      <w:r w:rsidRPr="00B3537C">
        <w:rPr>
          <w:rFonts w:ascii="Arial" w:eastAsia="Times New Roman" w:hAnsi="Arial" w:cs="Arial"/>
          <w:color w:val="000000" w:themeColor="text1"/>
          <w:kern w:val="0"/>
          <w:sz w:val="24"/>
          <w:szCs w:val="24"/>
          <w:lang w:eastAsia="en-GB"/>
          <w14:ligatures w14:val="none"/>
        </w:rPr>
        <w:t>Mokudai</w:t>
      </w:r>
      <w:proofErr w:type="spellEnd"/>
      <w:r w:rsidRPr="00B3537C">
        <w:rPr>
          <w:rFonts w:ascii="Arial" w:eastAsia="Times New Roman" w:hAnsi="Arial" w:cs="Arial"/>
          <w:color w:val="000000" w:themeColor="text1"/>
          <w:kern w:val="0"/>
          <w:sz w:val="24"/>
          <w:szCs w:val="24"/>
          <w:lang w:eastAsia="en-GB"/>
          <w14:ligatures w14:val="none"/>
        </w:rPr>
        <w:t>, 2020).</w:t>
      </w:r>
    </w:p>
    <w:p w14:paraId="59F4769E" w14:textId="77777777" w:rsidR="00DB3D47" w:rsidRPr="00B3537C" w:rsidRDefault="00DB3D47" w:rsidP="00242669">
      <w:pPr>
        <w:pStyle w:val="Heading2"/>
        <w:rPr>
          <w:color w:val="000000" w:themeColor="text1"/>
        </w:rPr>
      </w:pPr>
      <w:bookmarkStart w:id="38" w:name="_Toc227926176"/>
      <w:r w:rsidRPr="00B3537C">
        <w:rPr>
          <w:color w:val="000000" w:themeColor="text1"/>
        </w:rPr>
        <w:t>3.4 International &amp; Ethical Considerations</w:t>
      </w:r>
      <w:bookmarkEnd w:id="38"/>
    </w:p>
    <w:p w14:paraId="1A6106B8" w14:textId="13C51134" w:rsidR="00EC6E03" w:rsidRPr="00B3537C" w:rsidRDefault="00724915" w:rsidP="00EC6E0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Being a company with a global footprint in the automotive industry, Toyota Motor Corporation is exposed to a very diverse economic and regulatory landscape, which translates into an intricate financial risk as well as raising ethical demands on the part of stakeholders</w:t>
      </w:r>
      <w:r w:rsidR="00EC6E03" w:rsidRPr="00B3537C">
        <w:rPr>
          <w:rFonts w:ascii="Arial" w:eastAsia="Times New Roman" w:hAnsi="Arial" w:cs="Arial"/>
          <w:color w:val="000000" w:themeColor="text1"/>
          <w:kern w:val="0"/>
          <w:sz w:val="24"/>
          <w:szCs w:val="24"/>
          <w:lang w:eastAsia="en-GB"/>
          <w14:ligatures w14:val="none"/>
        </w:rPr>
        <w:t>.</w:t>
      </w:r>
    </w:p>
    <w:p w14:paraId="174B81A9" w14:textId="77777777" w:rsidR="00EC6E03" w:rsidRPr="00B3537C" w:rsidRDefault="00EC6E03" w:rsidP="007F447B">
      <w:pPr>
        <w:pStyle w:val="Heading3"/>
        <w:numPr>
          <w:ilvl w:val="0"/>
          <w:numId w:val="19"/>
        </w:numPr>
        <w:spacing w:line="360" w:lineRule="auto"/>
        <w:jc w:val="both"/>
        <w:rPr>
          <w:rFonts w:ascii="Arial" w:eastAsia="Times New Roman" w:hAnsi="Arial" w:cs="Arial"/>
          <w:color w:val="000000" w:themeColor="text1"/>
          <w:lang w:eastAsia="en-GB"/>
        </w:rPr>
      </w:pPr>
      <w:bookmarkStart w:id="39" w:name="_Toc227926177"/>
      <w:r w:rsidRPr="00B3537C">
        <w:rPr>
          <w:rFonts w:ascii="Arial" w:eastAsia="Times New Roman" w:hAnsi="Arial" w:cs="Arial"/>
          <w:color w:val="000000" w:themeColor="text1"/>
          <w:lang w:eastAsia="en-GB"/>
        </w:rPr>
        <w:t>Currency Risk:</w:t>
      </w:r>
      <w:bookmarkEnd w:id="39"/>
    </w:p>
    <w:p w14:paraId="46B9FF72" w14:textId="658C49BD" w:rsidR="00EC6E03" w:rsidRPr="00B3537C" w:rsidRDefault="00724915" w:rsidP="00EC6E0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xml:space="preserve">The international presence of Toyota also renders it very sensitive to the exchange rate volatility especially due to the changes in the Japanese yen against the major currencies like the US dollar and the euro. In addition to the conventional hedging instruments such as forward contracts and swaps, Toyota can implement a natural hedging approach by synchronizing production and sales in the same regions. As an example, manufacturing in major markets can be localised, minimising the reliance on currency flows. Also, real-time currency pricing strategies can be used to stabilise margins. A well-distributed </w:t>
      </w:r>
      <w:r w:rsidRPr="00B3537C">
        <w:rPr>
          <w:rFonts w:ascii="Arial" w:eastAsia="Times New Roman" w:hAnsi="Arial" w:cs="Arial"/>
          <w:color w:val="000000" w:themeColor="text1"/>
          <w:kern w:val="0"/>
          <w:sz w:val="24"/>
          <w:szCs w:val="24"/>
          <w:lang w:eastAsia="en-GB"/>
          <w14:ligatures w14:val="none"/>
        </w:rPr>
        <w:lastRenderedPageBreak/>
        <w:t>geographic revenue base will also decrease the risk of concentration and increase financial resilience (Yuan, 2025).</w:t>
      </w:r>
    </w:p>
    <w:p w14:paraId="68898417" w14:textId="77777777" w:rsidR="00EC6E03" w:rsidRPr="00B3537C" w:rsidRDefault="00EC6E03" w:rsidP="007F447B">
      <w:pPr>
        <w:pStyle w:val="Heading3"/>
        <w:numPr>
          <w:ilvl w:val="0"/>
          <w:numId w:val="19"/>
        </w:numPr>
        <w:spacing w:line="360" w:lineRule="auto"/>
        <w:jc w:val="both"/>
        <w:rPr>
          <w:rFonts w:ascii="Arial" w:eastAsia="Times New Roman" w:hAnsi="Arial" w:cs="Arial"/>
          <w:color w:val="000000" w:themeColor="text1"/>
          <w:lang w:eastAsia="en-GB"/>
        </w:rPr>
      </w:pPr>
      <w:bookmarkStart w:id="40" w:name="_Toc227926178"/>
      <w:r w:rsidRPr="00B3537C">
        <w:rPr>
          <w:rFonts w:ascii="Arial" w:eastAsia="Times New Roman" w:hAnsi="Arial" w:cs="Arial"/>
          <w:color w:val="000000" w:themeColor="text1"/>
          <w:lang w:eastAsia="en-GB"/>
        </w:rPr>
        <w:t>Inflation:</w:t>
      </w:r>
      <w:bookmarkEnd w:id="40"/>
    </w:p>
    <w:p w14:paraId="7E9D51B9" w14:textId="70C7433A" w:rsidR="00EC6E03" w:rsidRPr="00B3537C" w:rsidRDefault="00724915" w:rsidP="00EC6E0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High inflation (notably for raw materials like lithium and steel) is a structural issue. Toyota can consider vertical integration and extended contracts with suppliers to stabilise the input prices rather than resorting to cost-cutting only. Dependency on volatile resources can also be minimized through investing in alternative materials and battery innovation. Furthermore, dynamic pricing models and operational efficiency by automation would be useful to manage the cost pressures and remain competitive</w:t>
      </w:r>
      <w:r w:rsidR="00EC6E03" w:rsidRPr="00B3537C">
        <w:rPr>
          <w:rFonts w:ascii="Arial" w:eastAsia="Times New Roman" w:hAnsi="Arial" w:cs="Arial"/>
          <w:color w:val="000000" w:themeColor="text1"/>
          <w:kern w:val="0"/>
          <w:sz w:val="24"/>
          <w:szCs w:val="24"/>
          <w:lang w:eastAsia="en-GB"/>
          <w14:ligatures w14:val="none"/>
        </w:rPr>
        <w:t>.</w:t>
      </w:r>
    </w:p>
    <w:p w14:paraId="74553192" w14:textId="77777777" w:rsidR="00EC6E03" w:rsidRPr="00B3537C" w:rsidRDefault="00EC6E03" w:rsidP="007F447B">
      <w:pPr>
        <w:pStyle w:val="Heading3"/>
        <w:numPr>
          <w:ilvl w:val="0"/>
          <w:numId w:val="19"/>
        </w:numPr>
        <w:spacing w:line="360" w:lineRule="auto"/>
        <w:jc w:val="both"/>
        <w:rPr>
          <w:rFonts w:ascii="Arial" w:eastAsia="Times New Roman" w:hAnsi="Arial" w:cs="Arial"/>
          <w:color w:val="000000" w:themeColor="text1"/>
          <w:lang w:eastAsia="en-GB"/>
        </w:rPr>
      </w:pPr>
      <w:bookmarkStart w:id="41" w:name="_Toc227926179"/>
      <w:r w:rsidRPr="00B3537C">
        <w:rPr>
          <w:rFonts w:ascii="Arial" w:eastAsia="Times New Roman" w:hAnsi="Arial" w:cs="Arial"/>
          <w:color w:val="000000" w:themeColor="text1"/>
          <w:lang w:eastAsia="en-GB"/>
        </w:rPr>
        <w:t>Taxation:</w:t>
      </w:r>
      <w:bookmarkEnd w:id="41"/>
    </w:p>
    <w:p w14:paraId="035BA88D" w14:textId="6A03A342" w:rsidR="00EC6E03" w:rsidRPr="00B3537C" w:rsidRDefault="00724915" w:rsidP="00EC6E0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xml:space="preserve">By conducting business in different jurisdictions, Toyota faces different tax regimes and regulatory requests. Instead of just concentrating on reducing taxation, Toyota must be open and responsible in terms of taxation in accordance with international practices. These involve </w:t>
      </w:r>
      <w:r w:rsidR="00200F75" w:rsidRPr="00B3537C">
        <w:rPr>
          <w:rFonts w:ascii="Arial" w:eastAsia="Times New Roman" w:hAnsi="Arial" w:cs="Arial"/>
          <w:color w:val="000000" w:themeColor="text1"/>
          <w:kern w:val="0"/>
          <w:sz w:val="24"/>
          <w:szCs w:val="24"/>
          <w:lang w:eastAsia="en-GB"/>
          <w14:ligatures w14:val="none"/>
        </w:rPr>
        <w:t>loyalty</w:t>
      </w:r>
      <w:r w:rsidRPr="00B3537C">
        <w:rPr>
          <w:rFonts w:ascii="Arial" w:eastAsia="Times New Roman" w:hAnsi="Arial" w:cs="Arial"/>
          <w:color w:val="000000" w:themeColor="text1"/>
          <w:kern w:val="0"/>
          <w:sz w:val="24"/>
          <w:szCs w:val="24"/>
          <w:lang w:eastAsia="en-GB"/>
          <w14:ligatures w14:val="none"/>
        </w:rPr>
        <w:t xml:space="preserve"> </w:t>
      </w:r>
      <w:r w:rsidR="00200F75" w:rsidRPr="00B3537C">
        <w:rPr>
          <w:rFonts w:ascii="Arial" w:eastAsia="Times New Roman" w:hAnsi="Arial" w:cs="Arial"/>
          <w:color w:val="000000" w:themeColor="text1"/>
          <w:kern w:val="0"/>
          <w:sz w:val="24"/>
          <w:szCs w:val="24"/>
          <w:lang w:eastAsia="en-GB"/>
          <w14:ligatures w14:val="none"/>
        </w:rPr>
        <w:t>with</w:t>
      </w:r>
      <w:r w:rsidRPr="00B3537C">
        <w:rPr>
          <w:rFonts w:ascii="Arial" w:eastAsia="Times New Roman" w:hAnsi="Arial" w:cs="Arial"/>
          <w:color w:val="000000" w:themeColor="text1"/>
          <w:kern w:val="0"/>
          <w:sz w:val="24"/>
          <w:szCs w:val="24"/>
          <w:lang w:eastAsia="en-GB"/>
          <w14:ligatures w14:val="none"/>
        </w:rPr>
        <w:t xml:space="preserve"> the global structures and transparency in disclosure to achieve stakeholder trust. Ethical tax behaviour is coming to be considered as an element of corporate responsibility and may affect investor confidence and brand reputation (Sallee, 2011).</w:t>
      </w:r>
    </w:p>
    <w:p w14:paraId="6E5DDC19" w14:textId="77777777" w:rsidR="00EC6E03" w:rsidRPr="00B3537C" w:rsidRDefault="00EC6E03" w:rsidP="00EC6E03">
      <w:pPr>
        <w:pStyle w:val="Heading3"/>
        <w:spacing w:line="360" w:lineRule="auto"/>
        <w:jc w:val="both"/>
        <w:rPr>
          <w:rFonts w:ascii="Arial" w:eastAsia="Times New Roman" w:hAnsi="Arial" w:cs="Arial"/>
          <w:color w:val="000000" w:themeColor="text1"/>
          <w:lang w:eastAsia="en-GB"/>
        </w:rPr>
      </w:pPr>
      <w:bookmarkStart w:id="42" w:name="_Toc227926180"/>
      <w:r w:rsidRPr="00B3537C">
        <w:rPr>
          <w:rFonts w:ascii="Arial" w:eastAsia="Times New Roman" w:hAnsi="Arial" w:cs="Arial"/>
          <w:color w:val="000000" w:themeColor="text1"/>
          <w:lang w:eastAsia="en-GB"/>
        </w:rPr>
        <w:t>ESG and CSR Reflection:</w:t>
      </w:r>
      <w:bookmarkEnd w:id="42"/>
    </w:p>
    <w:p w14:paraId="3D30105F" w14:textId="2ED461D8" w:rsidR="00A9012B" w:rsidRPr="00B3537C" w:rsidRDefault="00200F75" w:rsidP="00A17956">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Sustainability is now the focus of long-term strategy. Although Toyota is moving towards electric vehicles, it needs to also tackle the presence of concealed environmental and social costs in its supply chain, including ethical sourcing of battery minerals. Environmental impact can be decreased by developing circular economy projects such as battery recycling and reuse. Additionally, increasing transparency by means of ESG reporting and investing in community-oriented projects will increase the stakeholder trust. An active stance toward ESG does not only reduce risk but also generates competitive edge in a market oriented towards sustainability</w:t>
      </w:r>
      <w:r w:rsidR="00DB3D47" w:rsidRPr="00B3537C">
        <w:rPr>
          <w:rFonts w:ascii="Arial" w:eastAsia="Times New Roman" w:hAnsi="Arial" w:cs="Arial"/>
          <w:color w:val="000000" w:themeColor="text1"/>
          <w:kern w:val="0"/>
          <w:sz w:val="24"/>
          <w:szCs w:val="24"/>
          <w:lang w:eastAsia="en-GB"/>
          <w14:ligatures w14:val="none"/>
        </w:rPr>
        <w:t>.</w:t>
      </w:r>
    </w:p>
    <w:p w14:paraId="6AEFE8AD" w14:textId="406CEA9E" w:rsidR="00D527F6" w:rsidRPr="00B3537C" w:rsidRDefault="00D527F6" w:rsidP="00242669">
      <w:pPr>
        <w:pStyle w:val="Heading1"/>
      </w:pPr>
      <w:bookmarkStart w:id="43" w:name="_Toc227926181"/>
      <w:r w:rsidRPr="00B3537C">
        <w:lastRenderedPageBreak/>
        <w:t>SECTION 4: Investment Appraisal &amp; Capital Budgeting</w:t>
      </w:r>
      <w:bookmarkEnd w:id="43"/>
    </w:p>
    <w:p w14:paraId="10BE20D3" w14:textId="77777777" w:rsidR="00D527F6" w:rsidRPr="00B3537C" w:rsidRDefault="00D527F6" w:rsidP="00242669">
      <w:pPr>
        <w:pStyle w:val="Heading2"/>
        <w:rPr>
          <w:color w:val="000000" w:themeColor="text1"/>
        </w:rPr>
      </w:pPr>
      <w:bookmarkStart w:id="44" w:name="_Toc227926182"/>
      <w:r w:rsidRPr="00B3537C">
        <w:rPr>
          <w:color w:val="000000" w:themeColor="text1"/>
        </w:rPr>
        <w:t>4.1 Overview of Projects</w:t>
      </w:r>
      <w:bookmarkEnd w:id="44"/>
    </w:p>
    <w:p w14:paraId="7E741F02" w14:textId="77777777" w:rsidR="00A90E15" w:rsidRPr="00B3537C" w:rsidRDefault="00A90E15" w:rsidP="00A90E15">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Toyota Motor Corporation is currently looking at three mutually exclusive investment projects, each of which would come with a 50 million starting capital. The cash flow patterns, risk exposure and potential returns of these projects are very different and a good financial analysis is required.</w:t>
      </w:r>
    </w:p>
    <w:p w14:paraId="38BF03F6" w14:textId="27921D78" w:rsidR="00D527F6" w:rsidRPr="00B3537C" w:rsidRDefault="00A90E15" w:rsidP="00A90E15">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description of project A is that it has moderate and fluctuating cash inflows over a period of five years, and returns profile is rather stable and uncertain. Project B, in contrast, has estimated and consistent annual cash inflows of 11m and is therefore less risky but might not be as broad as far as growth is involved. The cash flow of project C is lumpy as the returns in the first years are low and in the third and fourth years are high. This structure suggests a riskier, more lucrative investment option which is likely to be linked with long term strategic projects such as innovation or expansion (Bhandari, 2009).</w:t>
      </w:r>
    </w:p>
    <w:p w14:paraId="1307C48B" w14:textId="77777777" w:rsidR="00D527F6" w:rsidRPr="00B3537C" w:rsidRDefault="00D527F6" w:rsidP="00242669">
      <w:pPr>
        <w:pStyle w:val="Heading2"/>
        <w:rPr>
          <w:color w:val="000000" w:themeColor="text1"/>
        </w:rPr>
      </w:pPr>
      <w:bookmarkStart w:id="45" w:name="_Toc227926183"/>
      <w:r w:rsidRPr="00B3537C">
        <w:rPr>
          <w:color w:val="000000" w:themeColor="text1"/>
        </w:rPr>
        <w:t>4.2 Calculation Methods</w:t>
      </w:r>
      <w:bookmarkEnd w:id="45"/>
    </w:p>
    <w:p w14:paraId="24356287" w14:textId="022F87E0" w:rsidR="00A90E15" w:rsidRPr="00B3537C" w:rsidRDefault="00A90E15" w:rsidP="00A90E15">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xml:space="preserve">To test the financial feasibility of the projects, different common methods of investment appraisal have been </w:t>
      </w:r>
      <w:r w:rsidR="001824E5" w:rsidRPr="00B3537C">
        <w:rPr>
          <w:rFonts w:ascii="Arial" w:eastAsia="Times New Roman" w:hAnsi="Arial" w:cs="Arial"/>
          <w:color w:val="000000" w:themeColor="text1"/>
          <w:kern w:val="0"/>
          <w:sz w:val="24"/>
          <w:szCs w:val="24"/>
          <w:lang w:eastAsia="en-GB"/>
          <w14:ligatures w14:val="none"/>
        </w:rPr>
        <w:t>applied (Table 8</w:t>
      </w:r>
      <w:r w:rsidRPr="00B3537C">
        <w:rPr>
          <w:rFonts w:ascii="Arial" w:eastAsia="Times New Roman" w:hAnsi="Arial" w:cs="Arial"/>
          <w:color w:val="000000" w:themeColor="text1"/>
          <w:kern w:val="0"/>
          <w:sz w:val="24"/>
          <w:szCs w:val="24"/>
          <w:lang w:eastAsia="en-GB"/>
          <w14:ligatures w14:val="none"/>
        </w:rPr>
        <w:t>). Payback Period (PBP) is the time taken by a firm to break even on the initial investment and provides an insight into liquidity and risk. Profitability is calculated based on accounting profits, and the rate of accounting profits is known as the Accounting Rate of Return (ARR), which offers a simple rate of return compared to investment (Brief and Lawson, 2014).</w:t>
      </w:r>
    </w:p>
    <w:p w14:paraId="2F119688" w14:textId="1C79FF88" w:rsidR="00A90E15" w:rsidRPr="00B3537C" w:rsidRDefault="00A90E15" w:rsidP="00A90E15">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Net Present Value (NPV) method calculates the present value of the estimated future cash inflows at a discounted rate of 10 percent, which is the time value of money. This is further reduced in this analysis through the Profitability Index (PI), which is a ratio of discounted cash inflows to initial investment, or the value created per unit of investment. Finally, the Internal rate of return (IRR) is the rate at which the NPV would be equal to zero and is used to compare the project returns with the required rate.</w:t>
      </w:r>
    </w:p>
    <w:p w14:paraId="4FBE745E" w14:textId="3E2F9848" w:rsidR="00D527F6" w:rsidRPr="00B3537C" w:rsidRDefault="00A90E15" w:rsidP="00A90E15">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lastRenderedPageBreak/>
        <w:t>Everything is calculated at a discount of 10%, and straight-line depreciation has been used to ensure that all the forms of evaluation are identical</w:t>
      </w:r>
      <w:r w:rsidR="00D527F6" w:rsidRPr="00B3537C">
        <w:rPr>
          <w:rFonts w:ascii="Arial" w:eastAsia="Times New Roman" w:hAnsi="Arial" w:cs="Arial"/>
          <w:color w:val="000000" w:themeColor="text1"/>
          <w:kern w:val="0"/>
          <w:sz w:val="24"/>
          <w:szCs w:val="24"/>
          <w:lang w:eastAsia="en-GB"/>
          <w14:ligatures w14:val="none"/>
        </w:rPr>
        <w:t>.</w:t>
      </w:r>
    </w:p>
    <w:p w14:paraId="58831124" w14:textId="77777777" w:rsidR="00D527F6" w:rsidRPr="00B3537C" w:rsidRDefault="00D527F6" w:rsidP="00242669">
      <w:pPr>
        <w:pStyle w:val="Heading2"/>
        <w:rPr>
          <w:color w:val="000000" w:themeColor="text1"/>
        </w:rPr>
      </w:pPr>
      <w:bookmarkStart w:id="46" w:name="_Toc227926184"/>
      <w:r w:rsidRPr="00B3537C">
        <w:rPr>
          <w:color w:val="000000" w:themeColor="text1"/>
        </w:rPr>
        <w:t>4.3 Project Evaluation</w:t>
      </w:r>
      <w:bookmarkEnd w:id="46"/>
    </w:p>
    <w:p w14:paraId="1E4B73C8" w14:textId="3F1BDDB7" w:rsidR="00F67F85" w:rsidRPr="00B3537C" w:rsidRDefault="00F67F85" w:rsidP="00F67F85">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financial analysis findings are significant in the comparison of the performance of the three projects. According to the Net Present Value (NPV) standard, all project values are written in the negative</w:t>
      </w:r>
      <w:r w:rsidR="00D05982" w:rsidRPr="00B3537C">
        <w:rPr>
          <w:rFonts w:ascii="Arial" w:eastAsia="Times New Roman" w:hAnsi="Arial" w:cs="Arial"/>
          <w:color w:val="000000" w:themeColor="text1"/>
          <w:kern w:val="0"/>
          <w:sz w:val="24"/>
          <w:szCs w:val="24"/>
          <w:lang w:eastAsia="en-GB"/>
          <w14:ligatures w14:val="none"/>
        </w:rPr>
        <w:t>,</w:t>
      </w:r>
      <w:r w:rsidRPr="00B3537C">
        <w:rPr>
          <w:rFonts w:ascii="Arial" w:eastAsia="Times New Roman" w:hAnsi="Arial" w:cs="Arial"/>
          <w:color w:val="000000" w:themeColor="text1"/>
          <w:kern w:val="0"/>
          <w:sz w:val="24"/>
          <w:szCs w:val="24"/>
          <w:lang w:eastAsia="en-GB"/>
          <w14:ligatures w14:val="none"/>
        </w:rPr>
        <w:t xml:space="preserve"> with Project A having a value of -8.69 million, Project B having </w:t>
      </w:r>
      <w:r w:rsidR="00D05982" w:rsidRPr="00B3537C">
        <w:rPr>
          <w:rFonts w:ascii="Arial" w:eastAsia="Times New Roman" w:hAnsi="Arial" w:cs="Arial"/>
          <w:color w:val="000000" w:themeColor="text1"/>
          <w:kern w:val="0"/>
          <w:sz w:val="24"/>
          <w:szCs w:val="24"/>
          <w:lang w:eastAsia="en-GB"/>
          <w14:ligatures w14:val="none"/>
        </w:rPr>
        <w:t xml:space="preserve">a </w:t>
      </w:r>
      <w:r w:rsidRPr="00B3537C">
        <w:rPr>
          <w:rFonts w:ascii="Arial" w:eastAsia="Times New Roman" w:hAnsi="Arial" w:cs="Arial"/>
          <w:color w:val="000000" w:themeColor="text1"/>
          <w:kern w:val="0"/>
          <w:sz w:val="24"/>
          <w:szCs w:val="24"/>
          <w:lang w:eastAsia="en-GB"/>
          <w14:ligatures w14:val="none"/>
        </w:rPr>
        <w:t>value of -8.31 million</w:t>
      </w:r>
      <w:r w:rsidR="00D05982" w:rsidRPr="00B3537C">
        <w:rPr>
          <w:rFonts w:ascii="Arial" w:eastAsia="Times New Roman" w:hAnsi="Arial" w:cs="Arial"/>
          <w:color w:val="000000" w:themeColor="text1"/>
          <w:kern w:val="0"/>
          <w:sz w:val="24"/>
          <w:szCs w:val="24"/>
          <w:lang w:eastAsia="en-GB"/>
          <w14:ligatures w14:val="none"/>
        </w:rPr>
        <w:t>,</w:t>
      </w:r>
      <w:r w:rsidRPr="00B3537C">
        <w:rPr>
          <w:rFonts w:ascii="Arial" w:eastAsia="Times New Roman" w:hAnsi="Arial" w:cs="Arial"/>
          <w:color w:val="000000" w:themeColor="text1"/>
          <w:kern w:val="0"/>
          <w:sz w:val="24"/>
          <w:szCs w:val="24"/>
          <w:lang w:eastAsia="en-GB"/>
          <w14:ligatures w14:val="none"/>
        </w:rPr>
        <w:t xml:space="preserve"> and Project C having </w:t>
      </w:r>
      <w:r w:rsidR="00D05982" w:rsidRPr="00B3537C">
        <w:rPr>
          <w:rFonts w:ascii="Arial" w:eastAsia="Times New Roman" w:hAnsi="Arial" w:cs="Arial"/>
          <w:color w:val="000000" w:themeColor="text1"/>
          <w:kern w:val="0"/>
          <w:sz w:val="24"/>
          <w:szCs w:val="24"/>
          <w:lang w:eastAsia="en-GB"/>
          <w14:ligatures w14:val="none"/>
        </w:rPr>
        <w:t xml:space="preserve">a </w:t>
      </w:r>
      <w:r w:rsidRPr="00B3537C">
        <w:rPr>
          <w:rFonts w:ascii="Arial" w:eastAsia="Times New Roman" w:hAnsi="Arial" w:cs="Arial"/>
          <w:color w:val="000000" w:themeColor="text1"/>
          <w:kern w:val="0"/>
          <w:sz w:val="24"/>
          <w:szCs w:val="24"/>
          <w:lang w:eastAsia="en-GB"/>
          <w14:ligatures w14:val="none"/>
        </w:rPr>
        <w:t>value of -2.00 million. This shows that the projects are not able to generate the necessary rate of return of 10%. Project C</w:t>
      </w:r>
      <w:r w:rsidR="00D05982" w:rsidRPr="00B3537C">
        <w:rPr>
          <w:rFonts w:ascii="Arial" w:eastAsia="Times New Roman" w:hAnsi="Arial" w:cs="Arial"/>
          <w:color w:val="000000" w:themeColor="text1"/>
          <w:kern w:val="0"/>
          <w:sz w:val="24"/>
          <w:szCs w:val="24"/>
          <w:lang w:eastAsia="en-GB"/>
          <w14:ligatures w14:val="none"/>
        </w:rPr>
        <w:t>,</w:t>
      </w:r>
      <w:r w:rsidRPr="00B3537C">
        <w:rPr>
          <w:rFonts w:ascii="Arial" w:eastAsia="Times New Roman" w:hAnsi="Arial" w:cs="Arial"/>
          <w:color w:val="000000" w:themeColor="text1"/>
          <w:kern w:val="0"/>
          <w:sz w:val="24"/>
          <w:szCs w:val="24"/>
          <w:lang w:eastAsia="en-GB"/>
          <w14:ligatures w14:val="none"/>
        </w:rPr>
        <w:t xml:space="preserve"> however</w:t>
      </w:r>
      <w:r w:rsidR="00D05982" w:rsidRPr="00B3537C">
        <w:rPr>
          <w:rFonts w:ascii="Arial" w:eastAsia="Times New Roman" w:hAnsi="Arial" w:cs="Arial"/>
          <w:color w:val="000000" w:themeColor="text1"/>
          <w:kern w:val="0"/>
          <w:sz w:val="24"/>
          <w:szCs w:val="24"/>
          <w:lang w:eastAsia="en-GB"/>
          <w14:ligatures w14:val="none"/>
        </w:rPr>
        <w:t>,</w:t>
      </w:r>
      <w:r w:rsidRPr="00B3537C">
        <w:rPr>
          <w:rFonts w:ascii="Arial" w:eastAsia="Times New Roman" w:hAnsi="Arial" w:cs="Arial"/>
          <w:color w:val="000000" w:themeColor="text1"/>
          <w:kern w:val="0"/>
          <w:sz w:val="24"/>
          <w:szCs w:val="24"/>
          <w:lang w:eastAsia="en-GB"/>
          <w14:ligatures w14:val="none"/>
        </w:rPr>
        <w:t xml:space="preserve"> has the lowest negative NPV</w:t>
      </w:r>
      <w:r w:rsidR="00D05982" w:rsidRPr="00B3537C">
        <w:rPr>
          <w:rFonts w:ascii="Arial" w:eastAsia="Times New Roman" w:hAnsi="Arial" w:cs="Arial"/>
          <w:color w:val="000000" w:themeColor="text1"/>
          <w:kern w:val="0"/>
          <w:sz w:val="24"/>
          <w:szCs w:val="24"/>
          <w:lang w:eastAsia="en-GB"/>
          <w14:ligatures w14:val="none"/>
        </w:rPr>
        <w:t>,</w:t>
      </w:r>
      <w:r w:rsidRPr="00B3537C">
        <w:rPr>
          <w:rFonts w:ascii="Arial" w:eastAsia="Times New Roman" w:hAnsi="Arial" w:cs="Arial"/>
          <w:color w:val="000000" w:themeColor="text1"/>
          <w:kern w:val="0"/>
          <w:sz w:val="24"/>
          <w:szCs w:val="24"/>
          <w:lang w:eastAsia="en-GB"/>
          <w14:ligatures w14:val="none"/>
        </w:rPr>
        <w:t xml:space="preserve"> which implies that it is the one that would give the required return and thus is relatively more appealing</w:t>
      </w:r>
      <w:r w:rsidR="00D05982" w:rsidRPr="00B3537C">
        <w:rPr>
          <w:rFonts w:ascii="Arial" w:eastAsia="Times New Roman" w:hAnsi="Arial" w:cs="Arial"/>
          <w:color w:val="000000" w:themeColor="text1"/>
          <w:kern w:val="0"/>
          <w:sz w:val="24"/>
          <w:szCs w:val="24"/>
          <w:lang w:eastAsia="en-GB"/>
          <w14:ligatures w14:val="none"/>
        </w:rPr>
        <w:t xml:space="preserve"> (Shou, 2022)</w:t>
      </w:r>
      <w:r w:rsidRPr="00B3537C">
        <w:rPr>
          <w:rFonts w:ascii="Arial" w:eastAsia="Times New Roman" w:hAnsi="Arial" w:cs="Arial"/>
          <w:color w:val="000000" w:themeColor="text1"/>
          <w:kern w:val="0"/>
          <w:sz w:val="24"/>
          <w:szCs w:val="24"/>
          <w:lang w:eastAsia="en-GB"/>
          <w14:ligatures w14:val="none"/>
        </w:rPr>
        <w:t>.</w:t>
      </w:r>
    </w:p>
    <w:p w14:paraId="4FA5717C" w14:textId="06D0581D" w:rsidR="00F67F85" w:rsidRPr="00B3537C" w:rsidRDefault="00F67F85" w:rsidP="00F67F85">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When it comes to Payback Period</w:t>
      </w:r>
      <w:r w:rsidR="003B4C93" w:rsidRPr="00B3537C">
        <w:rPr>
          <w:rFonts w:ascii="Arial" w:eastAsia="Times New Roman" w:hAnsi="Arial" w:cs="Arial"/>
          <w:color w:val="000000" w:themeColor="text1"/>
          <w:kern w:val="0"/>
          <w:sz w:val="24"/>
          <w:szCs w:val="24"/>
          <w:lang w:eastAsia="en-GB"/>
          <w14:ligatures w14:val="none"/>
        </w:rPr>
        <w:t xml:space="preserve"> as shown in (Table 9)</w:t>
      </w:r>
      <w:r w:rsidRPr="00B3537C">
        <w:rPr>
          <w:rFonts w:ascii="Arial" w:eastAsia="Times New Roman" w:hAnsi="Arial" w:cs="Arial"/>
          <w:color w:val="000000" w:themeColor="text1"/>
          <w:kern w:val="0"/>
          <w:sz w:val="24"/>
          <w:szCs w:val="24"/>
          <w:lang w:eastAsia="en-GB"/>
          <w14:ligatures w14:val="none"/>
        </w:rPr>
        <w:t>, Project C is the best project, as it recovers its initial investment in 3.6 years as compared to 4.5 years and 4.55 years of Project A and B</w:t>
      </w:r>
      <w:r w:rsidR="00D05982" w:rsidRPr="00B3537C">
        <w:rPr>
          <w:rFonts w:ascii="Arial" w:eastAsia="Times New Roman" w:hAnsi="Arial" w:cs="Arial"/>
          <w:color w:val="000000" w:themeColor="text1"/>
          <w:kern w:val="0"/>
          <w:sz w:val="24"/>
          <w:szCs w:val="24"/>
          <w:lang w:eastAsia="en-GB"/>
          <w14:ligatures w14:val="none"/>
        </w:rPr>
        <w:t>,</w:t>
      </w:r>
      <w:r w:rsidRPr="00B3537C">
        <w:rPr>
          <w:rFonts w:ascii="Arial" w:eastAsia="Times New Roman" w:hAnsi="Arial" w:cs="Arial"/>
          <w:color w:val="000000" w:themeColor="text1"/>
          <w:kern w:val="0"/>
          <w:sz w:val="24"/>
          <w:szCs w:val="24"/>
          <w:lang w:eastAsia="en-GB"/>
          <w14:ligatures w14:val="none"/>
        </w:rPr>
        <w:t xml:space="preserve"> respectively. The shorter payback period minimizes risk since the invested capital is recovered sooner</w:t>
      </w:r>
      <w:r w:rsidR="00D05982" w:rsidRPr="00B3537C">
        <w:rPr>
          <w:rFonts w:ascii="Arial" w:eastAsia="Times New Roman" w:hAnsi="Arial" w:cs="Arial"/>
          <w:color w:val="000000" w:themeColor="text1"/>
          <w:kern w:val="0"/>
          <w:sz w:val="24"/>
          <w:szCs w:val="24"/>
          <w:lang w:eastAsia="en-GB"/>
          <w14:ligatures w14:val="none"/>
        </w:rPr>
        <w:t>,</w:t>
      </w:r>
      <w:r w:rsidRPr="00B3537C">
        <w:rPr>
          <w:rFonts w:ascii="Arial" w:eastAsia="Times New Roman" w:hAnsi="Arial" w:cs="Arial"/>
          <w:color w:val="000000" w:themeColor="text1"/>
          <w:kern w:val="0"/>
          <w:sz w:val="24"/>
          <w:szCs w:val="24"/>
          <w:lang w:eastAsia="en-GB"/>
          <w14:ligatures w14:val="none"/>
        </w:rPr>
        <w:t xml:space="preserve"> hence this is especially crucial in a volatile economic environment.</w:t>
      </w:r>
    </w:p>
    <w:p w14:paraId="18FF73DF" w14:textId="0EC646C5" w:rsidR="00F67F85" w:rsidRPr="00B3537C" w:rsidRDefault="00F67F85" w:rsidP="00F67F85">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Accounting Rate of Return (</w:t>
      </w:r>
      <w:r w:rsidR="00242669" w:rsidRPr="00B3537C">
        <w:rPr>
          <w:rFonts w:ascii="Arial" w:eastAsia="Times New Roman" w:hAnsi="Arial" w:cs="Arial"/>
          <w:color w:val="000000" w:themeColor="text1"/>
          <w:kern w:val="0"/>
          <w:sz w:val="24"/>
          <w:szCs w:val="24"/>
          <w:lang w:eastAsia="en-GB"/>
          <w14:ligatures w14:val="none"/>
        </w:rPr>
        <w:t>ARR) as</w:t>
      </w:r>
      <w:r w:rsidR="00EE097B" w:rsidRPr="00B3537C">
        <w:rPr>
          <w:rFonts w:ascii="Arial" w:eastAsia="Times New Roman" w:hAnsi="Arial" w:cs="Arial"/>
          <w:color w:val="000000" w:themeColor="text1"/>
          <w:kern w:val="0"/>
          <w:sz w:val="24"/>
          <w:szCs w:val="24"/>
          <w:lang w:eastAsia="en-GB"/>
          <w14:ligatures w14:val="none"/>
        </w:rPr>
        <w:t xml:space="preserve"> shown in Table 10 </w:t>
      </w:r>
      <w:r w:rsidRPr="00B3537C">
        <w:rPr>
          <w:rFonts w:ascii="Arial" w:eastAsia="Times New Roman" w:hAnsi="Arial" w:cs="Arial"/>
          <w:color w:val="000000" w:themeColor="text1"/>
          <w:kern w:val="0"/>
          <w:sz w:val="24"/>
          <w:szCs w:val="24"/>
          <w:lang w:eastAsia="en-GB"/>
          <w14:ligatures w14:val="none"/>
        </w:rPr>
        <w:t>also supports the superiority of Project C as it has a higher rate of 6.00% as compared to the 2.00% of Project B and 1.60% of Project A. This implies that Project C makes greater accounting returns than the amount it cost to invest.</w:t>
      </w:r>
    </w:p>
    <w:p w14:paraId="1B0CF2FA" w14:textId="77777777" w:rsidR="00F67F85" w:rsidRPr="00B3537C" w:rsidRDefault="00F67F85" w:rsidP="00F67F85">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Equally, the Profitability Index (PI) indicates that Project C, which has 0.96, is better than Projects A and B, which have PI of 0.83. Though all the values are less than 1, which means that the projects do not generate the necessary value at the necessary discount rate, Project C once again turns out to be the most advantageous option.</w:t>
      </w:r>
    </w:p>
    <w:p w14:paraId="5AD226CD" w14:textId="77777777" w:rsidR="00F67F85" w:rsidRPr="00B3537C" w:rsidRDefault="00F67F85" w:rsidP="00F67F85">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Lastly, the outcomes of the Internal Rate of Return (IRR) indicate that Project C has an IRR of 8, which is higher than 4.5 with Project B and 4 with Project A. Although none of the projects meets the necessary 10% requirement, Project C is the one that is the nearest, which supports its relative appeal.</w:t>
      </w:r>
    </w:p>
    <w:p w14:paraId="6F083914" w14:textId="4466C38A" w:rsidR="00D527F6" w:rsidRPr="00B3537C" w:rsidRDefault="00F67F85" w:rsidP="00F67F85">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lastRenderedPageBreak/>
        <w:t>Project C, in general, is more profitable, has less payback time, and higher returns in all of the evaluation processes compared to the other options</w:t>
      </w:r>
      <w:r w:rsidR="00D527F6" w:rsidRPr="00B3537C">
        <w:rPr>
          <w:rFonts w:ascii="Arial" w:eastAsia="Times New Roman" w:hAnsi="Arial" w:cs="Arial"/>
          <w:color w:val="000000" w:themeColor="text1"/>
          <w:kern w:val="0"/>
          <w:sz w:val="24"/>
          <w:szCs w:val="24"/>
          <w:lang w:eastAsia="en-GB"/>
          <w14:ligatures w14:val="none"/>
        </w:rPr>
        <w:t>.</w:t>
      </w:r>
    </w:p>
    <w:p w14:paraId="2982B239" w14:textId="77777777" w:rsidR="00D527F6" w:rsidRPr="00B3537C" w:rsidRDefault="00D527F6" w:rsidP="00242669">
      <w:pPr>
        <w:pStyle w:val="Heading2"/>
        <w:rPr>
          <w:color w:val="000000" w:themeColor="text1"/>
        </w:rPr>
      </w:pPr>
      <w:bookmarkStart w:id="47" w:name="_Toc227926185"/>
      <w:r w:rsidRPr="00B3537C">
        <w:rPr>
          <w:color w:val="000000" w:themeColor="text1"/>
        </w:rPr>
        <w:t>4.4 Recommendation of One Project</w:t>
      </w:r>
      <w:bookmarkEnd w:id="47"/>
    </w:p>
    <w:p w14:paraId="2D05079F" w14:textId="77777777" w:rsidR="00743EB3" w:rsidRPr="00B3537C" w:rsidRDefault="00743EB3" w:rsidP="00743EB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Project C is the best choice of investment based on the overall financial analysis. Although all the projects have negative NPV, Project C provides the best overall performance based on profitability, risk, and generation of cash flow.</w:t>
      </w:r>
    </w:p>
    <w:p w14:paraId="35022BCB" w14:textId="6FA116B1" w:rsidR="00743EB3" w:rsidRPr="00B3537C" w:rsidRDefault="00743EB3" w:rsidP="00743EB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Project C offers the greatest returns as it has the best ARR and IRR, and also allows quicker recovery of the initial investment as the payback period is shorter than that of the other projects. Also, its higher cash inflows later in life indicate higher long-term value addition, which is especially significant to strategic investments.</w:t>
      </w:r>
    </w:p>
    <w:p w14:paraId="2F56CABC" w14:textId="18B90BA9" w:rsidR="00743EB3" w:rsidRPr="00B3537C" w:rsidRDefault="00743EB3" w:rsidP="00743EB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xml:space="preserve">The financial position of Toyota is yet another recommendation that supports this recommendation. The company is highly profitable but is experiencing some challenges, such as decreasing free cash flow, high capital expenditure, and low adequacy of cash flow. In this regard, it will be crucial to focus on the projects that will give faster cash back and better returns. </w:t>
      </w:r>
    </w:p>
    <w:p w14:paraId="741D0824" w14:textId="4700CD96" w:rsidR="00D527F6" w:rsidRPr="00B3537C" w:rsidRDefault="00743EB3" w:rsidP="00743EB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Strategically, Project C will possibly be an investment in new technologies, including electric vehicles or battery innovation. Considering the growing international demand for sustainable mobility and the necessity of Toyota to reinforce its stance in the EV market, this project is closely related to the long-term strategic goals of the company</w:t>
      </w:r>
      <w:r w:rsidR="00D527F6" w:rsidRPr="00B3537C">
        <w:rPr>
          <w:rFonts w:ascii="Arial" w:eastAsia="Times New Roman" w:hAnsi="Arial" w:cs="Arial"/>
          <w:color w:val="000000" w:themeColor="text1"/>
          <w:kern w:val="0"/>
          <w:sz w:val="24"/>
          <w:szCs w:val="24"/>
          <w:lang w:eastAsia="en-GB"/>
          <w14:ligatures w14:val="none"/>
        </w:rPr>
        <w:t>.</w:t>
      </w:r>
    </w:p>
    <w:p w14:paraId="18CE5021" w14:textId="77777777" w:rsidR="00D527F6" w:rsidRPr="00B3537C" w:rsidRDefault="00D527F6" w:rsidP="00242669">
      <w:pPr>
        <w:pStyle w:val="Heading2"/>
        <w:rPr>
          <w:color w:val="000000" w:themeColor="text1"/>
        </w:rPr>
      </w:pPr>
      <w:bookmarkStart w:id="48" w:name="_Toc227926186"/>
      <w:r w:rsidRPr="00B3537C">
        <w:rPr>
          <w:color w:val="000000" w:themeColor="text1"/>
        </w:rPr>
        <w:t>4.5 Capital Rationing Decision (£100m Limit)</w:t>
      </w:r>
      <w:bookmarkEnd w:id="48"/>
    </w:p>
    <w:p w14:paraId="1116C6D2" w14:textId="0D775574" w:rsidR="00743EB3" w:rsidRPr="00B3537C" w:rsidRDefault="00743EB3" w:rsidP="00743EB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With a capital limit of £100 million, Toyota would only be able to implement two out of the three projects. Under these circumstances, capital rationing involves choosing the portfolio of projects that would yield the best returns, and the risk must be tolerable</w:t>
      </w:r>
      <w:r w:rsidR="00D05982" w:rsidRPr="00B3537C">
        <w:rPr>
          <w:rFonts w:ascii="Arial" w:eastAsia="Times New Roman" w:hAnsi="Arial" w:cs="Arial"/>
          <w:color w:val="000000" w:themeColor="text1"/>
          <w:kern w:val="0"/>
          <w:sz w:val="24"/>
          <w:szCs w:val="24"/>
          <w:lang w:eastAsia="en-GB"/>
          <w14:ligatures w14:val="none"/>
        </w:rPr>
        <w:t xml:space="preserve"> (</w:t>
      </w:r>
      <w:proofErr w:type="spellStart"/>
      <w:r w:rsidR="00D05982" w:rsidRPr="00B3537C">
        <w:rPr>
          <w:rFonts w:ascii="Arial" w:eastAsia="Times New Roman" w:hAnsi="Arial" w:cs="Arial"/>
          <w:color w:val="000000" w:themeColor="text1"/>
          <w:kern w:val="0"/>
          <w:sz w:val="24"/>
          <w:szCs w:val="24"/>
          <w:lang w:eastAsia="en-GB"/>
          <w14:ligatures w14:val="none"/>
        </w:rPr>
        <w:t>Beraldi</w:t>
      </w:r>
      <w:proofErr w:type="spellEnd"/>
      <w:r w:rsidR="00D05982" w:rsidRPr="00B3537C">
        <w:rPr>
          <w:rFonts w:ascii="Arial" w:eastAsia="Times New Roman" w:hAnsi="Arial" w:cs="Arial"/>
          <w:color w:val="000000" w:themeColor="text1"/>
          <w:kern w:val="0"/>
          <w:sz w:val="24"/>
          <w:szCs w:val="24"/>
          <w:lang w:eastAsia="en-GB"/>
          <w14:ligatures w14:val="none"/>
        </w:rPr>
        <w:t xml:space="preserve"> et al, 2012)</w:t>
      </w:r>
      <w:r w:rsidRPr="00B3537C">
        <w:rPr>
          <w:rFonts w:ascii="Arial" w:eastAsia="Times New Roman" w:hAnsi="Arial" w:cs="Arial"/>
          <w:color w:val="000000" w:themeColor="text1"/>
          <w:kern w:val="0"/>
          <w:sz w:val="24"/>
          <w:szCs w:val="24"/>
          <w:lang w:eastAsia="en-GB"/>
          <w14:ligatures w14:val="none"/>
        </w:rPr>
        <w:t>.</w:t>
      </w:r>
    </w:p>
    <w:p w14:paraId="31D61844" w14:textId="48930368" w:rsidR="00743EB3" w:rsidRPr="00B3537C" w:rsidRDefault="00743EB3" w:rsidP="00743EB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lastRenderedPageBreak/>
        <w:t>According to the NPV and Profitability Index, Project C is the most attractive one, then Project B, and then Project A. The best possible combination, therefore, is Project C and Project B.</w:t>
      </w:r>
    </w:p>
    <w:p w14:paraId="7D6DC875" w14:textId="391A923C" w:rsidR="00743EB3" w:rsidRPr="00B3537C" w:rsidRDefault="00743EB3" w:rsidP="00743EB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combination provides the highest combined NPV among other alternatives. Whereas Project C offers good growth potential and better returns, Project B offers predictable and reliable cash flows, thereby minimizing the overall risk of investment. Conversely, Project C, coupled with Project A, would add more variability without a significant increase in returns.</w:t>
      </w:r>
    </w:p>
    <w:p w14:paraId="69D9269F" w14:textId="4CF5130F" w:rsidR="00D527F6" w:rsidRPr="00B3537C" w:rsidRDefault="00743EB3" w:rsidP="00743EB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combination of project C and project B thus brings about a good balance between risk and reward. It enables Toyota to enjoy both growth and safe investments and has the ability to improve financial performance within the capital constraint</w:t>
      </w:r>
      <w:r w:rsidR="00D527F6" w:rsidRPr="00B3537C">
        <w:rPr>
          <w:rFonts w:ascii="Arial" w:eastAsia="Times New Roman" w:hAnsi="Arial" w:cs="Arial"/>
          <w:color w:val="000000" w:themeColor="text1"/>
          <w:kern w:val="0"/>
          <w:sz w:val="24"/>
          <w:szCs w:val="24"/>
          <w:lang w:eastAsia="en-GB"/>
          <w14:ligatures w14:val="none"/>
        </w:rPr>
        <w:t>.</w:t>
      </w:r>
    </w:p>
    <w:p w14:paraId="4AAB9CDE" w14:textId="77777777" w:rsidR="00D527F6" w:rsidRPr="00B3537C" w:rsidRDefault="00D527F6" w:rsidP="00242669">
      <w:pPr>
        <w:pStyle w:val="Heading2"/>
        <w:rPr>
          <w:color w:val="000000" w:themeColor="text1"/>
        </w:rPr>
      </w:pPr>
      <w:bookmarkStart w:id="49" w:name="_Toc227926187"/>
      <w:r w:rsidRPr="00B3537C">
        <w:rPr>
          <w:color w:val="000000" w:themeColor="text1"/>
        </w:rPr>
        <w:t>4.6 Non-Financial Factors</w:t>
      </w:r>
      <w:bookmarkEnd w:id="49"/>
    </w:p>
    <w:p w14:paraId="795B9EFA" w14:textId="0C8E3644" w:rsidR="00743EB3" w:rsidRPr="00B3537C" w:rsidRDefault="00743EB3" w:rsidP="00743EB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Besides financial analysis, there are other non-financial relationships that should be taken into consideration during investment decision-making.</w:t>
      </w:r>
    </w:p>
    <w:p w14:paraId="4AEEC678" w14:textId="5CC5D817" w:rsidR="00743EB3" w:rsidRPr="00B3537C" w:rsidRDefault="00743EB3" w:rsidP="00743EB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political risk factor is a major factor, especially in the automotive industry, where government policies and regulations may directly affect the viability of the project. Costs and returns may be influenced by changes in environmental regulations, subsidies on electric vehicles, or trade policies</w:t>
      </w:r>
      <w:r w:rsidR="00D05982" w:rsidRPr="00B3537C">
        <w:rPr>
          <w:rFonts w:ascii="Arial" w:eastAsia="Times New Roman" w:hAnsi="Arial" w:cs="Arial"/>
          <w:color w:val="000000" w:themeColor="text1"/>
          <w:kern w:val="0"/>
          <w:sz w:val="24"/>
          <w:szCs w:val="24"/>
          <w:lang w:eastAsia="en-GB"/>
          <w14:ligatures w14:val="none"/>
        </w:rPr>
        <w:t xml:space="preserve"> (</w:t>
      </w:r>
      <w:proofErr w:type="spellStart"/>
      <w:r w:rsidR="00D05982" w:rsidRPr="00B3537C">
        <w:rPr>
          <w:rFonts w:ascii="Arial" w:eastAsia="Times New Roman" w:hAnsi="Arial" w:cs="Arial"/>
          <w:color w:val="000000" w:themeColor="text1"/>
          <w:kern w:val="0"/>
          <w:sz w:val="24"/>
          <w:szCs w:val="24"/>
          <w:lang w:eastAsia="en-GB"/>
          <w14:ligatures w14:val="none"/>
        </w:rPr>
        <w:t>Eneizan</w:t>
      </w:r>
      <w:proofErr w:type="spellEnd"/>
      <w:r w:rsidR="00D05982" w:rsidRPr="00B3537C">
        <w:rPr>
          <w:rFonts w:ascii="Arial" w:eastAsia="Times New Roman" w:hAnsi="Arial" w:cs="Arial"/>
          <w:color w:val="000000" w:themeColor="text1"/>
          <w:kern w:val="0"/>
          <w:sz w:val="24"/>
          <w:szCs w:val="24"/>
          <w:lang w:eastAsia="en-GB"/>
          <w14:ligatures w14:val="none"/>
        </w:rPr>
        <w:t>, 2016)</w:t>
      </w:r>
      <w:r w:rsidRPr="00B3537C">
        <w:rPr>
          <w:rFonts w:ascii="Arial" w:eastAsia="Times New Roman" w:hAnsi="Arial" w:cs="Arial"/>
          <w:color w:val="000000" w:themeColor="text1"/>
          <w:kern w:val="0"/>
          <w:sz w:val="24"/>
          <w:szCs w:val="24"/>
          <w:lang w:eastAsia="en-GB"/>
          <w14:ligatures w14:val="none"/>
        </w:rPr>
        <w:t>.</w:t>
      </w:r>
    </w:p>
    <w:p w14:paraId="4540C7EE" w14:textId="77777777" w:rsidR="00743EB3" w:rsidRPr="00B3537C" w:rsidRDefault="00743EB3" w:rsidP="00743EB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Another very important factor is market demand. The world is moving towards electric vehicles, and this trend is gaining pace due to environmental issues and technological developments. The investments in EV-related technologies are very appealing, and projects that are in line with this trend have a high chance of success.</w:t>
      </w:r>
    </w:p>
    <w:p w14:paraId="6142C33C" w14:textId="5F08C3C2" w:rsidR="00743EB3" w:rsidRPr="00B3537C" w:rsidRDefault="00743EB3" w:rsidP="00743EB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One of the strengths of Toyota is its brand loyalty. A good reputation and loyal client base of the company minimizes the risk of the market and contribute to the successful introduction of new products and technologies. This gives a competitive edge in initiating new ventures.</w:t>
      </w:r>
    </w:p>
    <w:p w14:paraId="1AEA850A" w14:textId="26CEB00E" w:rsidR="00D527F6" w:rsidRPr="00B3537C" w:rsidRDefault="00743EB3" w:rsidP="00743EB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lastRenderedPageBreak/>
        <w:t>Lastly, there is the uncertainty in technology. The technological change in EVs is fast, which implies that the investments that are presently made will become outdated if new technologies are developed. This is risky for long-term projects, especially those with high research and development levels</w:t>
      </w:r>
      <w:r w:rsidR="00D527F6" w:rsidRPr="00B3537C">
        <w:rPr>
          <w:rFonts w:ascii="Arial" w:eastAsia="Times New Roman" w:hAnsi="Arial" w:cs="Arial"/>
          <w:color w:val="000000" w:themeColor="text1"/>
          <w:kern w:val="0"/>
          <w:sz w:val="24"/>
          <w:szCs w:val="24"/>
          <w:lang w:eastAsia="en-GB"/>
          <w14:ligatures w14:val="none"/>
        </w:rPr>
        <w:t>.</w:t>
      </w:r>
    </w:p>
    <w:p w14:paraId="77EB78E9" w14:textId="3FB92057" w:rsidR="00D527F6" w:rsidRPr="00B3537C" w:rsidRDefault="00D527F6" w:rsidP="00242669">
      <w:pPr>
        <w:pStyle w:val="Heading1"/>
      </w:pPr>
      <w:bookmarkStart w:id="50" w:name="_Toc227926188"/>
      <w:r w:rsidRPr="00B3537C">
        <w:t>Conclusion</w:t>
      </w:r>
      <w:bookmarkEnd w:id="50"/>
      <w:r w:rsidRPr="00B3537C">
        <w:t xml:space="preserve"> </w:t>
      </w:r>
    </w:p>
    <w:p w14:paraId="38B1885C" w14:textId="63388C6F" w:rsidR="00743EB3" w:rsidRPr="00B3537C" w:rsidRDefault="00743EB3" w:rsidP="00743EB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Toyota Motor Corporation has good financial performance, which is characterised by stable profitability, improving liquidity, and efficient operations. Nonetheless, the company is facing several critical issues, such as excessive capital spending, deteriorating free cash flow, and mounting pressure on the global shift to electric vehicles.</w:t>
      </w:r>
    </w:p>
    <w:p w14:paraId="0DC8F8C2" w14:textId="3C5AC695" w:rsidR="00743EB3" w:rsidRPr="00B3537C" w:rsidRDefault="00743EB3" w:rsidP="00743EB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financial analysis indicates that Toyota has good operating cash flows and low financial risks, but its adequacy in cash flows is weak because of high investment and debt commitments. It is a pointer to the necessity of cautious financial organization and strategic reorganization.</w:t>
      </w:r>
    </w:p>
    <w:p w14:paraId="71FBDAF4" w14:textId="6DBDFD8C" w:rsidR="00743EB3" w:rsidRPr="00B3537C" w:rsidRDefault="00743EB3" w:rsidP="00743EB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The suggested reorganisation plans, such as divestitures, equity financing, debt optimisation, and strategic alliances, will help Toyota to improve its financial position as well as long-term growth. The strategies increase the shareholder value, boost operational flexibility, and promote sustainable development in a highly competitive industry.</w:t>
      </w:r>
    </w:p>
    <w:p w14:paraId="660BB07C" w14:textId="77777777" w:rsidR="00743EB3" w:rsidRPr="00B3537C" w:rsidRDefault="00743EB3" w:rsidP="00743EB3">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Project C is the best viable decision in terms of investment decisions, since it performs better than others in all the evaluation methods. Project B and Project C combined will be the optimal one in terms of profitability and risk under capital rationing.</w:t>
      </w:r>
    </w:p>
    <w:p w14:paraId="5C564822" w14:textId="115C2D33" w:rsidR="00A17956" w:rsidRPr="00B3537C" w:rsidRDefault="00743EB3" w:rsidP="006D02C2">
      <w:pPr>
        <w:spacing w:before="100" w:beforeAutospacing="1" w:after="100" w:afterAutospacing="1" w:line="360" w:lineRule="auto"/>
        <w:jc w:val="both"/>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All in all, Toyota is poised to grow in the future, but it should also be cautious of its financial assets and change its strategy to fit the changing automotive and electric vehicle market</w:t>
      </w:r>
      <w:r w:rsidR="0066653C" w:rsidRPr="00B3537C">
        <w:rPr>
          <w:rFonts w:ascii="Arial" w:eastAsia="Times New Roman" w:hAnsi="Arial" w:cs="Arial"/>
          <w:color w:val="000000" w:themeColor="text1"/>
          <w:kern w:val="0"/>
          <w:sz w:val="24"/>
          <w:szCs w:val="24"/>
          <w:lang w:eastAsia="en-GB"/>
          <w14:ligatures w14:val="none"/>
        </w:rPr>
        <w:t>.</w:t>
      </w:r>
    </w:p>
    <w:p w14:paraId="183EA8EA" w14:textId="77777777" w:rsidR="00A17956" w:rsidRPr="00B3537C" w:rsidRDefault="00A17956">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br w:type="page"/>
      </w:r>
    </w:p>
    <w:p w14:paraId="4F3C73E9" w14:textId="352F271D" w:rsidR="00540B00" w:rsidRPr="00B3537C" w:rsidRDefault="00540B00" w:rsidP="00242669">
      <w:pPr>
        <w:pStyle w:val="Heading1"/>
      </w:pPr>
      <w:bookmarkStart w:id="51" w:name="_Toc227926189"/>
      <w:r w:rsidRPr="00B3537C">
        <w:lastRenderedPageBreak/>
        <w:t>Reference</w:t>
      </w:r>
      <w:bookmarkEnd w:id="51"/>
    </w:p>
    <w:p w14:paraId="7EB06A21" w14:textId="77777777" w:rsidR="0098664E" w:rsidRPr="00B3537C" w:rsidRDefault="0098664E" w:rsidP="00242669">
      <w:pPr>
        <w:pStyle w:val="NormalWeb"/>
        <w:spacing w:before="0" w:beforeAutospacing="0" w:after="240" w:afterAutospacing="0" w:line="360" w:lineRule="auto"/>
        <w:ind w:left="567" w:hanging="567"/>
        <w:rPr>
          <w:rFonts w:ascii="Arial" w:hAnsi="Arial" w:cs="Arial"/>
          <w:color w:val="000000" w:themeColor="text1"/>
        </w:rPr>
      </w:pPr>
      <w:bookmarkStart w:id="52" w:name="_Hlk227781992"/>
      <w:r w:rsidRPr="00B3537C">
        <w:rPr>
          <w:rFonts w:ascii="Arial" w:hAnsi="Arial" w:cs="Arial"/>
          <w:color w:val="000000" w:themeColor="text1"/>
        </w:rPr>
        <w:t>Andrews</w:t>
      </w:r>
      <w:bookmarkEnd w:id="52"/>
      <w:r w:rsidRPr="00B3537C">
        <w:rPr>
          <w:rFonts w:ascii="Arial" w:hAnsi="Arial" w:cs="Arial"/>
          <w:color w:val="000000" w:themeColor="text1"/>
        </w:rPr>
        <w:t>, A.P., Simon, J., Tian, F. and Zhao, J., 2011. The Toyota crisis: an economic, operational and strategic analysis of the massive recall. Management Research Review, 34(10), pp.1064-1077.</w:t>
      </w:r>
    </w:p>
    <w:p w14:paraId="3395D873" w14:textId="472C045E" w:rsidR="00540B00" w:rsidRPr="00B3537C" w:rsidRDefault="00540B00" w:rsidP="00242669">
      <w:pPr>
        <w:pStyle w:val="NormalWeb"/>
        <w:spacing w:before="0" w:beforeAutospacing="0" w:after="240" w:afterAutospacing="0" w:line="360" w:lineRule="auto"/>
        <w:ind w:left="567" w:hanging="567"/>
        <w:rPr>
          <w:rFonts w:ascii="Arial" w:hAnsi="Arial" w:cs="Arial"/>
          <w:color w:val="000000" w:themeColor="text1"/>
        </w:rPr>
      </w:pPr>
      <w:proofErr w:type="spellStart"/>
      <w:r w:rsidRPr="00B3537C">
        <w:rPr>
          <w:rFonts w:ascii="Arial" w:hAnsi="Arial" w:cs="Arial"/>
          <w:color w:val="000000" w:themeColor="text1"/>
        </w:rPr>
        <w:t>Bhattacheryay</w:t>
      </w:r>
      <w:proofErr w:type="spellEnd"/>
      <w:r w:rsidRPr="00B3537C">
        <w:rPr>
          <w:rFonts w:ascii="Arial" w:hAnsi="Arial" w:cs="Arial"/>
          <w:color w:val="000000" w:themeColor="text1"/>
        </w:rPr>
        <w:t>, S., 2023. Multinational working capital management a study on Toyota Motor Corporation. International Journal of Finance &amp; Economics, 28(1), pp.236-256.</w:t>
      </w:r>
    </w:p>
    <w:p w14:paraId="7717BD08" w14:textId="77777777" w:rsidR="00D05982" w:rsidRPr="00B3537C" w:rsidRDefault="00D05982"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Brief, R.P. and Lawson, R.A., 2014. The role of the accounting rate of return in financial statement analysis. In The continuing debate over depreciation, capital and income (RLE accounting) (pp. 235-250). Routledge.</w:t>
      </w:r>
    </w:p>
    <w:p w14:paraId="4AB1A985" w14:textId="45340104" w:rsidR="00D05982" w:rsidRPr="00B3537C" w:rsidRDefault="00D05982"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 xml:space="preserve">Bhandari, S.B., 2009. Discounted payback period-some extensions. Journal of Business and </w:t>
      </w:r>
      <w:proofErr w:type="spellStart"/>
      <w:r w:rsidRPr="00B3537C">
        <w:rPr>
          <w:rFonts w:ascii="Arial" w:hAnsi="Arial" w:cs="Arial"/>
          <w:color w:val="000000" w:themeColor="text1"/>
        </w:rPr>
        <w:t>Behavioral</w:t>
      </w:r>
      <w:proofErr w:type="spellEnd"/>
      <w:r w:rsidRPr="00B3537C">
        <w:rPr>
          <w:rFonts w:ascii="Arial" w:hAnsi="Arial" w:cs="Arial"/>
          <w:color w:val="000000" w:themeColor="text1"/>
        </w:rPr>
        <w:t xml:space="preserve"> Sciences, 21(1), pp.28-38.</w:t>
      </w:r>
    </w:p>
    <w:p w14:paraId="685DC4A4" w14:textId="77777777" w:rsidR="00D05982" w:rsidRPr="00B3537C" w:rsidRDefault="00D05982"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Beraldi, P., Bruni, M.E. and Violi, A., 2012. Capital rationing problems under uncertainty and risk. Computational Optimization and Applications, 51(3), pp.1375-1396.</w:t>
      </w:r>
    </w:p>
    <w:p w14:paraId="24041947" w14:textId="4035BB43" w:rsidR="00540B00" w:rsidRPr="00B3537C" w:rsidRDefault="00540B00"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Bennet, E., Selvam, M. and Perumal, N., 2011. Receivable Management of Indian Automakers in a Revived Scenario. Available at SSRN 1791942.</w:t>
      </w:r>
    </w:p>
    <w:p w14:paraId="1B42D512" w14:textId="77777777" w:rsidR="0098664E" w:rsidRPr="00B3537C" w:rsidRDefault="0098664E"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Cheng, H.T., Cheong, K.H., Fok, C.H., Li, Y.T., Sze, W.Y. and Wong, W.C., 2014. Capital structure analysis of Toyota Motor Corporation.</w:t>
      </w:r>
    </w:p>
    <w:p w14:paraId="247FF316" w14:textId="77777777" w:rsidR="00D05982" w:rsidRPr="00B3537C" w:rsidRDefault="00D05982" w:rsidP="00242669">
      <w:pPr>
        <w:pStyle w:val="NormalWeb"/>
        <w:spacing w:before="0" w:beforeAutospacing="0" w:after="240" w:afterAutospacing="0" w:line="360" w:lineRule="auto"/>
        <w:ind w:left="567" w:hanging="567"/>
        <w:rPr>
          <w:rFonts w:ascii="Arial" w:hAnsi="Arial" w:cs="Arial"/>
          <w:color w:val="000000" w:themeColor="text1"/>
        </w:rPr>
      </w:pPr>
      <w:bookmarkStart w:id="53" w:name="_Hlk227783091"/>
      <w:proofErr w:type="spellStart"/>
      <w:r w:rsidRPr="00B3537C">
        <w:rPr>
          <w:rFonts w:ascii="Arial" w:hAnsi="Arial" w:cs="Arial"/>
          <w:color w:val="000000" w:themeColor="text1"/>
        </w:rPr>
        <w:t>Eneizan</w:t>
      </w:r>
      <w:proofErr w:type="spellEnd"/>
      <w:r w:rsidRPr="00B3537C">
        <w:rPr>
          <w:rFonts w:ascii="Arial" w:hAnsi="Arial" w:cs="Arial"/>
          <w:color w:val="000000" w:themeColor="text1"/>
        </w:rPr>
        <w:t>, B., 2016</w:t>
      </w:r>
      <w:bookmarkEnd w:id="53"/>
      <w:r w:rsidRPr="00B3537C">
        <w:rPr>
          <w:rFonts w:ascii="Arial" w:hAnsi="Arial" w:cs="Arial"/>
          <w:color w:val="000000" w:themeColor="text1"/>
        </w:rPr>
        <w:t>. Effects of green marketing strategy on the financial and non-financial performance of firms: A conceptual paper. Arabian Journal of Business and Management Review.</w:t>
      </w:r>
    </w:p>
    <w:p w14:paraId="45963631" w14:textId="1C026F99" w:rsidR="00540B00" w:rsidRPr="00B3537C" w:rsidRDefault="00540B00"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 xml:space="preserve">Fusion Media Limited (2026). </w:t>
      </w:r>
      <w:r w:rsidRPr="00B3537C">
        <w:rPr>
          <w:rFonts w:ascii="Arial" w:hAnsi="Arial" w:cs="Arial"/>
          <w:i/>
          <w:iCs/>
          <w:color w:val="000000" w:themeColor="text1"/>
        </w:rPr>
        <w:t>Toyota Motor Corp Dividend History (7203)</w:t>
      </w:r>
      <w:r w:rsidRPr="00B3537C">
        <w:rPr>
          <w:rFonts w:ascii="Arial" w:hAnsi="Arial" w:cs="Arial"/>
          <w:color w:val="000000" w:themeColor="text1"/>
        </w:rPr>
        <w:t>. [online] Investing.com. Available at: https://www.investing.com/equities/toyota-motor-corporation-dividends.</w:t>
      </w:r>
    </w:p>
    <w:p w14:paraId="65C5CC6A" w14:textId="77777777" w:rsidR="0098664E" w:rsidRPr="00B3537C" w:rsidRDefault="0098664E" w:rsidP="00242669">
      <w:pPr>
        <w:pStyle w:val="NormalWeb"/>
        <w:spacing w:before="0" w:beforeAutospacing="0" w:after="240" w:afterAutospacing="0" w:line="360" w:lineRule="auto"/>
        <w:ind w:left="567" w:hanging="567"/>
        <w:rPr>
          <w:rFonts w:ascii="Arial" w:hAnsi="Arial" w:cs="Arial"/>
          <w:color w:val="000000" w:themeColor="text1"/>
        </w:rPr>
      </w:pPr>
      <w:bookmarkStart w:id="54" w:name="_Hlk227782455"/>
      <w:r w:rsidRPr="00B3537C">
        <w:rPr>
          <w:rFonts w:ascii="Arial" w:hAnsi="Arial" w:cs="Arial"/>
          <w:color w:val="000000" w:themeColor="text1"/>
        </w:rPr>
        <w:lastRenderedPageBreak/>
        <w:t>Kim, W., 2013</w:t>
      </w:r>
      <w:bookmarkEnd w:id="54"/>
      <w:r w:rsidRPr="00B3537C">
        <w:rPr>
          <w:rFonts w:ascii="Arial" w:hAnsi="Arial" w:cs="Arial"/>
          <w:color w:val="000000" w:themeColor="text1"/>
        </w:rPr>
        <w:t>. The evolution of a corporate system: The case of production and employment structures in the Toyota Group. The Kyoto Economic Review, pp.31-58.</w:t>
      </w:r>
    </w:p>
    <w:p w14:paraId="7162D252" w14:textId="773FCDC4" w:rsidR="00540B00" w:rsidRPr="00B3537C" w:rsidRDefault="00540B00" w:rsidP="00242669">
      <w:pPr>
        <w:pStyle w:val="NormalWeb"/>
        <w:spacing w:before="0" w:beforeAutospacing="0" w:after="240" w:afterAutospacing="0" w:line="360" w:lineRule="auto"/>
        <w:ind w:left="567" w:hanging="567"/>
        <w:rPr>
          <w:rFonts w:ascii="Arial" w:hAnsi="Arial" w:cs="Arial"/>
          <w:color w:val="000000" w:themeColor="text1"/>
        </w:rPr>
      </w:pPr>
      <w:proofErr w:type="spellStart"/>
      <w:r w:rsidRPr="00B3537C">
        <w:rPr>
          <w:rFonts w:ascii="Arial" w:hAnsi="Arial" w:cs="Arial"/>
          <w:color w:val="000000" w:themeColor="text1"/>
        </w:rPr>
        <w:t>Mácsay</w:t>
      </w:r>
      <w:proofErr w:type="spellEnd"/>
      <w:r w:rsidRPr="00B3537C">
        <w:rPr>
          <w:rFonts w:ascii="Arial" w:hAnsi="Arial" w:cs="Arial"/>
          <w:color w:val="000000" w:themeColor="text1"/>
        </w:rPr>
        <w:t xml:space="preserve">, V. and Bányai, T., 2017. Toyota production system in </w:t>
      </w:r>
      <w:proofErr w:type="spellStart"/>
      <w:r w:rsidRPr="00B3537C">
        <w:rPr>
          <w:rFonts w:ascii="Arial" w:hAnsi="Arial" w:cs="Arial"/>
          <w:color w:val="000000" w:themeColor="text1"/>
        </w:rPr>
        <w:t>milkrun</w:t>
      </w:r>
      <w:proofErr w:type="spellEnd"/>
      <w:r w:rsidRPr="00B3537C">
        <w:rPr>
          <w:rFonts w:ascii="Arial" w:hAnsi="Arial" w:cs="Arial"/>
          <w:color w:val="000000" w:themeColor="text1"/>
        </w:rPr>
        <w:t xml:space="preserve"> based in-plant supply. Journal of Production Engineering, 20(1), pp.141-146.</w:t>
      </w:r>
    </w:p>
    <w:p w14:paraId="2EA9CF1E" w14:textId="682F15C3" w:rsidR="00540B00" w:rsidRPr="00B3537C" w:rsidRDefault="00540B00"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 xml:space="preserve">Macro Trends (2025). </w:t>
      </w:r>
      <w:r w:rsidRPr="00B3537C">
        <w:rPr>
          <w:rFonts w:ascii="Arial" w:hAnsi="Arial" w:cs="Arial"/>
          <w:i/>
          <w:iCs/>
          <w:color w:val="000000" w:themeColor="text1"/>
        </w:rPr>
        <w:t>Toyota Balance Sheet 2005-2021 | TM</w:t>
      </w:r>
      <w:r w:rsidRPr="00B3537C">
        <w:rPr>
          <w:rFonts w:ascii="Arial" w:hAnsi="Arial" w:cs="Arial"/>
          <w:color w:val="000000" w:themeColor="text1"/>
        </w:rPr>
        <w:t>. [online] www.macrotrends.net. Available at: https://www.macrotrends.net/stocks/charts/TM/toyota/balance-sheet.</w:t>
      </w:r>
    </w:p>
    <w:p w14:paraId="437B7928" w14:textId="77777777" w:rsidR="00540B00" w:rsidRPr="00B3537C" w:rsidRDefault="00540B00"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 xml:space="preserve">Macro trends (2019). </w:t>
      </w:r>
      <w:r w:rsidRPr="00B3537C">
        <w:rPr>
          <w:rFonts w:ascii="Arial" w:hAnsi="Arial" w:cs="Arial"/>
          <w:i/>
          <w:iCs/>
          <w:color w:val="000000" w:themeColor="text1"/>
        </w:rPr>
        <w:t>Toyota Financial Statements 2005-2019 | TM</w:t>
      </w:r>
      <w:r w:rsidRPr="00B3537C">
        <w:rPr>
          <w:rFonts w:ascii="Arial" w:hAnsi="Arial" w:cs="Arial"/>
          <w:color w:val="000000" w:themeColor="text1"/>
        </w:rPr>
        <w:t>. [online] Macrotrends.net. Available at: https://www.macrotrends.net/stocks/charts/TM/toyota/financial-statements.</w:t>
      </w:r>
    </w:p>
    <w:p w14:paraId="72E3C367" w14:textId="77777777" w:rsidR="00540B00" w:rsidRPr="00B3537C" w:rsidRDefault="00540B00"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 xml:space="preserve">Mahtani, and Sunil (2020). </w:t>
      </w:r>
      <w:r w:rsidRPr="00B3537C">
        <w:rPr>
          <w:rFonts w:ascii="Arial" w:hAnsi="Arial" w:cs="Arial"/>
          <w:i/>
          <w:iCs/>
          <w:color w:val="000000" w:themeColor="text1"/>
        </w:rPr>
        <w:t>Toyota Motor Corporation | EBSCO</w:t>
      </w:r>
      <w:r w:rsidRPr="00B3537C">
        <w:rPr>
          <w:rFonts w:ascii="Arial" w:hAnsi="Arial" w:cs="Arial"/>
          <w:color w:val="000000" w:themeColor="text1"/>
        </w:rPr>
        <w:t>. [online] EBSCO Information Services, Inc. | www.ebsco.com. Available at: https://www.ebsco.com/research-starters/business-and-management/toyota-motor-corporation.</w:t>
      </w:r>
    </w:p>
    <w:p w14:paraId="1DDAEC75" w14:textId="77777777" w:rsidR="0098664E" w:rsidRPr="00B3537C" w:rsidRDefault="0098664E" w:rsidP="00242669">
      <w:pPr>
        <w:pStyle w:val="NormalWeb"/>
        <w:spacing w:before="0" w:beforeAutospacing="0" w:after="240" w:afterAutospacing="0" w:line="360" w:lineRule="auto"/>
        <w:ind w:left="567" w:hanging="567"/>
        <w:rPr>
          <w:rFonts w:ascii="Arial" w:hAnsi="Arial" w:cs="Arial"/>
          <w:color w:val="000000" w:themeColor="text1"/>
        </w:rPr>
      </w:pPr>
      <w:bookmarkStart w:id="55" w:name="_Hlk227782201"/>
      <w:r w:rsidRPr="00B3537C">
        <w:rPr>
          <w:rFonts w:ascii="Arial" w:hAnsi="Arial" w:cs="Arial"/>
          <w:color w:val="000000" w:themeColor="text1"/>
        </w:rPr>
        <w:t>Mehri, D., 2012</w:t>
      </w:r>
      <w:bookmarkEnd w:id="55"/>
      <w:r w:rsidRPr="00B3537C">
        <w:rPr>
          <w:rFonts w:ascii="Arial" w:hAnsi="Arial" w:cs="Arial"/>
          <w:color w:val="000000" w:themeColor="text1"/>
        </w:rPr>
        <w:t>. Restructuring in the Toyota keiretsu during the Asian financial crash: A case study of liberal market reforms and Japanese welfare corporatism. Journal of Organizational Ethnography, 1(2), pp.138-157.</w:t>
      </w:r>
    </w:p>
    <w:p w14:paraId="67546A46" w14:textId="79CF396C" w:rsidR="00540B00" w:rsidRPr="00B3537C" w:rsidRDefault="00540B00"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Minh, N.D., 2023. Toyota's production efficiency improvement management: best practice for productivity evaluation and operation improvement. Journal of Advances in Management Research, 20(3), pp.385-408.</w:t>
      </w:r>
    </w:p>
    <w:p w14:paraId="49B7CD7B" w14:textId="77777777" w:rsidR="00D05982" w:rsidRPr="00B3537C" w:rsidRDefault="00D05982" w:rsidP="00242669">
      <w:pPr>
        <w:pStyle w:val="NormalWeb"/>
        <w:spacing w:before="0" w:beforeAutospacing="0" w:after="240" w:afterAutospacing="0" w:line="360" w:lineRule="auto"/>
        <w:ind w:left="567" w:hanging="567"/>
        <w:rPr>
          <w:rFonts w:ascii="Arial" w:hAnsi="Arial" w:cs="Arial"/>
          <w:color w:val="000000" w:themeColor="text1"/>
        </w:rPr>
      </w:pPr>
      <w:proofErr w:type="spellStart"/>
      <w:r w:rsidRPr="00B3537C">
        <w:rPr>
          <w:rFonts w:ascii="Arial" w:hAnsi="Arial" w:cs="Arial"/>
          <w:color w:val="000000" w:themeColor="text1"/>
        </w:rPr>
        <w:t>Mokudai</w:t>
      </w:r>
      <w:proofErr w:type="spellEnd"/>
      <w:r w:rsidRPr="00B3537C">
        <w:rPr>
          <w:rFonts w:ascii="Arial" w:hAnsi="Arial" w:cs="Arial"/>
          <w:color w:val="000000" w:themeColor="text1"/>
        </w:rPr>
        <w:t>, T., 2020. Strategic flexibility in shifting to electrification: a real options reasoning perspective on Toyota and Nissan. International Journal of Automotive Technology and Management, 20(2), pp.137-155.</w:t>
      </w:r>
    </w:p>
    <w:p w14:paraId="5C952834" w14:textId="343754AA" w:rsidR="00540B00" w:rsidRPr="00B3537C" w:rsidRDefault="00540B00"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Nkomo, T., 2019. Analysis of Toyota Motor Corporation [online]</w:t>
      </w:r>
    </w:p>
    <w:p w14:paraId="5BDF2A62" w14:textId="77777777" w:rsidR="0098664E" w:rsidRPr="00B3537C" w:rsidRDefault="0098664E" w:rsidP="00242669">
      <w:pPr>
        <w:pStyle w:val="NormalWeb"/>
        <w:spacing w:before="0" w:beforeAutospacing="0" w:after="240" w:afterAutospacing="0" w:line="360" w:lineRule="auto"/>
        <w:ind w:left="567" w:hanging="567"/>
        <w:rPr>
          <w:rFonts w:ascii="Arial" w:hAnsi="Arial" w:cs="Arial"/>
          <w:color w:val="000000" w:themeColor="text1"/>
        </w:rPr>
      </w:pPr>
      <w:proofErr w:type="spellStart"/>
      <w:r w:rsidRPr="00B3537C">
        <w:rPr>
          <w:rFonts w:ascii="Arial" w:hAnsi="Arial" w:cs="Arial"/>
          <w:color w:val="000000" w:themeColor="text1"/>
        </w:rPr>
        <w:lastRenderedPageBreak/>
        <w:t>Okanga</w:t>
      </w:r>
      <w:proofErr w:type="spellEnd"/>
      <w:r w:rsidRPr="00B3537C">
        <w:rPr>
          <w:rFonts w:ascii="Arial" w:hAnsi="Arial" w:cs="Arial"/>
          <w:color w:val="000000" w:themeColor="text1"/>
        </w:rPr>
        <w:t xml:space="preserve">, B., 2022. Radical and incremental innovations as critical </w:t>
      </w:r>
      <w:proofErr w:type="spellStart"/>
      <w:r w:rsidRPr="00B3537C">
        <w:rPr>
          <w:rFonts w:ascii="Arial" w:hAnsi="Arial" w:cs="Arial"/>
          <w:color w:val="000000" w:themeColor="text1"/>
        </w:rPr>
        <w:t>leveragers</w:t>
      </w:r>
      <w:proofErr w:type="spellEnd"/>
      <w:r w:rsidRPr="00B3537C">
        <w:rPr>
          <w:rFonts w:ascii="Arial" w:hAnsi="Arial" w:cs="Arial"/>
          <w:color w:val="000000" w:themeColor="text1"/>
        </w:rPr>
        <w:t xml:space="preserve"> of a firm's financial performance: Best practices from Tesla and Toyota. Universal Journal of Financial Economics, 2(2), pp.1-22.</w:t>
      </w:r>
    </w:p>
    <w:p w14:paraId="5EA8B70A" w14:textId="77777777" w:rsidR="00D05982" w:rsidRPr="00B3537C" w:rsidRDefault="00D05982"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Sallee, J.M., 2011. The surprising incidence of tax credits for the Toyota Prius. American Economic Journal: Economic Policy, 3(2), pp.189-219.</w:t>
      </w:r>
    </w:p>
    <w:p w14:paraId="68F6FBDE" w14:textId="77777777" w:rsidR="00D05982" w:rsidRPr="00B3537C" w:rsidRDefault="00D05982"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Shou, T., 2022, July. A literature review on the net present value (NPV) valuation method. In 2022 2nd International Conference on Enterprise Management and Economic Development (ICEMED 2022) (pp. 826-830). Atlantis Press.</w:t>
      </w:r>
    </w:p>
    <w:p w14:paraId="26CC3863" w14:textId="4F22111A" w:rsidR="00540B00" w:rsidRPr="00B3537C" w:rsidRDefault="00540B00"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 xml:space="preserve">Toyota (2024). </w:t>
      </w:r>
      <w:r w:rsidRPr="00B3537C">
        <w:rPr>
          <w:rFonts w:ascii="Arial" w:hAnsi="Arial" w:cs="Arial"/>
          <w:i/>
          <w:iCs/>
          <w:color w:val="000000" w:themeColor="text1"/>
        </w:rPr>
        <w:t>Annual Report</w:t>
      </w:r>
      <w:r w:rsidRPr="00B3537C">
        <w:rPr>
          <w:rFonts w:ascii="Arial" w:hAnsi="Arial" w:cs="Arial"/>
          <w:color w:val="000000" w:themeColor="text1"/>
        </w:rPr>
        <w:t>. [online] Sec.gov. Available at: https://www.sec.gov/Archives/edgar/data/1094517/000119312525142326/d925022d20f.htm#rom925022_73 [Accessed 22 Apr. 2026].</w:t>
      </w:r>
    </w:p>
    <w:p w14:paraId="039BEC16" w14:textId="77777777" w:rsidR="00540B00" w:rsidRPr="00B3537C" w:rsidRDefault="00540B00"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 xml:space="preserve">Toyota (2025a). </w:t>
      </w:r>
      <w:r w:rsidRPr="00B3537C">
        <w:rPr>
          <w:rFonts w:ascii="Arial" w:hAnsi="Arial" w:cs="Arial"/>
          <w:i/>
          <w:iCs/>
          <w:color w:val="000000" w:themeColor="text1"/>
        </w:rPr>
        <w:t>2025 TOYOTA INDUSTRIES CORPORATION</w:t>
      </w:r>
      <w:r w:rsidRPr="00B3537C">
        <w:rPr>
          <w:rFonts w:ascii="Arial" w:hAnsi="Arial" w:cs="Arial"/>
          <w:color w:val="000000" w:themeColor="text1"/>
        </w:rPr>
        <w:t>. [online] Available at: https://www.toyota-industries.com/investors/item/2025_annual_financial_report_E.pdf.</w:t>
      </w:r>
    </w:p>
    <w:p w14:paraId="0FBCAB5D" w14:textId="77777777" w:rsidR="00540B00" w:rsidRPr="00B3537C" w:rsidRDefault="00540B00"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 xml:space="preserve">Toyota (2025b). </w:t>
      </w:r>
      <w:r w:rsidRPr="00B3537C">
        <w:rPr>
          <w:rFonts w:ascii="Arial" w:hAnsi="Arial" w:cs="Arial"/>
          <w:i/>
          <w:iCs/>
          <w:color w:val="000000" w:themeColor="text1"/>
        </w:rPr>
        <w:t>Toyota Goodwill and Intangible Assets 2010-2025 | TM</w:t>
      </w:r>
      <w:r w:rsidRPr="00B3537C">
        <w:rPr>
          <w:rFonts w:ascii="Arial" w:hAnsi="Arial" w:cs="Arial"/>
          <w:color w:val="000000" w:themeColor="text1"/>
        </w:rPr>
        <w:t>. [online] Macrotrends.net. Available at: https://www.macrotrends.net/stocks/charts/TM/toyota/goodwill-intangible-assets-total.</w:t>
      </w:r>
    </w:p>
    <w:p w14:paraId="5406B812" w14:textId="77777777" w:rsidR="00540B00" w:rsidRPr="00B3537C" w:rsidRDefault="00540B00"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 xml:space="preserve">Toyota (2025c). </w:t>
      </w:r>
      <w:r w:rsidRPr="00B3537C">
        <w:rPr>
          <w:rFonts w:ascii="Arial" w:hAnsi="Arial" w:cs="Arial"/>
          <w:i/>
          <w:iCs/>
          <w:color w:val="000000" w:themeColor="text1"/>
        </w:rPr>
        <w:t>Toyota Motor Corporation Official Global Website</w:t>
      </w:r>
      <w:r w:rsidRPr="00B3537C">
        <w:rPr>
          <w:rFonts w:ascii="Arial" w:hAnsi="Arial" w:cs="Arial"/>
          <w:color w:val="000000" w:themeColor="text1"/>
        </w:rPr>
        <w:t>. [online] Toyota Motor Corporation Official Global Website. Available at: https://global.toyota/en/.</w:t>
      </w:r>
    </w:p>
    <w:p w14:paraId="20D0679A" w14:textId="77777777" w:rsidR="00540B00" w:rsidRPr="00B3537C" w:rsidRDefault="00540B00"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 xml:space="preserve">TOYOTA (2024). </w:t>
      </w:r>
      <w:r w:rsidRPr="00B3537C">
        <w:rPr>
          <w:rFonts w:ascii="Arial" w:hAnsi="Arial" w:cs="Arial"/>
          <w:i/>
          <w:iCs/>
          <w:color w:val="000000" w:themeColor="text1"/>
        </w:rPr>
        <w:t>INTEGRATED REPORT 2024</w:t>
      </w:r>
      <w:r w:rsidRPr="00B3537C">
        <w:rPr>
          <w:rFonts w:ascii="Arial" w:hAnsi="Arial" w:cs="Arial"/>
          <w:color w:val="000000" w:themeColor="text1"/>
        </w:rPr>
        <w:t>. [online] Available at: https://www.annualreports.com/HostedData/AnnualReports/PDF/NYSE_TM_2024.pdf.</w:t>
      </w:r>
    </w:p>
    <w:p w14:paraId="76234959" w14:textId="77777777" w:rsidR="00540B00" w:rsidRPr="00B3537C" w:rsidRDefault="00540B00"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 xml:space="preserve">Trading Economics (2025). </w:t>
      </w:r>
      <w:r w:rsidRPr="00B3537C">
        <w:rPr>
          <w:rFonts w:ascii="Arial" w:hAnsi="Arial" w:cs="Arial"/>
          <w:i/>
          <w:iCs/>
          <w:color w:val="000000" w:themeColor="text1"/>
        </w:rPr>
        <w:t>Toyota Motor | TM - Interest Expense On Debt</w:t>
      </w:r>
      <w:r w:rsidRPr="00B3537C">
        <w:rPr>
          <w:rFonts w:ascii="Arial" w:hAnsi="Arial" w:cs="Arial"/>
          <w:color w:val="000000" w:themeColor="text1"/>
        </w:rPr>
        <w:t>. [online] Tradingeconomics.com. Available at: https://tradingeconomics.com/tm:us:interest-expense-on-debt [Accessed 22 Apr. 2026].</w:t>
      </w:r>
    </w:p>
    <w:p w14:paraId="3B4F348B" w14:textId="77777777" w:rsidR="0098664E" w:rsidRPr="00B3537C" w:rsidRDefault="0098664E" w:rsidP="00242669">
      <w:pPr>
        <w:pStyle w:val="NormalWeb"/>
        <w:spacing w:before="0" w:beforeAutospacing="0" w:after="240" w:afterAutospacing="0" w:line="360" w:lineRule="auto"/>
        <w:ind w:left="567" w:hanging="567"/>
        <w:rPr>
          <w:rFonts w:ascii="Arial" w:hAnsi="Arial" w:cs="Arial"/>
          <w:color w:val="000000" w:themeColor="text1"/>
        </w:rPr>
      </w:pPr>
      <w:bookmarkStart w:id="56" w:name="_Hlk227782266"/>
      <w:r w:rsidRPr="00B3537C">
        <w:rPr>
          <w:rFonts w:ascii="Arial" w:hAnsi="Arial" w:cs="Arial"/>
          <w:color w:val="000000" w:themeColor="text1"/>
        </w:rPr>
        <w:lastRenderedPageBreak/>
        <w:t>Takeuchi</w:t>
      </w:r>
      <w:bookmarkEnd w:id="56"/>
      <w:r w:rsidRPr="00B3537C">
        <w:rPr>
          <w:rFonts w:ascii="Arial" w:hAnsi="Arial" w:cs="Arial"/>
          <w:color w:val="000000" w:themeColor="text1"/>
        </w:rPr>
        <w:t>, I.Y., Ohmae, H.T. and Ichijo, K.K., 2023. Navigating Competition through Alliances: An Analysis of Toyota's Strategy in the Japanese Auto Industry. Journal of Strategic Management, 7(6), pp.1-12.</w:t>
      </w:r>
    </w:p>
    <w:p w14:paraId="6CF84CDC" w14:textId="77777777" w:rsidR="0098664E" w:rsidRPr="00B3537C" w:rsidRDefault="0098664E"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 xml:space="preserve">Toma, S.G.I., Marinescu, P. and </w:t>
      </w:r>
      <w:proofErr w:type="spellStart"/>
      <w:r w:rsidRPr="00B3537C">
        <w:rPr>
          <w:rFonts w:ascii="Arial" w:hAnsi="Arial" w:cs="Arial"/>
          <w:color w:val="000000" w:themeColor="text1"/>
        </w:rPr>
        <w:t>Grădinaru</w:t>
      </w:r>
      <w:proofErr w:type="spellEnd"/>
      <w:r w:rsidRPr="00B3537C">
        <w:rPr>
          <w:rFonts w:ascii="Arial" w:hAnsi="Arial" w:cs="Arial"/>
          <w:color w:val="000000" w:themeColor="text1"/>
        </w:rPr>
        <w:t>, C., 2018. Creating Shared Value in the 21st Century: The Case of Toyota Motor Company. In Value Sharing for Sustainable and Inclusive Development (pp. 155-184). IGI Global.</w:t>
      </w:r>
    </w:p>
    <w:p w14:paraId="2292EE47" w14:textId="24CD245A" w:rsidR="0098664E" w:rsidRPr="00B3537C" w:rsidRDefault="0098664E"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Ushijima, T., 2009. R&amp;D intensity and acquisition and divestiture of corporate assets: Evidence from Japan. Journal of Economics and Business, 61(5), pp.415-433.</w:t>
      </w:r>
    </w:p>
    <w:p w14:paraId="6471EDD0" w14:textId="47805D95" w:rsidR="00540B00" w:rsidRPr="00B3537C" w:rsidRDefault="00540B00"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Wilhelm, M. and Sydow, J., 2018. Managing coopetition in supplier networks–a paradox perspective. Journal of Supply Chain Management, 54(3), pp.22-41.</w:t>
      </w:r>
    </w:p>
    <w:p w14:paraId="1835A36E" w14:textId="3A8A3DCE" w:rsidR="00540B00" w:rsidRPr="00B3537C" w:rsidRDefault="00540B00"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 xml:space="preserve">Xinyao, D., Wen, X., Jingjing, X., Xiaohui, W. and </w:t>
      </w:r>
      <w:proofErr w:type="spellStart"/>
      <w:r w:rsidRPr="00B3537C">
        <w:rPr>
          <w:rFonts w:ascii="Arial" w:hAnsi="Arial" w:cs="Arial"/>
          <w:color w:val="000000" w:themeColor="text1"/>
        </w:rPr>
        <w:t>Loang</w:t>
      </w:r>
      <w:proofErr w:type="spellEnd"/>
      <w:r w:rsidRPr="00B3537C">
        <w:rPr>
          <w:rFonts w:ascii="Arial" w:hAnsi="Arial" w:cs="Arial"/>
          <w:color w:val="000000" w:themeColor="text1"/>
        </w:rPr>
        <w:t>, O.K., 2023. Financial and Non-Financial Analysis of Toyota and Ford: A Comparative Study. Journal of Islamic, Social, Economics and Development, 8(52), pp.203-214.</w:t>
      </w:r>
    </w:p>
    <w:p w14:paraId="4C0CB9EB" w14:textId="62B98FE7" w:rsidR="00D05982" w:rsidRPr="00B3537C" w:rsidRDefault="00540B00"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 xml:space="preserve">Yahoo Finance (2025). </w:t>
      </w:r>
      <w:r w:rsidRPr="00B3537C">
        <w:rPr>
          <w:rFonts w:ascii="Arial" w:hAnsi="Arial" w:cs="Arial"/>
          <w:i/>
          <w:iCs/>
          <w:color w:val="000000" w:themeColor="text1"/>
        </w:rPr>
        <w:t>Toyota Motor Corporation (TM) Stock Historical Prices &amp; Data - Yahoo Finance</w:t>
      </w:r>
      <w:r w:rsidRPr="00B3537C">
        <w:rPr>
          <w:rFonts w:ascii="Arial" w:hAnsi="Arial" w:cs="Arial"/>
          <w:color w:val="000000" w:themeColor="text1"/>
        </w:rPr>
        <w:t xml:space="preserve">. [online] finance.yahoo.com. Available at: </w:t>
      </w:r>
      <w:hyperlink r:id="rId10" w:history="1">
        <w:r w:rsidR="00D05982" w:rsidRPr="00B3537C">
          <w:rPr>
            <w:rStyle w:val="Hyperlink"/>
            <w:rFonts w:ascii="Arial" w:hAnsi="Arial" w:cs="Arial"/>
            <w:color w:val="000000" w:themeColor="text1"/>
            <w:u w:val="none"/>
          </w:rPr>
          <w:t>https://finance.yahoo.com/quote/TM/history/</w:t>
        </w:r>
      </w:hyperlink>
      <w:r w:rsidRPr="00B3537C">
        <w:rPr>
          <w:rFonts w:ascii="Arial" w:hAnsi="Arial" w:cs="Arial"/>
          <w:color w:val="000000" w:themeColor="text1"/>
        </w:rPr>
        <w:t>.</w:t>
      </w:r>
    </w:p>
    <w:p w14:paraId="6D90A2B3" w14:textId="0C8100EA" w:rsidR="003814AC" w:rsidRPr="00B3537C" w:rsidRDefault="00D05982" w:rsidP="00242669">
      <w:pPr>
        <w:pStyle w:val="NormalWeb"/>
        <w:spacing w:before="0" w:beforeAutospacing="0" w:after="240" w:afterAutospacing="0" w:line="360" w:lineRule="auto"/>
        <w:ind w:left="567" w:hanging="567"/>
        <w:rPr>
          <w:rFonts w:ascii="Arial" w:hAnsi="Arial" w:cs="Arial"/>
          <w:color w:val="000000" w:themeColor="text1"/>
        </w:rPr>
      </w:pPr>
      <w:r w:rsidRPr="00B3537C">
        <w:rPr>
          <w:rFonts w:ascii="Arial" w:hAnsi="Arial" w:cs="Arial"/>
          <w:color w:val="000000" w:themeColor="text1"/>
        </w:rPr>
        <w:t>Yuan, Y., 2025. Toyota Motor’s Exchange Rate Risk Management: Residual Risk and Response Strategies after Forward Hedging. Highlights in Business, Economics and Management, 65, pp.152-157.</w:t>
      </w:r>
    </w:p>
    <w:p w14:paraId="2A5D60F8" w14:textId="77777777" w:rsidR="00FE6A3D" w:rsidRPr="00B3537C" w:rsidRDefault="00FE6A3D">
      <w:pPr>
        <w:rPr>
          <w:rFonts w:ascii="Arial" w:hAnsi="Arial" w:cs="Arial"/>
          <w:color w:val="000000" w:themeColor="text1"/>
          <w:sz w:val="24"/>
          <w:szCs w:val="24"/>
        </w:rPr>
      </w:pPr>
    </w:p>
    <w:p w14:paraId="3BDB9B0C" w14:textId="77777777" w:rsidR="00FE6A3D" w:rsidRPr="00B3537C" w:rsidRDefault="00FE6A3D">
      <w:pPr>
        <w:rPr>
          <w:rFonts w:ascii="Arial" w:hAnsi="Arial" w:cs="Arial"/>
          <w:color w:val="000000" w:themeColor="text1"/>
          <w:sz w:val="24"/>
          <w:szCs w:val="24"/>
        </w:rPr>
      </w:pPr>
    </w:p>
    <w:p w14:paraId="637EA4D5" w14:textId="77777777" w:rsidR="00FE6A3D" w:rsidRPr="00B3537C" w:rsidRDefault="00FE6A3D">
      <w:pPr>
        <w:rPr>
          <w:rFonts w:ascii="Arial" w:hAnsi="Arial" w:cs="Arial"/>
          <w:color w:val="000000" w:themeColor="text1"/>
          <w:sz w:val="24"/>
          <w:szCs w:val="24"/>
        </w:rPr>
      </w:pPr>
    </w:p>
    <w:p w14:paraId="1D525A64" w14:textId="77777777" w:rsidR="00FE6A3D" w:rsidRPr="00B3537C" w:rsidRDefault="00FE6A3D">
      <w:pPr>
        <w:rPr>
          <w:rFonts w:ascii="Arial" w:hAnsi="Arial" w:cs="Arial"/>
          <w:color w:val="000000" w:themeColor="text1"/>
          <w:sz w:val="24"/>
          <w:szCs w:val="24"/>
        </w:rPr>
      </w:pPr>
    </w:p>
    <w:p w14:paraId="0BBE85F0" w14:textId="77777777" w:rsidR="00FE6A3D" w:rsidRPr="00B3537C" w:rsidRDefault="00FE6A3D">
      <w:pPr>
        <w:rPr>
          <w:rFonts w:ascii="Arial" w:hAnsi="Arial" w:cs="Arial"/>
          <w:color w:val="000000" w:themeColor="text1"/>
          <w:sz w:val="24"/>
          <w:szCs w:val="24"/>
        </w:rPr>
      </w:pPr>
    </w:p>
    <w:p w14:paraId="5183F2AB" w14:textId="77777777" w:rsidR="00FE6A3D" w:rsidRPr="00B3537C" w:rsidRDefault="00FE6A3D">
      <w:pPr>
        <w:rPr>
          <w:rFonts w:ascii="Arial" w:hAnsi="Arial" w:cs="Arial"/>
          <w:color w:val="000000" w:themeColor="text1"/>
          <w:sz w:val="24"/>
          <w:szCs w:val="24"/>
        </w:rPr>
      </w:pPr>
    </w:p>
    <w:p w14:paraId="2983C217" w14:textId="62C03CCB" w:rsidR="00242669" w:rsidRPr="00B3537C" w:rsidRDefault="00242669">
      <w:pPr>
        <w:rPr>
          <w:rFonts w:ascii="Arial" w:hAnsi="Arial" w:cs="Arial"/>
          <w:color w:val="000000" w:themeColor="text1"/>
          <w:sz w:val="24"/>
          <w:szCs w:val="24"/>
        </w:rPr>
      </w:pPr>
      <w:r w:rsidRPr="00B3537C">
        <w:rPr>
          <w:rFonts w:ascii="Arial" w:hAnsi="Arial" w:cs="Arial"/>
          <w:color w:val="000000" w:themeColor="text1"/>
          <w:sz w:val="24"/>
          <w:szCs w:val="24"/>
        </w:rPr>
        <w:br w:type="page"/>
      </w:r>
    </w:p>
    <w:p w14:paraId="2CFDCE9D" w14:textId="7C3C050F" w:rsidR="00FE6A3D" w:rsidRPr="00B3537C" w:rsidRDefault="00FE6A3D" w:rsidP="00242669">
      <w:pPr>
        <w:pStyle w:val="Heading1"/>
      </w:pPr>
      <w:bookmarkStart w:id="57" w:name="_Toc227926190"/>
      <w:r w:rsidRPr="00B3537C">
        <w:lastRenderedPageBreak/>
        <w:t>Appendi</w:t>
      </w:r>
      <w:r w:rsidR="00242669" w:rsidRPr="00B3537C">
        <w:t>ces</w:t>
      </w:r>
      <w:bookmarkEnd w:id="57"/>
    </w:p>
    <w:p w14:paraId="7B7B0B81" w14:textId="77777777" w:rsidR="002258B5" w:rsidRPr="00B3537C" w:rsidRDefault="002258B5" w:rsidP="00242669">
      <w:pPr>
        <w:pStyle w:val="Heading2"/>
        <w:rPr>
          <w:color w:val="000000" w:themeColor="text1"/>
        </w:rPr>
      </w:pPr>
      <w:bookmarkStart w:id="58" w:name="_Toc227926191"/>
      <w:r w:rsidRPr="00B3537C">
        <w:rPr>
          <w:color w:val="000000" w:themeColor="text1"/>
        </w:rPr>
        <w:t>Appendix A: (Income statement)</w:t>
      </w:r>
      <w:bookmarkEnd w:id="58"/>
    </w:p>
    <w:p w14:paraId="3A753B91" w14:textId="77777777" w:rsidR="002258B5" w:rsidRPr="00B3537C" w:rsidRDefault="002258B5" w:rsidP="002258B5">
      <w:pPr>
        <w:rPr>
          <w:rFonts w:ascii="Arial" w:hAnsi="Arial" w:cs="Arial"/>
          <w:color w:val="000000" w:themeColor="text1"/>
          <w:sz w:val="24"/>
          <w:szCs w:val="24"/>
        </w:rPr>
      </w:pPr>
      <w:r w:rsidRPr="00B3537C">
        <w:rPr>
          <w:rFonts w:ascii="Arial" w:hAnsi="Arial" w:cs="Arial"/>
          <w:noProof/>
          <w:color w:val="000000" w:themeColor="text1"/>
          <w:sz w:val="24"/>
          <w:szCs w:val="24"/>
          <w:lang w:val="en-US"/>
        </w:rPr>
        <w:drawing>
          <wp:inline distT="0" distB="0" distL="0" distR="0" wp14:anchorId="5C0F71E5" wp14:editId="57914943">
            <wp:extent cx="6421120" cy="3764280"/>
            <wp:effectExtent l="0" t="0" r="0" b="7620"/>
            <wp:docPr id="81406399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46122" cy="3778937"/>
                    </a:xfrm>
                    <a:prstGeom prst="rect">
                      <a:avLst/>
                    </a:prstGeom>
                    <a:noFill/>
                  </pic:spPr>
                </pic:pic>
              </a:graphicData>
            </a:graphic>
          </wp:inline>
        </w:drawing>
      </w:r>
    </w:p>
    <w:p w14:paraId="3E7AEC23" w14:textId="77777777" w:rsidR="002258B5" w:rsidRPr="00B3537C" w:rsidRDefault="002258B5" w:rsidP="00242669">
      <w:pPr>
        <w:pStyle w:val="Heading2"/>
        <w:rPr>
          <w:color w:val="000000" w:themeColor="text1"/>
        </w:rPr>
      </w:pPr>
      <w:bookmarkStart w:id="59" w:name="_Toc227926192"/>
      <w:r w:rsidRPr="00B3537C">
        <w:rPr>
          <w:color w:val="000000" w:themeColor="text1"/>
        </w:rPr>
        <w:lastRenderedPageBreak/>
        <w:t>Appendix B: (Balance Sheet)</w:t>
      </w:r>
      <w:bookmarkEnd w:id="59"/>
    </w:p>
    <w:p w14:paraId="0CC1D8FA" w14:textId="77777777" w:rsidR="002258B5" w:rsidRPr="00B3537C" w:rsidRDefault="002258B5" w:rsidP="002258B5">
      <w:pPr>
        <w:rPr>
          <w:rFonts w:ascii="Arial" w:hAnsi="Arial" w:cs="Arial"/>
          <w:color w:val="000000" w:themeColor="text1"/>
          <w:sz w:val="24"/>
          <w:szCs w:val="24"/>
        </w:rPr>
      </w:pPr>
      <w:r w:rsidRPr="00B3537C">
        <w:rPr>
          <w:rFonts w:ascii="Arial" w:hAnsi="Arial" w:cs="Arial"/>
          <w:noProof/>
          <w:color w:val="000000" w:themeColor="text1"/>
          <w:sz w:val="24"/>
          <w:szCs w:val="24"/>
          <w:lang w:val="en-US"/>
        </w:rPr>
        <w:drawing>
          <wp:inline distT="0" distB="0" distL="0" distR="0" wp14:anchorId="7BB47ED4" wp14:editId="56729602">
            <wp:extent cx="6265926" cy="3672840"/>
            <wp:effectExtent l="0" t="0" r="1905" b="3810"/>
            <wp:docPr id="10574110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3818" cy="3683328"/>
                    </a:xfrm>
                    <a:prstGeom prst="rect">
                      <a:avLst/>
                    </a:prstGeom>
                    <a:noFill/>
                  </pic:spPr>
                </pic:pic>
              </a:graphicData>
            </a:graphic>
          </wp:inline>
        </w:drawing>
      </w:r>
    </w:p>
    <w:p w14:paraId="03ADB5A2" w14:textId="77777777" w:rsidR="002258B5" w:rsidRPr="00B3537C" w:rsidRDefault="002258B5" w:rsidP="00242669">
      <w:pPr>
        <w:pStyle w:val="Heading2"/>
        <w:rPr>
          <w:color w:val="000000" w:themeColor="text1"/>
        </w:rPr>
      </w:pPr>
      <w:bookmarkStart w:id="60" w:name="_Toc227926193"/>
      <w:r w:rsidRPr="00B3537C">
        <w:rPr>
          <w:color w:val="000000" w:themeColor="text1"/>
        </w:rPr>
        <w:t>Appendix C: Cash Flow Statement</w:t>
      </w:r>
      <w:bookmarkEnd w:id="60"/>
    </w:p>
    <w:p w14:paraId="3A1DADEA" w14:textId="77777777" w:rsidR="002258B5" w:rsidRPr="00B3537C" w:rsidRDefault="002258B5" w:rsidP="002258B5">
      <w:pPr>
        <w:pStyle w:val="NormalWeb"/>
        <w:rPr>
          <w:rFonts w:ascii="Arial" w:hAnsi="Arial" w:cs="Arial"/>
          <w:color w:val="000000" w:themeColor="text1"/>
        </w:rPr>
      </w:pPr>
      <w:r w:rsidRPr="00B3537C">
        <w:rPr>
          <w:rFonts w:ascii="Arial" w:hAnsi="Arial" w:cs="Arial"/>
          <w:noProof/>
          <w:color w:val="000000" w:themeColor="text1"/>
          <w:lang w:val="en-US" w:eastAsia="en-US"/>
        </w:rPr>
        <w:drawing>
          <wp:inline distT="0" distB="0" distL="0" distR="0" wp14:anchorId="04F1A279" wp14:editId="44F2A3F8">
            <wp:extent cx="6461760" cy="2929794"/>
            <wp:effectExtent l="0" t="0" r="0" b="444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73935" cy="2935314"/>
                    </a:xfrm>
                    <a:prstGeom prst="rect">
                      <a:avLst/>
                    </a:prstGeom>
                    <a:noFill/>
                    <a:ln>
                      <a:noFill/>
                    </a:ln>
                  </pic:spPr>
                </pic:pic>
              </a:graphicData>
            </a:graphic>
          </wp:inline>
        </w:drawing>
      </w:r>
    </w:p>
    <w:p w14:paraId="1FA5CE57" w14:textId="77777777" w:rsidR="002258B5" w:rsidRPr="00B3537C" w:rsidRDefault="002258B5" w:rsidP="002258B5">
      <w:pPr>
        <w:pStyle w:val="NormalWeb"/>
        <w:rPr>
          <w:rFonts w:ascii="Arial" w:hAnsi="Arial" w:cs="Arial"/>
          <w:color w:val="000000" w:themeColor="text1"/>
        </w:rPr>
      </w:pPr>
      <w:r w:rsidRPr="00B3537C">
        <w:rPr>
          <w:rFonts w:ascii="Arial" w:hAnsi="Arial" w:cs="Arial"/>
          <w:noProof/>
          <w:color w:val="000000" w:themeColor="text1"/>
          <w:lang w:val="en-US" w:eastAsia="en-US"/>
        </w:rPr>
        <w:lastRenderedPageBreak/>
        <w:drawing>
          <wp:inline distT="0" distB="0" distL="0" distR="0" wp14:anchorId="2B893AC9" wp14:editId="4AA0F4C1">
            <wp:extent cx="6492240" cy="1848283"/>
            <wp:effectExtent l="0" t="0" r="381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19434" cy="1856025"/>
                    </a:xfrm>
                    <a:prstGeom prst="rect">
                      <a:avLst/>
                    </a:prstGeom>
                    <a:noFill/>
                    <a:ln>
                      <a:noFill/>
                    </a:ln>
                  </pic:spPr>
                </pic:pic>
              </a:graphicData>
            </a:graphic>
          </wp:inline>
        </w:drawing>
      </w:r>
    </w:p>
    <w:p w14:paraId="36E99B66" w14:textId="77777777" w:rsidR="002258B5" w:rsidRPr="00B3537C" w:rsidRDefault="002258B5" w:rsidP="002258B5">
      <w:pPr>
        <w:rPr>
          <w:rFonts w:ascii="Arial" w:hAnsi="Arial" w:cs="Arial"/>
          <w:color w:val="000000" w:themeColor="text1"/>
          <w:sz w:val="24"/>
          <w:szCs w:val="24"/>
        </w:rPr>
      </w:pPr>
    </w:p>
    <w:p w14:paraId="080B4985" w14:textId="1602B67F" w:rsidR="002258B5" w:rsidRPr="00B3537C" w:rsidRDefault="002258B5" w:rsidP="00242669">
      <w:pPr>
        <w:pStyle w:val="Heading2"/>
        <w:rPr>
          <w:color w:val="000000" w:themeColor="text1"/>
        </w:rPr>
      </w:pPr>
      <w:bookmarkStart w:id="61" w:name="_Toc227926194"/>
      <w:r w:rsidRPr="00B3537C">
        <w:rPr>
          <w:color w:val="000000" w:themeColor="text1"/>
        </w:rPr>
        <w:t>Appendix D: Ratio</w:t>
      </w:r>
      <w:r w:rsidR="00242669" w:rsidRPr="00B3537C">
        <w:rPr>
          <w:color w:val="000000" w:themeColor="text1"/>
        </w:rPr>
        <w:t xml:space="preserve"> Calculations</w:t>
      </w:r>
      <w:bookmarkEnd w:id="61"/>
    </w:p>
    <w:p w14:paraId="341037CD" w14:textId="77777777" w:rsidR="002258B5" w:rsidRPr="00B3537C" w:rsidRDefault="002258B5" w:rsidP="00242669">
      <w:pPr>
        <w:pStyle w:val="Caption"/>
        <w:keepNext/>
        <w:jc w:val="center"/>
        <w:rPr>
          <w:rFonts w:ascii="Arial" w:hAnsi="Arial" w:cs="Arial"/>
          <w:color w:val="000000" w:themeColor="text1"/>
          <w:sz w:val="24"/>
          <w:szCs w:val="24"/>
          <w:u w:val="single"/>
        </w:rPr>
      </w:pPr>
      <w:r w:rsidRPr="00B3537C">
        <w:rPr>
          <w:rFonts w:ascii="Arial" w:hAnsi="Arial" w:cs="Arial"/>
          <w:color w:val="000000" w:themeColor="text1"/>
          <w:sz w:val="24"/>
          <w:szCs w:val="24"/>
          <w:u w:val="single"/>
        </w:rPr>
        <w:t xml:space="preserve">Table </w:t>
      </w:r>
      <w:r w:rsidRPr="00B3537C">
        <w:rPr>
          <w:rFonts w:ascii="Arial" w:hAnsi="Arial" w:cs="Arial"/>
          <w:color w:val="000000" w:themeColor="text1"/>
          <w:sz w:val="24"/>
          <w:szCs w:val="24"/>
          <w:u w:val="single"/>
        </w:rPr>
        <w:fldChar w:fldCharType="begin"/>
      </w:r>
      <w:r w:rsidRPr="00B3537C">
        <w:rPr>
          <w:rFonts w:ascii="Arial" w:hAnsi="Arial" w:cs="Arial"/>
          <w:color w:val="000000" w:themeColor="text1"/>
          <w:sz w:val="24"/>
          <w:szCs w:val="24"/>
          <w:u w:val="single"/>
        </w:rPr>
        <w:instrText xml:space="preserve"> SEQ Table \* ARABIC </w:instrText>
      </w:r>
      <w:r w:rsidRPr="00B3537C">
        <w:rPr>
          <w:rFonts w:ascii="Arial" w:hAnsi="Arial" w:cs="Arial"/>
          <w:color w:val="000000" w:themeColor="text1"/>
          <w:sz w:val="24"/>
          <w:szCs w:val="24"/>
          <w:u w:val="single"/>
        </w:rPr>
        <w:fldChar w:fldCharType="separate"/>
      </w:r>
      <w:r w:rsidRPr="00B3537C">
        <w:rPr>
          <w:rFonts w:ascii="Arial" w:hAnsi="Arial" w:cs="Arial"/>
          <w:noProof/>
          <w:color w:val="000000" w:themeColor="text1"/>
          <w:sz w:val="24"/>
          <w:szCs w:val="24"/>
          <w:u w:val="single"/>
        </w:rPr>
        <w:t>1</w:t>
      </w:r>
      <w:r w:rsidRPr="00B3537C">
        <w:rPr>
          <w:rFonts w:ascii="Arial" w:hAnsi="Arial" w:cs="Arial"/>
          <w:color w:val="000000" w:themeColor="text1"/>
          <w:sz w:val="24"/>
          <w:szCs w:val="24"/>
          <w:u w:val="single"/>
        </w:rPr>
        <w:fldChar w:fldCharType="end"/>
      </w:r>
      <w:r w:rsidRPr="00B3537C">
        <w:rPr>
          <w:rFonts w:ascii="Arial" w:hAnsi="Arial" w:cs="Arial"/>
          <w:color w:val="000000" w:themeColor="text1"/>
          <w:sz w:val="24"/>
          <w:szCs w:val="24"/>
          <w:u w:val="single"/>
        </w:rPr>
        <w:t xml:space="preserve"> Profitability ratios</w:t>
      </w:r>
    </w:p>
    <w:tbl>
      <w:tblPr>
        <w:tblStyle w:val="GridTable3-Accent1"/>
        <w:tblW w:w="8710" w:type="dxa"/>
        <w:tblInd w:w="5" w:type="dxa"/>
        <w:tblLook w:val="04A0" w:firstRow="1" w:lastRow="0" w:firstColumn="1" w:lastColumn="0" w:noHBand="0" w:noVBand="1"/>
      </w:tblPr>
      <w:tblGrid>
        <w:gridCol w:w="3560"/>
        <w:gridCol w:w="1030"/>
        <w:gridCol w:w="1030"/>
        <w:gridCol w:w="1030"/>
        <w:gridCol w:w="1030"/>
        <w:gridCol w:w="1030"/>
      </w:tblGrid>
      <w:tr w:rsidR="00242669" w:rsidRPr="00B3537C" w14:paraId="38BD732E" w14:textId="77777777" w:rsidTr="00242669">
        <w:trPr>
          <w:cnfStyle w:val="100000000000" w:firstRow="1" w:lastRow="0" w:firstColumn="0" w:lastColumn="0" w:oddVBand="0" w:evenVBand="0" w:oddHBand="0" w:evenHBand="0" w:firstRowFirstColumn="0" w:firstRowLastColumn="0" w:lastRowFirstColumn="0" w:lastRowLastColumn="0"/>
          <w:trHeight w:val="312"/>
        </w:trPr>
        <w:tc>
          <w:tcPr>
            <w:cnfStyle w:val="001000000100" w:firstRow="0" w:lastRow="0" w:firstColumn="1" w:lastColumn="0" w:oddVBand="0" w:evenVBand="0" w:oddHBand="0" w:evenHBand="0" w:firstRowFirstColumn="1" w:firstRowLastColumn="0" w:lastRowFirstColumn="0" w:lastRowLastColumn="0"/>
            <w:tcW w:w="3560" w:type="dxa"/>
            <w:noWrap/>
            <w:hideMark/>
          </w:tcPr>
          <w:p w14:paraId="78E13645" w14:textId="77777777" w:rsidR="002258B5" w:rsidRPr="00B3537C" w:rsidRDefault="002258B5" w:rsidP="0004206D">
            <w:pPr>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1030" w:type="dxa"/>
            <w:noWrap/>
            <w:hideMark/>
          </w:tcPr>
          <w:p w14:paraId="72EBFD95"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2025</w:t>
            </w:r>
          </w:p>
        </w:tc>
        <w:tc>
          <w:tcPr>
            <w:tcW w:w="1030" w:type="dxa"/>
            <w:noWrap/>
            <w:hideMark/>
          </w:tcPr>
          <w:p w14:paraId="626C3B88"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2024</w:t>
            </w:r>
          </w:p>
        </w:tc>
        <w:tc>
          <w:tcPr>
            <w:tcW w:w="1030" w:type="dxa"/>
            <w:noWrap/>
            <w:hideMark/>
          </w:tcPr>
          <w:p w14:paraId="6D34BABA"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2023</w:t>
            </w:r>
          </w:p>
        </w:tc>
        <w:tc>
          <w:tcPr>
            <w:tcW w:w="1030" w:type="dxa"/>
            <w:noWrap/>
            <w:hideMark/>
          </w:tcPr>
          <w:p w14:paraId="1AEC681C"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2022</w:t>
            </w:r>
          </w:p>
        </w:tc>
        <w:tc>
          <w:tcPr>
            <w:tcW w:w="1030" w:type="dxa"/>
            <w:noWrap/>
            <w:hideMark/>
          </w:tcPr>
          <w:p w14:paraId="7A62BB6E"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2021</w:t>
            </w:r>
          </w:p>
        </w:tc>
      </w:tr>
      <w:tr w:rsidR="00242669" w:rsidRPr="00B3537C" w14:paraId="1A42B4EF" w14:textId="77777777" w:rsidTr="00242669">
        <w:trPr>
          <w:cnfStyle w:val="000000100000" w:firstRow="0" w:lastRow="0" w:firstColumn="0" w:lastColumn="0" w:oddVBand="0" w:evenVBand="0" w:oddHBand="1"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3560" w:type="dxa"/>
            <w:noWrap/>
            <w:hideMark/>
          </w:tcPr>
          <w:p w14:paraId="56F88E3E"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Gross margin ratio</w:t>
            </w:r>
          </w:p>
        </w:tc>
        <w:tc>
          <w:tcPr>
            <w:tcW w:w="1030" w:type="dxa"/>
            <w:noWrap/>
            <w:hideMark/>
          </w:tcPr>
          <w:p w14:paraId="1875B4E5"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19.94%</w:t>
            </w:r>
          </w:p>
        </w:tc>
        <w:tc>
          <w:tcPr>
            <w:tcW w:w="1030" w:type="dxa"/>
            <w:noWrap/>
            <w:hideMark/>
          </w:tcPr>
          <w:p w14:paraId="76A97CE5"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20.78%</w:t>
            </w:r>
          </w:p>
        </w:tc>
        <w:tc>
          <w:tcPr>
            <w:tcW w:w="1030" w:type="dxa"/>
            <w:noWrap/>
            <w:hideMark/>
          </w:tcPr>
          <w:p w14:paraId="5F2956E0"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16.99%</w:t>
            </w:r>
          </w:p>
        </w:tc>
        <w:tc>
          <w:tcPr>
            <w:tcW w:w="1030" w:type="dxa"/>
            <w:noWrap/>
            <w:hideMark/>
          </w:tcPr>
          <w:p w14:paraId="4FF6A89D"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19.03%</w:t>
            </w:r>
          </w:p>
        </w:tc>
        <w:tc>
          <w:tcPr>
            <w:tcW w:w="1030" w:type="dxa"/>
            <w:noWrap/>
            <w:hideMark/>
          </w:tcPr>
          <w:p w14:paraId="44AF75B0"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17.76%</w:t>
            </w:r>
          </w:p>
        </w:tc>
      </w:tr>
      <w:tr w:rsidR="00242669" w:rsidRPr="00B3537C" w14:paraId="7CC638B9" w14:textId="77777777" w:rsidTr="00242669">
        <w:trPr>
          <w:trHeight w:val="444"/>
        </w:trPr>
        <w:tc>
          <w:tcPr>
            <w:cnfStyle w:val="001000000000" w:firstRow="0" w:lastRow="0" w:firstColumn="1" w:lastColumn="0" w:oddVBand="0" w:evenVBand="0" w:oddHBand="0" w:evenHBand="0" w:firstRowFirstColumn="0" w:firstRowLastColumn="0" w:lastRowFirstColumn="0" w:lastRowLastColumn="0"/>
            <w:tcW w:w="3560" w:type="dxa"/>
            <w:noWrap/>
            <w:hideMark/>
          </w:tcPr>
          <w:p w14:paraId="0C24000E"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Net profit margin ratio</w:t>
            </w:r>
          </w:p>
        </w:tc>
        <w:tc>
          <w:tcPr>
            <w:tcW w:w="1030" w:type="dxa"/>
            <w:noWrap/>
            <w:hideMark/>
          </w:tcPr>
          <w:p w14:paraId="5C22DAA6"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9.92%</w:t>
            </w:r>
          </w:p>
        </w:tc>
        <w:tc>
          <w:tcPr>
            <w:tcW w:w="1030" w:type="dxa"/>
            <w:noWrap/>
            <w:hideMark/>
          </w:tcPr>
          <w:p w14:paraId="402AE9AC"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10.97%</w:t>
            </w:r>
          </w:p>
        </w:tc>
        <w:tc>
          <w:tcPr>
            <w:tcW w:w="1030" w:type="dxa"/>
            <w:noWrap/>
            <w:hideMark/>
          </w:tcPr>
          <w:p w14:paraId="49533D61"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6.60%</w:t>
            </w:r>
          </w:p>
        </w:tc>
        <w:tc>
          <w:tcPr>
            <w:tcW w:w="1030" w:type="dxa"/>
            <w:noWrap/>
            <w:hideMark/>
          </w:tcPr>
          <w:p w14:paraId="1966A089"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9.08%</w:t>
            </w:r>
          </w:p>
        </w:tc>
        <w:tc>
          <w:tcPr>
            <w:tcW w:w="1030" w:type="dxa"/>
            <w:noWrap/>
            <w:hideMark/>
          </w:tcPr>
          <w:p w14:paraId="112969A2"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8.25%</w:t>
            </w:r>
          </w:p>
        </w:tc>
      </w:tr>
      <w:tr w:rsidR="00242669" w:rsidRPr="00B3537C" w14:paraId="0603EB24" w14:textId="77777777" w:rsidTr="00242669">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560" w:type="dxa"/>
            <w:noWrap/>
            <w:hideMark/>
          </w:tcPr>
          <w:p w14:paraId="5B7B1F58"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Return on assets ratio</w:t>
            </w:r>
          </w:p>
        </w:tc>
        <w:tc>
          <w:tcPr>
            <w:tcW w:w="1030" w:type="dxa"/>
            <w:noWrap/>
            <w:hideMark/>
          </w:tcPr>
          <w:p w14:paraId="1D6E62D7"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5.09%</w:t>
            </w:r>
          </w:p>
        </w:tc>
        <w:tc>
          <w:tcPr>
            <w:tcW w:w="1030" w:type="dxa"/>
            <w:noWrap/>
            <w:hideMark/>
          </w:tcPr>
          <w:p w14:paraId="2ED28CDA"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5.49%</w:t>
            </w:r>
          </w:p>
        </w:tc>
        <w:tc>
          <w:tcPr>
            <w:tcW w:w="1030" w:type="dxa"/>
            <w:noWrap/>
            <w:hideMark/>
          </w:tcPr>
          <w:p w14:paraId="5E724A41"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3.30%</w:t>
            </w:r>
          </w:p>
        </w:tc>
        <w:tc>
          <w:tcPr>
            <w:tcW w:w="1030" w:type="dxa"/>
            <w:noWrap/>
            <w:hideMark/>
          </w:tcPr>
          <w:p w14:paraId="61978F41"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4.21%</w:t>
            </w:r>
          </w:p>
        </w:tc>
        <w:tc>
          <w:tcPr>
            <w:tcW w:w="1030" w:type="dxa"/>
            <w:noWrap/>
            <w:hideMark/>
          </w:tcPr>
          <w:p w14:paraId="0E5FA32F"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3.61%</w:t>
            </w:r>
          </w:p>
        </w:tc>
      </w:tr>
      <w:tr w:rsidR="00242669" w:rsidRPr="00B3537C" w14:paraId="2B06F0AA" w14:textId="77777777" w:rsidTr="00242669">
        <w:trPr>
          <w:trHeight w:val="408"/>
        </w:trPr>
        <w:tc>
          <w:tcPr>
            <w:cnfStyle w:val="001000000000" w:firstRow="0" w:lastRow="0" w:firstColumn="1" w:lastColumn="0" w:oddVBand="0" w:evenVBand="0" w:oddHBand="0" w:evenHBand="0" w:firstRowFirstColumn="0" w:firstRowLastColumn="0" w:lastRowFirstColumn="0" w:lastRowLastColumn="0"/>
            <w:tcW w:w="3560" w:type="dxa"/>
            <w:noWrap/>
            <w:hideMark/>
          </w:tcPr>
          <w:p w14:paraId="5F6065DF"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Return on Equity ratio</w:t>
            </w:r>
          </w:p>
        </w:tc>
        <w:tc>
          <w:tcPr>
            <w:tcW w:w="1030" w:type="dxa"/>
            <w:noWrap/>
            <w:hideMark/>
          </w:tcPr>
          <w:p w14:paraId="1030F2C8"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12.92%</w:t>
            </w:r>
          </w:p>
        </w:tc>
        <w:tc>
          <w:tcPr>
            <w:tcW w:w="1030" w:type="dxa"/>
            <w:noWrap/>
            <w:hideMark/>
          </w:tcPr>
          <w:p w14:paraId="40DEA32B"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14.03%</w:t>
            </w:r>
          </w:p>
        </w:tc>
        <w:tc>
          <w:tcPr>
            <w:tcW w:w="1030" w:type="dxa"/>
            <w:noWrap/>
            <w:hideMark/>
          </w:tcPr>
          <w:p w14:paraId="38269186"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8.38%</w:t>
            </w:r>
          </w:p>
        </w:tc>
        <w:tc>
          <w:tcPr>
            <w:tcW w:w="1030" w:type="dxa"/>
            <w:noWrap/>
            <w:hideMark/>
          </w:tcPr>
          <w:p w14:paraId="3AA9808C"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10.49%</w:t>
            </w:r>
          </w:p>
        </w:tc>
        <w:tc>
          <w:tcPr>
            <w:tcW w:w="1030" w:type="dxa"/>
            <w:noWrap/>
            <w:hideMark/>
          </w:tcPr>
          <w:p w14:paraId="13B53D8C"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9.24%</w:t>
            </w:r>
          </w:p>
        </w:tc>
      </w:tr>
    </w:tbl>
    <w:p w14:paraId="444B6434" w14:textId="77777777" w:rsidR="002258B5" w:rsidRPr="00B3537C" w:rsidRDefault="002258B5" w:rsidP="002258B5">
      <w:pPr>
        <w:rPr>
          <w:rFonts w:ascii="Arial" w:hAnsi="Arial" w:cs="Arial"/>
          <w:color w:val="000000" w:themeColor="text1"/>
          <w:sz w:val="24"/>
          <w:szCs w:val="24"/>
        </w:rPr>
      </w:pPr>
    </w:p>
    <w:p w14:paraId="1B4FEC72" w14:textId="77777777" w:rsidR="002258B5" w:rsidRPr="00B3537C" w:rsidRDefault="002258B5" w:rsidP="002258B5">
      <w:pPr>
        <w:keepNext/>
        <w:jc w:val="center"/>
        <w:rPr>
          <w:rFonts w:ascii="Arial" w:hAnsi="Arial" w:cs="Arial"/>
          <w:color w:val="000000" w:themeColor="text1"/>
          <w:sz w:val="24"/>
          <w:szCs w:val="24"/>
        </w:rPr>
      </w:pPr>
      <w:r w:rsidRPr="00B3537C">
        <w:rPr>
          <w:rFonts w:ascii="Arial" w:hAnsi="Arial" w:cs="Arial"/>
          <w:noProof/>
          <w:color w:val="000000" w:themeColor="text1"/>
          <w:sz w:val="24"/>
          <w:szCs w:val="24"/>
          <w:lang w:val="en-US"/>
        </w:rPr>
        <w:drawing>
          <wp:inline distT="0" distB="0" distL="0" distR="0" wp14:anchorId="1BDA71BF" wp14:editId="3D23E82B">
            <wp:extent cx="5086482" cy="3057525"/>
            <wp:effectExtent l="0" t="0" r="0" b="0"/>
            <wp:docPr id="441893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17941" cy="3076435"/>
                    </a:xfrm>
                    <a:prstGeom prst="rect">
                      <a:avLst/>
                    </a:prstGeom>
                    <a:noFill/>
                  </pic:spPr>
                </pic:pic>
              </a:graphicData>
            </a:graphic>
          </wp:inline>
        </w:drawing>
      </w:r>
    </w:p>
    <w:p w14:paraId="642E84D0" w14:textId="77777777" w:rsidR="002258B5" w:rsidRPr="00B3537C" w:rsidRDefault="002258B5" w:rsidP="002258B5">
      <w:pPr>
        <w:pStyle w:val="Caption"/>
        <w:jc w:val="center"/>
        <w:rPr>
          <w:rFonts w:ascii="Arial" w:hAnsi="Arial" w:cs="Arial"/>
          <w:color w:val="000000" w:themeColor="text1"/>
          <w:sz w:val="24"/>
          <w:szCs w:val="24"/>
        </w:rPr>
      </w:pPr>
      <w:r w:rsidRPr="00B3537C">
        <w:rPr>
          <w:rFonts w:ascii="Arial" w:hAnsi="Arial" w:cs="Arial"/>
          <w:color w:val="000000" w:themeColor="text1"/>
          <w:sz w:val="24"/>
          <w:szCs w:val="24"/>
        </w:rPr>
        <w:t xml:space="preserve">Figure </w:t>
      </w:r>
      <w:r w:rsidRPr="00B3537C">
        <w:rPr>
          <w:rFonts w:ascii="Arial" w:hAnsi="Arial" w:cs="Arial"/>
          <w:color w:val="000000" w:themeColor="text1"/>
          <w:sz w:val="24"/>
          <w:szCs w:val="24"/>
        </w:rPr>
        <w:fldChar w:fldCharType="begin"/>
      </w:r>
      <w:r w:rsidRPr="00B3537C">
        <w:rPr>
          <w:rFonts w:ascii="Arial" w:hAnsi="Arial" w:cs="Arial"/>
          <w:color w:val="000000" w:themeColor="text1"/>
          <w:sz w:val="24"/>
          <w:szCs w:val="24"/>
        </w:rPr>
        <w:instrText xml:space="preserve"> SEQ Figure \* ARABIC </w:instrText>
      </w:r>
      <w:r w:rsidRPr="00B3537C">
        <w:rPr>
          <w:rFonts w:ascii="Arial" w:hAnsi="Arial" w:cs="Arial"/>
          <w:color w:val="000000" w:themeColor="text1"/>
          <w:sz w:val="24"/>
          <w:szCs w:val="24"/>
        </w:rPr>
        <w:fldChar w:fldCharType="separate"/>
      </w:r>
      <w:r w:rsidRPr="00B3537C">
        <w:rPr>
          <w:rFonts w:ascii="Arial" w:hAnsi="Arial" w:cs="Arial"/>
          <w:noProof/>
          <w:color w:val="000000" w:themeColor="text1"/>
          <w:sz w:val="24"/>
          <w:szCs w:val="24"/>
        </w:rPr>
        <w:t>1</w:t>
      </w:r>
      <w:r w:rsidRPr="00B3537C">
        <w:rPr>
          <w:rFonts w:ascii="Arial" w:hAnsi="Arial" w:cs="Arial"/>
          <w:color w:val="000000" w:themeColor="text1"/>
          <w:sz w:val="24"/>
          <w:szCs w:val="24"/>
        </w:rPr>
        <w:fldChar w:fldCharType="end"/>
      </w:r>
      <w:r w:rsidRPr="00B3537C">
        <w:rPr>
          <w:rFonts w:ascii="Arial" w:hAnsi="Arial" w:cs="Arial"/>
          <w:color w:val="000000" w:themeColor="text1"/>
          <w:sz w:val="24"/>
          <w:szCs w:val="24"/>
        </w:rPr>
        <w:t xml:space="preserve"> Profitability ratios</w:t>
      </w:r>
    </w:p>
    <w:p w14:paraId="67AA10A1" w14:textId="77777777" w:rsidR="002258B5" w:rsidRPr="00B3537C" w:rsidRDefault="002258B5" w:rsidP="002258B5">
      <w:pPr>
        <w:rPr>
          <w:rFonts w:ascii="Arial" w:hAnsi="Arial" w:cs="Arial"/>
          <w:color w:val="000000" w:themeColor="text1"/>
          <w:sz w:val="24"/>
          <w:szCs w:val="24"/>
        </w:rPr>
      </w:pPr>
    </w:p>
    <w:p w14:paraId="024CCE01" w14:textId="77777777" w:rsidR="002258B5" w:rsidRPr="00B3537C" w:rsidRDefault="002258B5" w:rsidP="00242669">
      <w:pPr>
        <w:pStyle w:val="Caption"/>
        <w:keepNext/>
        <w:jc w:val="center"/>
        <w:rPr>
          <w:rFonts w:ascii="Arial" w:hAnsi="Arial" w:cs="Arial"/>
          <w:color w:val="000000" w:themeColor="text1"/>
          <w:sz w:val="24"/>
          <w:szCs w:val="24"/>
          <w:u w:val="single"/>
        </w:rPr>
      </w:pPr>
      <w:r w:rsidRPr="00B3537C">
        <w:rPr>
          <w:rFonts w:ascii="Arial" w:hAnsi="Arial" w:cs="Arial"/>
          <w:color w:val="000000" w:themeColor="text1"/>
          <w:sz w:val="24"/>
          <w:szCs w:val="24"/>
          <w:u w:val="single"/>
        </w:rPr>
        <w:t xml:space="preserve">Table </w:t>
      </w:r>
      <w:r w:rsidRPr="00B3537C">
        <w:rPr>
          <w:rFonts w:ascii="Arial" w:hAnsi="Arial" w:cs="Arial"/>
          <w:color w:val="000000" w:themeColor="text1"/>
          <w:sz w:val="24"/>
          <w:szCs w:val="24"/>
          <w:u w:val="single"/>
        </w:rPr>
        <w:fldChar w:fldCharType="begin"/>
      </w:r>
      <w:r w:rsidRPr="00B3537C">
        <w:rPr>
          <w:rFonts w:ascii="Arial" w:hAnsi="Arial" w:cs="Arial"/>
          <w:color w:val="000000" w:themeColor="text1"/>
          <w:sz w:val="24"/>
          <w:szCs w:val="24"/>
          <w:u w:val="single"/>
        </w:rPr>
        <w:instrText xml:space="preserve"> SEQ Table \* ARABIC </w:instrText>
      </w:r>
      <w:r w:rsidRPr="00B3537C">
        <w:rPr>
          <w:rFonts w:ascii="Arial" w:hAnsi="Arial" w:cs="Arial"/>
          <w:color w:val="000000" w:themeColor="text1"/>
          <w:sz w:val="24"/>
          <w:szCs w:val="24"/>
          <w:u w:val="single"/>
        </w:rPr>
        <w:fldChar w:fldCharType="separate"/>
      </w:r>
      <w:r w:rsidRPr="00B3537C">
        <w:rPr>
          <w:rFonts w:ascii="Arial" w:hAnsi="Arial" w:cs="Arial"/>
          <w:color w:val="000000" w:themeColor="text1"/>
          <w:sz w:val="24"/>
          <w:szCs w:val="24"/>
          <w:u w:val="single"/>
        </w:rPr>
        <w:t>2</w:t>
      </w:r>
      <w:r w:rsidRPr="00B3537C">
        <w:rPr>
          <w:rFonts w:ascii="Arial" w:hAnsi="Arial" w:cs="Arial"/>
          <w:color w:val="000000" w:themeColor="text1"/>
          <w:sz w:val="24"/>
          <w:szCs w:val="24"/>
          <w:u w:val="single"/>
        </w:rPr>
        <w:fldChar w:fldCharType="end"/>
      </w:r>
      <w:r w:rsidRPr="00B3537C">
        <w:rPr>
          <w:rFonts w:ascii="Arial" w:hAnsi="Arial" w:cs="Arial"/>
          <w:color w:val="000000" w:themeColor="text1"/>
          <w:sz w:val="24"/>
          <w:szCs w:val="24"/>
          <w:u w:val="single"/>
        </w:rPr>
        <w:t xml:space="preserve"> Liquidity ratios</w:t>
      </w:r>
    </w:p>
    <w:tbl>
      <w:tblPr>
        <w:tblStyle w:val="GridTable3-Accent1"/>
        <w:tblW w:w="8360" w:type="dxa"/>
        <w:tblInd w:w="10" w:type="dxa"/>
        <w:tblLook w:val="04A0" w:firstRow="1" w:lastRow="0" w:firstColumn="1" w:lastColumn="0" w:noHBand="0" w:noVBand="1"/>
      </w:tblPr>
      <w:tblGrid>
        <w:gridCol w:w="3560"/>
        <w:gridCol w:w="960"/>
        <w:gridCol w:w="960"/>
        <w:gridCol w:w="960"/>
        <w:gridCol w:w="960"/>
        <w:gridCol w:w="960"/>
      </w:tblGrid>
      <w:tr w:rsidR="00242669" w:rsidRPr="00B3537C" w14:paraId="0E29D4D2" w14:textId="77777777" w:rsidTr="00242669">
        <w:trPr>
          <w:cnfStyle w:val="100000000000" w:firstRow="1" w:lastRow="0" w:firstColumn="0" w:lastColumn="0" w:oddVBand="0" w:evenVBand="0" w:oddHBand="0" w:evenHBand="0" w:firstRowFirstColumn="0" w:firstRowLastColumn="0" w:lastRowFirstColumn="0" w:lastRowLastColumn="0"/>
          <w:trHeight w:val="288"/>
        </w:trPr>
        <w:tc>
          <w:tcPr>
            <w:cnfStyle w:val="001000000100" w:firstRow="0" w:lastRow="0" w:firstColumn="1" w:lastColumn="0" w:oddVBand="0" w:evenVBand="0" w:oddHBand="0" w:evenHBand="0" w:firstRowFirstColumn="1" w:firstRowLastColumn="0" w:lastRowFirstColumn="0" w:lastRowLastColumn="0"/>
            <w:tcW w:w="3560" w:type="dxa"/>
            <w:noWrap/>
            <w:hideMark/>
          </w:tcPr>
          <w:p w14:paraId="2E1D93EC"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960" w:type="dxa"/>
            <w:noWrap/>
            <w:hideMark/>
          </w:tcPr>
          <w:p w14:paraId="3FC08ED7"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2025</w:t>
            </w:r>
          </w:p>
        </w:tc>
        <w:tc>
          <w:tcPr>
            <w:tcW w:w="960" w:type="dxa"/>
            <w:noWrap/>
            <w:hideMark/>
          </w:tcPr>
          <w:p w14:paraId="59349A3B"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2024</w:t>
            </w:r>
          </w:p>
        </w:tc>
        <w:tc>
          <w:tcPr>
            <w:tcW w:w="960" w:type="dxa"/>
            <w:noWrap/>
            <w:hideMark/>
          </w:tcPr>
          <w:p w14:paraId="520DB840"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2023</w:t>
            </w:r>
          </w:p>
        </w:tc>
        <w:tc>
          <w:tcPr>
            <w:tcW w:w="960" w:type="dxa"/>
            <w:noWrap/>
            <w:hideMark/>
          </w:tcPr>
          <w:p w14:paraId="736261E3"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2022</w:t>
            </w:r>
          </w:p>
        </w:tc>
        <w:tc>
          <w:tcPr>
            <w:tcW w:w="960" w:type="dxa"/>
            <w:noWrap/>
            <w:hideMark/>
          </w:tcPr>
          <w:p w14:paraId="20523E39"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2021</w:t>
            </w:r>
          </w:p>
        </w:tc>
      </w:tr>
      <w:tr w:rsidR="00242669" w:rsidRPr="00B3537C" w14:paraId="25585EC6" w14:textId="77777777" w:rsidTr="00242669">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3560" w:type="dxa"/>
            <w:noWrap/>
            <w:hideMark/>
          </w:tcPr>
          <w:p w14:paraId="75D63408"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Current ratio</w:t>
            </w:r>
          </w:p>
        </w:tc>
        <w:tc>
          <w:tcPr>
            <w:tcW w:w="960" w:type="dxa"/>
            <w:noWrap/>
            <w:hideMark/>
          </w:tcPr>
          <w:p w14:paraId="35971C81"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1.26</w:t>
            </w:r>
          </w:p>
        </w:tc>
        <w:tc>
          <w:tcPr>
            <w:tcW w:w="960" w:type="dxa"/>
            <w:noWrap/>
            <w:hideMark/>
          </w:tcPr>
          <w:p w14:paraId="012D559D"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1.19</w:t>
            </w:r>
          </w:p>
        </w:tc>
        <w:tc>
          <w:tcPr>
            <w:tcW w:w="960" w:type="dxa"/>
            <w:noWrap/>
            <w:hideMark/>
          </w:tcPr>
          <w:p w14:paraId="433A05DB"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1.1</w:t>
            </w:r>
          </w:p>
        </w:tc>
        <w:tc>
          <w:tcPr>
            <w:tcW w:w="960" w:type="dxa"/>
            <w:noWrap/>
            <w:hideMark/>
          </w:tcPr>
          <w:p w14:paraId="23FF87A4"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1.09</w:t>
            </w:r>
          </w:p>
        </w:tc>
        <w:tc>
          <w:tcPr>
            <w:tcW w:w="960" w:type="dxa"/>
            <w:noWrap/>
            <w:hideMark/>
          </w:tcPr>
          <w:p w14:paraId="1D035ECB"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1.06</w:t>
            </w:r>
          </w:p>
        </w:tc>
      </w:tr>
      <w:tr w:rsidR="00242669" w:rsidRPr="00B3537C" w14:paraId="64381910" w14:textId="77777777" w:rsidTr="00242669">
        <w:trPr>
          <w:trHeight w:val="348"/>
        </w:trPr>
        <w:tc>
          <w:tcPr>
            <w:cnfStyle w:val="001000000000" w:firstRow="0" w:lastRow="0" w:firstColumn="1" w:lastColumn="0" w:oddVBand="0" w:evenVBand="0" w:oddHBand="0" w:evenHBand="0" w:firstRowFirstColumn="0" w:firstRowLastColumn="0" w:lastRowFirstColumn="0" w:lastRowLastColumn="0"/>
            <w:tcW w:w="3560" w:type="dxa"/>
            <w:noWrap/>
            <w:hideMark/>
          </w:tcPr>
          <w:p w14:paraId="4A38A147"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Quick Ratio</w:t>
            </w:r>
          </w:p>
        </w:tc>
        <w:tc>
          <w:tcPr>
            <w:tcW w:w="960" w:type="dxa"/>
            <w:noWrap/>
            <w:hideMark/>
          </w:tcPr>
          <w:p w14:paraId="79900857"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1.1</w:t>
            </w:r>
          </w:p>
        </w:tc>
        <w:tc>
          <w:tcPr>
            <w:tcW w:w="960" w:type="dxa"/>
            <w:noWrap/>
            <w:hideMark/>
          </w:tcPr>
          <w:p w14:paraId="259CF2DC"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1.03</w:t>
            </w:r>
          </w:p>
        </w:tc>
        <w:tc>
          <w:tcPr>
            <w:tcW w:w="960" w:type="dxa"/>
            <w:noWrap/>
            <w:hideMark/>
          </w:tcPr>
          <w:p w14:paraId="111DA223"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0.93</w:t>
            </w:r>
          </w:p>
        </w:tc>
        <w:tc>
          <w:tcPr>
            <w:tcW w:w="960" w:type="dxa"/>
            <w:noWrap/>
            <w:hideMark/>
          </w:tcPr>
          <w:p w14:paraId="38E1E5BE"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0.91</w:t>
            </w:r>
          </w:p>
        </w:tc>
        <w:tc>
          <w:tcPr>
            <w:tcW w:w="960" w:type="dxa"/>
            <w:noWrap/>
            <w:hideMark/>
          </w:tcPr>
          <w:p w14:paraId="4D37795F"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0.93</w:t>
            </w:r>
          </w:p>
        </w:tc>
      </w:tr>
    </w:tbl>
    <w:p w14:paraId="572655B3" w14:textId="77777777" w:rsidR="002258B5" w:rsidRPr="00B3537C" w:rsidRDefault="002258B5" w:rsidP="002258B5">
      <w:pPr>
        <w:rPr>
          <w:rFonts w:ascii="Arial" w:hAnsi="Arial" w:cs="Arial"/>
          <w:color w:val="000000" w:themeColor="text1"/>
          <w:sz w:val="24"/>
          <w:szCs w:val="24"/>
        </w:rPr>
      </w:pPr>
    </w:p>
    <w:p w14:paraId="74B29A87" w14:textId="77777777" w:rsidR="002258B5" w:rsidRPr="00B3537C" w:rsidRDefault="002258B5" w:rsidP="002258B5">
      <w:pPr>
        <w:keepNext/>
        <w:jc w:val="center"/>
        <w:rPr>
          <w:rFonts w:ascii="Arial" w:hAnsi="Arial" w:cs="Arial"/>
          <w:color w:val="000000" w:themeColor="text1"/>
          <w:sz w:val="24"/>
          <w:szCs w:val="24"/>
        </w:rPr>
      </w:pPr>
      <w:r w:rsidRPr="00B3537C">
        <w:rPr>
          <w:rFonts w:ascii="Arial" w:hAnsi="Arial" w:cs="Arial"/>
          <w:noProof/>
          <w:color w:val="000000" w:themeColor="text1"/>
          <w:sz w:val="24"/>
          <w:szCs w:val="24"/>
          <w:lang w:val="en-US"/>
        </w:rPr>
        <w:drawing>
          <wp:inline distT="0" distB="0" distL="0" distR="0" wp14:anchorId="1231E616" wp14:editId="7FB94FC9">
            <wp:extent cx="5197402" cy="3124200"/>
            <wp:effectExtent l="0" t="0" r="3810" b="0"/>
            <wp:docPr id="2108954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02008" cy="3126969"/>
                    </a:xfrm>
                    <a:prstGeom prst="rect">
                      <a:avLst/>
                    </a:prstGeom>
                    <a:noFill/>
                  </pic:spPr>
                </pic:pic>
              </a:graphicData>
            </a:graphic>
          </wp:inline>
        </w:drawing>
      </w:r>
    </w:p>
    <w:p w14:paraId="02DF1978" w14:textId="77777777" w:rsidR="002258B5" w:rsidRPr="00B3537C" w:rsidRDefault="002258B5" w:rsidP="002258B5">
      <w:pPr>
        <w:pStyle w:val="Caption"/>
        <w:jc w:val="center"/>
        <w:rPr>
          <w:rFonts w:ascii="Arial" w:hAnsi="Arial" w:cs="Arial"/>
          <w:color w:val="000000" w:themeColor="text1"/>
          <w:sz w:val="24"/>
          <w:szCs w:val="24"/>
        </w:rPr>
      </w:pPr>
      <w:r w:rsidRPr="00B3537C">
        <w:rPr>
          <w:rFonts w:ascii="Arial" w:hAnsi="Arial" w:cs="Arial"/>
          <w:color w:val="000000" w:themeColor="text1"/>
          <w:sz w:val="24"/>
          <w:szCs w:val="24"/>
        </w:rPr>
        <w:t xml:space="preserve">Figure </w:t>
      </w:r>
      <w:r w:rsidRPr="00B3537C">
        <w:rPr>
          <w:rFonts w:ascii="Arial" w:hAnsi="Arial" w:cs="Arial"/>
          <w:color w:val="000000" w:themeColor="text1"/>
          <w:sz w:val="24"/>
          <w:szCs w:val="24"/>
        </w:rPr>
        <w:fldChar w:fldCharType="begin"/>
      </w:r>
      <w:r w:rsidRPr="00B3537C">
        <w:rPr>
          <w:rFonts w:ascii="Arial" w:hAnsi="Arial" w:cs="Arial"/>
          <w:color w:val="000000" w:themeColor="text1"/>
          <w:sz w:val="24"/>
          <w:szCs w:val="24"/>
        </w:rPr>
        <w:instrText xml:space="preserve"> SEQ Figure \* ARABIC </w:instrText>
      </w:r>
      <w:r w:rsidRPr="00B3537C">
        <w:rPr>
          <w:rFonts w:ascii="Arial" w:hAnsi="Arial" w:cs="Arial"/>
          <w:color w:val="000000" w:themeColor="text1"/>
          <w:sz w:val="24"/>
          <w:szCs w:val="24"/>
        </w:rPr>
        <w:fldChar w:fldCharType="separate"/>
      </w:r>
      <w:r w:rsidRPr="00B3537C">
        <w:rPr>
          <w:rFonts w:ascii="Arial" w:hAnsi="Arial" w:cs="Arial"/>
          <w:noProof/>
          <w:color w:val="000000" w:themeColor="text1"/>
          <w:sz w:val="24"/>
          <w:szCs w:val="24"/>
        </w:rPr>
        <w:t>2</w:t>
      </w:r>
      <w:r w:rsidRPr="00B3537C">
        <w:rPr>
          <w:rFonts w:ascii="Arial" w:hAnsi="Arial" w:cs="Arial"/>
          <w:color w:val="000000" w:themeColor="text1"/>
          <w:sz w:val="24"/>
          <w:szCs w:val="24"/>
        </w:rPr>
        <w:fldChar w:fldCharType="end"/>
      </w:r>
      <w:r w:rsidRPr="00B3537C">
        <w:rPr>
          <w:rFonts w:ascii="Arial" w:hAnsi="Arial" w:cs="Arial"/>
          <w:color w:val="000000" w:themeColor="text1"/>
          <w:sz w:val="24"/>
          <w:szCs w:val="24"/>
        </w:rPr>
        <w:t xml:space="preserve"> Liquidity ratios</w:t>
      </w:r>
    </w:p>
    <w:p w14:paraId="43E0BDC7" w14:textId="77777777" w:rsidR="002258B5" w:rsidRPr="00B3537C" w:rsidRDefault="002258B5" w:rsidP="002258B5">
      <w:pPr>
        <w:rPr>
          <w:rFonts w:ascii="Arial" w:hAnsi="Arial" w:cs="Arial"/>
          <w:color w:val="000000" w:themeColor="text1"/>
          <w:sz w:val="24"/>
          <w:szCs w:val="24"/>
        </w:rPr>
      </w:pPr>
    </w:p>
    <w:p w14:paraId="1FDD4314" w14:textId="77777777" w:rsidR="002258B5" w:rsidRPr="00B3537C" w:rsidRDefault="002258B5" w:rsidP="00242669">
      <w:pPr>
        <w:pStyle w:val="Caption"/>
        <w:keepNext/>
        <w:jc w:val="center"/>
        <w:rPr>
          <w:rFonts w:ascii="Arial" w:hAnsi="Arial" w:cs="Arial"/>
          <w:color w:val="000000" w:themeColor="text1"/>
          <w:sz w:val="24"/>
          <w:szCs w:val="24"/>
          <w:u w:val="single"/>
        </w:rPr>
      </w:pPr>
      <w:r w:rsidRPr="00B3537C">
        <w:rPr>
          <w:rFonts w:ascii="Arial" w:hAnsi="Arial" w:cs="Arial"/>
          <w:color w:val="000000" w:themeColor="text1"/>
          <w:sz w:val="24"/>
          <w:szCs w:val="24"/>
          <w:u w:val="single"/>
        </w:rPr>
        <w:t xml:space="preserve">Table </w:t>
      </w:r>
      <w:r w:rsidRPr="00B3537C">
        <w:rPr>
          <w:rFonts w:ascii="Arial" w:hAnsi="Arial" w:cs="Arial"/>
          <w:color w:val="000000" w:themeColor="text1"/>
          <w:sz w:val="24"/>
          <w:szCs w:val="24"/>
          <w:u w:val="single"/>
        </w:rPr>
        <w:fldChar w:fldCharType="begin"/>
      </w:r>
      <w:r w:rsidRPr="00B3537C">
        <w:rPr>
          <w:rFonts w:ascii="Arial" w:hAnsi="Arial" w:cs="Arial"/>
          <w:color w:val="000000" w:themeColor="text1"/>
          <w:sz w:val="24"/>
          <w:szCs w:val="24"/>
          <w:u w:val="single"/>
        </w:rPr>
        <w:instrText xml:space="preserve"> SEQ Table \* ARABIC </w:instrText>
      </w:r>
      <w:r w:rsidRPr="00B3537C">
        <w:rPr>
          <w:rFonts w:ascii="Arial" w:hAnsi="Arial" w:cs="Arial"/>
          <w:color w:val="000000" w:themeColor="text1"/>
          <w:sz w:val="24"/>
          <w:szCs w:val="24"/>
          <w:u w:val="single"/>
        </w:rPr>
        <w:fldChar w:fldCharType="separate"/>
      </w:r>
      <w:r w:rsidRPr="00B3537C">
        <w:rPr>
          <w:rFonts w:ascii="Arial" w:hAnsi="Arial" w:cs="Arial"/>
          <w:color w:val="000000" w:themeColor="text1"/>
          <w:sz w:val="24"/>
          <w:szCs w:val="24"/>
          <w:u w:val="single"/>
        </w:rPr>
        <w:t>3</w:t>
      </w:r>
      <w:r w:rsidRPr="00B3537C">
        <w:rPr>
          <w:rFonts w:ascii="Arial" w:hAnsi="Arial" w:cs="Arial"/>
          <w:color w:val="000000" w:themeColor="text1"/>
          <w:sz w:val="24"/>
          <w:szCs w:val="24"/>
          <w:u w:val="single"/>
        </w:rPr>
        <w:fldChar w:fldCharType="end"/>
      </w:r>
      <w:r w:rsidRPr="00B3537C">
        <w:rPr>
          <w:rFonts w:ascii="Arial" w:hAnsi="Arial" w:cs="Arial"/>
          <w:color w:val="000000" w:themeColor="text1"/>
          <w:sz w:val="24"/>
          <w:szCs w:val="24"/>
          <w:u w:val="single"/>
        </w:rPr>
        <w:t xml:space="preserve"> Efficiency ratio</w:t>
      </w:r>
    </w:p>
    <w:tbl>
      <w:tblPr>
        <w:tblStyle w:val="GridTable3-Accent1"/>
        <w:tblW w:w="8480" w:type="dxa"/>
        <w:tblInd w:w="5" w:type="dxa"/>
        <w:tblLook w:val="04A0" w:firstRow="1" w:lastRow="0" w:firstColumn="1" w:lastColumn="0" w:noHBand="0" w:noVBand="1"/>
      </w:tblPr>
      <w:tblGrid>
        <w:gridCol w:w="3560"/>
        <w:gridCol w:w="984"/>
        <w:gridCol w:w="984"/>
        <w:gridCol w:w="984"/>
        <w:gridCol w:w="984"/>
        <w:gridCol w:w="984"/>
      </w:tblGrid>
      <w:tr w:rsidR="00242669" w:rsidRPr="00B3537C" w14:paraId="3530D02C" w14:textId="77777777" w:rsidTr="0004206D">
        <w:trPr>
          <w:cnfStyle w:val="100000000000" w:firstRow="1" w:lastRow="0" w:firstColumn="0" w:lastColumn="0" w:oddVBand="0" w:evenVBand="0" w:oddHBand="0" w:evenHBand="0" w:firstRowFirstColumn="0" w:firstRowLastColumn="0" w:lastRowFirstColumn="0" w:lastRowLastColumn="0"/>
          <w:trHeight w:val="288"/>
        </w:trPr>
        <w:tc>
          <w:tcPr>
            <w:cnfStyle w:val="001000000100" w:firstRow="0" w:lastRow="0" w:firstColumn="1" w:lastColumn="0" w:oddVBand="0" w:evenVBand="0" w:oddHBand="0" w:evenHBand="0" w:firstRowFirstColumn="1" w:firstRowLastColumn="0" w:lastRowFirstColumn="0" w:lastRowLastColumn="0"/>
            <w:tcW w:w="3560" w:type="dxa"/>
            <w:noWrap/>
            <w:hideMark/>
          </w:tcPr>
          <w:p w14:paraId="033C08ED"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984" w:type="dxa"/>
            <w:noWrap/>
            <w:hideMark/>
          </w:tcPr>
          <w:p w14:paraId="312F2BA3"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2025</w:t>
            </w:r>
          </w:p>
        </w:tc>
        <w:tc>
          <w:tcPr>
            <w:tcW w:w="984" w:type="dxa"/>
            <w:noWrap/>
            <w:hideMark/>
          </w:tcPr>
          <w:p w14:paraId="79A9E740"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2024</w:t>
            </w:r>
          </w:p>
        </w:tc>
        <w:tc>
          <w:tcPr>
            <w:tcW w:w="984" w:type="dxa"/>
            <w:noWrap/>
            <w:hideMark/>
          </w:tcPr>
          <w:p w14:paraId="06198DB2"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2023</w:t>
            </w:r>
          </w:p>
        </w:tc>
        <w:tc>
          <w:tcPr>
            <w:tcW w:w="984" w:type="dxa"/>
            <w:noWrap/>
            <w:hideMark/>
          </w:tcPr>
          <w:p w14:paraId="1D5D9A7E"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2022</w:t>
            </w:r>
          </w:p>
        </w:tc>
        <w:tc>
          <w:tcPr>
            <w:tcW w:w="984" w:type="dxa"/>
            <w:noWrap/>
            <w:hideMark/>
          </w:tcPr>
          <w:p w14:paraId="2AFC896C"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2021</w:t>
            </w:r>
          </w:p>
        </w:tc>
      </w:tr>
      <w:tr w:rsidR="00242669" w:rsidRPr="00B3537C" w14:paraId="10C59B8E" w14:textId="77777777" w:rsidTr="0004206D">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3560" w:type="dxa"/>
            <w:noWrap/>
            <w:hideMark/>
          </w:tcPr>
          <w:p w14:paraId="2CAEFCF4"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Inventory Turnover ratio</w:t>
            </w:r>
          </w:p>
        </w:tc>
        <w:tc>
          <w:tcPr>
            <w:tcW w:w="984" w:type="dxa"/>
            <w:noWrap/>
            <w:hideMark/>
          </w:tcPr>
          <w:p w14:paraId="502AF5BB"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8.37</w:t>
            </w:r>
          </w:p>
        </w:tc>
        <w:tc>
          <w:tcPr>
            <w:tcW w:w="984" w:type="dxa"/>
            <w:noWrap/>
            <w:hideMark/>
          </w:tcPr>
          <w:p w14:paraId="1B21DFA7"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7.76</w:t>
            </w:r>
          </w:p>
        </w:tc>
        <w:tc>
          <w:tcPr>
            <w:tcW w:w="984" w:type="dxa"/>
            <w:noWrap/>
            <w:hideMark/>
          </w:tcPr>
          <w:p w14:paraId="7D8DBF8A"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7.25</w:t>
            </w:r>
          </w:p>
        </w:tc>
        <w:tc>
          <w:tcPr>
            <w:tcW w:w="984" w:type="dxa"/>
            <w:noWrap/>
            <w:hideMark/>
          </w:tcPr>
          <w:p w14:paraId="41FA01FA"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6.65</w:t>
            </w:r>
          </w:p>
        </w:tc>
        <w:tc>
          <w:tcPr>
            <w:tcW w:w="984" w:type="dxa"/>
            <w:noWrap/>
            <w:hideMark/>
          </w:tcPr>
          <w:p w14:paraId="2F2A9C94"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7.75</w:t>
            </w:r>
          </w:p>
        </w:tc>
      </w:tr>
      <w:tr w:rsidR="00242669" w:rsidRPr="00B3537C" w14:paraId="3E6CE9CE" w14:textId="77777777" w:rsidTr="0004206D">
        <w:trPr>
          <w:trHeight w:val="396"/>
        </w:trPr>
        <w:tc>
          <w:tcPr>
            <w:cnfStyle w:val="001000000000" w:firstRow="0" w:lastRow="0" w:firstColumn="1" w:lastColumn="0" w:oddVBand="0" w:evenVBand="0" w:oddHBand="0" w:evenHBand="0" w:firstRowFirstColumn="0" w:firstRowLastColumn="0" w:lastRowFirstColumn="0" w:lastRowLastColumn="0"/>
            <w:tcW w:w="3560" w:type="dxa"/>
            <w:noWrap/>
            <w:hideMark/>
          </w:tcPr>
          <w:p w14:paraId="07ED5C7F"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Account receivable turnover ratio</w:t>
            </w:r>
          </w:p>
        </w:tc>
        <w:tc>
          <w:tcPr>
            <w:tcW w:w="984" w:type="dxa"/>
            <w:noWrap/>
            <w:hideMark/>
          </w:tcPr>
          <w:p w14:paraId="380239AC"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3.13</w:t>
            </w:r>
          </w:p>
        </w:tc>
        <w:tc>
          <w:tcPr>
            <w:tcW w:w="984" w:type="dxa"/>
            <w:noWrap/>
            <w:hideMark/>
          </w:tcPr>
          <w:p w14:paraId="486B448A"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3.01</w:t>
            </w:r>
          </w:p>
        </w:tc>
        <w:tc>
          <w:tcPr>
            <w:tcW w:w="984" w:type="dxa"/>
            <w:noWrap/>
            <w:hideMark/>
          </w:tcPr>
          <w:p w14:paraId="56313FCB"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3.07</w:t>
            </w:r>
          </w:p>
        </w:tc>
        <w:tc>
          <w:tcPr>
            <w:tcW w:w="984" w:type="dxa"/>
            <w:noWrap/>
            <w:hideMark/>
          </w:tcPr>
          <w:p w14:paraId="3A692A89"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2.99</w:t>
            </w:r>
          </w:p>
        </w:tc>
        <w:tc>
          <w:tcPr>
            <w:tcW w:w="984" w:type="dxa"/>
            <w:noWrap/>
            <w:hideMark/>
          </w:tcPr>
          <w:p w14:paraId="6F9190CD"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2.77</w:t>
            </w:r>
          </w:p>
        </w:tc>
      </w:tr>
      <w:tr w:rsidR="00242669" w:rsidRPr="00B3537C" w14:paraId="652E491D" w14:textId="77777777" w:rsidTr="0004206D">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3560" w:type="dxa"/>
            <w:noWrap/>
            <w:hideMark/>
          </w:tcPr>
          <w:p w14:paraId="73525BE0"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Asset turnover ratio</w:t>
            </w:r>
          </w:p>
        </w:tc>
        <w:tc>
          <w:tcPr>
            <w:tcW w:w="984" w:type="dxa"/>
            <w:noWrap/>
            <w:hideMark/>
          </w:tcPr>
          <w:p w14:paraId="399B8AA0"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0.51</w:t>
            </w:r>
          </w:p>
        </w:tc>
        <w:tc>
          <w:tcPr>
            <w:tcW w:w="984" w:type="dxa"/>
            <w:noWrap/>
            <w:hideMark/>
          </w:tcPr>
          <w:p w14:paraId="1F21E57B"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0.5</w:t>
            </w:r>
          </w:p>
        </w:tc>
        <w:tc>
          <w:tcPr>
            <w:tcW w:w="984" w:type="dxa"/>
            <w:noWrap/>
            <w:hideMark/>
          </w:tcPr>
          <w:p w14:paraId="726D72DA"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0.5</w:t>
            </w:r>
          </w:p>
        </w:tc>
        <w:tc>
          <w:tcPr>
            <w:tcW w:w="984" w:type="dxa"/>
            <w:noWrap/>
            <w:hideMark/>
          </w:tcPr>
          <w:p w14:paraId="6BDC06DC"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0.46</w:t>
            </w:r>
          </w:p>
        </w:tc>
        <w:tc>
          <w:tcPr>
            <w:tcW w:w="984" w:type="dxa"/>
            <w:noWrap/>
            <w:hideMark/>
          </w:tcPr>
          <w:p w14:paraId="730014E3"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0.44</w:t>
            </w:r>
          </w:p>
        </w:tc>
      </w:tr>
      <w:tr w:rsidR="00242669" w:rsidRPr="00B3537C" w14:paraId="651E95FF" w14:textId="77777777" w:rsidTr="0004206D">
        <w:trPr>
          <w:trHeight w:val="360"/>
        </w:trPr>
        <w:tc>
          <w:tcPr>
            <w:cnfStyle w:val="001000000000" w:firstRow="0" w:lastRow="0" w:firstColumn="1" w:lastColumn="0" w:oddVBand="0" w:evenVBand="0" w:oddHBand="0" w:evenHBand="0" w:firstRowFirstColumn="0" w:firstRowLastColumn="0" w:lastRowFirstColumn="0" w:lastRowLastColumn="0"/>
            <w:tcW w:w="3560" w:type="dxa"/>
            <w:noWrap/>
            <w:hideMark/>
          </w:tcPr>
          <w:p w14:paraId="3BB7D918"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payable payment period</w:t>
            </w:r>
          </w:p>
        </w:tc>
        <w:tc>
          <w:tcPr>
            <w:tcW w:w="984" w:type="dxa"/>
            <w:noWrap/>
            <w:hideMark/>
          </w:tcPr>
          <w:p w14:paraId="1710355A" w14:textId="77777777" w:rsidR="002258B5" w:rsidRPr="00B3537C" w:rsidRDefault="002258B5" w:rsidP="0004206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38.34 days</w:t>
            </w:r>
          </w:p>
        </w:tc>
        <w:tc>
          <w:tcPr>
            <w:tcW w:w="984" w:type="dxa"/>
            <w:noWrap/>
            <w:hideMark/>
          </w:tcPr>
          <w:p w14:paraId="63DB8A0C" w14:textId="77777777" w:rsidR="002258B5" w:rsidRPr="00B3537C" w:rsidRDefault="002258B5" w:rsidP="0004206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38.53 days</w:t>
            </w:r>
          </w:p>
        </w:tc>
        <w:tc>
          <w:tcPr>
            <w:tcW w:w="984" w:type="dxa"/>
            <w:noWrap/>
            <w:hideMark/>
          </w:tcPr>
          <w:p w14:paraId="784BCBB8" w14:textId="77777777" w:rsidR="002258B5" w:rsidRPr="00B3537C" w:rsidRDefault="002258B5" w:rsidP="0004206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45.98 days</w:t>
            </w:r>
          </w:p>
        </w:tc>
        <w:tc>
          <w:tcPr>
            <w:tcW w:w="984" w:type="dxa"/>
            <w:noWrap/>
            <w:hideMark/>
          </w:tcPr>
          <w:p w14:paraId="0ED33820" w14:textId="77777777" w:rsidR="002258B5" w:rsidRPr="00B3537C" w:rsidRDefault="002258B5" w:rsidP="0004206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40.86 days</w:t>
            </w:r>
          </w:p>
        </w:tc>
        <w:tc>
          <w:tcPr>
            <w:tcW w:w="984" w:type="dxa"/>
            <w:noWrap/>
            <w:hideMark/>
          </w:tcPr>
          <w:p w14:paraId="581CD4DA" w14:textId="77777777" w:rsidR="002258B5" w:rsidRPr="00B3537C" w:rsidRDefault="002258B5" w:rsidP="0004206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46.68 days</w:t>
            </w:r>
          </w:p>
        </w:tc>
      </w:tr>
    </w:tbl>
    <w:p w14:paraId="616D3991" w14:textId="77777777" w:rsidR="002258B5" w:rsidRPr="00B3537C" w:rsidRDefault="002258B5" w:rsidP="002258B5">
      <w:pPr>
        <w:rPr>
          <w:rFonts w:ascii="Arial" w:hAnsi="Arial" w:cs="Arial"/>
          <w:color w:val="000000" w:themeColor="text1"/>
          <w:sz w:val="24"/>
          <w:szCs w:val="24"/>
        </w:rPr>
      </w:pPr>
    </w:p>
    <w:p w14:paraId="36465907" w14:textId="77777777" w:rsidR="002258B5" w:rsidRPr="00B3537C" w:rsidRDefault="002258B5" w:rsidP="002258B5">
      <w:pPr>
        <w:keepNext/>
        <w:jc w:val="center"/>
        <w:rPr>
          <w:rFonts w:ascii="Arial" w:hAnsi="Arial" w:cs="Arial"/>
          <w:color w:val="000000" w:themeColor="text1"/>
          <w:sz w:val="24"/>
          <w:szCs w:val="24"/>
        </w:rPr>
      </w:pPr>
      <w:r w:rsidRPr="00B3537C">
        <w:rPr>
          <w:rFonts w:ascii="Arial" w:hAnsi="Arial" w:cs="Arial"/>
          <w:noProof/>
          <w:color w:val="000000" w:themeColor="text1"/>
          <w:sz w:val="24"/>
          <w:szCs w:val="24"/>
          <w:lang w:val="en-US"/>
        </w:rPr>
        <w:lastRenderedPageBreak/>
        <w:drawing>
          <wp:inline distT="0" distB="0" distL="0" distR="0" wp14:anchorId="081D7948" wp14:editId="0973ABB6">
            <wp:extent cx="5206027" cy="3133725"/>
            <wp:effectExtent l="0" t="0" r="0" b="0"/>
            <wp:docPr id="12250534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11360" cy="3136935"/>
                    </a:xfrm>
                    <a:prstGeom prst="rect">
                      <a:avLst/>
                    </a:prstGeom>
                    <a:noFill/>
                  </pic:spPr>
                </pic:pic>
              </a:graphicData>
            </a:graphic>
          </wp:inline>
        </w:drawing>
      </w:r>
    </w:p>
    <w:p w14:paraId="43D223DB" w14:textId="77777777" w:rsidR="002258B5" w:rsidRPr="00B3537C" w:rsidRDefault="002258B5" w:rsidP="002258B5">
      <w:pPr>
        <w:pStyle w:val="Caption"/>
        <w:jc w:val="center"/>
        <w:rPr>
          <w:rFonts w:ascii="Arial" w:hAnsi="Arial" w:cs="Arial"/>
          <w:color w:val="000000" w:themeColor="text1"/>
          <w:sz w:val="24"/>
          <w:szCs w:val="24"/>
        </w:rPr>
      </w:pPr>
      <w:r w:rsidRPr="00B3537C">
        <w:rPr>
          <w:rFonts w:ascii="Arial" w:hAnsi="Arial" w:cs="Arial"/>
          <w:color w:val="000000" w:themeColor="text1"/>
          <w:sz w:val="24"/>
          <w:szCs w:val="24"/>
        </w:rPr>
        <w:t xml:space="preserve">Figure </w:t>
      </w:r>
      <w:r w:rsidRPr="00B3537C">
        <w:rPr>
          <w:rFonts w:ascii="Arial" w:hAnsi="Arial" w:cs="Arial"/>
          <w:color w:val="000000" w:themeColor="text1"/>
          <w:sz w:val="24"/>
          <w:szCs w:val="24"/>
        </w:rPr>
        <w:fldChar w:fldCharType="begin"/>
      </w:r>
      <w:r w:rsidRPr="00B3537C">
        <w:rPr>
          <w:rFonts w:ascii="Arial" w:hAnsi="Arial" w:cs="Arial"/>
          <w:color w:val="000000" w:themeColor="text1"/>
          <w:sz w:val="24"/>
          <w:szCs w:val="24"/>
        </w:rPr>
        <w:instrText xml:space="preserve"> SEQ Figure \* ARABIC </w:instrText>
      </w:r>
      <w:r w:rsidRPr="00B3537C">
        <w:rPr>
          <w:rFonts w:ascii="Arial" w:hAnsi="Arial" w:cs="Arial"/>
          <w:color w:val="000000" w:themeColor="text1"/>
          <w:sz w:val="24"/>
          <w:szCs w:val="24"/>
        </w:rPr>
        <w:fldChar w:fldCharType="separate"/>
      </w:r>
      <w:r w:rsidRPr="00B3537C">
        <w:rPr>
          <w:rFonts w:ascii="Arial" w:hAnsi="Arial" w:cs="Arial"/>
          <w:noProof/>
          <w:color w:val="000000" w:themeColor="text1"/>
          <w:sz w:val="24"/>
          <w:szCs w:val="24"/>
        </w:rPr>
        <w:t>3</w:t>
      </w:r>
      <w:r w:rsidRPr="00B3537C">
        <w:rPr>
          <w:rFonts w:ascii="Arial" w:hAnsi="Arial" w:cs="Arial"/>
          <w:color w:val="000000" w:themeColor="text1"/>
          <w:sz w:val="24"/>
          <w:szCs w:val="24"/>
        </w:rPr>
        <w:fldChar w:fldCharType="end"/>
      </w:r>
      <w:r w:rsidRPr="00B3537C">
        <w:rPr>
          <w:rFonts w:ascii="Arial" w:hAnsi="Arial" w:cs="Arial"/>
          <w:color w:val="000000" w:themeColor="text1"/>
          <w:sz w:val="24"/>
          <w:szCs w:val="24"/>
        </w:rPr>
        <w:t xml:space="preserve"> Efficiency ratio</w:t>
      </w:r>
    </w:p>
    <w:p w14:paraId="6FB658E1" w14:textId="77777777" w:rsidR="002258B5" w:rsidRPr="00B3537C" w:rsidRDefault="002258B5" w:rsidP="002258B5">
      <w:pPr>
        <w:rPr>
          <w:rFonts w:ascii="Arial" w:hAnsi="Arial" w:cs="Arial"/>
          <w:color w:val="000000" w:themeColor="text1"/>
          <w:sz w:val="24"/>
          <w:szCs w:val="24"/>
        </w:rPr>
      </w:pPr>
    </w:p>
    <w:p w14:paraId="65D894EB" w14:textId="77777777" w:rsidR="002258B5" w:rsidRPr="00B3537C" w:rsidRDefault="002258B5" w:rsidP="00242669">
      <w:pPr>
        <w:pStyle w:val="Caption"/>
        <w:keepNext/>
        <w:jc w:val="center"/>
        <w:rPr>
          <w:rFonts w:ascii="Arial" w:hAnsi="Arial" w:cs="Arial"/>
          <w:color w:val="000000" w:themeColor="text1"/>
          <w:sz w:val="24"/>
          <w:szCs w:val="24"/>
          <w:u w:val="single"/>
        </w:rPr>
      </w:pPr>
      <w:r w:rsidRPr="00B3537C">
        <w:rPr>
          <w:rFonts w:ascii="Arial" w:hAnsi="Arial" w:cs="Arial"/>
          <w:color w:val="000000" w:themeColor="text1"/>
          <w:sz w:val="24"/>
          <w:szCs w:val="24"/>
          <w:u w:val="single"/>
        </w:rPr>
        <w:t xml:space="preserve">Table </w:t>
      </w:r>
      <w:r w:rsidRPr="00B3537C">
        <w:rPr>
          <w:rFonts w:ascii="Arial" w:hAnsi="Arial" w:cs="Arial"/>
          <w:color w:val="000000" w:themeColor="text1"/>
          <w:sz w:val="24"/>
          <w:szCs w:val="24"/>
          <w:u w:val="single"/>
        </w:rPr>
        <w:fldChar w:fldCharType="begin"/>
      </w:r>
      <w:r w:rsidRPr="00B3537C">
        <w:rPr>
          <w:rFonts w:ascii="Arial" w:hAnsi="Arial" w:cs="Arial"/>
          <w:color w:val="000000" w:themeColor="text1"/>
          <w:sz w:val="24"/>
          <w:szCs w:val="24"/>
          <w:u w:val="single"/>
        </w:rPr>
        <w:instrText xml:space="preserve"> SEQ Table \* ARABIC </w:instrText>
      </w:r>
      <w:r w:rsidRPr="00B3537C">
        <w:rPr>
          <w:rFonts w:ascii="Arial" w:hAnsi="Arial" w:cs="Arial"/>
          <w:color w:val="000000" w:themeColor="text1"/>
          <w:sz w:val="24"/>
          <w:szCs w:val="24"/>
          <w:u w:val="single"/>
        </w:rPr>
        <w:fldChar w:fldCharType="separate"/>
      </w:r>
      <w:r w:rsidRPr="00B3537C">
        <w:rPr>
          <w:rFonts w:ascii="Arial" w:hAnsi="Arial" w:cs="Arial"/>
          <w:noProof/>
          <w:color w:val="000000" w:themeColor="text1"/>
          <w:sz w:val="24"/>
          <w:szCs w:val="24"/>
          <w:u w:val="single"/>
        </w:rPr>
        <w:t>4</w:t>
      </w:r>
      <w:r w:rsidRPr="00B3537C">
        <w:rPr>
          <w:rFonts w:ascii="Arial" w:hAnsi="Arial" w:cs="Arial"/>
          <w:color w:val="000000" w:themeColor="text1"/>
          <w:sz w:val="24"/>
          <w:szCs w:val="24"/>
          <w:u w:val="single"/>
        </w:rPr>
        <w:fldChar w:fldCharType="end"/>
      </w:r>
      <w:r w:rsidRPr="00B3537C">
        <w:rPr>
          <w:rFonts w:ascii="Arial" w:hAnsi="Arial" w:cs="Arial"/>
          <w:color w:val="000000" w:themeColor="text1"/>
          <w:sz w:val="24"/>
          <w:szCs w:val="24"/>
          <w:u w:val="single"/>
        </w:rPr>
        <w:t xml:space="preserve"> Leverage/Gearing ratio</w:t>
      </w:r>
    </w:p>
    <w:tbl>
      <w:tblPr>
        <w:tblStyle w:val="GridTable3-Accent1"/>
        <w:tblW w:w="8360" w:type="dxa"/>
        <w:tblInd w:w="5" w:type="dxa"/>
        <w:tblLook w:val="04A0" w:firstRow="1" w:lastRow="0" w:firstColumn="1" w:lastColumn="0" w:noHBand="0" w:noVBand="1"/>
      </w:tblPr>
      <w:tblGrid>
        <w:gridCol w:w="3560"/>
        <w:gridCol w:w="960"/>
        <w:gridCol w:w="960"/>
        <w:gridCol w:w="960"/>
        <w:gridCol w:w="960"/>
        <w:gridCol w:w="960"/>
      </w:tblGrid>
      <w:tr w:rsidR="00242669" w:rsidRPr="00B3537C" w14:paraId="2147C6E7" w14:textId="77777777" w:rsidTr="0004206D">
        <w:trPr>
          <w:cnfStyle w:val="100000000000" w:firstRow="1" w:lastRow="0" w:firstColumn="0" w:lastColumn="0" w:oddVBand="0" w:evenVBand="0" w:oddHBand="0" w:evenHBand="0" w:firstRowFirstColumn="0" w:firstRowLastColumn="0" w:lastRowFirstColumn="0" w:lastRowLastColumn="0"/>
          <w:trHeight w:val="312"/>
        </w:trPr>
        <w:tc>
          <w:tcPr>
            <w:cnfStyle w:val="001000000100" w:firstRow="0" w:lastRow="0" w:firstColumn="1" w:lastColumn="0" w:oddVBand="0" w:evenVBand="0" w:oddHBand="0" w:evenHBand="0" w:firstRowFirstColumn="1" w:firstRowLastColumn="0" w:lastRowFirstColumn="0" w:lastRowLastColumn="0"/>
            <w:tcW w:w="3560" w:type="dxa"/>
            <w:noWrap/>
            <w:hideMark/>
          </w:tcPr>
          <w:p w14:paraId="4A4C36B1"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960" w:type="dxa"/>
            <w:noWrap/>
            <w:hideMark/>
          </w:tcPr>
          <w:p w14:paraId="68DAF346"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2025</w:t>
            </w:r>
          </w:p>
        </w:tc>
        <w:tc>
          <w:tcPr>
            <w:tcW w:w="960" w:type="dxa"/>
            <w:noWrap/>
            <w:hideMark/>
          </w:tcPr>
          <w:p w14:paraId="32B3AF81"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2024</w:t>
            </w:r>
          </w:p>
        </w:tc>
        <w:tc>
          <w:tcPr>
            <w:tcW w:w="960" w:type="dxa"/>
            <w:noWrap/>
            <w:hideMark/>
          </w:tcPr>
          <w:p w14:paraId="3260B0FF"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2023</w:t>
            </w:r>
          </w:p>
        </w:tc>
        <w:tc>
          <w:tcPr>
            <w:tcW w:w="960" w:type="dxa"/>
            <w:noWrap/>
            <w:hideMark/>
          </w:tcPr>
          <w:p w14:paraId="4272E4E7"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2022</w:t>
            </w:r>
          </w:p>
        </w:tc>
        <w:tc>
          <w:tcPr>
            <w:tcW w:w="960" w:type="dxa"/>
            <w:noWrap/>
            <w:hideMark/>
          </w:tcPr>
          <w:p w14:paraId="4CC44995"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2021</w:t>
            </w:r>
          </w:p>
        </w:tc>
      </w:tr>
      <w:tr w:rsidR="00242669" w:rsidRPr="00B3537C" w14:paraId="6756114B" w14:textId="77777777" w:rsidTr="0004206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560" w:type="dxa"/>
            <w:noWrap/>
            <w:hideMark/>
          </w:tcPr>
          <w:p w14:paraId="59A6435D"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Debt to equity ratio</w:t>
            </w:r>
          </w:p>
        </w:tc>
        <w:tc>
          <w:tcPr>
            <w:tcW w:w="960" w:type="dxa"/>
            <w:noWrap/>
            <w:hideMark/>
          </w:tcPr>
          <w:p w14:paraId="5A733082"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1.54</w:t>
            </w:r>
          </w:p>
        </w:tc>
        <w:tc>
          <w:tcPr>
            <w:tcW w:w="960" w:type="dxa"/>
            <w:noWrap/>
            <w:hideMark/>
          </w:tcPr>
          <w:p w14:paraId="1018D062"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1.56</w:t>
            </w:r>
          </w:p>
        </w:tc>
        <w:tc>
          <w:tcPr>
            <w:tcW w:w="960" w:type="dxa"/>
            <w:noWrap/>
            <w:hideMark/>
          </w:tcPr>
          <w:p w14:paraId="22FEFB52"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1.54</w:t>
            </w:r>
          </w:p>
        </w:tc>
        <w:tc>
          <w:tcPr>
            <w:tcW w:w="960" w:type="dxa"/>
            <w:noWrap/>
            <w:hideMark/>
          </w:tcPr>
          <w:p w14:paraId="2AFC49B7"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1.49</w:t>
            </w:r>
          </w:p>
        </w:tc>
        <w:tc>
          <w:tcPr>
            <w:tcW w:w="960" w:type="dxa"/>
            <w:noWrap/>
            <w:hideMark/>
          </w:tcPr>
          <w:p w14:paraId="2BA4AB8D"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1.56</w:t>
            </w:r>
          </w:p>
        </w:tc>
      </w:tr>
      <w:tr w:rsidR="00242669" w:rsidRPr="00B3537C" w14:paraId="2FE138B7" w14:textId="77777777" w:rsidTr="0004206D">
        <w:trPr>
          <w:trHeight w:val="336"/>
        </w:trPr>
        <w:tc>
          <w:tcPr>
            <w:cnfStyle w:val="001000000000" w:firstRow="0" w:lastRow="0" w:firstColumn="1" w:lastColumn="0" w:oddVBand="0" w:evenVBand="0" w:oddHBand="0" w:evenHBand="0" w:firstRowFirstColumn="0" w:firstRowLastColumn="0" w:lastRowFirstColumn="0" w:lastRowLastColumn="0"/>
            <w:tcW w:w="3560" w:type="dxa"/>
            <w:noWrap/>
            <w:hideMark/>
          </w:tcPr>
          <w:p w14:paraId="6BE2589D"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Interest coverage ratio</w:t>
            </w:r>
          </w:p>
        </w:tc>
        <w:tc>
          <w:tcPr>
            <w:tcW w:w="960" w:type="dxa"/>
            <w:noWrap/>
            <w:hideMark/>
          </w:tcPr>
          <w:p w14:paraId="656E6E3A"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61.10</w:t>
            </w:r>
          </w:p>
        </w:tc>
        <w:tc>
          <w:tcPr>
            <w:tcW w:w="960" w:type="dxa"/>
            <w:noWrap/>
            <w:hideMark/>
          </w:tcPr>
          <w:p w14:paraId="58879630"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93.27</w:t>
            </w:r>
          </w:p>
        </w:tc>
        <w:tc>
          <w:tcPr>
            <w:tcW w:w="960" w:type="dxa"/>
            <w:noWrap/>
            <w:hideMark/>
          </w:tcPr>
          <w:p w14:paraId="64999796"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61.48</w:t>
            </w:r>
          </w:p>
        </w:tc>
        <w:tc>
          <w:tcPr>
            <w:tcW w:w="960" w:type="dxa"/>
            <w:noWrap/>
            <w:hideMark/>
          </w:tcPr>
          <w:p w14:paraId="735941C3"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110.63</w:t>
            </w:r>
          </w:p>
        </w:tc>
        <w:tc>
          <w:tcPr>
            <w:tcW w:w="960" w:type="dxa"/>
            <w:noWrap/>
            <w:hideMark/>
          </w:tcPr>
          <w:p w14:paraId="423CC1BD"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63.37</w:t>
            </w:r>
          </w:p>
        </w:tc>
      </w:tr>
    </w:tbl>
    <w:p w14:paraId="6E49A223" w14:textId="77777777" w:rsidR="002258B5" w:rsidRPr="00B3537C" w:rsidRDefault="002258B5" w:rsidP="002258B5">
      <w:pPr>
        <w:rPr>
          <w:rFonts w:ascii="Arial" w:hAnsi="Arial" w:cs="Arial"/>
          <w:color w:val="000000" w:themeColor="text1"/>
          <w:sz w:val="24"/>
          <w:szCs w:val="24"/>
        </w:rPr>
      </w:pPr>
    </w:p>
    <w:p w14:paraId="19DE1ADE" w14:textId="77777777" w:rsidR="002258B5" w:rsidRPr="00B3537C" w:rsidRDefault="002258B5" w:rsidP="002258B5">
      <w:pPr>
        <w:keepNext/>
        <w:jc w:val="center"/>
        <w:rPr>
          <w:rFonts w:ascii="Arial" w:hAnsi="Arial" w:cs="Arial"/>
          <w:color w:val="000000" w:themeColor="text1"/>
          <w:sz w:val="24"/>
          <w:szCs w:val="24"/>
        </w:rPr>
      </w:pPr>
      <w:r w:rsidRPr="00B3537C">
        <w:rPr>
          <w:rFonts w:ascii="Arial" w:hAnsi="Arial" w:cs="Arial"/>
          <w:noProof/>
          <w:color w:val="000000" w:themeColor="text1"/>
          <w:sz w:val="24"/>
          <w:szCs w:val="24"/>
          <w:lang w:val="en-US"/>
        </w:rPr>
        <w:drawing>
          <wp:inline distT="0" distB="0" distL="0" distR="0" wp14:anchorId="566FB123" wp14:editId="15EB6A81">
            <wp:extent cx="4701168" cy="2819400"/>
            <wp:effectExtent l="0" t="0" r="4445" b="0"/>
            <wp:docPr id="13619394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12251" cy="2826047"/>
                    </a:xfrm>
                    <a:prstGeom prst="rect">
                      <a:avLst/>
                    </a:prstGeom>
                    <a:noFill/>
                  </pic:spPr>
                </pic:pic>
              </a:graphicData>
            </a:graphic>
          </wp:inline>
        </w:drawing>
      </w:r>
    </w:p>
    <w:p w14:paraId="78B97DC1" w14:textId="77777777" w:rsidR="002258B5" w:rsidRPr="00B3537C" w:rsidRDefault="002258B5" w:rsidP="002258B5">
      <w:pPr>
        <w:pStyle w:val="Caption"/>
        <w:jc w:val="center"/>
        <w:rPr>
          <w:rFonts w:ascii="Arial" w:hAnsi="Arial" w:cs="Arial"/>
          <w:color w:val="000000" w:themeColor="text1"/>
          <w:sz w:val="24"/>
          <w:szCs w:val="24"/>
        </w:rPr>
      </w:pPr>
      <w:r w:rsidRPr="00B3537C">
        <w:rPr>
          <w:rFonts w:ascii="Arial" w:hAnsi="Arial" w:cs="Arial"/>
          <w:color w:val="000000" w:themeColor="text1"/>
          <w:sz w:val="24"/>
          <w:szCs w:val="24"/>
        </w:rPr>
        <w:t xml:space="preserve">Figure </w:t>
      </w:r>
      <w:r w:rsidRPr="00B3537C">
        <w:rPr>
          <w:rFonts w:ascii="Arial" w:hAnsi="Arial" w:cs="Arial"/>
          <w:color w:val="000000" w:themeColor="text1"/>
          <w:sz w:val="24"/>
          <w:szCs w:val="24"/>
        </w:rPr>
        <w:fldChar w:fldCharType="begin"/>
      </w:r>
      <w:r w:rsidRPr="00B3537C">
        <w:rPr>
          <w:rFonts w:ascii="Arial" w:hAnsi="Arial" w:cs="Arial"/>
          <w:color w:val="000000" w:themeColor="text1"/>
          <w:sz w:val="24"/>
          <w:szCs w:val="24"/>
        </w:rPr>
        <w:instrText xml:space="preserve"> SEQ Figure \* ARABIC </w:instrText>
      </w:r>
      <w:r w:rsidRPr="00B3537C">
        <w:rPr>
          <w:rFonts w:ascii="Arial" w:hAnsi="Arial" w:cs="Arial"/>
          <w:color w:val="000000" w:themeColor="text1"/>
          <w:sz w:val="24"/>
          <w:szCs w:val="24"/>
        </w:rPr>
        <w:fldChar w:fldCharType="separate"/>
      </w:r>
      <w:r w:rsidRPr="00B3537C">
        <w:rPr>
          <w:rFonts w:ascii="Arial" w:hAnsi="Arial" w:cs="Arial"/>
          <w:noProof/>
          <w:color w:val="000000" w:themeColor="text1"/>
          <w:sz w:val="24"/>
          <w:szCs w:val="24"/>
        </w:rPr>
        <w:t>4</w:t>
      </w:r>
      <w:r w:rsidRPr="00B3537C">
        <w:rPr>
          <w:rFonts w:ascii="Arial" w:hAnsi="Arial" w:cs="Arial"/>
          <w:color w:val="000000" w:themeColor="text1"/>
          <w:sz w:val="24"/>
          <w:szCs w:val="24"/>
        </w:rPr>
        <w:fldChar w:fldCharType="end"/>
      </w:r>
      <w:r w:rsidRPr="00B3537C">
        <w:rPr>
          <w:rFonts w:ascii="Arial" w:hAnsi="Arial" w:cs="Arial"/>
          <w:color w:val="000000" w:themeColor="text1"/>
          <w:sz w:val="24"/>
          <w:szCs w:val="24"/>
        </w:rPr>
        <w:t xml:space="preserve"> Leverage/Gearing ratio</w:t>
      </w:r>
    </w:p>
    <w:p w14:paraId="2CB2DF5B" w14:textId="77777777" w:rsidR="002258B5" w:rsidRPr="00B3537C" w:rsidRDefault="002258B5" w:rsidP="00242669">
      <w:pPr>
        <w:pStyle w:val="Caption"/>
        <w:keepNext/>
        <w:jc w:val="center"/>
        <w:rPr>
          <w:rFonts w:ascii="Arial" w:hAnsi="Arial" w:cs="Arial"/>
          <w:color w:val="000000" w:themeColor="text1"/>
          <w:sz w:val="24"/>
          <w:szCs w:val="24"/>
          <w:u w:val="single"/>
        </w:rPr>
      </w:pPr>
      <w:r w:rsidRPr="00B3537C">
        <w:rPr>
          <w:rFonts w:ascii="Arial" w:hAnsi="Arial" w:cs="Arial"/>
          <w:color w:val="000000" w:themeColor="text1"/>
          <w:sz w:val="24"/>
          <w:szCs w:val="24"/>
          <w:u w:val="single"/>
        </w:rPr>
        <w:lastRenderedPageBreak/>
        <w:t xml:space="preserve">Table </w:t>
      </w:r>
      <w:r w:rsidRPr="00B3537C">
        <w:rPr>
          <w:rFonts w:ascii="Arial" w:hAnsi="Arial" w:cs="Arial"/>
          <w:color w:val="000000" w:themeColor="text1"/>
          <w:sz w:val="24"/>
          <w:szCs w:val="24"/>
          <w:u w:val="single"/>
        </w:rPr>
        <w:fldChar w:fldCharType="begin"/>
      </w:r>
      <w:r w:rsidRPr="00B3537C">
        <w:rPr>
          <w:rFonts w:ascii="Arial" w:hAnsi="Arial" w:cs="Arial"/>
          <w:color w:val="000000" w:themeColor="text1"/>
          <w:sz w:val="24"/>
          <w:szCs w:val="24"/>
          <w:u w:val="single"/>
        </w:rPr>
        <w:instrText xml:space="preserve"> SEQ Table \* ARABIC </w:instrText>
      </w:r>
      <w:r w:rsidRPr="00B3537C">
        <w:rPr>
          <w:rFonts w:ascii="Arial" w:hAnsi="Arial" w:cs="Arial"/>
          <w:color w:val="000000" w:themeColor="text1"/>
          <w:sz w:val="24"/>
          <w:szCs w:val="24"/>
          <w:u w:val="single"/>
        </w:rPr>
        <w:fldChar w:fldCharType="separate"/>
      </w:r>
      <w:r w:rsidRPr="00B3537C">
        <w:rPr>
          <w:rFonts w:ascii="Arial" w:hAnsi="Arial" w:cs="Arial"/>
          <w:noProof/>
          <w:color w:val="000000" w:themeColor="text1"/>
          <w:sz w:val="24"/>
          <w:szCs w:val="24"/>
          <w:u w:val="single"/>
        </w:rPr>
        <w:t>5</w:t>
      </w:r>
      <w:r w:rsidRPr="00B3537C">
        <w:rPr>
          <w:rFonts w:ascii="Arial" w:hAnsi="Arial" w:cs="Arial"/>
          <w:color w:val="000000" w:themeColor="text1"/>
          <w:sz w:val="24"/>
          <w:szCs w:val="24"/>
          <w:u w:val="single"/>
        </w:rPr>
        <w:fldChar w:fldCharType="end"/>
      </w:r>
      <w:r w:rsidRPr="00B3537C">
        <w:rPr>
          <w:rFonts w:ascii="Arial" w:hAnsi="Arial" w:cs="Arial"/>
          <w:color w:val="000000" w:themeColor="text1"/>
          <w:sz w:val="24"/>
          <w:szCs w:val="24"/>
          <w:u w:val="single"/>
        </w:rPr>
        <w:t xml:space="preserve"> Investment ratio</w:t>
      </w:r>
    </w:p>
    <w:tbl>
      <w:tblPr>
        <w:tblStyle w:val="GridTable3-Accent1"/>
        <w:tblW w:w="8360" w:type="dxa"/>
        <w:tblInd w:w="5" w:type="dxa"/>
        <w:tblLook w:val="04A0" w:firstRow="1" w:lastRow="0" w:firstColumn="1" w:lastColumn="0" w:noHBand="0" w:noVBand="1"/>
      </w:tblPr>
      <w:tblGrid>
        <w:gridCol w:w="3560"/>
        <w:gridCol w:w="960"/>
        <w:gridCol w:w="960"/>
        <w:gridCol w:w="960"/>
        <w:gridCol w:w="960"/>
        <w:gridCol w:w="960"/>
      </w:tblGrid>
      <w:tr w:rsidR="00242669" w:rsidRPr="00B3537C" w14:paraId="2D122B04" w14:textId="77777777" w:rsidTr="0004206D">
        <w:trPr>
          <w:cnfStyle w:val="100000000000" w:firstRow="1" w:lastRow="0" w:firstColumn="0" w:lastColumn="0" w:oddVBand="0" w:evenVBand="0" w:oddHBand="0" w:evenHBand="0" w:firstRowFirstColumn="0" w:firstRowLastColumn="0" w:lastRowFirstColumn="0" w:lastRowLastColumn="0"/>
          <w:trHeight w:val="456"/>
        </w:trPr>
        <w:tc>
          <w:tcPr>
            <w:cnfStyle w:val="001000000100" w:firstRow="0" w:lastRow="0" w:firstColumn="1" w:lastColumn="0" w:oddVBand="0" w:evenVBand="0" w:oddHBand="0" w:evenHBand="0" w:firstRowFirstColumn="1" w:firstRowLastColumn="0" w:lastRowFirstColumn="0" w:lastRowLastColumn="0"/>
            <w:tcW w:w="3560" w:type="dxa"/>
            <w:noWrap/>
            <w:hideMark/>
          </w:tcPr>
          <w:p w14:paraId="652F636C"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Investment ratio</w:t>
            </w:r>
          </w:p>
        </w:tc>
        <w:tc>
          <w:tcPr>
            <w:tcW w:w="960" w:type="dxa"/>
            <w:noWrap/>
            <w:hideMark/>
          </w:tcPr>
          <w:p w14:paraId="66061D5E"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2025</w:t>
            </w:r>
          </w:p>
        </w:tc>
        <w:tc>
          <w:tcPr>
            <w:tcW w:w="960" w:type="dxa"/>
            <w:noWrap/>
            <w:hideMark/>
          </w:tcPr>
          <w:p w14:paraId="13A19803"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2024</w:t>
            </w:r>
          </w:p>
        </w:tc>
        <w:tc>
          <w:tcPr>
            <w:tcW w:w="960" w:type="dxa"/>
            <w:noWrap/>
            <w:hideMark/>
          </w:tcPr>
          <w:p w14:paraId="39515E0B"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2023</w:t>
            </w:r>
          </w:p>
        </w:tc>
        <w:tc>
          <w:tcPr>
            <w:tcW w:w="960" w:type="dxa"/>
            <w:noWrap/>
            <w:hideMark/>
          </w:tcPr>
          <w:p w14:paraId="01919342"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2022</w:t>
            </w:r>
          </w:p>
        </w:tc>
        <w:tc>
          <w:tcPr>
            <w:tcW w:w="960" w:type="dxa"/>
            <w:noWrap/>
            <w:hideMark/>
          </w:tcPr>
          <w:p w14:paraId="48CAF47D"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2021</w:t>
            </w:r>
          </w:p>
        </w:tc>
      </w:tr>
      <w:tr w:rsidR="00242669" w:rsidRPr="00B3537C" w14:paraId="65DE1FE5" w14:textId="77777777" w:rsidTr="0004206D">
        <w:trPr>
          <w:cnfStyle w:val="000000100000" w:firstRow="0" w:lastRow="0" w:firstColumn="0" w:lastColumn="0" w:oddVBand="0" w:evenVBand="0" w:oddHBand="1" w:evenHBand="0" w:firstRowFirstColumn="0" w:firstRowLastColumn="0" w:lastRowFirstColumn="0" w:lastRowLastColumn="0"/>
          <w:trHeight w:val="696"/>
        </w:trPr>
        <w:tc>
          <w:tcPr>
            <w:cnfStyle w:val="001000000000" w:firstRow="0" w:lastRow="0" w:firstColumn="1" w:lastColumn="0" w:oddVBand="0" w:evenVBand="0" w:oddHBand="0" w:evenHBand="0" w:firstRowFirstColumn="0" w:firstRowLastColumn="0" w:lastRowFirstColumn="0" w:lastRowLastColumn="0"/>
            <w:tcW w:w="3560" w:type="dxa"/>
            <w:noWrap/>
            <w:hideMark/>
          </w:tcPr>
          <w:p w14:paraId="2D0901F6"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Earnings per share</w:t>
            </w:r>
          </w:p>
        </w:tc>
        <w:tc>
          <w:tcPr>
            <w:tcW w:w="960" w:type="dxa"/>
            <w:noWrap/>
            <w:hideMark/>
          </w:tcPr>
          <w:p w14:paraId="4D9CF51C"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23.73</w:t>
            </w:r>
          </w:p>
        </w:tc>
        <w:tc>
          <w:tcPr>
            <w:tcW w:w="960" w:type="dxa"/>
            <w:noWrap/>
            <w:hideMark/>
          </w:tcPr>
          <w:p w14:paraId="19741C99"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25.25</w:t>
            </w:r>
          </w:p>
        </w:tc>
        <w:tc>
          <w:tcPr>
            <w:tcW w:w="960" w:type="dxa"/>
            <w:noWrap/>
            <w:hideMark/>
          </w:tcPr>
          <w:p w14:paraId="1679E2DD"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13.28</w:t>
            </w:r>
          </w:p>
        </w:tc>
        <w:tc>
          <w:tcPr>
            <w:tcW w:w="960" w:type="dxa"/>
            <w:noWrap/>
            <w:hideMark/>
          </w:tcPr>
          <w:p w14:paraId="5D01047C"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18.27</w:t>
            </w:r>
          </w:p>
        </w:tc>
        <w:tc>
          <w:tcPr>
            <w:tcW w:w="960" w:type="dxa"/>
            <w:noWrap/>
            <w:hideMark/>
          </w:tcPr>
          <w:p w14:paraId="0B15FED6"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15.1</w:t>
            </w:r>
          </w:p>
        </w:tc>
      </w:tr>
      <w:tr w:rsidR="00242669" w:rsidRPr="00B3537C" w14:paraId="3B83CFC7" w14:textId="77777777" w:rsidTr="0004206D">
        <w:trPr>
          <w:trHeight w:val="420"/>
        </w:trPr>
        <w:tc>
          <w:tcPr>
            <w:cnfStyle w:val="001000000000" w:firstRow="0" w:lastRow="0" w:firstColumn="1" w:lastColumn="0" w:oddVBand="0" w:evenVBand="0" w:oddHBand="0" w:evenHBand="0" w:firstRowFirstColumn="0" w:firstRowLastColumn="0" w:lastRowFirstColumn="0" w:lastRowLastColumn="0"/>
            <w:tcW w:w="3560" w:type="dxa"/>
            <w:noWrap/>
            <w:hideMark/>
          </w:tcPr>
          <w:p w14:paraId="157A9153"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Price/Earnings ratio</w:t>
            </w:r>
          </w:p>
        </w:tc>
        <w:tc>
          <w:tcPr>
            <w:tcW w:w="960" w:type="dxa"/>
            <w:noWrap/>
            <w:hideMark/>
          </w:tcPr>
          <w:p w14:paraId="1A25DDAB"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141.4</w:t>
            </w:r>
          </w:p>
        </w:tc>
        <w:tc>
          <w:tcPr>
            <w:tcW w:w="960" w:type="dxa"/>
            <w:noWrap/>
            <w:hideMark/>
          </w:tcPr>
          <w:p w14:paraId="39B5ABA8"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124.6</w:t>
            </w:r>
          </w:p>
        </w:tc>
        <w:tc>
          <w:tcPr>
            <w:tcW w:w="960" w:type="dxa"/>
            <w:noWrap/>
            <w:hideMark/>
          </w:tcPr>
          <w:p w14:paraId="09873143"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195.1</w:t>
            </w:r>
          </w:p>
        </w:tc>
        <w:tc>
          <w:tcPr>
            <w:tcW w:w="960" w:type="dxa"/>
            <w:noWrap/>
            <w:hideMark/>
          </w:tcPr>
          <w:p w14:paraId="22799A07"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99.2</w:t>
            </w:r>
          </w:p>
        </w:tc>
        <w:tc>
          <w:tcPr>
            <w:tcW w:w="960" w:type="dxa"/>
            <w:noWrap/>
            <w:hideMark/>
          </w:tcPr>
          <w:p w14:paraId="2E16CB59"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139.4</w:t>
            </w:r>
          </w:p>
        </w:tc>
      </w:tr>
      <w:tr w:rsidR="00242669" w:rsidRPr="00B3537C" w14:paraId="39E9593C" w14:textId="77777777" w:rsidTr="0004206D">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3560" w:type="dxa"/>
            <w:noWrap/>
            <w:hideMark/>
          </w:tcPr>
          <w:p w14:paraId="4AC6D2D8"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960" w:type="dxa"/>
            <w:noWrap/>
            <w:hideMark/>
          </w:tcPr>
          <w:p w14:paraId="4893823C" w14:textId="77777777" w:rsidR="002258B5" w:rsidRPr="00B3537C" w:rsidRDefault="002258B5" w:rsidP="0004206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960" w:type="dxa"/>
            <w:noWrap/>
            <w:hideMark/>
          </w:tcPr>
          <w:p w14:paraId="5DF80280" w14:textId="77777777" w:rsidR="002258B5" w:rsidRPr="00B3537C" w:rsidRDefault="002258B5" w:rsidP="0004206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960" w:type="dxa"/>
            <w:noWrap/>
            <w:hideMark/>
          </w:tcPr>
          <w:p w14:paraId="0E84C604" w14:textId="77777777" w:rsidR="002258B5" w:rsidRPr="00B3537C" w:rsidRDefault="002258B5" w:rsidP="0004206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960" w:type="dxa"/>
            <w:noWrap/>
            <w:hideMark/>
          </w:tcPr>
          <w:p w14:paraId="16AD2EF1" w14:textId="77777777" w:rsidR="002258B5" w:rsidRPr="00B3537C" w:rsidRDefault="002258B5" w:rsidP="0004206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960" w:type="dxa"/>
            <w:noWrap/>
            <w:hideMark/>
          </w:tcPr>
          <w:p w14:paraId="0CEEA2D4" w14:textId="77777777" w:rsidR="002258B5" w:rsidRPr="00B3537C" w:rsidRDefault="002258B5" w:rsidP="0004206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r>
    </w:tbl>
    <w:p w14:paraId="481131CE" w14:textId="77777777" w:rsidR="002258B5" w:rsidRPr="00B3537C" w:rsidRDefault="002258B5" w:rsidP="002258B5">
      <w:pPr>
        <w:rPr>
          <w:rFonts w:ascii="Arial" w:hAnsi="Arial" w:cs="Arial"/>
          <w:color w:val="000000" w:themeColor="text1"/>
          <w:sz w:val="24"/>
          <w:szCs w:val="24"/>
        </w:rPr>
      </w:pPr>
    </w:p>
    <w:p w14:paraId="56B091F6" w14:textId="77777777" w:rsidR="002258B5" w:rsidRPr="00B3537C" w:rsidRDefault="002258B5" w:rsidP="002258B5">
      <w:pPr>
        <w:keepNext/>
        <w:jc w:val="center"/>
        <w:rPr>
          <w:rFonts w:ascii="Arial" w:hAnsi="Arial" w:cs="Arial"/>
          <w:color w:val="000000" w:themeColor="text1"/>
          <w:sz w:val="24"/>
          <w:szCs w:val="24"/>
        </w:rPr>
      </w:pPr>
      <w:r w:rsidRPr="00B3537C">
        <w:rPr>
          <w:rFonts w:ascii="Arial" w:hAnsi="Arial" w:cs="Arial"/>
          <w:noProof/>
          <w:color w:val="000000" w:themeColor="text1"/>
          <w:sz w:val="24"/>
          <w:szCs w:val="24"/>
          <w:lang w:val="en-US"/>
        </w:rPr>
        <w:drawing>
          <wp:inline distT="0" distB="0" distL="0" distR="0" wp14:anchorId="036181BA" wp14:editId="6D786023">
            <wp:extent cx="5271233" cy="3162300"/>
            <wp:effectExtent l="0" t="0" r="5715" b="0"/>
            <wp:docPr id="17687817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3018" cy="3163371"/>
                    </a:xfrm>
                    <a:prstGeom prst="rect">
                      <a:avLst/>
                    </a:prstGeom>
                    <a:noFill/>
                  </pic:spPr>
                </pic:pic>
              </a:graphicData>
            </a:graphic>
          </wp:inline>
        </w:drawing>
      </w:r>
    </w:p>
    <w:p w14:paraId="4EDC7A4F" w14:textId="77777777" w:rsidR="002258B5" w:rsidRPr="00B3537C" w:rsidRDefault="002258B5" w:rsidP="002258B5">
      <w:pPr>
        <w:pStyle w:val="Caption"/>
        <w:jc w:val="center"/>
        <w:rPr>
          <w:rFonts w:ascii="Arial" w:hAnsi="Arial" w:cs="Arial"/>
          <w:color w:val="000000" w:themeColor="text1"/>
          <w:sz w:val="24"/>
          <w:szCs w:val="24"/>
        </w:rPr>
      </w:pPr>
      <w:r w:rsidRPr="00B3537C">
        <w:rPr>
          <w:rFonts w:ascii="Arial" w:hAnsi="Arial" w:cs="Arial"/>
          <w:color w:val="000000" w:themeColor="text1"/>
          <w:sz w:val="24"/>
          <w:szCs w:val="24"/>
        </w:rPr>
        <w:t xml:space="preserve">Figure </w:t>
      </w:r>
      <w:r w:rsidRPr="00B3537C">
        <w:rPr>
          <w:rFonts w:ascii="Arial" w:hAnsi="Arial" w:cs="Arial"/>
          <w:color w:val="000000" w:themeColor="text1"/>
          <w:sz w:val="24"/>
          <w:szCs w:val="24"/>
        </w:rPr>
        <w:fldChar w:fldCharType="begin"/>
      </w:r>
      <w:r w:rsidRPr="00B3537C">
        <w:rPr>
          <w:rFonts w:ascii="Arial" w:hAnsi="Arial" w:cs="Arial"/>
          <w:color w:val="000000" w:themeColor="text1"/>
          <w:sz w:val="24"/>
          <w:szCs w:val="24"/>
        </w:rPr>
        <w:instrText xml:space="preserve"> SEQ Figure \* ARABIC </w:instrText>
      </w:r>
      <w:r w:rsidRPr="00B3537C">
        <w:rPr>
          <w:rFonts w:ascii="Arial" w:hAnsi="Arial" w:cs="Arial"/>
          <w:color w:val="000000" w:themeColor="text1"/>
          <w:sz w:val="24"/>
          <w:szCs w:val="24"/>
        </w:rPr>
        <w:fldChar w:fldCharType="separate"/>
      </w:r>
      <w:r w:rsidRPr="00B3537C">
        <w:rPr>
          <w:rFonts w:ascii="Arial" w:hAnsi="Arial" w:cs="Arial"/>
          <w:noProof/>
          <w:color w:val="000000" w:themeColor="text1"/>
          <w:sz w:val="24"/>
          <w:szCs w:val="24"/>
        </w:rPr>
        <w:t>5</w:t>
      </w:r>
      <w:r w:rsidRPr="00B3537C">
        <w:rPr>
          <w:rFonts w:ascii="Arial" w:hAnsi="Arial" w:cs="Arial"/>
          <w:color w:val="000000" w:themeColor="text1"/>
          <w:sz w:val="24"/>
          <w:szCs w:val="24"/>
        </w:rPr>
        <w:fldChar w:fldCharType="end"/>
      </w:r>
      <w:r w:rsidRPr="00B3537C">
        <w:rPr>
          <w:rFonts w:ascii="Arial" w:hAnsi="Arial" w:cs="Arial"/>
          <w:color w:val="000000" w:themeColor="text1"/>
          <w:sz w:val="24"/>
          <w:szCs w:val="24"/>
        </w:rPr>
        <w:t xml:space="preserve"> Investment ratio</w:t>
      </w:r>
    </w:p>
    <w:p w14:paraId="7B4D10C5" w14:textId="77777777" w:rsidR="002258B5" w:rsidRPr="00B3537C" w:rsidRDefault="002258B5" w:rsidP="002258B5">
      <w:pPr>
        <w:rPr>
          <w:rFonts w:ascii="Arial" w:hAnsi="Arial" w:cs="Arial"/>
          <w:color w:val="000000" w:themeColor="text1"/>
          <w:sz w:val="24"/>
          <w:szCs w:val="24"/>
        </w:rPr>
      </w:pPr>
    </w:p>
    <w:p w14:paraId="5689613B" w14:textId="77777777" w:rsidR="002258B5" w:rsidRPr="00B3537C" w:rsidRDefault="002258B5" w:rsidP="00242669">
      <w:pPr>
        <w:pStyle w:val="Caption"/>
        <w:keepNext/>
        <w:jc w:val="center"/>
        <w:rPr>
          <w:rFonts w:ascii="Arial" w:hAnsi="Arial" w:cs="Arial"/>
          <w:color w:val="000000" w:themeColor="text1"/>
          <w:sz w:val="24"/>
          <w:szCs w:val="24"/>
          <w:u w:val="single"/>
        </w:rPr>
      </w:pPr>
      <w:r w:rsidRPr="00B3537C">
        <w:rPr>
          <w:rFonts w:ascii="Arial" w:hAnsi="Arial" w:cs="Arial"/>
          <w:color w:val="000000" w:themeColor="text1"/>
          <w:sz w:val="24"/>
          <w:szCs w:val="24"/>
          <w:u w:val="single"/>
        </w:rPr>
        <w:t xml:space="preserve">Table </w:t>
      </w:r>
      <w:r w:rsidRPr="00B3537C">
        <w:rPr>
          <w:rFonts w:ascii="Arial" w:hAnsi="Arial" w:cs="Arial"/>
          <w:color w:val="000000" w:themeColor="text1"/>
          <w:sz w:val="24"/>
          <w:szCs w:val="24"/>
          <w:u w:val="single"/>
        </w:rPr>
        <w:fldChar w:fldCharType="begin"/>
      </w:r>
      <w:r w:rsidRPr="00B3537C">
        <w:rPr>
          <w:rFonts w:ascii="Arial" w:hAnsi="Arial" w:cs="Arial"/>
          <w:color w:val="000000" w:themeColor="text1"/>
          <w:sz w:val="24"/>
          <w:szCs w:val="24"/>
          <w:u w:val="single"/>
        </w:rPr>
        <w:instrText xml:space="preserve"> SEQ Table \* ARABIC </w:instrText>
      </w:r>
      <w:r w:rsidRPr="00B3537C">
        <w:rPr>
          <w:rFonts w:ascii="Arial" w:hAnsi="Arial" w:cs="Arial"/>
          <w:color w:val="000000" w:themeColor="text1"/>
          <w:sz w:val="24"/>
          <w:szCs w:val="24"/>
          <w:u w:val="single"/>
        </w:rPr>
        <w:fldChar w:fldCharType="separate"/>
      </w:r>
      <w:r w:rsidRPr="00B3537C">
        <w:rPr>
          <w:rFonts w:ascii="Arial" w:hAnsi="Arial" w:cs="Arial"/>
          <w:noProof/>
          <w:color w:val="000000" w:themeColor="text1"/>
          <w:sz w:val="24"/>
          <w:szCs w:val="24"/>
          <w:u w:val="single"/>
        </w:rPr>
        <w:t>6</w:t>
      </w:r>
      <w:r w:rsidRPr="00B3537C">
        <w:rPr>
          <w:rFonts w:ascii="Arial" w:hAnsi="Arial" w:cs="Arial"/>
          <w:color w:val="000000" w:themeColor="text1"/>
          <w:sz w:val="24"/>
          <w:szCs w:val="24"/>
          <w:u w:val="single"/>
        </w:rPr>
        <w:fldChar w:fldCharType="end"/>
      </w:r>
      <w:r w:rsidRPr="00B3537C">
        <w:rPr>
          <w:rFonts w:ascii="Arial" w:hAnsi="Arial" w:cs="Arial"/>
          <w:color w:val="000000" w:themeColor="text1"/>
          <w:sz w:val="24"/>
          <w:szCs w:val="24"/>
          <w:u w:val="single"/>
        </w:rPr>
        <w:t xml:space="preserve"> Cash Flow Analysis</w:t>
      </w:r>
    </w:p>
    <w:tbl>
      <w:tblPr>
        <w:tblStyle w:val="GridTable3-Accent1"/>
        <w:tblW w:w="8360" w:type="dxa"/>
        <w:tblInd w:w="5" w:type="dxa"/>
        <w:tblLook w:val="04A0" w:firstRow="1" w:lastRow="0" w:firstColumn="1" w:lastColumn="0" w:noHBand="0" w:noVBand="1"/>
      </w:tblPr>
      <w:tblGrid>
        <w:gridCol w:w="3560"/>
        <w:gridCol w:w="960"/>
        <w:gridCol w:w="960"/>
        <w:gridCol w:w="960"/>
        <w:gridCol w:w="960"/>
        <w:gridCol w:w="960"/>
      </w:tblGrid>
      <w:tr w:rsidR="00242669" w:rsidRPr="00B3537C" w14:paraId="311859BE" w14:textId="77777777" w:rsidTr="0004206D">
        <w:trPr>
          <w:cnfStyle w:val="100000000000" w:firstRow="1" w:lastRow="0" w:firstColumn="0" w:lastColumn="0" w:oddVBand="0" w:evenVBand="0" w:oddHBand="0" w:evenHBand="0" w:firstRowFirstColumn="0" w:firstRowLastColumn="0" w:lastRowFirstColumn="0" w:lastRowLastColumn="0"/>
          <w:trHeight w:val="408"/>
        </w:trPr>
        <w:tc>
          <w:tcPr>
            <w:cnfStyle w:val="001000000100" w:firstRow="0" w:lastRow="0" w:firstColumn="1" w:lastColumn="0" w:oddVBand="0" w:evenVBand="0" w:oddHBand="0" w:evenHBand="0" w:firstRowFirstColumn="1" w:firstRowLastColumn="0" w:lastRowFirstColumn="0" w:lastRowLastColumn="0"/>
            <w:tcW w:w="3560" w:type="dxa"/>
            <w:noWrap/>
            <w:hideMark/>
          </w:tcPr>
          <w:p w14:paraId="6F640473"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Cash Flow Analysis</w:t>
            </w:r>
          </w:p>
        </w:tc>
        <w:tc>
          <w:tcPr>
            <w:tcW w:w="960" w:type="dxa"/>
            <w:noWrap/>
            <w:hideMark/>
          </w:tcPr>
          <w:p w14:paraId="6B0B9ED2"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2025</w:t>
            </w:r>
          </w:p>
        </w:tc>
        <w:tc>
          <w:tcPr>
            <w:tcW w:w="960" w:type="dxa"/>
            <w:noWrap/>
            <w:hideMark/>
          </w:tcPr>
          <w:p w14:paraId="37D8BF9F"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2024</w:t>
            </w:r>
          </w:p>
        </w:tc>
        <w:tc>
          <w:tcPr>
            <w:tcW w:w="960" w:type="dxa"/>
            <w:noWrap/>
            <w:hideMark/>
          </w:tcPr>
          <w:p w14:paraId="113C0ECE"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2023</w:t>
            </w:r>
          </w:p>
        </w:tc>
        <w:tc>
          <w:tcPr>
            <w:tcW w:w="960" w:type="dxa"/>
            <w:noWrap/>
            <w:hideMark/>
          </w:tcPr>
          <w:p w14:paraId="4810B8B9"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2022</w:t>
            </w:r>
          </w:p>
        </w:tc>
        <w:tc>
          <w:tcPr>
            <w:tcW w:w="960" w:type="dxa"/>
            <w:noWrap/>
            <w:hideMark/>
          </w:tcPr>
          <w:p w14:paraId="448B5A69" w14:textId="77777777" w:rsidR="002258B5" w:rsidRPr="00B3537C" w:rsidRDefault="002258B5" w:rsidP="0004206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2021</w:t>
            </w:r>
          </w:p>
        </w:tc>
      </w:tr>
      <w:tr w:rsidR="00242669" w:rsidRPr="00B3537C" w14:paraId="36A7EFDB" w14:textId="77777777" w:rsidTr="0004206D">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560" w:type="dxa"/>
            <w:noWrap/>
            <w:hideMark/>
          </w:tcPr>
          <w:p w14:paraId="0E37A192"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Operating cash flow</w:t>
            </w:r>
          </w:p>
        </w:tc>
        <w:tc>
          <w:tcPr>
            <w:tcW w:w="960" w:type="dxa"/>
            <w:noWrap/>
            <w:hideMark/>
          </w:tcPr>
          <w:p w14:paraId="073E25D3"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24400</w:t>
            </w:r>
          </w:p>
        </w:tc>
        <w:tc>
          <w:tcPr>
            <w:tcW w:w="960" w:type="dxa"/>
            <w:noWrap/>
            <w:hideMark/>
          </w:tcPr>
          <w:p w14:paraId="763DC393"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29024</w:t>
            </w:r>
          </w:p>
        </w:tc>
        <w:tc>
          <w:tcPr>
            <w:tcW w:w="960" w:type="dxa"/>
            <w:noWrap/>
            <w:hideMark/>
          </w:tcPr>
          <w:p w14:paraId="3A84D9E3"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21868</w:t>
            </w:r>
          </w:p>
        </w:tc>
        <w:tc>
          <w:tcPr>
            <w:tcW w:w="960" w:type="dxa"/>
            <w:noWrap/>
            <w:hideMark/>
          </w:tcPr>
          <w:p w14:paraId="15A79A22"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33131</w:t>
            </w:r>
          </w:p>
        </w:tc>
        <w:tc>
          <w:tcPr>
            <w:tcW w:w="960" w:type="dxa"/>
            <w:noWrap/>
            <w:hideMark/>
          </w:tcPr>
          <w:p w14:paraId="59D0B476"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25635</w:t>
            </w:r>
          </w:p>
        </w:tc>
      </w:tr>
      <w:tr w:rsidR="00242669" w:rsidRPr="00B3537C" w14:paraId="566D726E" w14:textId="77777777" w:rsidTr="0004206D">
        <w:trPr>
          <w:trHeight w:val="660"/>
        </w:trPr>
        <w:tc>
          <w:tcPr>
            <w:cnfStyle w:val="001000000000" w:firstRow="0" w:lastRow="0" w:firstColumn="1" w:lastColumn="0" w:oddVBand="0" w:evenVBand="0" w:oddHBand="0" w:evenHBand="0" w:firstRowFirstColumn="0" w:firstRowLastColumn="0" w:lastRowFirstColumn="0" w:lastRowLastColumn="0"/>
            <w:tcW w:w="3560" w:type="dxa"/>
            <w:noWrap/>
            <w:hideMark/>
          </w:tcPr>
          <w:p w14:paraId="63A967FE"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Free cash flow</w:t>
            </w:r>
          </w:p>
        </w:tc>
        <w:tc>
          <w:tcPr>
            <w:tcW w:w="960" w:type="dxa"/>
            <w:noWrap/>
            <w:hideMark/>
          </w:tcPr>
          <w:p w14:paraId="75076764"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1437</w:t>
            </w:r>
          </w:p>
        </w:tc>
        <w:tc>
          <w:tcPr>
            <w:tcW w:w="960" w:type="dxa"/>
            <w:noWrap/>
            <w:hideMark/>
          </w:tcPr>
          <w:p w14:paraId="38166BA7"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9119</w:t>
            </w:r>
          </w:p>
        </w:tc>
        <w:tc>
          <w:tcPr>
            <w:tcW w:w="960" w:type="dxa"/>
            <w:noWrap/>
            <w:hideMark/>
          </w:tcPr>
          <w:p w14:paraId="4F2CB71D"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7140</w:t>
            </w:r>
          </w:p>
        </w:tc>
        <w:tc>
          <w:tcPr>
            <w:tcW w:w="960" w:type="dxa"/>
            <w:noWrap/>
            <w:hideMark/>
          </w:tcPr>
          <w:p w14:paraId="0179BE63"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13103</w:t>
            </w:r>
          </w:p>
        </w:tc>
        <w:tc>
          <w:tcPr>
            <w:tcW w:w="960" w:type="dxa"/>
            <w:noWrap/>
            <w:hideMark/>
          </w:tcPr>
          <w:p w14:paraId="36899031"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3491</w:t>
            </w:r>
          </w:p>
        </w:tc>
      </w:tr>
      <w:tr w:rsidR="00242669" w:rsidRPr="00B3537C" w14:paraId="5BE62419" w14:textId="77777777" w:rsidTr="0004206D">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3560" w:type="dxa"/>
            <w:noWrap/>
            <w:hideMark/>
          </w:tcPr>
          <w:p w14:paraId="3FCBC7F8"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Cash flow adequacy</w:t>
            </w:r>
          </w:p>
        </w:tc>
        <w:tc>
          <w:tcPr>
            <w:tcW w:w="960" w:type="dxa"/>
            <w:noWrap/>
            <w:hideMark/>
          </w:tcPr>
          <w:p w14:paraId="07C33F0D"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0.13</w:t>
            </w:r>
          </w:p>
        </w:tc>
        <w:tc>
          <w:tcPr>
            <w:tcW w:w="960" w:type="dxa"/>
            <w:noWrap/>
            <w:hideMark/>
          </w:tcPr>
          <w:p w14:paraId="685693E9"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0.17</w:t>
            </w:r>
          </w:p>
        </w:tc>
        <w:tc>
          <w:tcPr>
            <w:tcW w:w="960" w:type="dxa"/>
            <w:noWrap/>
            <w:hideMark/>
          </w:tcPr>
          <w:p w14:paraId="5C7548B4"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0.15</w:t>
            </w:r>
          </w:p>
        </w:tc>
        <w:tc>
          <w:tcPr>
            <w:tcW w:w="960" w:type="dxa"/>
            <w:noWrap/>
            <w:hideMark/>
          </w:tcPr>
          <w:p w14:paraId="1A731349"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0.2</w:t>
            </w:r>
          </w:p>
        </w:tc>
        <w:tc>
          <w:tcPr>
            <w:tcW w:w="960" w:type="dxa"/>
            <w:noWrap/>
            <w:hideMark/>
          </w:tcPr>
          <w:p w14:paraId="4BB78E97"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0.17</w:t>
            </w:r>
          </w:p>
        </w:tc>
      </w:tr>
    </w:tbl>
    <w:p w14:paraId="2703CCD8" w14:textId="77777777" w:rsidR="002258B5" w:rsidRPr="00B3537C" w:rsidRDefault="002258B5" w:rsidP="002258B5">
      <w:pPr>
        <w:rPr>
          <w:rFonts w:ascii="Arial" w:hAnsi="Arial" w:cs="Arial"/>
          <w:color w:val="000000" w:themeColor="text1"/>
          <w:sz w:val="24"/>
          <w:szCs w:val="24"/>
        </w:rPr>
      </w:pPr>
    </w:p>
    <w:p w14:paraId="57D63450" w14:textId="77777777" w:rsidR="002258B5" w:rsidRPr="00B3537C" w:rsidRDefault="002258B5" w:rsidP="002258B5">
      <w:pPr>
        <w:keepNext/>
        <w:jc w:val="center"/>
        <w:rPr>
          <w:rFonts w:ascii="Arial" w:hAnsi="Arial" w:cs="Arial"/>
          <w:color w:val="000000" w:themeColor="text1"/>
          <w:sz w:val="24"/>
          <w:szCs w:val="24"/>
        </w:rPr>
      </w:pPr>
      <w:r w:rsidRPr="00B3537C">
        <w:rPr>
          <w:rFonts w:ascii="Arial" w:hAnsi="Arial" w:cs="Arial"/>
          <w:noProof/>
          <w:color w:val="000000" w:themeColor="text1"/>
          <w:sz w:val="24"/>
          <w:szCs w:val="24"/>
          <w:lang w:val="en-US"/>
        </w:rPr>
        <w:lastRenderedPageBreak/>
        <w:drawing>
          <wp:inline distT="0" distB="0" distL="0" distR="0" wp14:anchorId="60D3D4C1" wp14:editId="7FB6E2D8">
            <wp:extent cx="5191125" cy="2982555"/>
            <wp:effectExtent l="0" t="0" r="0" b="8890"/>
            <wp:docPr id="8105729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08991" cy="2992820"/>
                    </a:xfrm>
                    <a:prstGeom prst="rect">
                      <a:avLst/>
                    </a:prstGeom>
                    <a:noFill/>
                  </pic:spPr>
                </pic:pic>
              </a:graphicData>
            </a:graphic>
          </wp:inline>
        </w:drawing>
      </w:r>
    </w:p>
    <w:p w14:paraId="4FA1C398" w14:textId="32F15019" w:rsidR="002258B5" w:rsidRPr="00B3537C" w:rsidRDefault="002258B5" w:rsidP="002258B5">
      <w:pPr>
        <w:pStyle w:val="Caption"/>
        <w:jc w:val="center"/>
        <w:rPr>
          <w:rFonts w:ascii="Arial" w:hAnsi="Arial" w:cs="Arial"/>
          <w:color w:val="000000" w:themeColor="text1"/>
          <w:sz w:val="24"/>
          <w:szCs w:val="24"/>
        </w:rPr>
      </w:pPr>
      <w:r w:rsidRPr="00B3537C">
        <w:rPr>
          <w:rFonts w:ascii="Arial" w:hAnsi="Arial" w:cs="Arial"/>
          <w:color w:val="000000" w:themeColor="text1"/>
          <w:sz w:val="24"/>
          <w:szCs w:val="24"/>
        </w:rPr>
        <w:t xml:space="preserve">Figure </w:t>
      </w:r>
      <w:r w:rsidRPr="00B3537C">
        <w:rPr>
          <w:rFonts w:ascii="Arial" w:hAnsi="Arial" w:cs="Arial"/>
          <w:color w:val="000000" w:themeColor="text1"/>
          <w:sz w:val="24"/>
          <w:szCs w:val="24"/>
        </w:rPr>
        <w:fldChar w:fldCharType="begin"/>
      </w:r>
      <w:r w:rsidRPr="00B3537C">
        <w:rPr>
          <w:rFonts w:ascii="Arial" w:hAnsi="Arial" w:cs="Arial"/>
          <w:color w:val="000000" w:themeColor="text1"/>
          <w:sz w:val="24"/>
          <w:szCs w:val="24"/>
        </w:rPr>
        <w:instrText xml:space="preserve"> SEQ Figure \* ARABIC </w:instrText>
      </w:r>
      <w:r w:rsidRPr="00B3537C">
        <w:rPr>
          <w:rFonts w:ascii="Arial" w:hAnsi="Arial" w:cs="Arial"/>
          <w:color w:val="000000" w:themeColor="text1"/>
          <w:sz w:val="24"/>
          <w:szCs w:val="24"/>
        </w:rPr>
        <w:fldChar w:fldCharType="separate"/>
      </w:r>
      <w:r w:rsidRPr="00B3537C">
        <w:rPr>
          <w:rFonts w:ascii="Arial" w:hAnsi="Arial" w:cs="Arial"/>
          <w:noProof/>
          <w:color w:val="000000" w:themeColor="text1"/>
          <w:sz w:val="24"/>
          <w:szCs w:val="24"/>
        </w:rPr>
        <w:t>6</w:t>
      </w:r>
      <w:r w:rsidRPr="00B3537C">
        <w:rPr>
          <w:rFonts w:ascii="Arial" w:hAnsi="Arial" w:cs="Arial"/>
          <w:color w:val="000000" w:themeColor="text1"/>
          <w:sz w:val="24"/>
          <w:szCs w:val="24"/>
        </w:rPr>
        <w:fldChar w:fldCharType="end"/>
      </w:r>
      <w:r w:rsidRPr="00B3537C">
        <w:rPr>
          <w:rFonts w:ascii="Arial" w:hAnsi="Arial" w:cs="Arial"/>
          <w:color w:val="000000" w:themeColor="text1"/>
          <w:sz w:val="24"/>
          <w:szCs w:val="24"/>
        </w:rPr>
        <w:t xml:space="preserve"> Cash Flow Analysis</w:t>
      </w:r>
    </w:p>
    <w:p w14:paraId="6E9A9104" w14:textId="5B2355AA" w:rsidR="00242669" w:rsidRPr="00B3537C" w:rsidRDefault="00242669" w:rsidP="00242669">
      <w:pPr>
        <w:rPr>
          <w:rFonts w:ascii="Arial" w:hAnsi="Arial" w:cs="Arial"/>
        </w:rPr>
      </w:pPr>
    </w:p>
    <w:p w14:paraId="759A4F1E" w14:textId="77777777" w:rsidR="00242669" w:rsidRPr="00B3537C" w:rsidRDefault="00242669" w:rsidP="00242669">
      <w:pPr>
        <w:rPr>
          <w:rFonts w:ascii="Arial" w:hAnsi="Arial" w:cs="Arial"/>
        </w:rPr>
      </w:pPr>
    </w:p>
    <w:p w14:paraId="300DD290" w14:textId="77777777" w:rsidR="002258B5" w:rsidRPr="00B3537C" w:rsidRDefault="002258B5" w:rsidP="00242669">
      <w:pPr>
        <w:pStyle w:val="Caption"/>
        <w:keepNext/>
        <w:jc w:val="center"/>
        <w:rPr>
          <w:rFonts w:ascii="Arial" w:hAnsi="Arial" w:cs="Arial"/>
          <w:color w:val="000000" w:themeColor="text1"/>
          <w:sz w:val="24"/>
          <w:szCs w:val="24"/>
          <w:u w:val="single"/>
        </w:rPr>
      </w:pPr>
      <w:r w:rsidRPr="00B3537C">
        <w:rPr>
          <w:rFonts w:ascii="Arial" w:hAnsi="Arial" w:cs="Arial"/>
          <w:color w:val="000000" w:themeColor="text1"/>
          <w:sz w:val="24"/>
          <w:szCs w:val="24"/>
          <w:u w:val="single"/>
        </w:rPr>
        <w:t xml:space="preserve">Table </w:t>
      </w:r>
      <w:r w:rsidRPr="00B3537C">
        <w:rPr>
          <w:rFonts w:ascii="Arial" w:hAnsi="Arial" w:cs="Arial"/>
          <w:color w:val="000000" w:themeColor="text1"/>
          <w:sz w:val="24"/>
          <w:szCs w:val="24"/>
          <w:u w:val="single"/>
        </w:rPr>
        <w:fldChar w:fldCharType="begin"/>
      </w:r>
      <w:r w:rsidRPr="00B3537C">
        <w:rPr>
          <w:rFonts w:ascii="Arial" w:hAnsi="Arial" w:cs="Arial"/>
          <w:color w:val="000000" w:themeColor="text1"/>
          <w:sz w:val="24"/>
          <w:szCs w:val="24"/>
          <w:u w:val="single"/>
        </w:rPr>
        <w:instrText xml:space="preserve"> SEQ Table \* ARABIC </w:instrText>
      </w:r>
      <w:r w:rsidRPr="00B3537C">
        <w:rPr>
          <w:rFonts w:ascii="Arial" w:hAnsi="Arial" w:cs="Arial"/>
          <w:color w:val="000000" w:themeColor="text1"/>
          <w:sz w:val="24"/>
          <w:szCs w:val="24"/>
          <w:u w:val="single"/>
        </w:rPr>
        <w:fldChar w:fldCharType="separate"/>
      </w:r>
      <w:r w:rsidRPr="00B3537C">
        <w:rPr>
          <w:rFonts w:ascii="Arial" w:hAnsi="Arial" w:cs="Arial"/>
          <w:noProof/>
          <w:color w:val="000000" w:themeColor="text1"/>
          <w:sz w:val="24"/>
          <w:szCs w:val="24"/>
          <w:u w:val="single"/>
        </w:rPr>
        <w:t>7</w:t>
      </w:r>
      <w:r w:rsidRPr="00B3537C">
        <w:rPr>
          <w:rFonts w:ascii="Arial" w:hAnsi="Arial" w:cs="Arial"/>
          <w:color w:val="000000" w:themeColor="text1"/>
          <w:sz w:val="24"/>
          <w:szCs w:val="24"/>
          <w:u w:val="single"/>
        </w:rPr>
        <w:fldChar w:fldCharType="end"/>
      </w:r>
      <w:r w:rsidRPr="00B3537C">
        <w:rPr>
          <w:rFonts w:ascii="Arial" w:hAnsi="Arial" w:cs="Arial"/>
          <w:color w:val="000000" w:themeColor="text1"/>
          <w:sz w:val="24"/>
          <w:szCs w:val="24"/>
          <w:u w:val="single"/>
        </w:rPr>
        <w:t xml:space="preserve"> Working Capital Management</w:t>
      </w:r>
    </w:p>
    <w:tbl>
      <w:tblPr>
        <w:tblStyle w:val="GridTable7ColourfulAccent1"/>
        <w:tblW w:w="8360" w:type="dxa"/>
        <w:tblInd w:w="5" w:type="dxa"/>
        <w:tblLook w:val="04A0" w:firstRow="1" w:lastRow="0" w:firstColumn="1" w:lastColumn="0" w:noHBand="0" w:noVBand="1"/>
      </w:tblPr>
      <w:tblGrid>
        <w:gridCol w:w="3560"/>
        <w:gridCol w:w="960"/>
        <w:gridCol w:w="960"/>
        <w:gridCol w:w="960"/>
        <w:gridCol w:w="960"/>
        <w:gridCol w:w="960"/>
      </w:tblGrid>
      <w:tr w:rsidR="00242669" w:rsidRPr="00B3537C" w14:paraId="7AD5669D" w14:textId="77777777" w:rsidTr="0004206D">
        <w:trPr>
          <w:cnfStyle w:val="100000000000" w:firstRow="1" w:lastRow="0" w:firstColumn="0" w:lastColumn="0" w:oddVBand="0" w:evenVBand="0" w:oddHBand="0" w:evenHBand="0" w:firstRowFirstColumn="0" w:firstRowLastColumn="0" w:lastRowFirstColumn="0" w:lastRowLastColumn="0"/>
          <w:trHeight w:val="312"/>
        </w:trPr>
        <w:tc>
          <w:tcPr>
            <w:cnfStyle w:val="001000000100" w:firstRow="0" w:lastRow="0" w:firstColumn="1" w:lastColumn="0" w:oddVBand="0" w:evenVBand="0" w:oddHBand="0" w:evenHBand="0" w:firstRowFirstColumn="1" w:firstRowLastColumn="0" w:lastRowFirstColumn="0" w:lastRowLastColumn="0"/>
            <w:tcW w:w="3560" w:type="dxa"/>
            <w:noWrap/>
            <w:hideMark/>
          </w:tcPr>
          <w:p w14:paraId="1D53B1A3"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960" w:type="dxa"/>
            <w:noWrap/>
            <w:hideMark/>
          </w:tcPr>
          <w:p w14:paraId="2ED26D18" w14:textId="77777777" w:rsidR="002258B5" w:rsidRPr="00B3537C" w:rsidRDefault="002258B5" w:rsidP="0004206D">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2025</w:t>
            </w:r>
          </w:p>
        </w:tc>
        <w:tc>
          <w:tcPr>
            <w:tcW w:w="960" w:type="dxa"/>
            <w:noWrap/>
            <w:hideMark/>
          </w:tcPr>
          <w:p w14:paraId="59AFF202" w14:textId="77777777" w:rsidR="002258B5" w:rsidRPr="00B3537C" w:rsidRDefault="002258B5" w:rsidP="0004206D">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2024</w:t>
            </w:r>
          </w:p>
        </w:tc>
        <w:tc>
          <w:tcPr>
            <w:tcW w:w="960" w:type="dxa"/>
            <w:noWrap/>
            <w:hideMark/>
          </w:tcPr>
          <w:p w14:paraId="4DE40AB8" w14:textId="77777777" w:rsidR="002258B5" w:rsidRPr="00B3537C" w:rsidRDefault="002258B5" w:rsidP="0004206D">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2023</w:t>
            </w:r>
          </w:p>
        </w:tc>
        <w:tc>
          <w:tcPr>
            <w:tcW w:w="960" w:type="dxa"/>
            <w:noWrap/>
            <w:hideMark/>
          </w:tcPr>
          <w:p w14:paraId="407C266F" w14:textId="77777777" w:rsidR="002258B5" w:rsidRPr="00B3537C" w:rsidRDefault="002258B5" w:rsidP="0004206D">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2022</w:t>
            </w:r>
          </w:p>
        </w:tc>
        <w:tc>
          <w:tcPr>
            <w:tcW w:w="960" w:type="dxa"/>
            <w:noWrap/>
            <w:hideMark/>
          </w:tcPr>
          <w:p w14:paraId="75DB583F" w14:textId="77777777" w:rsidR="002258B5" w:rsidRPr="00B3537C" w:rsidRDefault="002258B5" w:rsidP="0004206D">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2021</w:t>
            </w:r>
          </w:p>
        </w:tc>
      </w:tr>
      <w:tr w:rsidR="00242669" w:rsidRPr="00B3537C" w14:paraId="1B82FE74" w14:textId="77777777" w:rsidTr="0004206D">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3560" w:type="dxa"/>
            <w:noWrap/>
            <w:hideMark/>
          </w:tcPr>
          <w:p w14:paraId="67CE8D71"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Inventory Days</w:t>
            </w:r>
          </w:p>
        </w:tc>
        <w:tc>
          <w:tcPr>
            <w:tcW w:w="960" w:type="dxa"/>
            <w:noWrap/>
            <w:hideMark/>
          </w:tcPr>
          <w:p w14:paraId="7A15245B"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43.62</w:t>
            </w:r>
          </w:p>
        </w:tc>
        <w:tc>
          <w:tcPr>
            <w:tcW w:w="960" w:type="dxa"/>
            <w:noWrap/>
            <w:hideMark/>
          </w:tcPr>
          <w:p w14:paraId="18209E03"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47.03</w:t>
            </w:r>
          </w:p>
        </w:tc>
        <w:tc>
          <w:tcPr>
            <w:tcW w:w="960" w:type="dxa"/>
            <w:noWrap/>
            <w:hideMark/>
          </w:tcPr>
          <w:p w14:paraId="365AA2BF"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50.3</w:t>
            </w:r>
          </w:p>
        </w:tc>
        <w:tc>
          <w:tcPr>
            <w:tcW w:w="960" w:type="dxa"/>
            <w:noWrap/>
            <w:hideMark/>
          </w:tcPr>
          <w:p w14:paraId="4E224211"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54.9</w:t>
            </w:r>
          </w:p>
        </w:tc>
        <w:tc>
          <w:tcPr>
            <w:tcW w:w="960" w:type="dxa"/>
            <w:noWrap/>
            <w:hideMark/>
          </w:tcPr>
          <w:p w14:paraId="134D675C"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47.09</w:t>
            </w:r>
          </w:p>
        </w:tc>
      </w:tr>
      <w:tr w:rsidR="00242669" w:rsidRPr="00B3537C" w14:paraId="0BAB7F21" w14:textId="77777777" w:rsidTr="0004206D">
        <w:trPr>
          <w:trHeight w:val="312"/>
        </w:trPr>
        <w:tc>
          <w:tcPr>
            <w:cnfStyle w:val="001000000000" w:firstRow="0" w:lastRow="0" w:firstColumn="1" w:lastColumn="0" w:oddVBand="0" w:evenVBand="0" w:oddHBand="0" w:evenHBand="0" w:firstRowFirstColumn="0" w:firstRowLastColumn="0" w:lastRowFirstColumn="0" w:lastRowLastColumn="0"/>
            <w:tcW w:w="3560" w:type="dxa"/>
            <w:noWrap/>
            <w:hideMark/>
          </w:tcPr>
          <w:p w14:paraId="0B686D4E"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Receivable Days</w:t>
            </w:r>
          </w:p>
        </w:tc>
        <w:tc>
          <w:tcPr>
            <w:tcW w:w="960" w:type="dxa"/>
            <w:noWrap/>
            <w:hideMark/>
          </w:tcPr>
          <w:p w14:paraId="4035EF8D"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116.65</w:t>
            </w:r>
          </w:p>
        </w:tc>
        <w:tc>
          <w:tcPr>
            <w:tcW w:w="960" w:type="dxa"/>
            <w:noWrap/>
            <w:hideMark/>
          </w:tcPr>
          <w:p w14:paraId="7033C01F"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121.03</w:t>
            </w:r>
          </w:p>
        </w:tc>
        <w:tc>
          <w:tcPr>
            <w:tcW w:w="960" w:type="dxa"/>
            <w:noWrap/>
            <w:hideMark/>
          </w:tcPr>
          <w:p w14:paraId="0C5E658B"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118.67</w:t>
            </w:r>
          </w:p>
        </w:tc>
        <w:tc>
          <w:tcPr>
            <w:tcW w:w="960" w:type="dxa"/>
            <w:noWrap/>
            <w:hideMark/>
          </w:tcPr>
          <w:p w14:paraId="1C6A37C7"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122.14</w:t>
            </w:r>
          </w:p>
        </w:tc>
        <w:tc>
          <w:tcPr>
            <w:tcW w:w="960" w:type="dxa"/>
            <w:noWrap/>
            <w:hideMark/>
          </w:tcPr>
          <w:p w14:paraId="31EA7C33"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131.85</w:t>
            </w:r>
          </w:p>
        </w:tc>
      </w:tr>
      <w:tr w:rsidR="00242669" w:rsidRPr="00B3537C" w14:paraId="008636A8" w14:textId="77777777" w:rsidTr="0004206D">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3560" w:type="dxa"/>
            <w:noWrap/>
            <w:hideMark/>
          </w:tcPr>
          <w:p w14:paraId="4D38DD38"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Payables Days</w:t>
            </w:r>
          </w:p>
        </w:tc>
        <w:tc>
          <w:tcPr>
            <w:tcW w:w="960" w:type="dxa"/>
            <w:noWrap/>
            <w:hideMark/>
          </w:tcPr>
          <w:p w14:paraId="198B8B15"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38.34</w:t>
            </w:r>
          </w:p>
        </w:tc>
        <w:tc>
          <w:tcPr>
            <w:tcW w:w="960" w:type="dxa"/>
            <w:noWrap/>
            <w:hideMark/>
          </w:tcPr>
          <w:p w14:paraId="19636106"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38.53</w:t>
            </w:r>
          </w:p>
        </w:tc>
        <w:tc>
          <w:tcPr>
            <w:tcW w:w="960" w:type="dxa"/>
            <w:noWrap/>
            <w:hideMark/>
          </w:tcPr>
          <w:p w14:paraId="148DE618"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45.98</w:t>
            </w:r>
          </w:p>
        </w:tc>
        <w:tc>
          <w:tcPr>
            <w:tcW w:w="960" w:type="dxa"/>
            <w:noWrap/>
            <w:hideMark/>
          </w:tcPr>
          <w:p w14:paraId="22C0E210"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40.86</w:t>
            </w:r>
          </w:p>
        </w:tc>
        <w:tc>
          <w:tcPr>
            <w:tcW w:w="960" w:type="dxa"/>
            <w:noWrap/>
            <w:hideMark/>
          </w:tcPr>
          <w:p w14:paraId="5CAD5441"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46.68</w:t>
            </w:r>
          </w:p>
        </w:tc>
      </w:tr>
      <w:tr w:rsidR="00242669" w:rsidRPr="00B3537C" w14:paraId="7AC9E434" w14:textId="77777777" w:rsidTr="0004206D">
        <w:trPr>
          <w:trHeight w:val="312"/>
        </w:trPr>
        <w:tc>
          <w:tcPr>
            <w:cnfStyle w:val="001000000000" w:firstRow="0" w:lastRow="0" w:firstColumn="1" w:lastColumn="0" w:oddVBand="0" w:evenVBand="0" w:oddHBand="0" w:evenHBand="0" w:firstRowFirstColumn="0" w:firstRowLastColumn="0" w:lastRowFirstColumn="0" w:lastRowLastColumn="0"/>
            <w:tcW w:w="3560" w:type="dxa"/>
            <w:noWrap/>
            <w:hideMark/>
          </w:tcPr>
          <w:p w14:paraId="37EB73DE"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CCC</w:t>
            </w:r>
          </w:p>
        </w:tc>
        <w:tc>
          <w:tcPr>
            <w:tcW w:w="960" w:type="dxa"/>
            <w:noWrap/>
            <w:hideMark/>
          </w:tcPr>
          <w:p w14:paraId="5EC8E543"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121.93</w:t>
            </w:r>
          </w:p>
        </w:tc>
        <w:tc>
          <w:tcPr>
            <w:tcW w:w="960" w:type="dxa"/>
            <w:noWrap/>
            <w:hideMark/>
          </w:tcPr>
          <w:p w14:paraId="5C1029EF"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129.53</w:t>
            </w:r>
          </w:p>
        </w:tc>
        <w:tc>
          <w:tcPr>
            <w:tcW w:w="960" w:type="dxa"/>
            <w:noWrap/>
            <w:hideMark/>
          </w:tcPr>
          <w:p w14:paraId="7325938F"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123</w:t>
            </w:r>
          </w:p>
        </w:tc>
        <w:tc>
          <w:tcPr>
            <w:tcW w:w="960" w:type="dxa"/>
            <w:noWrap/>
            <w:hideMark/>
          </w:tcPr>
          <w:p w14:paraId="039AB7B5"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136.18</w:t>
            </w:r>
          </w:p>
        </w:tc>
        <w:tc>
          <w:tcPr>
            <w:tcW w:w="960" w:type="dxa"/>
            <w:noWrap/>
            <w:hideMark/>
          </w:tcPr>
          <w:p w14:paraId="61865DD0"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132.26</w:t>
            </w:r>
          </w:p>
        </w:tc>
      </w:tr>
    </w:tbl>
    <w:p w14:paraId="2E449175" w14:textId="77777777" w:rsidR="002258B5" w:rsidRPr="00B3537C" w:rsidRDefault="002258B5" w:rsidP="002258B5">
      <w:pPr>
        <w:rPr>
          <w:rFonts w:ascii="Arial" w:hAnsi="Arial" w:cs="Arial"/>
          <w:color w:val="000000" w:themeColor="text1"/>
          <w:sz w:val="24"/>
          <w:szCs w:val="24"/>
        </w:rPr>
      </w:pPr>
    </w:p>
    <w:p w14:paraId="178D0501" w14:textId="77777777" w:rsidR="002258B5" w:rsidRPr="00B3537C" w:rsidRDefault="002258B5" w:rsidP="002258B5">
      <w:pPr>
        <w:keepNext/>
        <w:jc w:val="center"/>
        <w:rPr>
          <w:rFonts w:ascii="Arial" w:hAnsi="Arial" w:cs="Arial"/>
          <w:color w:val="000000" w:themeColor="text1"/>
          <w:sz w:val="24"/>
          <w:szCs w:val="24"/>
        </w:rPr>
      </w:pPr>
      <w:r w:rsidRPr="00B3537C">
        <w:rPr>
          <w:rFonts w:ascii="Arial" w:hAnsi="Arial" w:cs="Arial"/>
          <w:noProof/>
          <w:color w:val="000000" w:themeColor="text1"/>
          <w:sz w:val="24"/>
          <w:szCs w:val="24"/>
          <w:lang w:val="en-US"/>
        </w:rPr>
        <w:lastRenderedPageBreak/>
        <w:drawing>
          <wp:inline distT="0" distB="0" distL="0" distR="0" wp14:anchorId="45BE814A" wp14:editId="46A958DB">
            <wp:extent cx="5057818" cy="4095750"/>
            <wp:effectExtent l="0" t="0" r="9525" b="0"/>
            <wp:docPr id="3649830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64278" cy="4100981"/>
                    </a:xfrm>
                    <a:prstGeom prst="rect">
                      <a:avLst/>
                    </a:prstGeom>
                    <a:noFill/>
                  </pic:spPr>
                </pic:pic>
              </a:graphicData>
            </a:graphic>
          </wp:inline>
        </w:drawing>
      </w:r>
    </w:p>
    <w:p w14:paraId="1805C67E" w14:textId="21255D38" w:rsidR="002258B5" w:rsidRPr="00B3537C" w:rsidRDefault="002258B5" w:rsidP="002258B5">
      <w:pPr>
        <w:pStyle w:val="Caption"/>
        <w:jc w:val="center"/>
        <w:rPr>
          <w:rFonts w:ascii="Arial" w:hAnsi="Arial" w:cs="Arial"/>
          <w:color w:val="000000" w:themeColor="text1"/>
          <w:sz w:val="24"/>
          <w:szCs w:val="24"/>
        </w:rPr>
      </w:pPr>
      <w:r w:rsidRPr="00B3537C">
        <w:rPr>
          <w:rFonts w:ascii="Arial" w:hAnsi="Arial" w:cs="Arial"/>
          <w:color w:val="000000" w:themeColor="text1"/>
          <w:sz w:val="24"/>
          <w:szCs w:val="24"/>
        </w:rPr>
        <w:t xml:space="preserve">Figure </w:t>
      </w:r>
      <w:r w:rsidRPr="00B3537C">
        <w:rPr>
          <w:rFonts w:ascii="Arial" w:hAnsi="Arial" w:cs="Arial"/>
          <w:color w:val="000000" w:themeColor="text1"/>
          <w:sz w:val="24"/>
          <w:szCs w:val="24"/>
        </w:rPr>
        <w:fldChar w:fldCharType="begin"/>
      </w:r>
      <w:r w:rsidRPr="00B3537C">
        <w:rPr>
          <w:rFonts w:ascii="Arial" w:hAnsi="Arial" w:cs="Arial"/>
          <w:color w:val="000000" w:themeColor="text1"/>
          <w:sz w:val="24"/>
          <w:szCs w:val="24"/>
        </w:rPr>
        <w:instrText xml:space="preserve"> SEQ Figure \* ARABIC </w:instrText>
      </w:r>
      <w:r w:rsidRPr="00B3537C">
        <w:rPr>
          <w:rFonts w:ascii="Arial" w:hAnsi="Arial" w:cs="Arial"/>
          <w:color w:val="000000" w:themeColor="text1"/>
          <w:sz w:val="24"/>
          <w:szCs w:val="24"/>
        </w:rPr>
        <w:fldChar w:fldCharType="separate"/>
      </w:r>
      <w:r w:rsidRPr="00B3537C">
        <w:rPr>
          <w:rFonts w:ascii="Arial" w:hAnsi="Arial" w:cs="Arial"/>
          <w:noProof/>
          <w:color w:val="000000" w:themeColor="text1"/>
          <w:sz w:val="24"/>
          <w:szCs w:val="24"/>
        </w:rPr>
        <w:t>7</w:t>
      </w:r>
      <w:r w:rsidRPr="00B3537C">
        <w:rPr>
          <w:rFonts w:ascii="Arial" w:hAnsi="Arial" w:cs="Arial"/>
          <w:color w:val="000000" w:themeColor="text1"/>
          <w:sz w:val="24"/>
          <w:szCs w:val="24"/>
        </w:rPr>
        <w:fldChar w:fldCharType="end"/>
      </w:r>
      <w:r w:rsidRPr="00B3537C">
        <w:rPr>
          <w:rFonts w:ascii="Arial" w:hAnsi="Arial" w:cs="Arial"/>
          <w:color w:val="000000" w:themeColor="text1"/>
          <w:sz w:val="24"/>
          <w:szCs w:val="24"/>
        </w:rPr>
        <w:t xml:space="preserve"> Working Capital Management</w:t>
      </w:r>
    </w:p>
    <w:p w14:paraId="3175FFEA" w14:textId="77777777" w:rsidR="00242669" w:rsidRPr="00B3537C" w:rsidRDefault="00242669" w:rsidP="00242669">
      <w:pPr>
        <w:rPr>
          <w:rFonts w:ascii="Arial" w:hAnsi="Arial" w:cs="Arial"/>
        </w:rPr>
      </w:pPr>
    </w:p>
    <w:p w14:paraId="7E500C55" w14:textId="77777777" w:rsidR="002258B5" w:rsidRPr="00B3537C" w:rsidRDefault="002258B5" w:rsidP="00242669">
      <w:pPr>
        <w:pStyle w:val="Caption"/>
        <w:keepNext/>
        <w:jc w:val="center"/>
        <w:rPr>
          <w:rFonts w:ascii="Arial" w:hAnsi="Arial" w:cs="Arial"/>
          <w:color w:val="000000" w:themeColor="text1"/>
          <w:sz w:val="24"/>
          <w:szCs w:val="24"/>
          <w:u w:val="single"/>
        </w:rPr>
      </w:pPr>
      <w:r w:rsidRPr="00B3537C">
        <w:rPr>
          <w:rFonts w:ascii="Arial" w:hAnsi="Arial" w:cs="Arial"/>
          <w:color w:val="000000" w:themeColor="text1"/>
          <w:sz w:val="24"/>
          <w:szCs w:val="24"/>
          <w:u w:val="single"/>
        </w:rPr>
        <w:t xml:space="preserve">Table </w:t>
      </w:r>
      <w:r w:rsidRPr="00B3537C">
        <w:rPr>
          <w:rFonts w:ascii="Arial" w:hAnsi="Arial" w:cs="Arial"/>
          <w:color w:val="000000" w:themeColor="text1"/>
          <w:sz w:val="24"/>
          <w:szCs w:val="24"/>
          <w:u w:val="single"/>
        </w:rPr>
        <w:fldChar w:fldCharType="begin"/>
      </w:r>
      <w:r w:rsidRPr="00B3537C">
        <w:rPr>
          <w:rFonts w:ascii="Arial" w:hAnsi="Arial" w:cs="Arial"/>
          <w:color w:val="000000" w:themeColor="text1"/>
          <w:sz w:val="24"/>
          <w:szCs w:val="24"/>
          <w:u w:val="single"/>
        </w:rPr>
        <w:instrText xml:space="preserve"> SEQ Table \* ARABIC </w:instrText>
      </w:r>
      <w:r w:rsidRPr="00B3537C">
        <w:rPr>
          <w:rFonts w:ascii="Arial" w:hAnsi="Arial" w:cs="Arial"/>
          <w:color w:val="000000" w:themeColor="text1"/>
          <w:sz w:val="24"/>
          <w:szCs w:val="24"/>
          <w:u w:val="single"/>
        </w:rPr>
        <w:fldChar w:fldCharType="separate"/>
      </w:r>
      <w:r w:rsidRPr="00B3537C">
        <w:rPr>
          <w:rFonts w:ascii="Arial" w:hAnsi="Arial" w:cs="Arial"/>
          <w:noProof/>
          <w:color w:val="000000" w:themeColor="text1"/>
          <w:sz w:val="24"/>
          <w:szCs w:val="24"/>
          <w:u w:val="single"/>
        </w:rPr>
        <w:t>8</w:t>
      </w:r>
      <w:r w:rsidRPr="00B3537C">
        <w:rPr>
          <w:rFonts w:ascii="Arial" w:hAnsi="Arial" w:cs="Arial"/>
          <w:color w:val="000000" w:themeColor="text1"/>
          <w:sz w:val="24"/>
          <w:szCs w:val="24"/>
          <w:u w:val="single"/>
        </w:rPr>
        <w:fldChar w:fldCharType="end"/>
      </w:r>
      <w:r w:rsidRPr="00B3537C">
        <w:rPr>
          <w:rFonts w:ascii="Arial" w:hAnsi="Arial" w:cs="Arial"/>
          <w:color w:val="000000" w:themeColor="text1"/>
          <w:sz w:val="24"/>
          <w:szCs w:val="24"/>
          <w:u w:val="single"/>
        </w:rPr>
        <w:t xml:space="preserve"> Investment appraisal and capital budgeting</w:t>
      </w:r>
    </w:p>
    <w:tbl>
      <w:tblPr>
        <w:tblStyle w:val="GridTable3-Accent1"/>
        <w:tblW w:w="9106" w:type="dxa"/>
        <w:tblInd w:w="5" w:type="dxa"/>
        <w:tblLook w:val="04A0" w:firstRow="1" w:lastRow="0" w:firstColumn="1" w:lastColumn="0" w:noHBand="0" w:noVBand="1"/>
      </w:tblPr>
      <w:tblGrid>
        <w:gridCol w:w="1841"/>
        <w:gridCol w:w="1310"/>
        <w:gridCol w:w="1002"/>
        <w:gridCol w:w="1066"/>
        <w:gridCol w:w="1002"/>
        <w:gridCol w:w="1066"/>
        <w:gridCol w:w="1002"/>
        <w:gridCol w:w="1066"/>
      </w:tblGrid>
      <w:tr w:rsidR="00242669" w:rsidRPr="00B3537C" w14:paraId="1959E3E1" w14:textId="77777777" w:rsidTr="0004206D">
        <w:trPr>
          <w:cnfStyle w:val="100000000000" w:firstRow="1" w:lastRow="0" w:firstColumn="0" w:lastColumn="0" w:oddVBand="0" w:evenVBand="0" w:oddHBand="0" w:evenHBand="0" w:firstRowFirstColumn="0" w:firstRowLastColumn="0" w:lastRowFirstColumn="0" w:lastRowLastColumn="0"/>
          <w:trHeight w:val="420"/>
        </w:trPr>
        <w:tc>
          <w:tcPr>
            <w:cnfStyle w:val="001000000100" w:firstRow="0" w:lastRow="0" w:firstColumn="1" w:lastColumn="0" w:oddVBand="0" w:evenVBand="0" w:oddHBand="0" w:evenHBand="0" w:firstRowFirstColumn="1" w:firstRowLastColumn="0" w:lastRowFirstColumn="0" w:lastRowLastColumn="0"/>
            <w:tcW w:w="1900" w:type="dxa"/>
            <w:noWrap/>
            <w:hideMark/>
          </w:tcPr>
          <w:p w14:paraId="5FF6249E"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NPV</w:t>
            </w:r>
          </w:p>
        </w:tc>
        <w:tc>
          <w:tcPr>
            <w:tcW w:w="1350" w:type="dxa"/>
            <w:noWrap/>
            <w:hideMark/>
          </w:tcPr>
          <w:p w14:paraId="00E7B877"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c>
          <w:tcPr>
            <w:tcW w:w="963" w:type="dxa"/>
            <w:noWrap/>
            <w:hideMark/>
          </w:tcPr>
          <w:p w14:paraId="549C5265"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c>
          <w:tcPr>
            <w:tcW w:w="989" w:type="dxa"/>
            <w:noWrap/>
            <w:hideMark/>
          </w:tcPr>
          <w:p w14:paraId="0C11CA22"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c>
          <w:tcPr>
            <w:tcW w:w="963" w:type="dxa"/>
            <w:noWrap/>
            <w:hideMark/>
          </w:tcPr>
          <w:p w14:paraId="21842656"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c>
          <w:tcPr>
            <w:tcW w:w="989" w:type="dxa"/>
            <w:noWrap/>
            <w:hideMark/>
          </w:tcPr>
          <w:p w14:paraId="65BF7C9E"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c>
          <w:tcPr>
            <w:tcW w:w="963" w:type="dxa"/>
            <w:noWrap/>
            <w:hideMark/>
          </w:tcPr>
          <w:p w14:paraId="7E1CAF42"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c>
          <w:tcPr>
            <w:tcW w:w="989" w:type="dxa"/>
            <w:noWrap/>
            <w:hideMark/>
          </w:tcPr>
          <w:p w14:paraId="2D7C6C77"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r>
      <w:tr w:rsidR="00242669" w:rsidRPr="00B3537C" w14:paraId="5C54651B" w14:textId="77777777" w:rsidTr="0004206D">
        <w:trPr>
          <w:cnfStyle w:val="000000100000" w:firstRow="0" w:lastRow="0" w:firstColumn="0" w:lastColumn="0" w:oddVBand="0" w:evenVBand="0" w:oddHBand="1" w:evenHBand="0" w:firstRowFirstColumn="0" w:firstRowLastColumn="0" w:lastRowFirstColumn="0" w:lastRowLastColumn="0"/>
          <w:trHeight w:val="1248"/>
        </w:trPr>
        <w:tc>
          <w:tcPr>
            <w:cnfStyle w:val="001000000000" w:firstRow="0" w:lastRow="0" w:firstColumn="1" w:lastColumn="0" w:oddVBand="0" w:evenVBand="0" w:oddHBand="0" w:evenHBand="0" w:firstRowFirstColumn="0" w:firstRowLastColumn="0" w:lastRowFirstColumn="0" w:lastRowLastColumn="0"/>
            <w:tcW w:w="1900" w:type="dxa"/>
            <w:hideMark/>
          </w:tcPr>
          <w:p w14:paraId="2887EFA1" w14:textId="77777777" w:rsidR="002258B5" w:rsidRPr="00B3537C" w:rsidRDefault="002258B5" w:rsidP="0004206D">
            <w:pPr>
              <w:jc w:val="center"/>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Year</w:t>
            </w:r>
          </w:p>
        </w:tc>
        <w:tc>
          <w:tcPr>
            <w:tcW w:w="1350" w:type="dxa"/>
            <w:hideMark/>
          </w:tcPr>
          <w:p w14:paraId="0200B282"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Discount Factor (10%)</w:t>
            </w:r>
          </w:p>
        </w:tc>
        <w:tc>
          <w:tcPr>
            <w:tcW w:w="963" w:type="dxa"/>
            <w:hideMark/>
          </w:tcPr>
          <w:p w14:paraId="6FCCCF7C"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Cash flow of Project A</w:t>
            </w:r>
          </w:p>
        </w:tc>
        <w:tc>
          <w:tcPr>
            <w:tcW w:w="989" w:type="dxa"/>
            <w:hideMark/>
          </w:tcPr>
          <w:p w14:paraId="1F40B2F9"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Present value</w:t>
            </w:r>
          </w:p>
        </w:tc>
        <w:tc>
          <w:tcPr>
            <w:tcW w:w="963" w:type="dxa"/>
            <w:hideMark/>
          </w:tcPr>
          <w:p w14:paraId="101ECCA8"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Cash flow of Project B</w:t>
            </w:r>
          </w:p>
        </w:tc>
        <w:tc>
          <w:tcPr>
            <w:tcW w:w="989" w:type="dxa"/>
            <w:hideMark/>
          </w:tcPr>
          <w:p w14:paraId="089E067A"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Present value</w:t>
            </w:r>
          </w:p>
        </w:tc>
        <w:tc>
          <w:tcPr>
            <w:tcW w:w="963" w:type="dxa"/>
            <w:hideMark/>
          </w:tcPr>
          <w:p w14:paraId="316B27B3"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Cash flow of Project C</w:t>
            </w:r>
          </w:p>
        </w:tc>
        <w:tc>
          <w:tcPr>
            <w:tcW w:w="989" w:type="dxa"/>
            <w:hideMark/>
          </w:tcPr>
          <w:p w14:paraId="76DECC66"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Present value</w:t>
            </w:r>
          </w:p>
        </w:tc>
      </w:tr>
      <w:tr w:rsidR="00242669" w:rsidRPr="00B3537C" w14:paraId="2D6E42C0" w14:textId="77777777" w:rsidTr="0004206D">
        <w:trPr>
          <w:trHeight w:val="288"/>
        </w:trPr>
        <w:tc>
          <w:tcPr>
            <w:cnfStyle w:val="001000000000" w:firstRow="0" w:lastRow="0" w:firstColumn="1" w:lastColumn="0" w:oddVBand="0" w:evenVBand="0" w:oddHBand="0" w:evenHBand="0" w:firstRowFirstColumn="0" w:firstRowLastColumn="0" w:lastRowFirstColumn="0" w:lastRowLastColumn="0"/>
            <w:tcW w:w="1900" w:type="dxa"/>
            <w:noWrap/>
            <w:hideMark/>
          </w:tcPr>
          <w:p w14:paraId="2CB7A6FC" w14:textId="77777777" w:rsidR="002258B5" w:rsidRPr="00B3537C" w:rsidRDefault="002258B5" w:rsidP="0004206D">
            <w:pPr>
              <w:jc w:val="cente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w:t>
            </w:r>
          </w:p>
        </w:tc>
        <w:tc>
          <w:tcPr>
            <w:tcW w:w="1350" w:type="dxa"/>
            <w:noWrap/>
            <w:hideMark/>
          </w:tcPr>
          <w:p w14:paraId="1C8DD3C9"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w:t>
            </w:r>
          </w:p>
        </w:tc>
        <w:tc>
          <w:tcPr>
            <w:tcW w:w="963" w:type="dxa"/>
            <w:noWrap/>
            <w:hideMark/>
          </w:tcPr>
          <w:p w14:paraId="08028F61"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50</w:t>
            </w:r>
          </w:p>
        </w:tc>
        <w:tc>
          <w:tcPr>
            <w:tcW w:w="989" w:type="dxa"/>
            <w:noWrap/>
            <w:hideMark/>
          </w:tcPr>
          <w:p w14:paraId="6543290B"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50</w:t>
            </w:r>
          </w:p>
        </w:tc>
        <w:tc>
          <w:tcPr>
            <w:tcW w:w="963" w:type="dxa"/>
            <w:noWrap/>
            <w:hideMark/>
          </w:tcPr>
          <w:p w14:paraId="5C8A7CA9"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50</w:t>
            </w:r>
          </w:p>
        </w:tc>
        <w:tc>
          <w:tcPr>
            <w:tcW w:w="989" w:type="dxa"/>
            <w:noWrap/>
            <w:hideMark/>
          </w:tcPr>
          <w:p w14:paraId="47DD4E4A"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50</w:t>
            </w:r>
          </w:p>
        </w:tc>
        <w:tc>
          <w:tcPr>
            <w:tcW w:w="963" w:type="dxa"/>
            <w:noWrap/>
            <w:hideMark/>
          </w:tcPr>
          <w:p w14:paraId="10114022"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50</w:t>
            </w:r>
          </w:p>
        </w:tc>
        <w:tc>
          <w:tcPr>
            <w:tcW w:w="989" w:type="dxa"/>
            <w:noWrap/>
            <w:hideMark/>
          </w:tcPr>
          <w:p w14:paraId="00D60444"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50</w:t>
            </w:r>
          </w:p>
        </w:tc>
      </w:tr>
      <w:tr w:rsidR="00242669" w:rsidRPr="00B3537C" w14:paraId="3F31D601" w14:textId="77777777" w:rsidTr="0004206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00" w:type="dxa"/>
            <w:noWrap/>
            <w:hideMark/>
          </w:tcPr>
          <w:p w14:paraId="7A03935E" w14:textId="77777777" w:rsidR="002258B5" w:rsidRPr="00B3537C" w:rsidRDefault="002258B5" w:rsidP="0004206D">
            <w:pPr>
              <w:jc w:val="cente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w:t>
            </w:r>
          </w:p>
        </w:tc>
        <w:tc>
          <w:tcPr>
            <w:tcW w:w="1350" w:type="dxa"/>
            <w:noWrap/>
            <w:hideMark/>
          </w:tcPr>
          <w:p w14:paraId="76397DC3"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0.909</w:t>
            </w:r>
          </w:p>
        </w:tc>
        <w:tc>
          <w:tcPr>
            <w:tcW w:w="963" w:type="dxa"/>
            <w:noWrap/>
            <w:hideMark/>
          </w:tcPr>
          <w:p w14:paraId="169A86C5"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10</w:t>
            </w:r>
          </w:p>
        </w:tc>
        <w:tc>
          <w:tcPr>
            <w:tcW w:w="989" w:type="dxa"/>
            <w:noWrap/>
            <w:hideMark/>
          </w:tcPr>
          <w:p w14:paraId="413100D1"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9.09</w:t>
            </w:r>
          </w:p>
        </w:tc>
        <w:tc>
          <w:tcPr>
            <w:tcW w:w="963" w:type="dxa"/>
            <w:noWrap/>
            <w:hideMark/>
          </w:tcPr>
          <w:p w14:paraId="0FF9362F"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11</w:t>
            </w:r>
          </w:p>
        </w:tc>
        <w:tc>
          <w:tcPr>
            <w:tcW w:w="989" w:type="dxa"/>
            <w:noWrap/>
            <w:hideMark/>
          </w:tcPr>
          <w:p w14:paraId="66A05DE6"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9.999</w:t>
            </w:r>
          </w:p>
        </w:tc>
        <w:tc>
          <w:tcPr>
            <w:tcW w:w="963" w:type="dxa"/>
            <w:noWrap/>
            <w:hideMark/>
          </w:tcPr>
          <w:p w14:paraId="313F1C91"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w:t>
            </w:r>
          </w:p>
        </w:tc>
        <w:tc>
          <w:tcPr>
            <w:tcW w:w="989" w:type="dxa"/>
            <w:noWrap/>
            <w:hideMark/>
          </w:tcPr>
          <w:p w14:paraId="5D37C29D"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4.545</w:t>
            </w:r>
          </w:p>
        </w:tc>
      </w:tr>
      <w:tr w:rsidR="00242669" w:rsidRPr="00B3537C" w14:paraId="40A28C0E" w14:textId="77777777" w:rsidTr="0004206D">
        <w:trPr>
          <w:trHeight w:val="288"/>
        </w:trPr>
        <w:tc>
          <w:tcPr>
            <w:cnfStyle w:val="001000000000" w:firstRow="0" w:lastRow="0" w:firstColumn="1" w:lastColumn="0" w:oddVBand="0" w:evenVBand="0" w:oddHBand="0" w:evenHBand="0" w:firstRowFirstColumn="0" w:firstRowLastColumn="0" w:lastRowFirstColumn="0" w:lastRowLastColumn="0"/>
            <w:tcW w:w="1900" w:type="dxa"/>
            <w:noWrap/>
            <w:hideMark/>
          </w:tcPr>
          <w:p w14:paraId="75EBBD73" w14:textId="77777777" w:rsidR="002258B5" w:rsidRPr="00B3537C" w:rsidRDefault="002258B5" w:rsidP="0004206D">
            <w:pPr>
              <w:jc w:val="cente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w:t>
            </w:r>
          </w:p>
        </w:tc>
        <w:tc>
          <w:tcPr>
            <w:tcW w:w="1350" w:type="dxa"/>
            <w:noWrap/>
            <w:hideMark/>
          </w:tcPr>
          <w:p w14:paraId="6FCFE3DA"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0.826</w:t>
            </w:r>
          </w:p>
        </w:tc>
        <w:tc>
          <w:tcPr>
            <w:tcW w:w="963" w:type="dxa"/>
            <w:noWrap/>
            <w:hideMark/>
          </w:tcPr>
          <w:p w14:paraId="156524CC"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12</w:t>
            </w:r>
          </w:p>
        </w:tc>
        <w:tc>
          <w:tcPr>
            <w:tcW w:w="989" w:type="dxa"/>
            <w:noWrap/>
            <w:hideMark/>
          </w:tcPr>
          <w:p w14:paraId="644170A9"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9.912</w:t>
            </w:r>
          </w:p>
        </w:tc>
        <w:tc>
          <w:tcPr>
            <w:tcW w:w="963" w:type="dxa"/>
            <w:noWrap/>
            <w:hideMark/>
          </w:tcPr>
          <w:p w14:paraId="3D8BF955"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11</w:t>
            </w:r>
          </w:p>
        </w:tc>
        <w:tc>
          <w:tcPr>
            <w:tcW w:w="989" w:type="dxa"/>
            <w:noWrap/>
            <w:hideMark/>
          </w:tcPr>
          <w:p w14:paraId="3DE907F9"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9.086</w:t>
            </w:r>
          </w:p>
        </w:tc>
        <w:tc>
          <w:tcPr>
            <w:tcW w:w="963" w:type="dxa"/>
            <w:noWrap/>
            <w:hideMark/>
          </w:tcPr>
          <w:p w14:paraId="2FE3A9FC"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10</w:t>
            </w:r>
          </w:p>
        </w:tc>
        <w:tc>
          <w:tcPr>
            <w:tcW w:w="989" w:type="dxa"/>
            <w:noWrap/>
            <w:hideMark/>
          </w:tcPr>
          <w:p w14:paraId="4BFCE9CF"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8.26</w:t>
            </w:r>
          </w:p>
        </w:tc>
      </w:tr>
      <w:tr w:rsidR="00242669" w:rsidRPr="00B3537C" w14:paraId="26AB346E" w14:textId="77777777" w:rsidTr="0004206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00" w:type="dxa"/>
            <w:noWrap/>
            <w:hideMark/>
          </w:tcPr>
          <w:p w14:paraId="36E3D778" w14:textId="77777777" w:rsidR="002258B5" w:rsidRPr="00B3537C" w:rsidRDefault="002258B5" w:rsidP="0004206D">
            <w:pPr>
              <w:jc w:val="cente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3</w:t>
            </w:r>
          </w:p>
        </w:tc>
        <w:tc>
          <w:tcPr>
            <w:tcW w:w="1350" w:type="dxa"/>
            <w:noWrap/>
            <w:hideMark/>
          </w:tcPr>
          <w:p w14:paraId="5DCDDD06"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0.751</w:t>
            </w:r>
          </w:p>
        </w:tc>
        <w:tc>
          <w:tcPr>
            <w:tcW w:w="963" w:type="dxa"/>
            <w:noWrap/>
            <w:hideMark/>
          </w:tcPr>
          <w:p w14:paraId="3DA5257E"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14</w:t>
            </w:r>
          </w:p>
        </w:tc>
        <w:tc>
          <w:tcPr>
            <w:tcW w:w="989" w:type="dxa"/>
            <w:noWrap/>
            <w:hideMark/>
          </w:tcPr>
          <w:p w14:paraId="039C2559"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10.514</w:t>
            </w:r>
          </w:p>
        </w:tc>
        <w:tc>
          <w:tcPr>
            <w:tcW w:w="963" w:type="dxa"/>
            <w:noWrap/>
            <w:hideMark/>
          </w:tcPr>
          <w:p w14:paraId="18518141"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11</w:t>
            </w:r>
          </w:p>
        </w:tc>
        <w:tc>
          <w:tcPr>
            <w:tcW w:w="989" w:type="dxa"/>
            <w:noWrap/>
            <w:hideMark/>
          </w:tcPr>
          <w:p w14:paraId="09D85DC1"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8.261</w:t>
            </w:r>
          </w:p>
        </w:tc>
        <w:tc>
          <w:tcPr>
            <w:tcW w:w="963" w:type="dxa"/>
            <w:noWrap/>
            <w:hideMark/>
          </w:tcPr>
          <w:p w14:paraId="4C915EFF"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w:t>
            </w:r>
          </w:p>
        </w:tc>
        <w:tc>
          <w:tcPr>
            <w:tcW w:w="989" w:type="dxa"/>
            <w:noWrap/>
            <w:hideMark/>
          </w:tcPr>
          <w:p w14:paraId="7FF64B14"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15.02</w:t>
            </w:r>
          </w:p>
        </w:tc>
      </w:tr>
      <w:tr w:rsidR="00242669" w:rsidRPr="00B3537C" w14:paraId="42DDAD75" w14:textId="77777777" w:rsidTr="0004206D">
        <w:trPr>
          <w:trHeight w:val="288"/>
        </w:trPr>
        <w:tc>
          <w:tcPr>
            <w:cnfStyle w:val="001000000000" w:firstRow="0" w:lastRow="0" w:firstColumn="1" w:lastColumn="0" w:oddVBand="0" w:evenVBand="0" w:oddHBand="0" w:evenHBand="0" w:firstRowFirstColumn="0" w:firstRowLastColumn="0" w:lastRowFirstColumn="0" w:lastRowLastColumn="0"/>
            <w:tcW w:w="1900" w:type="dxa"/>
            <w:noWrap/>
            <w:hideMark/>
          </w:tcPr>
          <w:p w14:paraId="110724AC" w14:textId="77777777" w:rsidR="002258B5" w:rsidRPr="00B3537C" w:rsidRDefault="002258B5" w:rsidP="0004206D">
            <w:pPr>
              <w:jc w:val="cente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w:t>
            </w:r>
          </w:p>
        </w:tc>
        <w:tc>
          <w:tcPr>
            <w:tcW w:w="1350" w:type="dxa"/>
            <w:noWrap/>
            <w:hideMark/>
          </w:tcPr>
          <w:p w14:paraId="5A16A39D"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0.683</w:t>
            </w:r>
          </w:p>
        </w:tc>
        <w:tc>
          <w:tcPr>
            <w:tcW w:w="963" w:type="dxa"/>
            <w:noWrap/>
            <w:hideMark/>
          </w:tcPr>
          <w:p w14:paraId="318FA2AA"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10</w:t>
            </w:r>
          </w:p>
        </w:tc>
        <w:tc>
          <w:tcPr>
            <w:tcW w:w="989" w:type="dxa"/>
            <w:noWrap/>
            <w:hideMark/>
          </w:tcPr>
          <w:p w14:paraId="6E602B6C"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6.83</w:t>
            </w:r>
          </w:p>
        </w:tc>
        <w:tc>
          <w:tcPr>
            <w:tcW w:w="963" w:type="dxa"/>
            <w:noWrap/>
            <w:hideMark/>
          </w:tcPr>
          <w:p w14:paraId="7A6EBC00"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11</w:t>
            </w:r>
          </w:p>
        </w:tc>
        <w:tc>
          <w:tcPr>
            <w:tcW w:w="989" w:type="dxa"/>
            <w:noWrap/>
            <w:hideMark/>
          </w:tcPr>
          <w:p w14:paraId="052F5041"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7.513</w:t>
            </w:r>
          </w:p>
        </w:tc>
        <w:tc>
          <w:tcPr>
            <w:tcW w:w="963" w:type="dxa"/>
            <w:noWrap/>
            <w:hideMark/>
          </w:tcPr>
          <w:p w14:paraId="032671A8"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25</w:t>
            </w:r>
          </w:p>
        </w:tc>
        <w:tc>
          <w:tcPr>
            <w:tcW w:w="989" w:type="dxa"/>
            <w:noWrap/>
            <w:hideMark/>
          </w:tcPr>
          <w:p w14:paraId="74E2FBAA"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17.075</w:t>
            </w:r>
          </w:p>
        </w:tc>
      </w:tr>
      <w:tr w:rsidR="00242669" w:rsidRPr="00B3537C" w14:paraId="50A96540" w14:textId="77777777" w:rsidTr="0004206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00" w:type="dxa"/>
            <w:noWrap/>
            <w:hideMark/>
          </w:tcPr>
          <w:p w14:paraId="4D544648" w14:textId="77777777" w:rsidR="002258B5" w:rsidRPr="00B3537C" w:rsidRDefault="002258B5" w:rsidP="0004206D">
            <w:pPr>
              <w:jc w:val="cente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w:t>
            </w:r>
          </w:p>
        </w:tc>
        <w:tc>
          <w:tcPr>
            <w:tcW w:w="1350" w:type="dxa"/>
            <w:noWrap/>
            <w:hideMark/>
          </w:tcPr>
          <w:p w14:paraId="35191DC3"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0.621</w:t>
            </w:r>
          </w:p>
        </w:tc>
        <w:tc>
          <w:tcPr>
            <w:tcW w:w="963" w:type="dxa"/>
            <w:noWrap/>
            <w:hideMark/>
          </w:tcPr>
          <w:p w14:paraId="1F978102"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8</w:t>
            </w:r>
          </w:p>
        </w:tc>
        <w:tc>
          <w:tcPr>
            <w:tcW w:w="989" w:type="dxa"/>
            <w:noWrap/>
            <w:hideMark/>
          </w:tcPr>
          <w:p w14:paraId="123CE1ED"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4.968</w:t>
            </w:r>
          </w:p>
        </w:tc>
        <w:tc>
          <w:tcPr>
            <w:tcW w:w="963" w:type="dxa"/>
            <w:noWrap/>
            <w:hideMark/>
          </w:tcPr>
          <w:p w14:paraId="44B3FD6A"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11</w:t>
            </w:r>
          </w:p>
        </w:tc>
        <w:tc>
          <w:tcPr>
            <w:tcW w:w="989" w:type="dxa"/>
            <w:noWrap/>
            <w:hideMark/>
          </w:tcPr>
          <w:p w14:paraId="480DADD0"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6.831</w:t>
            </w:r>
          </w:p>
        </w:tc>
        <w:tc>
          <w:tcPr>
            <w:tcW w:w="963" w:type="dxa"/>
            <w:noWrap/>
            <w:hideMark/>
          </w:tcPr>
          <w:p w14:paraId="4FD1EA64"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w:t>
            </w:r>
          </w:p>
        </w:tc>
        <w:tc>
          <w:tcPr>
            <w:tcW w:w="989" w:type="dxa"/>
            <w:noWrap/>
            <w:hideMark/>
          </w:tcPr>
          <w:p w14:paraId="4319D266"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3.105</w:t>
            </w:r>
          </w:p>
        </w:tc>
      </w:tr>
      <w:tr w:rsidR="00242669" w:rsidRPr="00B3537C" w14:paraId="3D24D75F" w14:textId="77777777" w:rsidTr="0004206D">
        <w:trPr>
          <w:trHeight w:val="288"/>
        </w:trPr>
        <w:tc>
          <w:tcPr>
            <w:cnfStyle w:val="001000000000" w:firstRow="0" w:lastRow="0" w:firstColumn="1" w:lastColumn="0" w:oddVBand="0" w:evenVBand="0" w:oddHBand="0" w:evenHBand="0" w:firstRowFirstColumn="0" w:firstRowLastColumn="0" w:lastRowFirstColumn="0" w:lastRowLastColumn="0"/>
            <w:tcW w:w="1900" w:type="dxa"/>
            <w:noWrap/>
            <w:hideMark/>
          </w:tcPr>
          <w:p w14:paraId="0D9E2C0F" w14:textId="77777777" w:rsidR="002258B5" w:rsidRPr="00B3537C" w:rsidRDefault="002258B5" w:rsidP="0004206D">
            <w:pPr>
              <w:jc w:val="center"/>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Total Present Value</w:t>
            </w:r>
          </w:p>
        </w:tc>
        <w:tc>
          <w:tcPr>
            <w:tcW w:w="1350" w:type="dxa"/>
            <w:noWrap/>
            <w:hideMark/>
          </w:tcPr>
          <w:p w14:paraId="080CECD5"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963" w:type="dxa"/>
            <w:noWrap/>
            <w:hideMark/>
          </w:tcPr>
          <w:p w14:paraId="72E64F63"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989" w:type="dxa"/>
            <w:noWrap/>
            <w:hideMark/>
          </w:tcPr>
          <w:p w14:paraId="08808905"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41.314</w:t>
            </w:r>
          </w:p>
        </w:tc>
        <w:tc>
          <w:tcPr>
            <w:tcW w:w="963" w:type="dxa"/>
            <w:noWrap/>
            <w:hideMark/>
          </w:tcPr>
          <w:p w14:paraId="461548A0"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 </w:t>
            </w:r>
          </w:p>
        </w:tc>
        <w:tc>
          <w:tcPr>
            <w:tcW w:w="989" w:type="dxa"/>
            <w:noWrap/>
            <w:hideMark/>
          </w:tcPr>
          <w:p w14:paraId="39900ABA"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41.69</w:t>
            </w:r>
          </w:p>
        </w:tc>
        <w:tc>
          <w:tcPr>
            <w:tcW w:w="963" w:type="dxa"/>
            <w:noWrap/>
            <w:hideMark/>
          </w:tcPr>
          <w:p w14:paraId="65F84AEC"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 </w:t>
            </w:r>
          </w:p>
        </w:tc>
        <w:tc>
          <w:tcPr>
            <w:tcW w:w="989" w:type="dxa"/>
            <w:noWrap/>
            <w:hideMark/>
          </w:tcPr>
          <w:p w14:paraId="015F3946"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48.01</w:t>
            </w:r>
          </w:p>
        </w:tc>
      </w:tr>
      <w:tr w:rsidR="00242669" w:rsidRPr="00B3537C" w14:paraId="1869BBF7" w14:textId="77777777" w:rsidTr="0004206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00" w:type="dxa"/>
            <w:noWrap/>
            <w:hideMark/>
          </w:tcPr>
          <w:p w14:paraId="4967200B" w14:textId="77777777" w:rsidR="002258B5" w:rsidRPr="00B3537C" w:rsidRDefault="002258B5" w:rsidP="0004206D">
            <w:pPr>
              <w:jc w:val="center"/>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NPV</w:t>
            </w:r>
          </w:p>
        </w:tc>
        <w:tc>
          <w:tcPr>
            <w:tcW w:w="1350" w:type="dxa"/>
            <w:noWrap/>
            <w:hideMark/>
          </w:tcPr>
          <w:p w14:paraId="144524B5"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963" w:type="dxa"/>
            <w:noWrap/>
            <w:hideMark/>
          </w:tcPr>
          <w:p w14:paraId="3B9DFE02"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989" w:type="dxa"/>
            <w:noWrap/>
            <w:hideMark/>
          </w:tcPr>
          <w:p w14:paraId="37266CCB"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-8.686</w:t>
            </w:r>
          </w:p>
        </w:tc>
        <w:tc>
          <w:tcPr>
            <w:tcW w:w="963" w:type="dxa"/>
            <w:noWrap/>
            <w:hideMark/>
          </w:tcPr>
          <w:p w14:paraId="582867F5"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 </w:t>
            </w:r>
          </w:p>
        </w:tc>
        <w:tc>
          <w:tcPr>
            <w:tcW w:w="989" w:type="dxa"/>
            <w:noWrap/>
            <w:hideMark/>
          </w:tcPr>
          <w:p w14:paraId="21291565"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-8.31</w:t>
            </w:r>
          </w:p>
        </w:tc>
        <w:tc>
          <w:tcPr>
            <w:tcW w:w="963" w:type="dxa"/>
            <w:noWrap/>
            <w:hideMark/>
          </w:tcPr>
          <w:p w14:paraId="4026930A"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 </w:t>
            </w:r>
          </w:p>
        </w:tc>
        <w:tc>
          <w:tcPr>
            <w:tcW w:w="989" w:type="dxa"/>
            <w:noWrap/>
            <w:hideMark/>
          </w:tcPr>
          <w:p w14:paraId="22E3CE30"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-2.00</w:t>
            </w:r>
          </w:p>
        </w:tc>
      </w:tr>
    </w:tbl>
    <w:p w14:paraId="2B5CB2DF" w14:textId="77777777" w:rsidR="002258B5" w:rsidRPr="00B3537C" w:rsidRDefault="002258B5" w:rsidP="002258B5">
      <w:pPr>
        <w:rPr>
          <w:rFonts w:ascii="Arial" w:hAnsi="Arial" w:cs="Arial"/>
          <w:color w:val="000000" w:themeColor="text1"/>
          <w:sz w:val="24"/>
          <w:szCs w:val="24"/>
        </w:rPr>
      </w:pPr>
    </w:p>
    <w:p w14:paraId="37E5D4E7" w14:textId="77777777" w:rsidR="002258B5" w:rsidRPr="00B3537C" w:rsidRDefault="002258B5" w:rsidP="00242669">
      <w:pPr>
        <w:pStyle w:val="Caption"/>
        <w:keepNext/>
        <w:jc w:val="center"/>
        <w:rPr>
          <w:rFonts w:ascii="Arial" w:hAnsi="Arial" w:cs="Arial"/>
          <w:color w:val="000000" w:themeColor="text1"/>
          <w:sz w:val="24"/>
          <w:szCs w:val="24"/>
          <w:u w:val="single"/>
        </w:rPr>
      </w:pPr>
      <w:r w:rsidRPr="00B3537C">
        <w:rPr>
          <w:rFonts w:ascii="Arial" w:hAnsi="Arial" w:cs="Arial"/>
          <w:color w:val="000000" w:themeColor="text1"/>
          <w:sz w:val="24"/>
          <w:szCs w:val="24"/>
          <w:u w:val="single"/>
        </w:rPr>
        <w:lastRenderedPageBreak/>
        <w:t xml:space="preserve">Table </w:t>
      </w:r>
      <w:r w:rsidRPr="00B3537C">
        <w:rPr>
          <w:rFonts w:ascii="Arial" w:hAnsi="Arial" w:cs="Arial"/>
          <w:color w:val="000000" w:themeColor="text1"/>
          <w:sz w:val="24"/>
          <w:szCs w:val="24"/>
          <w:u w:val="single"/>
        </w:rPr>
        <w:fldChar w:fldCharType="begin"/>
      </w:r>
      <w:r w:rsidRPr="00B3537C">
        <w:rPr>
          <w:rFonts w:ascii="Arial" w:hAnsi="Arial" w:cs="Arial"/>
          <w:color w:val="000000" w:themeColor="text1"/>
          <w:sz w:val="24"/>
          <w:szCs w:val="24"/>
          <w:u w:val="single"/>
        </w:rPr>
        <w:instrText xml:space="preserve"> SEQ Table \* ARABIC </w:instrText>
      </w:r>
      <w:r w:rsidRPr="00B3537C">
        <w:rPr>
          <w:rFonts w:ascii="Arial" w:hAnsi="Arial" w:cs="Arial"/>
          <w:color w:val="000000" w:themeColor="text1"/>
          <w:sz w:val="24"/>
          <w:szCs w:val="24"/>
          <w:u w:val="single"/>
        </w:rPr>
        <w:fldChar w:fldCharType="separate"/>
      </w:r>
      <w:r w:rsidRPr="00B3537C">
        <w:rPr>
          <w:rFonts w:ascii="Arial" w:hAnsi="Arial" w:cs="Arial"/>
          <w:noProof/>
          <w:color w:val="000000" w:themeColor="text1"/>
          <w:sz w:val="24"/>
          <w:szCs w:val="24"/>
          <w:u w:val="single"/>
        </w:rPr>
        <w:t>9</w:t>
      </w:r>
      <w:r w:rsidRPr="00B3537C">
        <w:rPr>
          <w:rFonts w:ascii="Arial" w:hAnsi="Arial" w:cs="Arial"/>
          <w:color w:val="000000" w:themeColor="text1"/>
          <w:sz w:val="24"/>
          <w:szCs w:val="24"/>
          <w:u w:val="single"/>
        </w:rPr>
        <w:fldChar w:fldCharType="end"/>
      </w:r>
      <w:r w:rsidRPr="00B3537C">
        <w:rPr>
          <w:rFonts w:ascii="Arial" w:hAnsi="Arial" w:cs="Arial"/>
          <w:color w:val="000000" w:themeColor="text1"/>
          <w:sz w:val="24"/>
          <w:szCs w:val="24"/>
          <w:u w:val="single"/>
        </w:rPr>
        <w:t xml:space="preserve"> Payback Period</w:t>
      </w:r>
    </w:p>
    <w:tbl>
      <w:tblPr>
        <w:tblStyle w:val="GridTable3-Accent1"/>
        <w:tblW w:w="8843" w:type="dxa"/>
        <w:tblInd w:w="10" w:type="dxa"/>
        <w:tblLook w:val="04A0" w:firstRow="1" w:lastRow="0" w:firstColumn="1" w:lastColumn="0" w:noHBand="0" w:noVBand="1"/>
      </w:tblPr>
      <w:tblGrid>
        <w:gridCol w:w="2243"/>
        <w:gridCol w:w="1102"/>
        <w:gridCol w:w="1098"/>
        <w:gridCol w:w="1102"/>
        <w:gridCol w:w="1098"/>
        <w:gridCol w:w="1102"/>
        <w:gridCol w:w="1098"/>
      </w:tblGrid>
      <w:tr w:rsidR="00242669" w:rsidRPr="00B3537C" w14:paraId="56F066A1" w14:textId="77777777" w:rsidTr="0004206D">
        <w:trPr>
          <w:cnfStyle w:val="100000000000" w:firstRow="1" w:lastRow="0" w:firstColumn="0" w:lastColumn="0" w:oddVBand="0" w:evenVBand="0" w:oddHBand="0" w:evenHBand="0" w:firstRowFirstColumn="0" w:firstRowLastColumn="0" w:lastRowFirstColumn="0" w:lastRowLastColumn="0"/>
          <w:trHeight w:val="361"/>
        </w:trPr>
        <w:tc>
          <w:tcPr>
            <w:cnfStyle w:val="001000000100" w:firstRow="0" w:lastRow="0" w:firstColumn="1" w:lastColumn="0" w:oddVBand="0" w:evenVBand="0" w:oddHBand="0" w:evenHBand="0" w:firstRowFirstColumn="1" w:firstRowLastColumn="0" w:lastRowFirstColumn="0" w:lastRowLastColumn="0"/>
            <w:tcW w:w="2243" w:type="dxa"/>
            <w:noWrap/>
            <w:hideMark/>
          </w:tcPr>
          <w:p w14:paraId="07258055"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Payback Period</w:t>
            </w:r>
          </w:p>
        </w:tc>
        <w:tc>
          <w:tcPr>
            <w:tcW w:w="1102" w:type="dxa"/>
            <w:noWrap/>
            <w:hideMark/>
          </w:tcPr>
          <w:p w14:paraId="44B8EB42"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c>
          <w:tcPr>
            <w:tcW w:w="1098" w:type="dxa"/>
            <w:noWrap/>
            <w:hideMark/>
          </w:tcPr>
          <w:p w14:paraId="05262D87"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c>
          <w:tcPr>
            <w:tcW w:w="1102" w:type="dxa"/>
            <w:noWrap/>
            <w:hideMark/>
          </w:tcPr>
          <w:p w14:paraId="24AD52C3"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c>
          <w:tcPr>
            <w:tcW w:w="1098" w:type="dxa"/>
            <w:noWrap/>
            <w:hideMark/>
          </w:tcPr>
          <w:p w14:paraId="284CB797"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c>
          <w:tcPr>
            <w:tcW w:w="1102" w:type="dxa"/>
            <w:noWrap/>
            <w:hideMark/>
          </w:tcPr>
          <w:p w14:paraId="222BF0E7"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c>
          <w:tcPr>
            <w:tcW w:w="1098" w:type="dxa"/>
            <w:noWrap/>
            <w:hideMark/>
          </w:tcPr>
          <w:p w14:paraId="0AC5879E"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r>
      <w:tr w:rsidR="00242669" w:rsidRPr="00B3537C" w14:paraId="6DBCC673" w14:textId="77777777" w:rsidTr="0004206D">
        <w:trPr>
          <w:cnfStyle w:val="000000100000" w:firstRow="0" w:lastRow="0" w:firstColumn="0" w:lastColumn="0" w:oddVBand="0" w:evenVBand="0" w:oddHBand="1" w:evenHBand="0" w:firstRowFirstColumn="0" w:firstRowLastColumn="0" w:lastRowFirstColumn="0" w:lastRowLastColumn="0"/>
          <w:trHeight w:val="1251"/>
        </w:trPr>
        <w:tc>
          <w:tcPr>
            <w:cnfStyle w:val="001000000000" w:firstRow="0" w:lastRow="0" w:firstColumn="1" w:lastColumn="0" w:oddVBand="0" w:evenVBand="0" w:oddHBand="0" w:evenHBand="0" w:firstRowFirstColumn="0" w:firstRowLastColumn="0" w:lastRowFirstColumn="0" w:lastRowLastColumn="0"/>
            <w:tcW w:w="2243" w:type="dxa"/>
            <w:hideMark/>
          </w:tcPr>
          <w:p w14:paraId="5F9E0B19" w14:textId="77777777" w:rsidR="002258B5" w:rsidRPr="00B3537C" w:rsidRDefault="002258B5" w:rsidP="0004206D">
            <w:pPr>
              <w:jc w:val="center"/>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Year</w:t>
            </w:r>
          </w:p>
        </w:tc>
        <w:tc>
          <w:tcPr>
            <w:tcW w:w="1102" w:type="dxa"/>
            <w:hideMark/>
          </w:tcPr>
          <w:p w14:paraId="4D1CAB67"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Cash flow of Project A</w:t>
            </w:r>
          </w:p>
        </w:tc>
        <w:tc>
          <w:tcPr>
            <w:tcW w:w="1098" w:type="dxa"/>
            <w:hideMark/>
          </w:tcPr>
          <w:p w14:paraId="5FE868C8" w14:textId="77777777" w:rsidR="002258B5" w:rsidRPr="00B3537C" w:rsidRDefault="002258B5" w:rsidP="0004206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Cum. Cash flow</w:t>
            </w:r>
          </w:p>
        </w:tc>
        <w:tc>
          <w:tcPr>
            <w:tcW w:w="1102" w:type="dxa"/>
            <w:hideMark/>
          </w:tcPr>
          <w:p w14:paraId="72089CBE"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Cash flow of Project B</w:t>
            </w:r>
          </w:p>
        </w:tc>
        <w:tc>
          <w:tcPr>
            <w:tcW w:w="1098" w:type="dxa"/>
            <w:hideMark/>
          </w:tcPr>
          <w:p w14:paraId="4F7207EE" w14:textId="77777777" w:rsidR="002258B5" w:rsidRPr="00B3537C" w:rsidRDefault="002258B5" w:rsidP="0004206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Cum. Cash flow</w:t>
            </w:r>
          </w:p>
        </w:tc>
        <w:tc>
          <w:tcPr>
            <w:tcW w:w="1102" w:type="dxa"/>
            <w:hideMark/>
          </w:tcPr>
          <w:p w14:paraId="64A7064F"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Cash flow of Project C</w:t>
            </w:r>
          </w:p>
        </w:tc>
        <w:tc>
          <w:tcPr>
            <w:tcW w:w="1098" w:type="dxa"/>
            <w:hideMark/>
          </w:tcPr>
          <w:p w14:paraId="76A9DE29" w14:textId="77777777" w:rsidR="002258B5" w:rsidRPr="00B3537C" w:rsidRDefault="002258B5" w:rsidP="0004206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Cum. Cash Flow</w:t>
            </w:r>
          </w:p>
        </w:tc>
      </w:tr>
      <w:tr w:rsidR="00242669" w:rsidRPr="00B3537C" w14:paraId="07E55F69" w14:textId="77777777" w:rsidTr="0004206D">
        <w:trPr>
          <w:trHeight w:val="288"/>
        </w:trPr>
        <w:tc>
          <w:tcPr>
            <w:cnfStyle w:val="001000000000" w:firstRow="0" w:lastRow="0" w:firstColumn="1" w:lastColumn="0" w:oddVBand="0" w:evenVBand="0" w:oddHBand="0" w:evenHBand="0" w:firstRowFirstColumn="0" w:firstRowLastColumn="0" w:lastRowFirstColumn="0" w:lastRowLastColumn="0"/>
            <w:tcW w:w="2243" w:type="dxa"/>
            <w:noWrap/>
            <w:hideMark/>
          </w:tcPr>
          <w:p w14:paraId="7E1617D8" w14:textId="77777777" w:rsidR="002258B5" w:rsidRPr="00B3537C" w:rsidRDefault="002258B5" w:rsidP="0004206D">
            <w:pPr>
              <w:jc w:val="cente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1102" w:type="dxa"/>
            <w:noWrap/>
            <w:hideMark/>
          </w:tcPr>
          <w:p w14:paraId="309DB33A"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1098" w:type="dxa"/>
            <w:noWrap/>
            <w:hideMark/>
          </w:tcPr>
          <w:p w14:paraId="2CF1985B"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1102" w:type="dxa"/>
            <w:noWrap/>
            <w:hideMark/>
          </w:tcPr>
          <w:p w14:paraId="4B6E9E32"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1098" w:type="dxa"/>
            <w:noWrap/>
            <w:hideMark/>
          </w:tcPr>
          <w:p w14:paraId="6DB7B469"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1102" w:type="dxa"/>
            <w:noWrap/>
            <w:hideMark/>
          </w:tcPr>
          <w:p w14:paraId="3B910E97"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c>
          <w:tcPr>
            <w:tcW w:w="1098" w:type="dxa"/>
            <w:noWrap/>
            <w:hideMark/>
          </w:tcPr>
          <w:p w14:paraId="46E986CE"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 </w:t>
            </w:r>
          </w:p>
        </w:tc>
      </w:tr>
      <w:tr w:rsidR="00242669" w:rsidRPr="00B3537C" w14:paraId="5DE43CD6" w14:textId="77777777" w:rsidTr="0004206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243" w:type="dxa"/>
            <w:noWrap/>
            <w:hideMark/>
          </w:tcPr>
          <w:p w14:paraId="0589F911" w14:textId="77777777" w:rsidR="002258B5" w:rsidRPr="00B3537C" w:rsidRDefault="002258B5" w:rsidP="0004206D">
            <w:pPr>
              <w:jc w:val="cente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w:t>
            </w:r>
          </w:p>
        </w:tc>
        <w:tc>
          <w:tcPr>
            <w:tcW w:w="1102" w:type="dxa"/>
            <w:noWrap/>
            <w:hideMark/>
          </w:tcPr>
          <w:p w14:paraId="1924C450"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10</w:t>
            </w:r>
          </w:p>
        </w:tc>
        <w:tc>
          <w:tcPr>
            <w:tcW w:w="1098" w:type="dxa"/>
            <w:noWrap/>
            <w:hideMark/>
          </w:tcPr>
          <w:p w14:paraId="328C0150"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10</w:t>
            </w:r>
          </w:p>
        </w:tc>
        <w:tc>
          <w:tcPr>
            <w:tcW w:w="1102" w:type="dxa"/>
            <w:noWrap/>
            <w:hideMark/>
          </w:tcPr>
          <w:p w14:paraId="401B2225"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11</w:t>
            </w:r>
          </w:p>
        </w:tc>
        <w:tc>
          <w:tcPr>
            <w:tcW w:w="1098" w:type="dxa"/>
            <w:noWrap/>
            <w:hideMark/>
          </w:tcPr>
          <w:p w14:paraId="6BF9B53D"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11</w:t>
            </w:r>
          </w:p>
        </w:tc>
        <w:tc>
          <w:tcPr>
            <w:tcW w:w="1102" w:type="dxa"/>
            <w:noWrap/>
            <w:hideMark/>
          </w:tcPr>
          <w:p w14:paraId="65AAD028"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w:t>
            </w:r>
          </w:p>
        </w:tc>
        <w:tc>
          <w:tcPr>
            <w:tcW w:w="1098" w:type="dxa"/>
            <w:noWrap/>
            <w:hideMark/>
          </w:tcPr>
          <w:p w14:paraId="6500770E"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w:t>
            </w:r>
          </w:p>
        </w:tc>
      </w:tr>
      <w:tr w:rsidR="00242669" w:rsidRPr="00B3537C" w14:paraId="227FE0A7" w14:textId="77777777" w:rsidTr="0004206D">
        <w:trPr>
          <w:trHeight w:val="288"/>
        </w:trPr>
        <w:tc>
          <w:tcPr>
            <w:cnfStyle w:val="001000000000" w:firstRow="0" w:lastRow="0" w:firstColumn="1" w:lastColumn="0" w:oddVBand="0" w:evenVBand="0" w:oddHBand="0" w:evenHBand="0" w:firstRowFirstColumn="0" w:firstRowLastColumn="0" w:lastRowFirstColumn="0" w:lastRowLastColumn="0"/>
            <w:tcW w:w="2243" w:type="dxa"/>
            <w:noWrap/>
            <w:hideMark/>
          </w:tcPr>
          <w:p w14:paraId="17FEB509" w14:textId="77777777" w:rsidR="002258B5" w:rsidRPr="00B3537C" w:rsidRDefault="002258B5" w:rsidP="0004206D">
            <w:pPr>
              <w:jc w:val="cente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w:t>
            </w:r>
          </w:p>
        </w:tc>
        <w:tc>
          <w:tcPr>
            <w:tcW w:w="1102" w:type="dxa"/>
            <w:noWrap/>
            <w:hideMark/>
          </w:tcPr>
          <w:p w14:paraId="2173E533"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12</w:t>
            </w:r>
          </w:p>
        </w:tc>
        <w:tc>
          <w:tcPr>
            <w:tcW w:w="1098" w:type="dxa"/>
            <w:noWrap/>
            <w:hideMark/>
          </w:tcPr>
          <w:p w14:paraId="762CA194"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22</w:t>
            </w:r>
          </w:p>
        </w:tc>
        <w:tc>
          <w:tcPr>
            <w:tcW w:w="1102" w:type="dxa"/>
            <w:noWrap/>
            <w:hideMark/>
          </w:tcPr>
          <w:p w14:paraId="293F929E"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11</w:t>
            </w:r>
          </w:p>
        </w:tc>
        <w:tc>
          <w:tcPr>
            <w:tcW w:w="1098" w:type="dxa"/>
            <w:noWrap/>
            <w:hideMark/>
          </w:tcPr>
          <w:p w14:paraId="06E887F3"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22</w:t>
            </w:r>
          </w:p>
        </w:tc>
        <w:tc>
          <w:tcPr>
            <w:tcW w:w="1102" w:type="dxa"/>
            <w:noWrap/>
            <w:hideMark/>
          </w:tcPr>
          <w:p w14:paraId="21B432DF"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10</w:t>
            </w:r>
          </w:p>
        </w:tc>
        <w:tc>
          <w:tcPr>
            <w:tcW w:w="1098" w:type="dxa"/>
            <w:noWrap/>
            <w:hideMark/>
          </w:tcPr>
          <w:p w14:paraId="19105454"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15</w:t>
            </w:r>
          </w:p>
        </w:tc>
      </w:tr>
      <w:tr w:rsidR="00242669" w:rsidRPr="00B3537C" w14:paraId="07E324D4" w14:textId="77777777" w:rsidTr="0004206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243" w:type="dxa"/>
            <w:noWrap/>
            <w:hideMark/>
          </w:tcPr>
          <w:p w14:paraId="1EDA1ABF" w14:textId="77777777" w:rsidR="002258B5" w:rsidRPr="00B3537C" w:rsidRDefault="002258B5" w:rsidP="0004206D">
            <w:pPr>
              <w:jc w:val="cente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3</w:t>
            </w:r>
          </w:p>
        </w:tc>
        <w:tc>
          <w:tcPr>
            <w:tcW w:w="1102" w:type="dxa"/>
            <w:noWrap/>
            <w:hideMark/>
          </w:tcPr>
          <w:p w14:paraId="3040CE14"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14</w:t>
            </w:r>
          </w:p>
        </w:tc>
        <w:tc>
          <w:tcPr>
            <w:tcW w:w="1098" w:type="dxa"/>
            <w:noWrap/>
            <w:hideMark/>
          </w:tcPr>
          <w:p w14:paraId="412EB40D"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36</w:t>
            </w:r>
          </w:p>
        </w:tc>
        <w:tc>
          <w:tcPr>
            <w:tcW w:w="1102" w:type="dxa"/>
            <w:noWrap/>
            <w:hideMark/>
          </w:tcPr>
          <w:p w14:paraId="37BE27F2"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11</w:t>
            </w:r>
          </w:p>
        </w:tc>
        <w:tc>
          <w:tcPr>
            <w:tcW w:w="1098" w:type="dxa"/>
            <w:noWrap/>
            <w:hideMark/>
          </w:tcPr>
          <w:p w14:paraId="150F44DC"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33</w:t>
            </w:r>
          </w:p>
        </w:tc>
        <w:tc>
          <w:tcPr>
            <w:tcW w:w="1102" w:type="dxa"/>
            <w:noWrap/>
            <w:hideMark/>
          </w:tcPr>
          <w:p w14:paraId="05D16C84"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20</w:t>
            </w:r>
          </w:p>
        </w:tc>
        <w:tc>
          <w:tcPr>
            <w:tcW w:w="1098" w:type="dxa"/>
            <w:noWrap/>
            <w:hideMark/>
          </w:tcPr>
          <w:p w14:paraId="4E3CA718"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35</w:t>
            </w:r>
          </w:p>
        </w:tc>
      </w:tr>
      <w:tr w:rsidR="00242669" w:rsidRPr="00B3537C" w14:paraId="57BB15D2" w14:textId="77777777" w:rsidTr="0004206D">
        <w:trPr>
          <w:trHeight w:val="288"/>
        </w:trPr>
        <w:tc>
          <w:tcPr>
            <w:cnfStyle w:val="001000000000" w:firstRow="0" w:lastRow="0" w:firstColumn="1" w:lastColumn="0" w:oddVBand="0" w:evenVBand="0" w:oddHBand="0" w:evenHBand="0" w:firstRowFirstColumn="0" w:firstRowLastColumn="0" w:lastRowFirstColumn="0" w:lastRowLastColumn="0"/>
            <w:tcW w:w="2243" w:type="dxa"/>
            <w:noWrap/>
            <w:hideMark/>
          </w:tcPr>
          <w:p w14:paraId="30089C14" w14:textId="77777777" w:rsidR="002258B5" w:rsidRPr="00B3537C" w:rsidRDefault="002258B5" w:rsidP="0004206D">
            <w:pPr>
              <w:jc w:val="cente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w:t>
            </w:r>
          </w:p>
        </w:tc>
        <w:tc>
          <w:tcPr>
            <w:tcW w:w="1102" w:type="dxa"/>
            <w:noWrap/>
            <w:hideMark/>
          </w:tcPr>
          <w:p w14:paraId="5558748B"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10</w:t>
            </w:r>
          </w:p>
        </w:tc>
        <w:tc>
          <w:tcPr>
            <w:tcW w:w="1098" w:type="dxa"/>
            <w:noWrap/>
            <w:hideMark/>
          </w:tcPr>
          <w:p w14:paraId="3D7BEB10"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46</w:t>
            </w:r>
          </w:p>
        </w:tc>
        <w:tc>
          <w:tcPr>
            <w:tcW w:w="1102" w:type="dxa"/>
            <w:noWrap/>
            <w:hideMark/>
          </w:tcPr>
          <w:p w14:paraId="55F5943C"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11</w:t>
            </w:r>
          </w:p>
        </w:tc>
        <w:tc>
          <w:tcPr>
            <w:tcW w:w="1098" w:type="dxa"/>
            <w:noWrap/>
            <w:hideMark/>
          </w:tcPr>
          <w:p w14:paraId="4944B051"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44</w:t>
            </w:r>
          </w:p>
        </w:tc>
        <w:tc>
          <w:tcPr>
            <w:tcW w:w="1102" w:type="dxa"/>
            <w:noWrap/>
            <w:hideMark/>
          </w:tcPr>
          <w:p w14:paraId="6B2CEA31"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25</w:t>
            </w:r>
          </w:p>
        </w:tc>
        <w:tc>
          <w:tcPr>
            <w:tcW w:w="1098" w:type="dxa"/>
            <w:noWrap/>
            <w:hideMark/>
          </w:tcPr>
          <w:p w14:paraId="352140AE"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60</w:t>
            </w:r>
          </w:p>
        </w:tc>
      </w:tr>
      <w:tr w:rsidR="00242669" w:rsidRPr="00B3537C" w14:paraId="44CBCC46" w14:textId="77777777" w:rsidTr="0004206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243" w:type="dxa"/>
            <w:noWrap/>
            <w:hideMark/>
          </w:tcPr>
          <w:p w14:paraId="3F41057C" w14:textId="77777777" w:rsidR="002258B5" w:rsidRPr="00B3537C" w:rsidRDefault="002258B5" w:rsidP="0004206D">
            <w:pPr>
              <w:jc w:val="cente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w:t>
            </w:r>
          </w:p>
        </w:tc>
        <w:tc>
          <w:tcPr>
            <w:tcW w:w="1102" w:type="dxa"/>
            <w:noWrap/>
            <w:hideMark/>
          </w:tcPr>
          <w:p w14:paraId="3C7C4AFA"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8</w:t>
            </w:r>
          </w:p>
        </w:tc>
        <w:tc>
          <w:tcPr>
            <w:tcW w:w="1098" w:type="dxa"/>
            <w:noWrap/>
            <w:hideMark/>
          </w:tcPr>
          <w:p w14:paraId="07552600"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54</w:t>
            </w:r>
          </w:p>
        </w:tc>
        <w:tc>
          <w:tcPr>
            <w:tcW w:w="1102" w:type="dxa"/>
            <w:noWrap/>
            <w:hideMark/>
          </w:tcPr>
          <w:p w14:paraId="689F84EC"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11</w:t>
            </w:r>
          </w:p>
        </w:tc>
        <w:tc>
          <w:tcPr>
            <w:tcW w:w="1098" w:type="dxa"/>
            <w:noWrap/>
            <w:hideMark/>
          </w:tcPr>
          <w:p w14:paraId="4ABB310B"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55</w:t>
            </w:r>
          </w:p>
        </w:tc>
        <w:tc>
          <w:tcPr>
            <w:tcW w:w="1102" w:type="dxa"/>
            <w:noWrap/>
            <w:hideMark/>
          </w:tcPr>
          <w:p w14:paraId="0A554EA3"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w:t>
            </w:r>
          </w:p>
        </w:tc>
        <w:tc>
          <w:tcPr>
            <w:tcW w:w="1098" w:type="dxa"/>
            <w:noWrap/>
            <w:hideMark/>
          </w:tcPr>
          <w:p w14:paraId="05B67C50"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65</w:t>
            </w:r>
          </w:p>
        </w:tc>
      </w:tr>
      <w:tr w:rsidR="00242669" w:rsidRPr="00B3537C" w14:paraId="490202DA" w14:textId="77777777" w:rsidTr="0004206D">
        <w:trPr>
          <w:trHeight w:val="288"/>
        </w:trPr>
        <w:tc>
          <w:tcPr>
            <w:cnfStyle w:val="001000000000" w:firstRow="0" w:lastRow="0" w:firstColumn="1" w:lastColumn="0" w:oddVBand="0" w:evenVBand="0" w:oddHBand="0" w:evenHBand="0" w:firstRowFirstColumn="0" w:firstRowLastColumn="0" w:lastRowFirstColumn="0" w:lastRowLastColumn="0"/>
            <w:tcW w:w="2243" w:type="dxa"/>
            <w:noWrap/>
            <w:hideMark/>
          </w:tcPr>
          <w:p w14:paraId="596870A5" w14:textId="77777777" w:rsidR="002258B5" w:rsidRPr="00B3537C" w:rsidRDefault="002258B5" w:rsidP="0004206D">
            <w:pPr>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Payback period</w:t>
            </w:r>
          </w:p>
        </w:tc>
        <w:tc>
          <w:tcPr>
            <w:tcW w:w="1102" w:type="dxa"/>
            <w:noWrap/>
            <w:hideMark/>
          </w:tcPr>
          <w:p w14:paraId="16B65444"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 </w:t>
            </w:r>
          </w:p>
        </w:tc>
        <w:tc>
          <w:tcPr>
            <w:tcW w:w="1098" w:type="dxa"/>
            <w:noWrap/>
            <w:hideMark/>
          </w:tcPr>
          <w:p w14:paraId="6BCB84E0"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4.5</w:t>
            </w:r>
          </w:p>
        </w:tc>
        <w:tc>
          <w:tcPr>
            <w:tcW w:w="1102" w:type="dxa"/>
            <w:noWrap/>
            <w:hideMark/>
          </w:tcPr>
          <w:p w14:paraId="79B56CD9"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 </w:t>
            </w:r>
          </w:p>
        </w:tc>
        <w:tc>
          <w:tcPr>
            <w:tcW w:w="1098" w:type="dxa"/>
            <w:noWrap/>
            <w:hideMark/>
          </w:tcPr>
          <w:p w14:paraId="401DBB31"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4.55</w:t>
            </w:r>
          </w:p>
        </w:tc>
        <w:tc>
          <w:tcPr>
            <w:tcW w:w="1102" w:type="dxa"/>
            <w:noWrap/>
            <w:hideMark/>
          </w:tcPr>
          <w:p w14:paraId="4FA3121A"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 </w:t>
            </w:r>
          </w:p>
        </w:tc>
        <w:tc>
          <w:tcPr>
            <w:tcW w:w="1098" w:type="dxa"/>
            <w:noWrap/>
            <w:hideMark/>
          </w:tcPr>
          <w:p w14:paraId="3DFA5E57"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3.6</w:t>
            </w:r>
          </w:p>
        </w:tc>
      </w:tr>
    </w:tbl>
    <w:p w14:paraId="6D343777" w14:textId="77777777" w:rsidR="002258B5" w:rsidRPr="00B3537C" w:rsidRDefault="002258B5" w:rsidP="002258B5">
      <w:pPr>
        <w:rPr>
          <w:rFonts w:ascii="Arial" w:hAnsi="Arial" w:cs="Arial"/>
          <w:color w:val="000000" w:themeColor="text1"/>
          <w:sz w:val="24"/>
          <w:szCs w:val="24"/>
        </w:rPr>
      </w:pPr>
    </w:p>
    <w:p w14:paraId="1A7710A6" w14:textId="77777777" w:rsidR="00242669" w:rsidRPr="00B3537C" w:rsidRDefault="00242669" w:rsidP="002258B5">
      <w:pPr>
        <w:pStyle w:val="Caption"/>
        <w:keepNext/>
        <w:rPr>
          <w:rFonts w:ascii="Arial" w:hAnsi="Arial" w:cs="Arial"/>
          <w:color w:val="000000" w:themeColor="text1"/>
          <w:sz w:val="24"/>
          <w:szCs w:val="24"/>
        </w:rPr>
      </w:pPr>
    </w:p>
    <w:p w14:paraId="0740BB02" w14:textId="344D7465" w:rsidR="002258B5" w:rsidRPr="00B3537C" w:rsidRDefault="002258B5" w:rsidP="00242669">
      <w:pPr>
        <w:pStyle w:val="Caption"/>
        <w:keepNext/>
        <w:jc w:val="center"/>
        <w:rPr>
          <w:rFonts w:ascii="Arial" w:hAnsi="Arial" w:cs="Arial"/>
          <w:color w:val="000000" w:themeColor="text1"/>
          <w:sz w:val="24"/>
          <w:szCs w:val="24"/>
          <w:u w:val="single"/>
        </w:rPr>
      </w:pPr>
      <w:r w:rsidRPr="00B3537C">
        <w:rPr>
          <w:rFonts w:ascii="Arial" w:hAnsi="Arial" w:cs="Arial"/>
          <w:color w:val="000000" w:themeColor="text1"/>
          <w:sz w:val="24"/>
          <w:szCs w:val="24"/>
          <w:u w:val="single"/>
        </w:rPr>
        <w:t xml:space="preserve">Table </w:t>
      </w:r>
      <w:r w:rsidRPr="00B3537C">
        <w:rPr>
          <w:rFonts w:ascii="Arial" w:hAnsi="Arial" w:cs="Arial"/>
          <w:color w:val="000000" w:themeColor="text1"/>
          <w:sz w:val="24"/>
          <w:szCs w:val="24"/>
          <w:u w:val="single"/>
        </w:rPr>
        <w:fldChar w:fldCharType="begin"/>
      </w:r>
      <w:r w:rsidRPr="00B3537C">
        <w:rPr>
          <w:rFonts w:ascii="Arial" w:hAnsi="Arial" w:cs="Arial"/>
          <w:color w:val="000000" w:themeColor="text1"/>
          <w:sz w:val="24"/>
          <w:szCs w:val="24"/>
          <w:u w:val="single"/>
        </w:rPr>
        <w:instrText xml:space="preserve"> SEQ Table \* ARABIC </w:instrText>
      </w:r>
      <w:r w:rsidRPr="00B3537C">
        <w:rPr>
          <w:rFonts w:ascii="Arial" w:hAnsi="Arial" w:cs="Arial"/>
          <w:color w:val="000000" w:themeColor="text1"/>
          <w:sz w:val="24"/>
          <w:szCs w:val="24"/>
          <w:u w:val="single"/>
        </w:rPr>
        <w:fldChar w:fldCharType="separate"/>
      </w:r>
      <w:r w:rsidRPr="00B3537C">
        <w:rPr>
          <w:rFonts w:ascii="Arial" w:hAnsi="Arial" w:cs="Arial"/>
          <w:noProof/>
          <w:color w:val="000000" w:themeColor="text1"/>
          <w:sz w:val="24"/>
          <w:szCs w:val="24"/>
          <w:u w:val="single"/>
        </w:rPr>
        <w:t>10</w:t>
      </w:r>
      <w:r w:rsidRPr="00B3537C">
        <w:rPr>
          <w:rFonts w:ascii="Arial" w:hAnsi="Arial" w:cs="Arial"/>
          <w:color w:val="000000" w:themeColor="text1"/>
          <w:sz w:val="24"/>
          <w:szCs w:val="24"/>
          <w:u w:val="single"/>
        </w:rPr>
        <w:fldChar w:fldCharType="end"/>
      </w:r>
      <w:r w:rsidRPr="00B3537C">
        <w:rPr>
          <w:rFonts w:ascii="Arial" w:hAnsi="Arial" w:cs="Arial"/>
          <w:color w:val="000000" w:themeColor="text1"/>
          <w:sz w:val="24"/>
          <w:szCs w:val="24"/>
          <w:u w:val="single"/>
        </w:rPr>
        <w:t xml:space="preserve"> ARR</w:t>
      </w:r>
    </w:p>
    <w:tbl>
      <w:tblPr>
        <w:tblStyle w:val="GridTable3-Accent1"/>
        <w:tblW w:w="8556" w:type="dxa"/>
        <w:tblInd w:w="10" w:type="dxa"/>
        <w:tblLook w:val="04A0" w:firstRow="1" w:lastRow="0" w:firstColumn="1" w:lastColumn="0" w:noHBand="0" w:noVBand="1"/>
      </w:tblPr>
      <w:tblGrid>
        <w:gridCol w:w="2245"/>
        <w:gridCol w:w="1800"/>
        <w:gridCol w:w="1530"/>
        <w:gridCol w:w="1800"/>
        <w:gridCol w:w="1181"/>
      </w:tblGrid>
      <w:tr w:rsidR="00242669" w:rsidRPr="00B3537C" w14:paraId="0F6429D2" w14:textId="77777777" w:rsidTr="0004206D">
        <w:trPr>
          <w:cnfStyle w:val="100000000000" w:firstRow="1" w:lastRow="0" w:firstColumn="0" w:lastColumn="0" w:oddVBand="0" w:evenVBand="0" w:oddHBand="0" w:evenHBand="0" w:firstRowFirstColumn="0" w:firstRowLastColumn="0" w:lastRowFirstColumn="0" w:lastRowLastColumn="0"/>
          <w:trHeight w:val="527"/>
        </w:trPr>
        <w:tc>
          <w:tcPr>
            <w:cnfStyle w:val="001000000100" w:firstRow="0" w:lastRow="0" w:firstColumn="1" w:lastColumn="0" w:oddVBand="0" w:evenVBand="0" w:oddHBand="0" w:evenHBand="0" w:firstRowFirstColumn="1" w:firstRowLastColumn="0" w:lastRowFirstColumn="0" w:lastRowLastColumn="0"/>
            <w:tcW w:w="2245" w:type="dxa"/>
            <w:noWrap/>
            <w:hideMark/>
          </w:tcPr>
          <w:p w14:paraId="5952E90F"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ARR</w:t>
            </w:r>
          </w:p>
        </w:tc>
        <w:tc>
          <w:tcPr>
            <w:tcW w:w="1800" w:type="dxa"/>
            <w:noWrap/>
            <w:hideMark/>
          </w:tcPr>
          <w:p w14:paraId="5CC3BA2A"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c>
          <w:tcPr>
            <w:tcW w:w="1530" w:type="dxa"/>
            <w:noWrap/>
            <w:hideMark/>
          </w:tcPr>
          <w:p w14:paraId="5BC9D5AB"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c>
          <w:tcPr>
            <w:tcW w:w="1800" w:type="dxa"/>
            <w:noWrap/>
            <w:hideMark/>
          </w:tcPr>
          <w:p w14:paraId="6916D6FD"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c>
          <w:tcPr>
            <w:tcW w:w="1181" w:type="dxa"/>
            <w:noWrap/>
            <w:hideMark/>
          </w:tcPr>
          <w:p w14:paraId="2C4287E5"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r>
      <w:tr w:rsidR="00242669" w:rsidRPr="00B3537C" w14:paraId="2C7475DA" w14:textId="77777777" w:rsidTr="0004206D">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2245" w:type="dxa"/>
            <w:hideMark/>
          </w:tcPr>
          <w:p w14:paraId="10A517A9" w14:textId="77777777" w:rsidR="002258B5" w:rsidRPr="00B3537C" w:rsidRDefault="002258B5" w:rsidP="0004206D">
            <w:pPr>
              <w:jc w:val="center"/>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Project</w:t>
            </w:r>
          </w:p>
        </w:tc>
        <w:tc>
          <w:tcPr>
            <w:tcW w:w="1800" w:type="dxa"/>
            <w:hideMark/>
          </w:tcPr>
          <w:p w14:paraId="288974FB"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Total Cash Flow</w:t>
            </w:r>
          </w:p>
        </w:tc>
        <w:tc>
          <w:tcPr>
            <w:tcW w:w="1530" w:type="dxa"/>
            <w:hideMark/>
          </w:tcPr>
          <w:p w14:paraId="3C5978B5"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proofErr w:type="spellStart"/>
            <w:r w:rsidRPr="00B3537C">
              <w:rPr>
                <w:rFonts w:ascii="Arial" w:eastAsia="Times New Roman" w:hAnsi="Arial" w:cs="Arial"/>
                <w:b/>
                <w:bCs/>
                <w:color w:val="000000" w:themeColor="text1"/>
                <w:kern w:val="0"/>
                <w:sz w:val="24"/>
                <w:szCs w:val="24"/>
                <w:lang w:eastAsia="en-GB"/>
                <w14:ligatures w14:val="none"/>
              </w:rPr>
              <w:t>Avg</w:t>
            </w:r>
            <w:proofErr w:type="spellEnd"/>
            <w:r w:rsidRPr="00B3537C">
              <w:rPr>
                <w:rFonts w:ascii="Arial" w:eastAsia="Times New Roman" w:hAnsi="Arial" w:cs="Arial"/>
                <w:b/>
                <w:bCs/>
                <w:color w:val="000000" w:themeColor="text1"/>
                <w:kern w:val="0"/>
                <w:sz w:val="24"/>
                <w:szCs w:val="24"/>
                <w:lang w:eastAsia="en-GB"/>
                <w14:ligatures w14:val="none"/>
              </w:rPr>
              <w:t xml:space="preserve"> Cash Flow</w:t>
            </w:r>
          </w:p>
        </w:tc>
        <w:tc>
          <w:tcPr>
            <w:tcW w:w="1800" w:type="dxa"/>
            <w:hideMark/>
          </w:tcPr>
          <w:p w14:paraId="4F788215"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Profit (–10 dep)</w:t>
            </w:r>
          </w:p>
        </w:tc>
        <w:tc>
          <w:tcPr>
            <w:tcW w:w="1181" w:type="dxa"/>
            <w:hideMark/>
          </w:tcPr>
          <w:p w14:paraId="5D2340A9"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ARR</w:t>
            </w:r>
          </w:p>
        </w:tc>
      </w:tr>
      <w:tr w:rsidR="00242669" w:rsidRPr="00B3537C" w14:paraId="7676849B" w14:textId="77777777" w:rsidTr="0004206D">
        <w:trPr>
          <w:trHeight w:val="361"/>
        </w:trPr>
        <w:tc>
          <w:tcPr>
            <w:cnfStyle w:val="001000000000" w:firstRow="0" w:lastRow="0" w:firstColumn="1" w:lastColumn="0" w:oddVBand="0" w:evenVBand="0" w:oddHBand="0" w:evenHBand="0" w:firstRowFirstColumn="0" w:firstRowLastColumn="0" w:lastRowFirstColumn="0" w:lastRowLastColumn="0"/>
            <w:tcW w:w="2245" w:type="dxa"/>
            <w:hideMark/>
          </w:tcPr>
          <w:p w14:paraId="0AD9F99A"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A</w:t>
            </w:r>
          </w:p>
        </w:tc>
        <w:tc>
          <w:tcPr>
            <w:tcW w:w="1800" w:type="dxa"/>
            <w:hideMark/>
          </w:tcPr>
          <w:p w14:paraId="67492E68"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54</w:t>
            </w:r>
          </w:p>
        </w:tc>
        <w:tc>
          <w:tcPr>
            <w:tcW w:w="1530" w:type="dxa"/>
            <w:hideMark/>
          </w:tcPr>
          <w:p w14:paraId="7D864516"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10.8</w:t>
            </w:r>
          </w:p>
        </w:tc>
        <w:tc>
          <w:tcPr>
            <w:tcW w:w="1800" w:type="dxa"/>
            <w:hideMark/>
          </w:tcPr>
          <w:p w14:paraId="2315601E"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0.8</w:t>
            </w:r>
          </w:p>
        </w:tc>
        <w:tc>
          <w:tcPr>
            <w:tcW w:w="1181" w:type="dxa"/>
            <w:hideMark/>
          </w:tcPr>
          <w:p w14:paraId="061533F2"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1.60%</w:t>
            </w:r>
          </w:p>
        </w:tc>
      </w:tr>
      <w:tr w:rsidR="00242669" w:rsidRPr="00B3537C" w14:paraId="4C65C459" w14:textId="77777777" w:rsidTr="0004206D">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2245" w:type="dxa"/>
            <w:hideMark/>
          </w:tcPr>
          <w:p w14:paraId="3BCA2944"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B</w:t>
            </w:r>
          </w:p>
        </w:tc>
        <w:tc>
          <w:tcPr>
            <w:tcW w:w="1800" w:type="dxa"/>
            <w:hideMark/>
          </w:tcPr>
          <w:p w14:paraId="559DF263"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55</w:t>
            </w:r>
          </w:p>
        </w:tc>
        <w:tc>
          <w:tcPr>
            <w:tcW w:w="1530" w:type="dxa"/>
            <w:hideMark/>
          </w:tcPr>
          <w:p w14:paraId="2768B441"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11</w:t>
            </w:r>
          </w:p>
        </w:tc>
        <w:tc>
          <w:tcPr>
            <w:tcW w:w="1800" w:type="dxa"/>
            <w:hideMark/>
          </w:tcPr>
          <w:p w14:paraId="76D7F7DA"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w:t>
            </w:r>
          </w:p>
        </w:tc>
        <w:tc>
          <w:tcPr>
            <w:tcW w:w="1181" w:type="dxa"/>
            <w:hideMark/>
          </w:tcPr>
          <w:p w14:paraId="564C6905"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2.00%</w:t>
            </w:r>
          </w:p>
        </w:tc>
      </w:tr>
      <w:tr w:rsidR="00242669" w:rsidRPr="00B3537C" w14:paraId="47688298" w14:textId="77777777" w:rsidTr="0004206D">
        <w:trPr>
          <w:trHeight w:val="361"/>
        </w:trPr>
        <w:tc>
          <w:tcPr>
            <w:cnfStyle w:val="001000000000" w:firstRow="0" w:lastRow="0" w:firstColumn="1" w:lastColumn="0" w:oddVBand="0" w:evenVBand="0" w:oddHBand="0" w:evenHBand="0" w:firstRowFirstColumn="0" w:firstRowLastColumn="0" w:lastRowFirstColumn="0" w:lastRowLastColumn="0"/>
            <w:tcW w:w="2245" w:type="dxa"/>
            <w:hideMark/>
          </w:tcPr>
          <w:p w14:paraId="772A7ADF"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C</w:t>
            </w:r>
          </w:p>
        </w:tc>
        <w:tc>
          <w:tcPr>
            <w:tcW w:w="1800" w:type="dxa"/>
            <w:hideMark/>
          </w:tcPr>
          <w:p w14:paraId="33B8B679"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65</w:t>
            </w:r>
          </w:p>
        </w:tc>
        <w:tc>
          <w:tcPr>
            <w:tcW w:w="1530" w:type="dxa"/>
            <w:hideMark/>
          </w:tcPr>
          <w:p w14:paraId="503D045E"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13</w:t>
            </w:r>
          </w:p>
        </w:tc>
        <w:tc>
          <w:tcPr>
            <w:tcW w:w="1800" w:type="dxa"/>
            <w:hideMark/>
          </w:tcPr>
          <w:p w14:paraId="4FDD5DC5"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3</w:t>
            </w:r>
          </w:p>
        </w:tc>
        <w:tc>
          <w:tcPr>
            <w:tcW w:w="1181" w:type="dxa"/>
            <w:hideMark/>
          </w:tcPr>
          <w:p w14:paraId="7A631D50"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6.00%</w:t>
            </w:r>
          </w:p>
        </w:tc>
      </w:tr>
    </w:tbl>
    <w:p w14:paraId="0F66D6DD" w14:textId="77777777" w:rsidR="002258B5" w:rsidRPr="00B3537C" w:rsidRDefault="002258B5" w:rsidP="002258B5">
      <w:pPr>
        <w:rPr>
          <w:rFonts w:ascii="Arial" w:hAnsi="Arial" w:cs="Arial"/>
          <w:color w:val="000000" w:themeColor="text1"/>
          <w:sz w:val="24"/>
          <w:szCs w:val="24"/>
        </w:rPr>
      </w:pPr>
    </w:p>
    <w:p w14:paraId="774DA75C" w14:textId="77777777" w:rsidR="002258B5" w:rsidRPr="00B3537C" w:rsidRDefault="002258B5" w:rsidP="00242669">
      <w:pPr>
        <w:pStyle w:val="Caption"/>
        <w:keepNext/>
        <w:jc w:val="center"/>
        <w:rPr>
          <w:rFonts w:ascii="Arial" w:hAnsi="Arial" w:cs="Arial"/>
          <w:color w:val="000000" w:themeColor="text1"/>
          <w:sz w:val="24"/>
          <w:szCs w:val="24"/>
          <w:u w:val="single"/>
        </w:rPr>
      </w:pPr>
      <w:r w:rsidRPr="00B3537C">
        <w:rPr>
          <w:rFonts w:ascii="Arial" w:hAnsi="Arial" w:cs="Arial"/>
          <w:color w:val="000000" w:themeColor="text1"/>
          <w:sz w:val="24"/>
          <w:szCs w:val="24"/>
          <w:u w:val="single"/>
        </w:rPr>
        <w:t xml:space="preserve">Table </w:t>
      </w:r>
      <w:r w:rsidRPr="00B3537C">
        <w:rPr>
          <w:rFonts w:ascii="Arial" w:hAnsi="Arial" w:cs="Arial"/>
          <w:color w:val="000000" w:themeColor="text1"/>
          <w:sz w:val="24"/>
          <w:szCs w:val="24"/>
          <w:u w:val="single"/>
        </w:rPr>
        <w:fldChar w:fldCharType="begin"/>
      </w:r>
      <w:r w:rsidRPr="00B3537C">
        <w:rPr>
          <w:rFonts w:ascii="Arial" w:hAnsi="Arial" w:cs="Arial"/>
          <w:color w:val="000000" w:themeColor="text1"/>
          <w:sz w:val="24"/>
          <w:szCs w:val="24"/>
          <w:u w:val="single"/>
        </w:rPr>
        <w:instrText xml:space="preserve"> SEQ Table \* ARABIC </w:instrText>
      </w:r>
      <w:r w:rsidRPr="00B3537C">
        <w:rPr>
          <w:rFonts w:ascii="Arial" w:hAnsi="Arial" w:cs="Arial"/>
          <w:color w:val="000000" w:themeColor="text1"/>
          <w:sz w:val="24"/>
          <w:szCs w:val="24"/>
          <w:u w:val="single"/>
        </w:rPr>
        <w:fldChar w:fldCharType="separate"/>
      </w:r>
      <w:r w:rsidRPr="00B3537C">
        <w:rPr>
          <w:rFonts w:ascii="Arial" w:hAnsi="Arial" w:cs="Arial"/>
          <w:noProof/>
          <w:color w:val="000000" w:themeColor="text1"/>
          <w:sz w:val="24"/>
          <w:szCs w:val="24"/>
          <w:u w:val="single"/>
        </w:rPr>
        <w:t>11</w:t>
      </w:r>
      <w:r w:rsidRPr="00B3537C">
        <w:rPr>
          <w:rFonts w:ascii="Arial" w:hAnsi="Arial" w:cs="Arial"/>
          <w:color w:val="000000" w:themeColor="text1"/>
          <w:sz w:val="24"/>
          <w:szCs w:val="24"/>
          <w:u w:val="single"/>
        </w:rPr>
        <w:fldChar w:fldCharType="end"/>
      </w:r>
      <w:r w:rsidRPr="00B3537C">
        <w:rPr>
          <w:rFonts w:ascii="Arial" w:hAnsi="Arial" w:cs="Arial"/>
          <w:color w:val="000000" w:themeColor="text1"/>
          <w:sz w:val="24"/>
          <w:szCs w:val="24"/>
          <w:u w:val="single"/>
        </w:rPr>
        <w:t xml:space="preserve"> Profitability Index</w:t>
      </w:r>
    </w:p>
    <w:tbl>
      <w:tblPr>
        <w:tblStyle w:val="GridTable3-Accent1"/>
        <w:tblW w:w="5930" w:type="dxa"/>
        <w:tblInd w:w="10" w:type="dxa"/>
        <w:tblLook w:val="04A0" w:firstRow="1" w:lastRow="0" w:firstColumn="1" w:lastColumn="0" w:noHBand="0" w:noVBand="1"/>
      </w:tblPr>
      <w:tblGrid>
        <w:gridCol w:w="2996"/>
        <w:gridCol w:w="1467"/>
        <w:gridCol w:w="1467"/>
      </w:tblGrid>
      <w:tr w:rsidR="00242669" w:rsidRPr="00B3537C" w14:paraId="73906CE4" w14:textId="77777777" w:rsidTr="0004206D">
        <w:trPr>
          <w:cnfStyle w:val="100000000000" w:firstRow="1" w:lastRow="0" w:firstColumn="0" w:lastColumn="0" w:oddVBand="0" w:evenVBand="0" w:oddHBand="0" w:evenHBand="0" w:firstRowFirstColumn="0" w:firstRowLastColumn="0" w:lastRowFirstColumn="0" w:lastRowLastColumn="0"/>
          <w:trHeight w:val="810"/>
        </w:trPr>
        <w:tc>
          <w:tcPr>
            <w:cnfStyle w:val="001000000100" w:firstRow="0" w:lastRow="0" w:firstColumn="1" w:lastColumn="0" w:oddVBand="0" w:evenVBand="0" w:oddHBand="0" w:evenHBand="0" w:firstRowFirstColumn="1" w:firstRowLastColumn="0" w:lastRowFirstColumn="0" w:lastRowLastColumn="0"/>
            <w:tcW w:w="2996" w:type="dxa"/>
            <w:hideMark/>
          </w:tcPr>
          <w:p w14:paraId="791A74C5"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Profitability Index</w:t>
            </w:r>
          </w:p>
        </w:tc>
        <w:tc>
          <w:tcPr>
            <w:tcW w:w="1467" w:type="dxa"/>
            <w:noWrap/>
            <w:hideMark/>
          </w:tcPr>
          <w:p w14:paraId="06FEAF9E"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c>
          <w:tcPr>
            <w:tcW w:w="1467" w:type="dxa"/>
            <w:noWrap/>
            <w:hideMark/>
          </w:tcPr>
          <w:p w14:paraId="73A3F239"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r>
      <w:tr w:rsidR="00242669" w:rsidRPr="00B3537C" w14:paraId="2AF9E555" w14:textId="77777777" w:rsidTr="0004206D">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2996" w:type="dxa"/>
            <w:hideMark/>
          </w:tcPr>
          <w:p w14:paraId="06AE4E28" w14:textId="77777777" w:rsidR="002258B5" w:rsidRPr="00B3537C" w:rsidRDefault="002258B5" w:rsidP="0004206D">
            <w:pPr>
              <w:jc w:val="center"/>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Project</w:t>
            </w:r>
          </w:p>
        </w:tc>
        <w:tc>
          <w:tcPr>
            <w:tcW w:w="1467" w:type="dxa"/>
            <w:hideMark/>
          </w:tcPr>
          <w:p w14:paraId="67F91A96"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PV</w:t>
            </w:r>
          </w:p>
        </w:tc>
        <w:tc>
          <w:tcPr>
            <w:tcW w:w="1467" w:type="dxa"/>
            <w:hideMark/>
          </w:tcPr>
          <w:p w14:paraId="5A7DE653"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PI</w:t>
            </w:r>
          </w:p>
        </w:tc>
      </w:tr>
      <w:tr w:rsidR="00242669" w:rsidRPr="00B3537C" w14:paraId="26CA96C0" w14:textId="77777777" w:rsidTr="0004206D">
        <w:trPr>
          <w:trHeight w:val="335"/>
        </w:trPr>
        <w:tc>
          <w:tcPr>
            <w:cnfStyle w:val="001000000000" w:firstRow="0" w:lastRow="0" w:firstColumn="1" w:lastColumn="0" w:oddVBand="0" w:evenVBand="0" w:oddHBand="0" w:evenHBand="0" w:firstRowFirstColumn="0" w:firstRowLastColumn="0" w:lastRowFirstColumn="0" w:lastRowLastColumn="0"/>
            <w:tcW w:w="2996" w:type="dxa"/>
            <w:hideMark/>
          </w:tcPr>
          <w:p w14:paraId="4FDFA5ED"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A</w:t>
            </w:r>
          </w:p>
        </w:tc>
        <w:tc>
          <w:tcPr>
            <w:tcW w:w="1467" w:type="dxa"/>
            <w:hideMark/>
          </w:tcPr>
          <w:p w14:paraId="51ED49D7"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41.31</w:t>
            </w:r>
          </w:p>
        </w:tc>
        <w:tc>
          <w:tcPr>
            <w:tcW w:w="1467" w:type="dxa"/>
            <w:hideMark/>
          </w:tcPr>
          <w:p w14:paraId="1736A7A8" w14:textId="77777777" w:rsidR="002258B5" w:rsidRPr="00B3537C" w:rsidRDefault="002258B5" w:rsidP="0004206D">
            <w:pPr>
              <w:ind w:firstLineChars="100" w:firstLine="241"/>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0.83</w:t>
            </w:r>
          </w:p>
        </w:tc>
      </w:tr>
      <w:tr w:rsidR="00242669" w:rsidRPr="00B3537C" w14:paraId="0D4FB32F" w14:textId="77777777" w:rsidTr="0004206D">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2996" w:type="dxa"/>
            <w:hideMark/>
          </w:tcPr>
          <w:p w14:paraId="4505F880"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B</w:t>
            </w:r>
          </w:p>
        </w:tc>
        <w:tc>
          <w:tcPr>
            <w:tcW w:w="1467" w:type="dxa"/>
            <w:hideMark/>
          </w:tcPr>
          <w:p w14:paraId="111B1B8C" w14:textId="77777777" w:rsidR="002258B5" w:rsidRPr="00B3537C" w:rsidRDefault="002258B5" w:rsidP="0004206D">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41.69</w:t>
            </w:r>
          </w:p>
        </w:tc>
        <w:tc>
          <w:tcPr>
            <w:tcW w:w="1467" w:type="dxa"/>
            <w:hideMark/>
          </w:tcPr>
          <w:p w14:paraId="57FC838E" w14:textId="77777777" w:rsidR="002258B5" w:rsidRPr="00B3537C" w:rsidRDefault="002258B5" w:rsidP="0004206D">
            <w:pPr>
              <w:ind w:firstLineChars="100" w:firstLine="241"/>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0.83</w:t>
            </w:r>
          </w:p>
        </w:tc>
      </w:tr>
      <w:tr w:rsidR="00242669" w:rsidRPr="00B3537C" w14:paraId="3DC2D6DB" w14:textId="77777777" w:rsidTr="0004206D">
        <w:trPr>
          <w:trHeight w:val="335"/>
        </w:trPr>
        <w:tc>
          <w:tcPr>
            <w:cnfStyle w:val="001000000000" w:firstRow="0" w:lastRow="0" w:firstColumn="1" w:lastColumn="0" w:oddVBand="0" w:evenVBand="0" w:oddHBand="0" w:evenHBand="0" w:firstRowFirstColumn="0" w:firstRowLastColumn="0" w:lastRowFirstColumn="0" w:lastRowLastColumn="0"/>
            <w:tcW w:w="2996" w:type="dxa"/>
            <w:hideMark/>
          </w:tcPr>
          <w:p w14:paraId="4599C853"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C</w:t>
            </w:r>
          </w:p>
        </w:tc>
        <w:tc>
          <w:tcPr>
            <w:tcW w:w="1467" w:type="dxa"/>
            <w:hideMark/>
          </w:tcPr>
          <w:p w14:paraId="37A6DF1C" w14:textId="77777777" w:rsidR="002258B5" w:rsidRPr="00B3537C" w:rsidRDefault="002258B5" w:rsidP="0004206D">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48.01</w:t>
            </w:r>
          </w:p>
        </w:tc>
        <w:tc>
          <w:tcPr>
            <w:tcW w:w="1467" w:type="dxa"/>
            <w:hideMark/>
          </w:tcPr>
          <w:p w14:paraId="17CA0F8A" w14:textId="77777777" w:rsidR="002258B5" w:rsidRPr="00B3537C" w:rsidRDefault="002258B5" w:rsidP="0004206D">
            <w:pPr>
              <w:ind w:firstLineChars="100" w:firstLine="241"/>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0.96</w:t>
            </w:r>
          </w:p>
        </w:tc>
      </w:tr>
    </w:tbl>
    <w:p w14:paraId="76B97276" w14:textId="7B030E8A" w:rsidR="002258B5" w:rsidRPr="00B3537C" w:rsidRDefault="002258B5" w:rsidP="002258B5">
      <w:pPr>
        <w:rPr>
          <w:rFonts w:ascii="Arial" w:hAnsi="Arial" w:cs="Arial"/>
          <w:color w:val="000000" w:themeColor="text1"/>
          <w:sz w:val="24"/>
          <w:szCs w:val="24"/>
        </w:rPr>
      </w:pPr>
    </w:p>
    <w:p w14:paraId="3F51CB3B" w14:textId="2E5CA54F" w:rsidR="00242669" w:rsidRPr="00B3537C" w:rsidRDefault="00242669">
      <w:pPr>
        <w:rPr>
          <w:rFonts w:ascii="Arial" w:hAnsi="Arial" w:cs="Arial"/>
          <w:color w:val="000000" w:themeColor="text1"/>
          <w:sz w:val="24"/>
          <w:szCs w:val="24"/>
        </w:rPr>
      </w:pPr>
      <w:r w:rsidRPr="00B3537C">
        <w:rPr>
          <w:rFonts w:ascii="Arial" w:hAnsi="Arial" w:cs="Arial"/>
          <w:color w:val="000000" w:themeColor="text1"/>
          <w:sz w:val="24"/>
          <w:szCs w:val="24"/>
        </w:rPr>
        <w:br w:type="page"/>
      </w:r>
    </w:p>
    <w:p w14:paraId="43691014" w14:textId="77777777" w:rsidR="002258B5" w:rsidRPr="00B3537C" w:rsidRDefault="002258B5" w:rsidP="00242669">
      <w:pPr>
        <w:pStyle w:val="Caption"/>
        <w:keepNext/>
        <w:jc w:val="center"/>
        <w:rPr>
          <w:rFonts w:ascii="Arial" w:hAnsi="Arial" w:cs="Arial"/>
          <w:color w:val="000000" w:themeColor="text1"/>
          <w:sz w:val="24"/>
          <w:szCs w:val="24"/>
          <w:u w:val="single"/>
        </w:rPr>
      </w:pPr>
      <w:r w:rsidRPr="00B3537C">
        <w:rPr>
          <w:rFonts w:ascii="Arial" w:hAnsi="Arial" w:cs="Arial"/>
          <w:color w:val="000000" w:themeColor="text1"/>
          <w:sz w:val="24"/>
          <w:szCs w:val="24"/>
          <w:u w:val="single"/>
        </w:rPr>
        <w:lastRenderedPageBreak/>
        <w:t xml:space="preserve">Table </w:t>
      </w:r>
      <w:r w:rsidRPr="00B3537C">
        <w:rPr>
          <w:rFonts w:ascii="Arial" w:hAnsi="Arial" w:cs="Arial"/>
          <w:color w:val="000000" w:themeColor="text1"/>
          <w:sz w:val="24"/>
          <w:szCs w:val="24"/>
          <w:u w:val="single"/>
        </w:rPr>
        <w:fldChar w:fldCharType="begin"/>
      </w:r>
      <w:r w:rsidRPr="00B3537C">
        <w:rPr>
          <w:rFonts w:ascii="Arial" w:hAnsi="Arial" w:cs="Arial"/>
          <w:color w:val="000000" w:themeColor="text1"/>
          <w:sz w:val="24"/>
          <w:szCs w:val="24"/>
          <w:u w:val="single"/>
        </w:rPr>
        <w:instrText xml:space="preserve"> SEQ Table \* ARABIC </w:instrText>
      </w:r>
      <w:r w:rsidRPr="00B3537C">
        <w:rPr>
          <w:rFonts w:ascii="Arial" w:hAnsi="Arial" w:cs="Arial"/>
          <w:color w:val="000000" w:themeColor="text1"/>
          <w:sz w:val="24"/>
          <w:szCs w:val="24"/>
          <w:u w:val="single"/>
        </w:rPr>
        <w:fldChar w:fldCharType="separate"/>
      </w:r>
      <w:r w:rsidRPr="00B3537C">
        <w:rPr>
          <w:rFonts w:ascii="Arial" w:hAnsi="Arial" w:cs="Arial"/>
          <w:noProof/>
          <w:color w:val="000000" w:themeColor="text1"/>
          <w:sz w:val="24"/>
          <w:szCs w:val="24"/>
          <w:u w:val="single"/>
        </w:rPr>
        <w:t>12</w:t>
      </w:r>
      <w:r w:rsidRPr="00B3537C">
        <w:rPr>
          <w:rFonts w:ascii="Arial" w:hAnsi="Arial" w:cs="Arial"/>
          <w:color w:val="000000" w:themeColor="text1"/>
          <w:sz w:val="24"/>
          <w:szCs w:val="24"/>
          <w:u w:val="single"/>
        </w:rPr>
        <w:fldChar w:fldCharType="end"/>
      </w:r>
      <w:r w:rsidRPr="00B3537C">
        <w:rPr>
          <w:rFonts w:ascii="Arial" w:hAnsi="Arial" w:cs="Arial"/>
          <w:color w:val="000000" w:themeColor="text1"/>
          <w:sz w:val="24"/>
          <w:szCs w:val="24"/>
          <w:u w:val="single"/>
        </w:rPr>
        <w:t xml:space="preserve"> IRR</w:t>
      </w:r>
    </w:p>
    <w:tbl>
      <w:tblPr>
        <w:tblStyle w:val="GridTable3-Accent1"/>
        <w:tblW w:w="3796" w:type="dxa"/>
        <w:jc w:val="center"/>
        <w:tblLook w:val="04A0" w:firstRow="1" w:lastRow="0" w:firstColumn="1" w:lastColumn="0" w:noHBand="0" w:noVBand="1"/>
      </w:tblPr>
      <w:tblGrid>
        <w:gridCol w:w="2548"/>
        <w:gridCol w:w="1248"/>
      </w:tblGrid>
      <w:tr w:rsidR="00242669" w:rsidRPr="00B3537C" w14:paraId="27279A83" w14:textId="77777777" w:rsidTr="00242669">
        <w:trPr>
          <w:cnfStyle w:val="100000000000" w:firstRow="1" w:lastRow="0" w:firstColumn="0" w:lastColumn="0" w:oddVBand="0" w:evenVBand="0" w:oddHBand="0" w:evenHBand="0" w:firstRowFirstColumn="0" w:firstRowLastColumn="0" w:lastRowFirstColumn="0" w:lastRowLastColumn="0"/>
          <w:trHeight w:val="421"/>
          <w:jc w:val="center"/>
        </w:trPr>
        <w:tc>
          <w:tcPr>
            <w:cnfStyle w:val="001000000100" w:firstRow="0" w:lastRow="0" w:firstColumn="1" w:lastColumn="0" w:oddVBand="0" w:evenVBand="0" w:oddHBand="0" w:evenHBand="0" w:firstRowFirstColumn="1" w:firstRowLastColumn="0" w:lastRowFirstColumn="0" w:lastRowLastColumn="0"/>
            <w:tcW w:w="2548" w:type="dxa"/>
            <w:hideMark/>
          </w:tcPr>
          <w:p w14:paraId="309AA8CE" w14:textId="77777777" w:rsidR="002258B5" w:rsidRPr="00B3537C" w:rsidRDefault="002258B5" w:rsidP="0004206D">
            <w:pP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IRR</w:t>
            </w:r>
          </w:p>
        </w:tc>
        <w:tc>
          <w:tcPr>
            <w:tcW w:w="1248" w:type="dxa"/>
            <w:noWrap/>
            <w:hideMark/>
          </w:tcPr>
          <w:p w14:paraId="384AC300" w14:textId="77777777" w:rsidR="002258B5" w:rsidRPr="00B3537C" w:rsidRDefault="002258B5" w:rsidP="0004206D">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p>
        </w:tc>
      </w:tr>
      <w:tr w:rsidR="00242669" w:rsidRPr="00B3537C" w14:paraId="1A7B4B61" w14:textId="77777777" w:rsidTr="00242669">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2548" w:type="dxa"/>
            <w:hideMark/>
          </w:tcPr>
          <w:p w14:paraId="355F6051" w14:textId="77777777" w:rsidR="002258B5" w:rsidRPr="00B3537C" w:rsidRDefault="002258B5" w:rsidP="0004206D">
            <w:pPr>
              <w:jc w:val="center"/>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Project</w:t>
            </w:r>
          </w:p>
        </w:tc>
        <w:tc>
          <w:tcPr>
            <w:tcW w:w="1248" w:type="dxa"/>
            <w:hideMark/>
          </w:tcPr>
          <w:p w14:paraId="26FEDD44"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themeColor="text1"/>
                <w:kern w:val="0"/>
                <w:sz w:val="24"/>
                <w:szCs w:val="24"/>
                <w:lang w:eastAsia="en-GB"/>
                <w14:ligatures w14:val="none"/>
              </w:rPr>
            </w:pPr>
            <w:r w:rsidRPr="00B3537C">
              <w:rPr>
                <w:rFonts w:ascii="Arial" w:eastAsia="Times New Roman" w:hAnsi="Arial" w:cs="Arial"/>
                <w:b/>
                <w:bCs/>
                <w:color w:val="000000" w:themeColor="text1"/>
                <w:kern w:val="0"/>
                <w:sz w:val="24"/>
                <w:szCs w:val="24"/>
                <w:lang w:eastAsia="en-GB"/>
                <w14:ligatures w14:val="none"/>
              </w:rPr>
              <w:t>IRR</w:t>
            </w:r>
          </w:p>
        </w:tc>
      </w:tr>
      <w:tr w:rsidR="00242669" w:rsidRPr="00B3537C" w14:paraId="2BED4F37" w14:textId="77777777" w:rsidTr="00242669">
        <w:trPr>
          <w:trHeight w:val="348"/>
          <w:jc w:val="center"/>
        </w:trPr>
        <w:tc>
          <w:tcPr>
            <w:cnfStyle w:val="001000000000" w:firstRow="0" w:lastRow="0" w:firstColumn="1" w:lastColumn="0" w:oddVBand="0" w:evenVBand="0" w:oddHBand="0" w:evenHBand="0" w:firstRowFirstColumn="0" w:firstRowLastColumn="0" w:lastRowFirstColumn="0" w:lastRowLastColumn="0"/>
            <w:tcW w:w="2548" w:type="dxa"/>
            <w:hideMark/>
          </w:tcPr>
          <w:p w14:paraId="07077B45" w14:textId="77777777" w:rsidR="002258B5" w:rsidRPr="00B3537C" w:rsidRDefault="002258B5" w:rsidP="0004206D">
            <w:pPr>
              <w:jc w:val="cente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A</w:t>
            </w:r>
          </w:p>
        </w:tc>
        <w:tc>
          <w:tcPr>
            <w:tcW w:w="1248" w:type="dxa"/>
            <w:hideMark/>
          </w:tcPr>
          <w:p w14:paraId="4510ADEE"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w:t>
            </w:r>
          </w:p>
        </w:tc>
      </w:tr>
      <w:tr w:rsidR="00242669" w:rsidRPr="00B3537C" w14:paraId="39204FFC" w14:textId="77777777" w:rsidTr="00242669">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2548" w:type="dxa"/>
            <w:hideMark/>
          </w:tcPr>
          <w:p w14:paraId="4A04BCF5" w14:textId="77777777" w:rsidR="002258B5" w:rsidRPr="00B3537C" w:rsidRDefault="002258B5" w:rsidP="0004206D">
            <w:pPr>
              <w:jc w:val="cente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B</w:t>
            </w:r>
          </w:p>
        </w:tc>
        <w:tc>
          <w:tcPr>
            <w:tcW w:w="1248" w:type="dxa"/>
            <w:hideMark/>
          </w:tcPr>
          <w:p w14:paraId="32D1E3E3" w14:textId="77777777" w:rsidR="002258B5" w:rsidRPr="00B3537C" w:rsidRDefault="002258B5" w:rsidP="0004206D">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4.50%</w:t>
            </w:r>
          </w:p>
        </w:tc>
      </w:tr>
      <w:tr w:rsidR="00242669" w:rsidRPr="00B3537C" w14:paraId="439397BA" w14:textId="77777777" w:rsidTr="00242669">
        <w:trPr>
          <w:trHeight w:val="348"/>
          <w:jc w:val="center"/>
        </w:trPr>
        <w:tc>
          <w:tcPr>
            <w:cnfStyle w:val="001000000000" w:firstRow="0" w:lastRow="0" w:firstColumn="1" w:lastColumn="0" w:oddVBand="0" w:evenVBand="0" w:oddHBand="0" w:evenHBand="0" w:firstRowFirstColumn="0" w:firstRowLastColumn="0" w:lastRowFirstColumn="0" w:lastRowLastColumn="0"/>
            <w:tcW w:w="2548" w:type="dxa"/>
            <w:hideMark/>
          </w:tcPr>
          <w:p w14:paraId="27A94C31" w14:textId="77777777" w:rsidR="002258B5" w:rsidRPr="00B3537C" w:rsidRDefault="002258B5" w:rsidP="0004206D">
            <w:pPr>
              <w:jc w:val="center"/>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C</w:t>
            </w:r>
          </w:p>
        </w:tc>
        <w:tc>
          <w:tcPr>
            <w:tcW w:w="1248" w:type="dxa"/>
            <w:hideMark/>
          </w:tcPr>
          <w:p w14:paraId="24DCBEE2" w14:textId="77777777" w:rsidR="002258B5" w:rsidRPr="00B3537C" w:rsidRDefault="002258B5" w:rsidP="0004206D">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4"/>
                <w:szCs w:val="24"/>
                <w:lang w:eastAsia="en-GB"/>
                <w14:ligatures w14:val="none"/>
              </w:rPr>
            </w:pPr>
            <w:r w:rsidRPr="00B3537C">
              <w:rPr>
                <w:rFonts w:ascii="Arial" w:eastAsia="Times New Roman" w:hAnsi="Arial" w:cs="Arial"/>
                <w:color w:val="000000" w:themeColor="text1"/>
                <w:kern w:val="0"/>
                <w:sz w:val="24"/>
                <w:szCs w:val="24"/>
                <w:lang w:eastAsia="en-GB"/>
                <w14:ligatures w14:val="none"/>
              </w:rPr>
              <w:t>8%</w:t>
            </w:r>
          </w:p>
        </w:tc>
      </w:tr>
    </w:tbl>
    <w:p w14:paraId="10309A2F" w14:textId="77777777" w:rsidR="002258B5" w:rsidRPr="00B3537C" w:rsidRDefault="002258B5" w:rsidP="002258B5">
      <w:pPr>
        <w:rPr>
          <w:rFonts w:ascii="Arial" w:hAnsi="Arial" w:cs="Arial"/>
          <w:color w:val="000000" w:themeColor="text1"/>
          <w:sz w:val="24"/>
          <w:szCs w:val="24"/>
        </w:rPr>
      </w:pPr>
    </w:p>
    <w:p w14:paraId="3397A7DC" w14:textId="77777777" w:rsidR="002258B5" w:rsidRPr="00B3537C" w:rsidRDefault="002258B5" w:rsidP="002258B5">
      <w:pPr>
        <w:rPr>
          <w:rFonts w:ascii="Arial" w:hAnsi="Arial" w:cs="Arial"/>
          <w:color w:val="000000" w:themeColor="text1"/>
          <w:sz w:val="24"/>
          <w:szCs w:val="24"/>
        </w:rPr>
      </w:pPr>
    </w:p>
    <w:p w14:paraId="6EF58C5F" w14:textId="77777777" w:rsidR="002258B5" w:rsidRPr="00B3537C" w:rsidRDefault="002258B5" w:rsidP="002258B5">
      <w:pPr>
        <w:rPr>
          <w:rFonts w:ascii="Arial" w:hAnsi="Arial" w:cs="Arial"/>
          <w:color w:val="000000" w:themeColor="text1"/>
          <w:sz w:val="24"/>
          <w:szCs w:val="24"/>
        </w:rPr>
      </w:pPr>
    </w:p>
    <w:sectPr w:rsidR="002258B5" w:rsidRPr="00B3537C">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6C6DF" w14:textId="77777777" w:rsidR="00DF3659" w:rsidRDefault="00DF3659" w:rsidP="00E04E56">
      <w:pPr>
        <w:spacing w:after="0" w:line="240" w:lineRule="auto"/>
      </w:pPr>
      <w:r>
        <w:separator/>
      </w:r>
    </w:p>
  </w:endnote>
  <w:endnote w:type="continuationSeparator" w:id="0">
    <w:p w14:paraId="245CBCB5" w14:textId="77777777" w:rsidR="00DF3659" w:rsidRDefault="00DF3659" w:rsidP="00E04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3244024"/>
      <w:docPartObj>
        <w:docPartGallery w:val="Page Numbers (Bottom of Page)"/>
        <w:docPartUnique/>
      </w:docPartObj>
    </w:sdtPr>
    <w:sdtEndPr/>
    <w:sdtContent>
      <w:p w14:paraId="506615D1" w14:textId="5723EEB2" w:rsidR="00E04E56" w:rsidRDefault="00242669">
        <w:pPr>
          <w:pStyle w:val="Footer"/>
        </w:pPr>
        <w:r>
          <w:rPr>
            <w:noProof/>
            <w:lang w:val="en-US"/>
          </w:rPr>
          <mc:AlternateContent>
            <mc:Choice Requires="wps">
              <w:drawing>
                <wp:anchor distT="0" distB="0" distL="114300" distR="114300" simplePos="0" relativeHeight="251659264" behindDoc="0" locked="0" layoutInCell="1" allowOverlap="1" wp14:anchorId="2D712028" wp14:editId="17741F85">
                  <wp:simplePos x="0" y="0"/>
                  <wp:positionH relativeFrom="rightMargin">
                    <wp:align>center</wp:align>
                  </wp:positionH>
                  <wp:positionV relativeFrom="bottomMargin">
                    <wp:align>top</wp:align>
                  </wp:positionV>
                  <wp:extent cx="762000" cy="89535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Arial" w:eastAsiaTheme="majorEastAsia" w:hAnsi="Arial" w:cs="Arial"/>
                                  <w:sz w:val="48"/>
                                  <w:szCs w:val="48"/>
                                </w:rPr>
                                <w:id w:val="1709992740"/>
                                <w:docPartObj>
                                  <w:docPartGallery w:val="Page Numbers (Margins)"/>
                                  <w:docPartUnique/>
                                </w:docPartObj>
                              </w:sdtPr>
                              <w:sdtEndPr/>
                              <w:sdtContent>
                                <w:sdt>
                                  <w:sdtPr>
                                    <w:rPr>
                                      <w:rFonts w:ascii="Arial" w:eastAsiaTheme="majorEastAsia" w:hAnsi="Arial" w:cs="Arial"/>
                                      <w:sz w:val="48"/>
                                      <w:szCs w:val="48"/>
                                    </w:rPr>
                                    <w:id w:val="-1904517296"/>
                                    <w:docPartObj>
                                      <w:docPartGallery w:val="Page Numbers (Margins)"/>
                                      <w:docPartUnique/>
                                    </w:docPartObj>
                                  </w:sdtPr>
                                  <w:sdtEndPr/>
                                  <w:sdtContent>
                                    <w:p w14:paraId="67EB5860" w14:textId="47FBBC99" w:rsidR="00242669" w:rsidRPr="00242669" w:rsidRDefault="00242669">
                                      <w:pPr>
                                        <w:jc w:val="center"/>
                                        <w:rPr>
                                          <w:rFonts w:ascii="Arial" w:eastAsiaTheme="majorEastAsia" w:hAnsi="Arial" w:cs="Arial"/>
                                          <w:sz w:val="48"/>
                                          <w:szCs w:val="44"/>
                                        </w:rPr>
                                      </w:pPr>
                                      <w:r w:rsidRPr="00242669">
                                        <w:rPr>
                                          <w:rFonts w:ascii="Arial" w:eastAsiaTheme="minorEastAsia" w:hAnsi="Arial" w:cs="Arial"/>
                                        </w:rPr>
                                        <w:fldChar w:fldCharType="begin"/>
                                      </w:r>
                                      <w:r w:rsidRPr="00242669">
                                        <w:rPr>
                                          <w:rFonts w:ascii="Arial" w:hAnsi="Arial" w:cs="Arial"/>
                                        </w:rPr>
                                        <w:instrText xml:space="preserve"> PAGE   \* MERGEFORMAT </w:instrText>
                                      </w:r>
                                      <w:r w:rsidRPr="00242669">
                                        <w:rPr>
                                          <w:rFonts w:ascii="Arial" w:eastAsiaTheme="minorEastAsia" w:hAnsi="Arial" w:cs="Arial"/>
                                        </w:rPr>
                                        <w:fldChar w:fldCharType="separate"/>
                                      </w:r>
                                      <w:r w:rsidR="00B3537C" w:rsidRPr="00B3537C">
                                        <w:rPr>
                                          <w:rFonts w:ascii="Arial" w:eastAsiaTheme="majorEastAsia" w:hAnsi="Arial" w:cs="Arial"/>
                                          <w:noProof/>
                                          <w:sz w:val="48"/>
                                          <w:szCs w:val="48"/>
                                        </w:rPr>
                                        <w:t>4</w:t>
                                      </w:r>
                                      <w:r w:rsidRPr="00242669">
                                        <w:rPr>
                                          <w:rFonts w:ascii="Arial" w:eastAsiaTheme="majorEastAsia" w:hAnsi="Arial" w:cs="Arial"/>
                                          <w:noProof/>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12028" id="Rectangle 3"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stroked="f">
                  <v:textbox>
                    <w:txbxContent>
                      <w:sdt>
                        <w:sdtPr>
                          <w:rPr>
                            <w:rFonts w:ascii="Arial" w:eastAsiaTheme="majorEastAsia" w:hAnsi="Arial" w:cs="Arial"/>
                            <w:sz w:val="48"/>
                            <w:szCs w:val="48"/>
                          </w:rPr>
                          <w:id w:val="1709992740"/>
                          <w:docPartObj>
                            <w:docPartGallery w:val="Page Numbers (Margins)"/>
                            <w:docPartUnique/>
                          </w:docPartObj>
                        </w:sdtPr>
                        <w:sdtEndPr/>
                        <w:sdtContent>
                          <w:sdt>
                            <w:sdtPr>
                              <w:rPr>
                                <w:rFonts w:ascii="Arial" w:eastAsiaTheme="majorEastAsia" w:hAnsi="Arial" w:cs="Arial"/>
                                <w:sz w:val="48"/>
                                <w:szCs w:val="48"/>
                              </w:rPr>
                              <w:id w:val="-1904517296"/>
                              <w:docPartObj>
                                <w:docPartGallery w:val="Page Numbers (Margins)"/>
                                <w:docPartUnique/>
                              </w:docPartObj>
                            </w:sdtPr>
                            <w:sdtEndPr/>
                            <w:sdtContent>
                              <w:p w14:paraId="67EB5860" w14:textId="47FBBC99" w:rsidR="00242669" w:rsidRPr="00242669" w:rsidRDefault="00242669">
                                <w:pPr>
                                  <w:jc w:val="center"/>
                                  <w:rPr>
                                    <w:rFonts w:ascii="Arial" w:eastAsiaTheme="majorEastAsia" w:hAnsi="Arial" w:cs="Arial"/>
                                    <w:sz w:val="48"/>
                                    <w:szCs w:val="44"/>
                                  </w:rPr>
                                </w:pPr>
                                <w:r w:rsidRPr="00242669">
                                  <w:rPr>
                                    <w:rFonts w:ascii="Arial" w:eastAsiaTheme="minorEastAsia" w:hAnsi="Arial" w:cs="Arial"/>
                                  </w:rPr>
                                  <w:fldChar w:fldCharType="begin"/>
                                </w:r>
                                <w:r w:rsidRPr="00242669">
                                  <w:rPr>
                                    <w:rFonts w:ascii="Arial" w:hAnsi="Arial" w:cs="Arial"/>
                                  </w:rPr>
                                  <w:instrText xml:space="preserve"> PAGE   \* MERGEFORMAT </w:instrText>
                                </w:r>
                                <w:r w:rsidRPr="00242669">
                                  <w:rPr>
                                    <w:rFonts w:ascii="Arial" w:eastAsiaTheme="minorEastAsia" w:hAnsi="Arial" w:cs="Arial"/>
                                  </w:rPr>
                                  <w:fldChar w:fldCharType="separate"/>
                                </w:r>
                                <w:r w:rsidR="00B3537C" w:rsidRPr="00B3537C">
                                  <w:rPr>
                                    <w:rFonts w:ascii="Arial" w:eastAsiaTheme="majorEastAsia" w:hAnsi="Arial" w:cs="Arial"/>
                                    <w:noProof/>
                                    <w:sz w:val="48"/>
                                    <w:szCs w:val="48"/>
                                  </w:rPr>
                                  <w:t>4</w:t>
                                </w:r>
                                <w:r w:rsidRPr="00242669">
                                  <w:rPr>
                                    <w:rFonts w:ascii="Arial" w:eastAsiaTheme="majorEastAsia" w:hAnsi="Arial" w:cs="Arial"/>
                                    <w:noProof/>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5BBF4" w14:textId="77777777" w:rsidR="00DF3659" w:rsidRDefault="00DF3659" w:rsidP="00E04E56">
      <w:pPr>
        <w:spacing w:after="0" w:line="240" w:lineRule="auto"/>
      </w:pPr>
      <w:r>
        <w:separator/>
      </w:r>
    </w:p>
  </w:footnote>
  <w:footnote w:type="continuationSeparator" w:id="0">
    <w:p w14:paraId="5D4748AE" w14:textId="77777777" w:rsidR="00DF3659" w:rsidRDefault="00DF3659" w:rsidP="00E04E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377"/>
      </v:shape>
    </w:pict>
  </w:numPicBullet>
  <w:abstractNum w:abstractNumId="0" w15:restartNumberingAfterBreak="0">
    <w:nsid w:val="FFFFFF89"/>
    <w:multiLevelType w:val="singleLevel"/>
    <w:tmpl w:val="C53ACBE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27020C"/>
    <w:multiLevelType w:val="multilevel"/>
    <w:tmpl w:val="50C61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251F3"/>
    <w:multiLevelType w:val="hybridMultilevel"/>
    <w:tmpl w:val="4EBAB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66EAE"/>
    <w:multiLevelType w:val="hybridMultilevel"/>
    <w:tmpl w:val="AD10F1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4E38CF"/>
    <w:multiLevelType w:val="multilevel"/>
    <w:tmpl w:val="40A69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B272CC"/>
    <w:multiLevelType w:val="hybridMultilevel"/>
    <w:tmpl w:val="73D07DDA"/>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4D4741"/>
    <w:multiLevelType w:val="hybridMultilevel"/>
    <w:tmpl w:val="BD560220"/>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4D596F"/>
    <w:multiLevelType w:val="multilevel"/>
    <w:tmpl w:val="5C42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5D2257"/>
    <w:multiLevelType w:val="multilevel"/>
    <w:tmpl w:val="2CF2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A668ED"/>
    <w:multiLevelType w:val="hybridMultilevel"/>
    <w:tmpl w:val="288CC8F4"/>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78394A"/>
    <w:multiLevelType w:val="hybridMultilevel"/>
    <w:tmpl w:val="F800D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EF6968"/>
    <w:multiLevelType w:val="hybridMultilevel"/>
    <w:tmpl w:val="182C9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954DF6"/>
    <w:multiLevelType w:val="multilevel"/>
    <w:tmpl w:val="56324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AD39A9"/>
    <w:multiLevelType w:val="multilevel"/>
    <w:tmpl w:val="95348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CC5F9E"/>
    <w:multiLevelType w:val="hybridMultilevel"/>
    <w:tmpl w:val="190428E2"/>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A90F92"/>
    <w:multiLevelType w:val="hybridMultilevel"/>
    <w:tmpl w:val="1CBC98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6A6D91"/>
    <w:multiLevelType w:val="multilevel"/>
    <w:tmpl w:val="4404A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9B1198"/>
    <w:multiLevelType w:val="hybridMultilevel"/>
    <w:tmpl w:val="71EAAB4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F66DF8"/>
    <w:multiLevelType w:val="multilevel"/>
    <w:tmpl w:val="450A1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6B7471"/>
    <w:multiLevelType w:val="multilevel"/>
    <w:tmpl w:val="A69E8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6270F"/>
    <w:multiLevelType w:val="multilevel"/>
    <w:tmpl w:val="498C0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832CFB"/>
    <w:multiLevelType w:val="multilevel"/>
    <w:tmpl w:val="B9E2B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9067D3"/>
    <w:multiLevelType w:val="hybridMultilevel"/>
    <w:tmpl w:val="B7E68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0419041">
    <w:abstractNumId w:val="0"/>
  </w:num>
  <w:num w:numId="2" w16cid:durableId="1406873197">
    <w:abstractNumId w:val="7"/>
  </w:num>
  <w:num w:numId="3" w16cid:durableId="50348314">
    <w:abstractNumId w:val="18"/>
  </w:num>
  <w:num w:numId="4" w16cid:durableId="858855367">
    <w:abstractNumId w:val="12"/>
  </w:num>
  <w:num w:numId="5" w16cid:durableId="921567427">
    <w:abstractNumId w:val="13"/>
  </w:num>
  <w:num w:numId="6" w16cid:durableId="609163580">
    <w:abstractNumId w:val="8"/>
  </w:num>
  <w:num w:numId="7" w16cid:durableId="1792940563">
    <w:abstractNumId w:val="16"/>
  </w:num>
  <w:num w:numId="8" w16cid:durableId="1898007480">
    <w:abstractNumId w:val="20"/>
  </w:num>
  <w:num w:numId="9" w16cid:durableId="674848369">
    <w:abstractNumId w:val="1"/>
  </w:num>
  <w:num w:numId="10" w16cid:durableId="496848995">
    <w:abstractNumId w:val="4"/>
  </w:num>
  <w:num w:numId="11" w16cid:durableId="1181352599">
    <w:abstractNumId w:val="21"/>
  </w:num>
  <w:num w:numId="12" w16cid:durableId="583223217">
    <w:abstractNumId w:val="19"/>
  </w:num>
  <w:num w:numId="13" w16cid:durableId="1962497264">
    <w:abstractNumId w:val="9"/>
  </w:num>
  <w:num w:numId="14" w16cid:durableId="1079213407">
    <w:abstractNumId w:val="5"/>
  </w:num>
  <w:num w:numId="15" w16cid:durableId="1184439095">
    <w:abstractNumId w:val="14"/>
  </w:num>
  <w:num w:numId="16" w16cid:durableId="1630548005">
    <w:abstractNumId w:val="6"/>
  </w:num>
  <w:num w:numId="17" w16cid:durableId="550918401">
    <w:abstractNumId w:val="11"/>
  </w:num>
  <w:num w:numId="18" w16cid:durableId="1132363192">
    <w:abstractNumId w:val="3"/>
  </w:num>
  <w:num w:numId="19" w16cid:durableId="149445757">
    <w:abstractNumId w:val="15"/>
  </w:num>
  <w:num w:numId="20" w16cid:durableId="1352994115">
    <w:abstractNumId w:val="17"/>
  </w:num>
  <w:num w:numId="21" w16cid:durableId="335815129">
    <w:abstractNumId w:val="10"/>
  </w:num>
  <w:num w:numId="22" w16cid:durableId="547685030">
    <w:abstractNumId w:val="2"/>
  </w:num>
  <w:num w:numId="23" w16cid:durableId="10442608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4AC"/>
    <w:rsid w:val="000178FF"/>
    <w:rsid w:val="0002411C"/>
    <w:rsid w:val="00033709"/>
    <w:rsid w:val="00081342"/>
    <w:rsid w:val="001824E5"/>
    <w:rsid w:val="00200F75"/>
    <w:rsid w:val="00216E8E"/>
    <w:rsid w:val="002258B5"/>
    <w:rsid w:val="002421B1"/>
    <w:rsid w:val="00242669"/>
    <w:rsid w:val="00265127"/>
    <w:rsid w:val="0026654A"/>
    <w:rsid w:val="002F545F"/>
    <w:rsid w:val="00317FA3"/>
    <w:rsid w:val="0035791D"/>
    <w:rsid w:val="00377CD0"/>
    <w:rsid w:val="003814AC"/>
    <w:rsid w:val="003B4C93"/>
    <w:rsid w:val="00460F44"/>
    <w:rsid w:val="004C5549"/>
    <w:rsid w:val="00506A3E"/>
    <w:rsid w:val="00517B79"/>
    <w:rsid w:val="00540B00"/>
    <w:rsid w:val="00540ECF"/>
    <w:rsid w:val="00572365"/>
    <w:rsid w:val="005906A8"/>
    <w:rsid w:val="005B77E5"/>
    <w:rsid w:val="0066653C"/>
    <w:rsid w:val="006D02C2"/>
    <w:rsid w:val="00724915"/>
    <w:rsid w:val="00743EB3"/>
    <w:rsid w:val="007561E5"/>
    <w:rsid w:val="0078024B"/>
    <w:rsid w:val="007D5883"/>
    <w:rsid w:val="007F2F89"/>
    <w:rsid w:val="007F447B"/>
    <w:rsid w:val="008437B2"/>
    <w:rsid w:val="008B61F0"/>
    <w:rsid w:val="008F17B6"/>
    <w:rsid w:val="008F1F59"/>
    <w:rsid w:val="009142D0"/>
    <w:rsid w:val="00925277"/>
    <w:rsid w:val="00934BA9"/>
    <w:rsid w:val="0095489E"/>
    <w:rsid w:val="00967E4D"/>
    <w:rsid w:val="0098664E"/>
    <w:rsid w:val="009C0DBB"/>
    <w:rsid w:val="009F6198"/>
    <w:rsid w:val="00A061C2"/>
    <w:rsid w:val="00A17956"/>
    <w:rsid w:val="00A7577E"/>
    <w:rsid w:val="00A87C84"/>
    <w:rsid w:val="00A9012B"/>
    <w:rsid w:val="00A90E15"/>
    <w:rsid w:val="00AA44DD"/>
    <w:rsid w:val="00B10651"/>
    <w:rsid w:val="00B3537C"/>
    <w:rsid w:val="00B77D20"/>
    <w:rsid w:val="00B91FEB"/>
    <w:rsid w:val="00B93B23"/>
    <w:rsid w:val="00B951BA"/>
    <w:rsid w:val="00BB6B45"/>
    <w:rsid w:val="00C646D8"/>
    <w:rsid w:val="00C9017E"/>
    <w:rsid w:val="00CD3697"/>
    <w:rsid w:val="00D02E2B"/>
    <w:rsid w:val="00D05982"/>
    <w:rsid w:val="00D507FC"/>
    <w:rsid w:val="00D5185C"/>
    <w:rsid w:val="00D527F6"/>
    <w:rsid w:val="00D630B9"/>
    <w:rsid w:val="00D942FF"/>
    <w:rsid w:val="00DB3D47"/>
    <w:rsid w:val="00DF3659"/>
    <w:rsid w:val="00E04E56"/>
    <w:rsid w:val="00EC6E03"/>
    <w:rsid w:val="00EE097B"/>
    <w:rsid w:val="00EF1CDD"/>
    <w:rsid w:val="00F630F8"/>
    <w:rsid w:val="00F67F85"/>
    <w:rsid w:val="00F976F2"/>
    <w:rsid w:val="00FD463A"/>
    <w:rsid w:val="00FE6A3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4B79BC"/>
  <w15:chartTrackingRefBased/>
  <w15:docId w15:val="{D87AC3A5-6267-4643-9E2B-D788C5686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Bullet"/>
    <w:next w:val="Normal"/>
    <w:link w:val="Heading1Char"/>
    <w:uiPriority w:val="9"/>
    <w:qFormat/>
    <w:rsid w:val="00242669"/>
    <w:pPr>
      <w:keepNext/>
      <w:keepLines/>
      <w:numPr>
        <w:numId w:val="0"/>
      </w:numPr>
      <w:pBdr>
        <w:top w:val="single" w:sz="4" w:space="1" w:color="auto"/>
        <w:left w:val="single" w:sz="4" w:space="4" w:color="auto"/>
        <w:bottom w:val="single" w:sz="4" w:space="1" w:color="auto"/>
        <w:right w:val="single" w:sz="4" w:space="4" w:color="auto"/>
      </w:pBdr>
      <w:spacing w:before="360" w:after="360" w:line="360" w:lineRule="auto"/>
      <w:ind w:left="357" w:hanging="357"/>
      <w:contextualSpacing w:val="0"/>
      <w:jc w:val="both"/>
      <w:outlineLvl w:val="0"/>
    </w:pPr>
    <w:rPr>
      <w:rFonts w:ascii="Arial" w:eastAsia="Times New Roman" w:hAnsi="Arial" w:cs="Arial"/>
      <w:b/>
      <w:color w:val="000000" w:themeColor="text1"/>
      <w:sz w:val="28"/>
      <w:szCs w:val="24"/>
      <w:lang w:eastAsia="en-GB"/>
    </w:rPr>
  </w:style>
  <w:style w:type="paragraph" w:styleId="Heading2">
    <w:name w:val="heading 2"/>
    <w:basedOn w:val="Normal"/>
    <w:next w:val="Normal"/>
    <w:link w:val="Heading2Char"/>
    <w:uiPriority w:val="9"/>
    <w:unhideWhenUsed/>
    <w:qFormat/>
    <w:rsid w:val="00242669"/>
    <w:pPr>
      <w:keepNext/>
      <w:keepLines/>
      <w:spacing w:before="240" w:after="240" w:line="360" w:lineRule="auto"/>
      <w:jc w:val="both"/>
      <w:outlineLvl w:val="1"/>
    </w:pPr>
    <w:rPr>
      <w:rFonts w:ascii="Arial" w:eastAsia="Times New Roman" w:hAnsi="Arial" w:cs="Arial"/>
      <w:b/>
      <w:color w:val="2F5496" w:themeColor="accent1" w:themeShade="BF"/>
      <w:sz w:val="24"/>
      <w:szCs w:val="24"/>
      <w:lang w:eastAsia="en-GB"/>
    </w:rPr>
  </w:style>
  <w:style w:type="paragraph" w:styleId="Heading3">
    <w:name w:val="heading 3"/>
    <w:basedOn w:val="Normal"/>
    <w:next w:val="Normal"/>
    <w:link w:val="Heading3Char"/>
    <w:uiPriority w:val="9"/>
    <w:unhideWhenUsed/>
    <w:qFormat/>
    <w:rsid w:val="00540ECF"/>
    <w:pPr>
      <w:keepNext/>
      <w:keepLines/>
      <w:spacing w:before="40" w:after="0" w:line="480" w:lineRule="auto"/>
      <w:outlineLvl w:val="2"/>
    </w:pPr>
    <w:rPr>
      <w:rFonts w:ascii="Times New Roman" w:eastAsiaTheme="majorEastAsia" w:hAnsi="Times New Roman" w:cstheme="majorBidi"/>
      <w:b/>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669"/>
    <w:rPr>
      <w:rFonts w:ascii="Arial" w:eastAsia="Times New Roman" w:hAnsi="Arial" w:cs="Arial"/>
      <w:b/>
      <w:color w:val="000000" w:themeColor="text1"/>
      <w:sz w:val="28"/>
      <w:szCs w:val="24"/>
      <w:lang w:eastAsia="en-GB"/>
    </w:rPr>
  </w:style>
  <w:style w:type="character" w:customStyle="1" w:styleId="Heading2Char">
    <w:name w:val="Heading 2 Char"/>
    <w:basedOn w:val="DefaultParagraphFont"/>
    <w:link w:val="Heading2"/>
    <w:uiPriority w:val="9"/>
    <w:rsid w:val="00242669"/>
    <w:rPr>
      <w:rFonts w:ascii="Arial" w:eastAsia="Times New Roman" w:hAnsi="Arial" w:cs="Arial"/>
      <w:b/>
      <w:color w:val="2F5496" w:themeColor="accent1" w:themeShade="BF"/>
      <w:sz w:val="24"/>
      <w:szCs w:val="24"/>
      <w:lang w:eastAsia="en-GB"/>
    </w:rPr>
  </w:style>
  <w:style w:type="paragraph" w:styleId="ListBullet">
    <w:name w:val="List Bullet"/>
    <w:basedOn w:val="Normal"/>
    <w:uiPriority w:val="99"/>
    <w:semiHidden/>
    <w:unhideWhenUsed/>
    <w:rsid w:val="00D942FF"/>
    <w:pPr>
      <w:numPr>
        <w:numId w:val="1"/>
      </w:numPr>
      <w:contextualSpacing/>
    </w:pPr>
  </w:style>
  <w:style w:type="character" w:customStyle="1" w:styleId="Heading3Char">
    <w:name w:val="Heading 3 Char"/>
    <w:basedOn w:val="DefaultParagraphFont"/>
    <w:link w:val="Heading3"/>
    <w:uiPriority w:val="9"/>
    <w:rsid w:val="00540ECF"/>
    <w:rPr>
      <w:rFonts w:ascii="Times New Roman" w:eastAsiaTheme="majorEastAsia" w:hAnsi="Times New Roman" w:cstheme="majorBidi"/>
      <w:b/>
      <w:color w:val="1F3763" w:themeColor="accent1" w:themeShade="7F"/>
      <w:sz w:val="24"/>
      <w:szCs w:val="24"/>
    </w:rPr>
  </w:style>
  <w:style w:type="paragraph" w:styleId="NormalWeb">
    <w:name w:val="Normal (Web)"/>
    <w:basedOn w:val="Normal"/>
    <w:uiPriority w:val="99"/>
    <w:unhideWhenUsed/>
    <w:rsid w:val="007561E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hitespace-normal">
    <w:name w:val="whitespace-normal"/>
    <w:basedOn w:val="DefaultParagraphFont"/>
    <w:rsid w:val="007561E5"/>
  </w:style>
  <w:style w:type="table" w:styleId="GridTable3-Accent1">
    <w:name w:val="Grid Table 3 Accent 1"/>
    <w:basedOn w:val="TableNormal"/>
    <w:uiPriority w:val="48"/>
    <w:rsid w:val="009F619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2-Accent1">
    <w:name w:val="Grid Table 2 Accent 1"/>
    <w:basedOn w:val="TableNormal"/>
    <w:uiPriority w:val="47"/>
    <w:rsid w:val="00AA44DD"/>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
    <w:name w:val="Grid Table 2"/>
    <w:basedOn w:val="TableNormal"/>
    <w:uiPriority w:val="47"/>
    <w:rsid w:val="00AA44D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AA44D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7ColourfulAccent1">
    <w:name w:val="Grid Table 7 Colorful Accent 1"/>
    <w:basedOn w:val="TableNormal"/>
    <w:uiPriority w:val="52"/>
    <w:rsid w:val="00AA44DD"/>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paragraph" w:styleId="ListParagraph">
    <w:name w:val="List Paragraph"/>
    <w:basedOn w:val="Normal"/>
    <w:uiPriority w:val="34"/>
    <w:qFormat/>
    <w:rsid w:val="00B77D20"/>
    <w:pPr>
      <w:ind w:left="720"/>
      <w:contextualSpacing/>
    </w:pPr>
  </w:style>
  <w:style w:type="character" w:styleId="Hyperlink">
    <w:name w:val="Hyperlink"/>
    <w:basedOn w:val="DefaultParagraphFont"/>
    <w:uiPriority w:val="99"/>
    <w:unhideWhenUsed/>
    <w:rsid w:val="00D05982"/>
    <w:rPr>
      <w:color w:val="0563C1" w:themeColor="hyperlink"/>
      <w:u w:val="single"/>
    </w:rPr>
  </w:style>
  <w:style w:type="character" w:customStyle="1" w:styleId="UnresolvedMention1">
    <w:name w:val="Unresolved Mention1"/>
    <w:basedOn w:val="DefaultParagraphFont"/>
    <w:uiPriority w:val="99"/>
    <w:semiHidden/>
    <w:unhideWhenUsed/>
    <w:rsid w:val="00D05982"/>
    <w:rPr>
      <w:color w:val="605E5C"/>
      <w:shd w:val="clear" w:color="auto" w:fill="E1DFDD"/>
    </w:rPr>
  </w:style>
  <w:style w:type="paragraph" w:styleId="TOCHeading">
    <w:name w:val="TOC Heading"/>
    <w:basedOn w:val="Heading1"/>
    <w:next w:val="Normal"/>
    <w:uiPriority w:val="39"/>
    <w:unhideWhenUsed/>
    <w:qFormat/>
    <w:rsid w:val="00A9012B"/>
    <w:pPr>
      <w:ind w:left="0" w:firstLine="0"/>
      <w:outlineLvl w:val="9"/>
    </w:pPr>
    <w:rPr>
      <w:rFonts w:asciiTheme="majorHAnsi" w:hAnsiTheme="majorHAnsi"/>
      <w:b w:val="0"/>
      <w:kern w:val="0"/>
      <w:sz w:val="32"/>
      <w:lang w:val="en-US"/>
      <w14:ligatures w14:val="none"/>
    </w:rPr>
  </w:style>
  <w:style w:type="paragraph" w:styleId="TOC1">
    <w:name w:val="toc 1"/>
    <w:basedOn w:val="Normal"/>
    <w:next w:val="Normal"/>
    <w:autoRedefine/>
    <w:uiPriority w:val="39"/>
    <w:unhideWhenUsed/>
    <w:rsid w:val="00A9012B"/>
    <w:pPr>
      <w:spacing w:after="100"/>
    </w:pPr>
  </w:style>
  <w:style w:type="paragraph" w:styleId="TOC2">
    <w:name w:val="toc 2"/>
    <w:basedOn w:val="Normal"/>
    <w:next w:val="Normal"/>
    <w:autoRedefine/>
    <w:uiPriority w:val="39"/>
    <w:unhideWhenUsed/>
    <w:rsid w:val="00A9012B"/>
    <w:pPr>
      <w:spacing w:after="100"/>
      <w:ind w:left="220"/>
    </w:pPr>
  </w:style>
  <w:style w:type="paragraph" w:styleId="TOC3">
    <w:name w:val="toc 3"/>
    <w:basedOn w:val="Normal"/>
    <w:next w:val="Normal"/>
    <w:autoRedefine/>
    <w:uiPriority w:val="39"/>
    <w:unhideWhenUsed/>
    <w:rsid w:val="00A9012B"/>
    <w:pPr>
      <w:spacing w:after="100"/>
      <w:ind w:left="440"/>
    </w:pPr>
  </w:style>
  <w:style w:type="paragraph" w:styleId="Caption">
    <w:name w:val="caption"/>
    <w:basedOn w:val="Normal"/>
    <w:next w:val="Normal"/>
    <w:uiPriority w:val="35"/>
    <w:unhideWhenUsed/>
    <w:qFormat/>
    <w:rsid w:val="002258B5"/>
    <w:pPr>
      <w:spacing w:after="200" w:line="240" w:lineRule="auto"/>
    </w:pPr>
    <w:rPr>
      <w:i/>
      <w:iCs/>
      <w:color w:val="44546A" w:themeColor="text2"/>
      <w:sz w:val="18"/>
      <w:szCs w:val="18"/>
    </w:rPr>
  </w:style>
  <w:style w:type="character" w:styleId="Strong">
    <w:name w:val="Strong"/>
    <w:basedOn w:val="DefaultParagraphFont"/>
    <w:uiPriority w:val="22"/>
    <w:qFormat/>
    <w:rsid w:val="00A7577E"/>
    <w:rPr>
      <w:b/>
      <w:bCs/>
    </w:rPr>
  </w:style>
  <w:style w:type="table" w:styleId="GridTable4-Accent1">
    <w:name w:val="Grid Table 4 Accent 1"/>
    <w:basedOn w:val="TableNormal"/>
    <w:uiPriority w:val="49"/>
    <w:rsid w:val="00A7577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E04E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4E56"/>
  </w:style>
  <w:style w:type="paragraph" w:styleId="Footer">
    <w:name w:val="footer"/>
    <w:basedOn w:val="Normal"/>
    <w:link w:val="FooterChar"/>
    <w:uiPriority w:val="99"/>
    <w:unhideWhenUsed/>
    <w:rsid w:val="00E04E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4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55991">
      <w:bodyDiv w:val="1"/>
      <w:marLeft w:val="0"/>
      <w:marRight w:val="0"/>
      <w:marTop w:val="0"/>
      <w:marBottom w:val="0"/>
      <w:divBdr>
        <w:top w:val="none" w:sz="0" w:space="0" w:color="auto"/>
        <w:left w:val="none" w:sz="0" w:space="0" w:color="auto"/>
        <w:bottom w:val="none" w:sz="0" w:space="0" w:color="auto"/>
        <w:right w:val="none" w:sz="0" w:space="0" w:color="auto"/>
      </w:divBdr>
    </w:div>
    <w:div w:id="308166943">
      <w:bodyDiv w:val="1"/>
      <w:marLeft w:val="0"/>
      <w:marRight w:val="0"/>
      <w:marTop w:val="0"/>
      <w:marBottom w:val="0"/>
      <w:divBdr>
        <w:top w:val="none" w:sz="0" w:space="0" w:color="auto"/>
        <w:left w:val="none" w:sz="0" w:space="0" w:color="auto"/>
        <w:bottom w:val="none" w:sz="0" w:space="0" w:color="auto"/>
        <w:right w:val="none" w:sz="0" w:space="0" w:color="auto"/>
      </w:divBdr>
    </w:div>
    <w:div w:id="500001193">
      <w:bodyDiv w:val="1"/>
      <w:marLeft w:val="0"/>
      <w:marRight w:val="0"/>
      <w:marTop w:val="0"/>
      <w:marBottom w:val="0"/>
      <w:divBdr>
        <w:top w:val="none" w:sz="0" w:space="0" w:color="auto"/>
        <w:left w:val="none" w:sz="0" w:space="0" w:color="auto"/>
        <w:bottom w:val="none" w:sz="0" w:space="0" w:color="auto"/>
        <w:right w:val="none" w:sz="0" w:space="0" w:color="auto"/>
      </w:divBdr>
    </w:div>
    <w:div w:id="556665316">
      <w:bodyDiv w:val="1"/>
      <w:marLeft w:val="0"/>
      <w:marRight w:val="0"/>
      <w:marTop w:val="0"/>
      <w:marBottom w:val="0"/>
      <w:divBdr>
        <w:top w:val="none" w:sz="0" w:space="0" w:color="auto"/>
        <w:left w:val="none" w:sz="0" w:space="0" w:color="auto"/>
        <w:bottom w:val="none" w:sz="0" w:space="0" w:color="auto"/>
        <w:right w:val="none" w:sz="0" w:space="0" w:color="auto"/>
      </w:divBdr>
    </w:div>
    <w:div w:id="576864301">
      <w:bodyDiv w:val="1"/>
      <w:marLeft w:val="0"/>
      <w:marRight w:val="0"/>
      <w:marTop w:val="0"/>
      <w:marBottom w:val="0"/>
      <w:divBdr>
        <w:top w:val="none" w:sz="0" w:space="0" w:color="auto"/>
        <w:left w:val="none" w:sz="0" w:space="0" w:color="auto"/>
        <w:bottom w:val="none" w:sz="0" w:space="0" w:color="auto"/>
        <w:right w:val="none" w:sz="0" w:space="0" w:color="auto"/>
      </w:divBdr>
      <w:divsChild>
        <w:div w:id="722871446">
          <w:marLeft w:val="0"/>
          <w:marRight w:val="0"/>
          <w:marTop w:val="0"/>
          <w:marBottom w:val="0"/>
          <w:divBdr>
            <w:top w:val="none" w:sz="0" w:space="0" w:color="auto"/>
            <w:left w:val="none" w:sz="0" w:space="0" w:color="auto"/>
            <w:bottom w:val="none" w:sz="0" w:space="0" w:color="auto"/>
            <w:right w:val="none" w:sz="0" w:space="0" w:color="auto"/>
          </w:divBdr>
        </w:div>
      </w:divsChild>
    </w:div>
    <w:div w:id="640426537">
      <w:bodyDiv w:val="1"/>
      <w:marLeft w:val="0"/>
      <w:marRight w:val="0"/>
      <w:marTop w:val="0"/>
      <w:marBottom w:val="0"/>
      <w:divBdr>
        <w:top w:val="none" w:sz="0" w:space="0" w:color="auto"/>
        <w:left w:val="none" w:sz="0" w:space="0" w:color="auto"/>
        <w:bottom w:val="none" w:sz="0" w:space="0" w:color="auto"/>
        <w:right w:val="none" w:sz="0" w:space="0" w:color="auto"/>
      </w:divBdr>
    </w:div>
    <w:div w:id="686561240">
      <w:bodyDiv w:val="1"/>
      <w:marLeft w:val="0"/>
      <w:marRight w:val="0"/>
      <w:marTop w:val="0"/>
      <w:marBottom w:val="0"/>
      <w:divBdr>
        <w:top w:val="none" w:sz="0" w:space="0" w:color="auto"/>
        <w:left w:val="none" w:sz="0" w:space="0" w:color="auto"/>
        <w:bottom w:val="none" w:sz="0" w:space="0" w:color="auto"/>
        <w:right w:val="none" w:sz="0" w:space="0" w:color="auto"/>
      </w:divBdr>
    </w:div>
    <w:div w:id="808205705">
      <w:bodyDiv w:val="1"/>
      <w:marLeft w:val="0"/>
      <w:marRight w:val="0"/>
      <w:marTop w:val="0"/>
      <w:marBottom w:val="0"/>
      <w:divBdr>
        <w:top w:val="none" w:sz="0" w:space="0" w:color="auto"/>
        <w:left w:val="none" w:sz="0" w:space="0" w:color="auto"/>
        <w:bottom w:val="none" w:sz="0" w:space="0" w:color="auto"/>
        <w:right w:val="none" w:sz="0" w:space="0" w:color="auto"/>
      </w:divBdr>
      <w:divsChild>
        <w:div w:id="1631549936">
          <w:blockQuote w:val="1"/>
          <w:marLeft w:val="720"/>
          <w:marRight w:val="720"/>
          <w:marTop w:val="100"/>
          <w:marBottom w:val="100"/>
          <w:divBdr>
            <w:top w:val="none" w:sz="0" w:space="0" w:color="auto"/>
            <w:left w:val="none" w:sz="0" w:space="0" w:color="auto"/>
            <w:bottom w:val="none" w:sz="0" w:space="0" w:color="auto"/>
            <w:right w:val="none" w:sz="0" w:space="0" w:color="auto"/>
          </w:divBdr>
        </w:div>
        <w:div w:id="618224868">
          <w:marLeft w:val="0"/>
          <w:marRight w:val="0"/>
          <w:marTop w:val="0"/>
          <w:marBottom w:val="0"/>
          <w:divBdr>
            <w:top w:val="none" w:sz="0" w:space="0" w:color="auto"/>
            <w:left w:val="none" w:sz="0" w:space="0" w:color="auto"/>
            <w:bottom w:val="none" w:sz="0" w:space="0" w:color="auto"/>
            <w:right w:val="none" w:sz="0" w:space="0" w:color="auto"/>
          </w:divBdr>
          <w:divsChild>
            <w:div w:id="108025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20799">
      <w:bodyDiv w:val="1"/>
      <w:marLeft w:val="0"/>
      <w:marRight w:val="0"/>
      <w:marTop w:val="0"/>
      <w:marBottom w:val="0"/>
      <w:divBdr>
        <w:top w:val="none" w:sz="0" w:space="0" w:color="auto"/>
        <w:left w:val="none" w:sz="0" w:space="0" w:color="auto"/>
        <w:bottom w:val="none" w:sz="0" w:space="0" w:color="auto"/>
        <w:right w:val="none" w:sz="0" w:space="0" w:color="auto"/>
      </w:divBdr>
    </w:div>
    <w:div w:id="974456099">
      <w:bodyDiv w:val="1"/>
      <w:marLeft w:val="0"/>
      <w:marRight w:val="0"/>
      <w:marTop w:val="0"/>
      <w:marBottom w:val="0"/>
      <w:divBdr>
        <w:top w:val="none" w:sz="0" w:space="0" w:color="auto"/>
        <w:left w:val="none" w:sz="0" w:space="0" w:color="auto"/>
        <w:bottom w:val="none" w:sz="0" w:space="0" w:color="auto"/>
        <w:right w:val="none" w:sz="0" w:space="0" w:color="auto"/>
      </w:divBdr>
    </w:div>
    <w:div w:id="1022709392">
      <w:bodyDiv w:val="1"/>
      <w:marLeft w:val="0"/>
      <w:marRight w:val="0"/>
      <w:marTop w:val="0"/>
      <w:marBottom w:val="0"/>
      <w:divBdr>
        <w:top w:val="none" w:sz="0" w:space="0" w:color="auto"/>
        <w:left w:val="none" w:sz="0" w:space="0" w:color="auto"/>
        <w:bottom w:val="none" w:sz="0" w:space="0" w:color="auto"/>
        <w:right w:val="none" w:sz="0" w:space="0" w:color="auto"/>
      </w:divBdr>
    </w:div>
    <w:div w:id="1051032884">
      <w:bodyDiv w:val="1"/>
      <w:marLeft w:val="0"/>
      <w:marRight w:val="0"/>
      <w:marTop w:val="0"/>
      <w:marBottom w:val="0"/>
      <w:divBdr>
        <w:top w:val="none" w:sz="0" w:space="0" w:color="auto"/>
        <w:left w:val="none" w:sz="0" w:space="0" w:color="auto"/>
        <w:bottom w:val="none" w:sz="0" w:space="0" w:color="auto"/>
        <w:right w:val="none" w:sz="0" w:space="0" w:color="auto"/>
      </w:divBdr>
    </w:div>
    <w:div w:id="1067340677">
      <w:bodyDiv w:val="1"/>
      <w:marLeft w:val="0"/>
      <w:marRight w:val="0"/>
      <w:marTop w:val="0"/>
      <w:marBottom w:val="0"/>
      <w:divBdr>
        <w:top w:val="none" w:sz="0" w:space="0" w:color="auto"/>
        <w:left w:val="none" w:sz="0" w:space="0" w:color="auto"/>
        <w:bottom w:val="none" w:sz="0" w:space="0" w:color="auto"/>
        <w:right w:val="none" w:sz="0" w:space="0" w:color="auto"/>
      </w:divBdr>
    </w:div>
    <w:div w:id="1179395453">
      <w:bodyDiv w:val="1"/>
      <w:marLeft w:val="0"/>
      <w:marRight w:val="0"/>
      <w:marTop w:val="0"/>
      <w:marBottom w:val="0"/>
      <w:divBdr>
        <w:top w:val="none" w:sz="0" w:space="0" w:color="auto"/>
        <w:left w:val="none" w:sz="0" w:space="0" w:color="auto"/>
        <w:bottom w:val="none" w:sz="0" w:space="0" w:color="auto"/>
        <w:right w:val="none" w:sz="0" w:space="0" w:color="auto"/>
      </w:divBdr>
    </w:div>
    <w:div w:id="1246912031">
      <w:bodyDiv w:val="1"/>
      <w:marLeft w:val="0"/>
      <w:marRight w:val="0"/>
      <w:marTop w:val="0"/>
      <w:marBottom w:val="0"/>
      <w:divBdr>
        <w:top w:val="none" w:sz="0" w:space="0" w:color="auto"/>
        <w:left w:val="none" w:sz="0" w:space="0" w:color="auto"/>
        <w:bottom w:val="none" w:sz="0" w:space="0" w:color="auto"/>
        <w:right w:val="none" w:sz="0" w:space="0" w:color="auto"/>
      </w:divBdr>
    </w:div>
    <w:div w:id="1284965320">
      <w:bodyDiv w:val="1"/>
      <w:marLeft w:val="0"/>
      <w:marRight w:val="0"/>
      <w:marTop w:val="0"/>
      <w:marBottom w:val="0"/>
      <w:divBdr>
        <w:top w:val="none" w:sz="0" w:space="0" w:color="auto"/>
        <w:left w:val="none" w:sz="0" w:space="0" w:color="auto"/>
        <w:bottom w:val="none" w:sz="0" w:space="0" w:color="auto"/>
        <w:right w:val="none" w:sz="0" w:space="0" w:color="auto"/>
      </w:divBdr>
    </w:div>
    <w:div w:id="1366833743">
      <w:bodyDiv w:val="1"/>
      <w:marLeft w:val="0"/>
      <w:marRight w:val="0"/>
      <w:marTop w:val="0"/>
      <w:marBottom w:val="0"/>
      <w:divBdr>
        <w:top w:val="none" w:sz="0" w:space="0" w:color="auto"/>
        <w:left w:val="none" w:sz="0" w:space="0" w:color="auto"/>
        <w:bottom w:val="none" w:sz="0" w:space="0" w:color="auto"/>
        <w:right w:val="none" w:sz="0" w:space="0" w:color="auto"/>
      </w:divBdr>
    </w:div>
    <w:div w:id="1479879165">
      <w:bodyDiv w:val="1"/>
      <w:marLeft w:val="0"/>
      <w:marRight w:val="0"/>
      <w:marTop w:val="0"/>
      <w:marBottom w:val="0"/>
      <w:divBdr>
        <w:top w:val="none" w:sz="0" w:space="0" w:color="auto"/>
        <w:left w:val="none" w:sz="0" w:space="0" w:color="auto"/>
        <w:bottom w:val="none" w:sz="0" w:space="0" w:color="auto"/>
        <w:right w:val="none" w:sz="0" w:space="0" w:color="auto"/>
      </w:divBdr>
    </w:div>
    <w:div w:id="1517116520">
      <w:bodyDiv w:val="1"/>
      <w:marLeft w:val="0"/>
      <w:marRight w:val="0"/>
      <w:marTop w:val="0"/>
      <w:marBottom w:val="0"/>
      <w:divBdr>
        <w:top w:val="none" w:sz="0" w:space="0" w:color="auto"/>
        <w:left w:val="none" w:sz="0" w:space="0" w:color="auto"/>
        <w:bottom w:val="none" w:sz="0" w:space="0" w:color="auto"/>
        <w:right w:val="none" w:sz="0" w:space="0" w:color="auto"/>
      </w:divBdr>
    </w:div>
    <w:div w:id="1816993389">
      <w:bodyDiv w:val="1"/>
      <w:marLeft w:val="0"/>
      <w:marRight w:val="0"/>
      <w:marTop w:val="0"/>
      <w:marBottom w:val="0"/>
      <w:divBdr>
        <w:top w:val="none" w:sz="0" w:space="0" w:color="auto"/>
        <w:left w:val="none" w:sz="0" w:space="0" w:color="auto"/>
        <w:bottom w:val="none" w:sz="0" w:space="0" w:color="auto"/>
        <w:right w:val="none" w:sz="0" w:space="0" w:color="auto"/>
      </w:divBdr>
    </w:div>
    <w:div w:id="1848205411">
      <w:bodyDiv w:val="1"/>
      <w:marLeft w:val="0"/>
      <w:marRight w:val="0"/>
      <w:marTop w:val="0"/>
      <w:marBottom w:val="0"/>
      <w:divBdr>
        <w:top w:val="none" w:sz="0" w:space="0" w:color="auto"/>
        <w:left w:val="none" w:sz="0" w:space="0" w:color="auto"/>
        <w:bottom w:val="none" w:sz="0" w:space="0" w:color="auto"/>
        <w:right w:val="none" w:sz="0" w:space="0" w:color="auto"/>
      </w:divBdr>
    </w:div>
    <w:div w:id="1876505358">
      <w:bodyDiv w:val="1"/>
      <w:marLeft w:val="0"/>
      <w:marRight w:val="0"/>
      <w:marTop w:val="0"/>
      <w:marBottom w:val="0"/>
      <w:divBdr>
        <w:top w:val="none" w:sz="0" w:space="0" w:color="auto"/>
        <w:left w:val="none" w:sz="0" w:space="0" w:color="auto"/>
        <w:bottom w:val="none" w:sz="0" w:space="0" w:color="auto"/>
        <w:right w:val="none" w:sz="0" w:space="0" w:color="auto"/>
      </w:divBdr>
    </w:div>
    <w:div w:id="1887520849">
      <w:bodyDiv w:val="1"/>
      <w:marLeft w:val="0"/>
      <w:marRight w:val="0"/>
      <w:marTop w:val="0"/>
      <w:marBottom w:val="0"/>
      <w:divBdr>
        <w:top w:val="none" w:sz="0" w:space="0" w:color="auto"/>
        <w:left w:val="none" w:sz="0" w:space="0" w:color="auto"/>
        <w:bottom w:val="none" w:sz="0" w:space="0" w:color="auto"/>
        <w:right w:val="none" w:sz="0" w:space="0" w:color="auto"/>
      </w:divBdr>
    </w:div>
    <w:div w:id="2084524748">
      <w:bodyDiv w:val="1"/>
      <w:marLeft w:val="0"/>
      <w:marRight w:val="0"/>
      <w:marTop w:val="0"/>
      <w:marBottom w:val="0"/>
      <w:divBdr>
        <w:top w:val="none" w:sz="0" w:space="0" w:color="auto"/>
        <w:left w:val="none" w:sz="0" w:space="0" w:color="auto"/>
        <w:bottom w:val="none" w:sz="0" w:space="0" w:color="auto"/>
        <w:right w:val="none" w:sz="0" w:space="0" w:color="auto"/>
      </w:divBdr>
    </w:div>
    <w:div w:id="2142384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hyperlink" Target="https://finance.yahoo.com/quote/TM/history/" TargetMode="Externa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105919-D60F-49D3-84BD-6A8EB38B6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38</Pages>
  <Words>7443</Words>
  <Characters>42427</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salim</dc:creator>
  <cp:keywords/>
  <dc:description/>
  <cp:lastModifiedBy>muhammed salim</cp:lastModifiedBy>
  <cp:revision>2</cp:revision>
  <dcterms:created xsi:type="dcterms:W3CDTF">2026-04-24T08:19:00Z</dcterms:created>
  <dcterms:modified xsi:type="dcterms:W3CDTF">2026-04-24T08:19:00Z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8f95d928-b75c-43fa-b30d-2889a84e2f89</vt:lpwstr>
  </property>
</Properties>
</file>