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DF6430" w14:textId="77777777" w:rsidR="005B20AC" w:rsidRDefault="005B20AC" w:rsidP="001873C7">
      <w:pPr>
        <w:pStyle w:val="NoSpacing"/>
        <w:rPr>
          <w:rFonts w:ascii="Calibri" w:hAnsi="Calibri" w:cs="Calibri"/>
          <w:sz w:val="22"/>
          <w:szCs w:val="22"/>
        </w:rPr>
      </w:pPr>
    </w:p>
    <w:p w14:paraId="0EB52625" w14:textId="43891B0C" w:rsidR="001873C7" w:rsidRDefault="001873C7" w:rsidP="001873C7">
      <w:pPr>
        <w:pStyle w:val="NoSpacing"/>
        <w:rPr>
          <w:rFonts w:ascii="Calibri" w:hAnsi="Calibri" w:cs="Calibri"/>
          <w:sz w:val="22"/>
          <w:szCs w:val="22"/>
        </w:rPr>
      </w:pPr>
      <w:r>
        <w:rPr>
          <w:rFonts w:ascii="Calibri" w:hAnsi="Calibri" w:cs="Calibri"/>
          <w:sz w:val="22"/>
          <w:szCs w:val="22"/>
        </w:rPr>
        <w:t>AC 3.1</w:t>
      </w:r>
    </w:p>
    <w:p w14:paraId="57C95F77" w14:textId="77777777" w:rsidR="001873C7" w:rsidRDefault="001873C7" w:rsidP="001873C7">
      <w:pPr>
        <w:pStyle w:val="NoSpacing"/>
        <w:rPr>
          <w:rFonts w:ascii="Calibri" w:hAnsi="Calibri" w:cs="Calibri"/>
          <w:sz w:val="22"/>
          <w:szCs w:val="22"/>
        </w:rPr>
      </w:pPr>
    </w:p>
    <w:p w14:paraId="1BD45E0A" w14:textId="31748D1F" w:rsidR="0060254C" w:rsidRDefault="001D6F1F" w:rsidP="0060254C">
      <w:pPr>
        <w:pStyle w:val="NoSpacing"/>
        <w:rPr>
          <w:rFonts w:ascii="Calibri" w:eastAsia="Times New Roman" w:hAnsi="Calibri" w:cs="Calibri"/>
          <w:color w:val="111111"/>
          <w:kern w:val="0"/>
          <w:sz w:val="22"/>
          <w:szCs w:val="22"/>
          <w:lang w:eastAsia="en-GB"/>
          <w14:ligatures w14:val="none"/>
        </w:rPr>
      </w:pPr>
      <w:r>
        <w:rPr>
          <w:rFonts w:ascii="Calibri" w:hAnsi="Calibri" w:cs="Calibri"/>
          <w:sz w:val="22"/>
          <w:szCs w:val="22"/>
        </w:rPr>
        <w:t xml:space="preserve">Work-life balance is the balance between work and non-work responsibilities and experiences and ensuring that one does not negatively impact on the other. </w:t>
      </w:r>
      <w:r w:rsidR="0060254C">
        <w:rPr>
          <w:rFonts w:ascii="Calibri" w:hAnsi="Calibri" w:cs="Calibri"/>
          <w:sz w:val="22"/>
          <w:szCs w:val="22"/>
        </w:rPr>
        <w:t xml:space="preserve">Work-life balance </w:t>
      </w:r>
      <w:r w:rsidR="0060254C" w:rsidRPr="0060254C">
        <w:rPr>
          <w:rFonts w:ascii="Calibri" w:eastAsia="Times New Roman" w:hAnsi="Calibri" w:cs="Calibri"/>
          <w:color w:val="111111"/>
          <w:kern w:val="0"/>
          <w:sz w:val="22"/>
          <w:szCs w:val="22"/>
          <w:lang w:eastAsia="en-GB"/>
          <w14:ligatures w14:val="none"/>
        </w:rPr>
        <w:t>improves overall well-being, including physical, emotional, and mental health.</w:t>
      </w:r>
      <w:r w:rsidR="0060254C">
        <w:rPr>
          <w:rFonts w:ascii="Calibri" w:eastAsia="Times New Roman" w:hAnsi="Calibri" w:cs="Calibri"/>
          <w:color w:val="111111"/>
          <w:kern w:val="0"/>
          <w:sz w:val="22"/>
          <w:szCs w:val="22"/>
          <w:lang w:eastAsia="en-GB"/>
          <w14:ligatures w14:val="none"/>
        </w:rPr>
        <w:t xml:space="preserve"> </w:t>
      </w:r>
      <w:r w:rsidR="0060254C" w:rsidRPr="0060254C">
        <w:rPr>
          <w:rFonts w:ascii="Calibri" w:eastAsia="Times New Roman" w:hAnsi="Calibri" w:cs="Calibri"/>
          <w:color w:val="111111"/>
          <w:kern w:val="0"/>
          <w:sz w:val="22"/>
          <w:szCs w:val="22"/>
          <w:lang w:eastAsia="en-GB"/>
          <w14:ligatures w14:val="none"/>
        </w:rPr>
        <w:t>It prevents burnout caused by prolonged work stress.</w:t>
      </w:r>
      <w:r w:rsidR="0060254C">
        <w:rPr>
          <w:rFonts w:ascii="Calibri" w:eastAsia="Times New Roman" w:hAnsi="Calibri" w:cs="Calibri"/>
          <w:color w:val="111111"/>
          <w:kern w:val="0"/>
          <w:sz w:val="22"/>
          <w:szCs w:val="22"/>
          <w:lang w:eastAsia="en-GB"/>
          <w14:ligatures w14:val="none"/>
        </w:rPr>
        <w:t xml:space="preserve"> </w:t>
      </w:r>
      <w:r w:rsidR="0060254C" w:rsidRPr="0060254C">
        <w:rPr>
          <w:rFonts w:ascii="Calibri" w:eastAsia="Times New Roman" w:hAnsi="Calibri" w:cs="Calibri"/>
          <w:color w:val="111111"/>
          <w:kern w:val="0"/>
          <w:sz w:val="22"/>
          <w:szCs w:val="22"/>
          <w:lang w:eastAsia="en-GB"/>
          <w14:ligatures w14:val="none"/>
        </w:rPr>
        <w:t>It leads to increased productivity and engagement,</w:t>
      </w:r>
      <w:r w:rsidR="0060254C">
        <w:rPr>
          <w:rFonts w:ascii="Calibri" w:eastAsia="Times New Roman" w:hAnsi="Calibri" w:cs="Calibri"/>
          <w:color w:val="111111"/>
          <w:kern w:val="0"/>
          <w:sz w:val="22"/>
          <w:szCs w:val="22"/>
          <w:lang w:eastAsia="en-GB"/>
          <w14:ligatures w14:val="none"/>
        </w:rPr>
        <w:t xml:space="preserve"> and it can </w:t>
      </w:r>
      <w:r w:rsidR="0060254C" w:rsidRPr="0060254C">
        <w:rPr>
          <w:rFonts w:ascii="Calibri" w:eastAsia="Times New Roman" w:hAnsi="Calibri" w:cs="Calibri"/>
          <w:color w:val="111111"/>
          <w:kern w:val="0"/>
          <w:sz w:val="22"/>
          <w:szCs w:val="22"/>
          <w:lang w:eastAsia="en-GB"/>
          <w14:ligatures w14:val="none"/>
        </w:rPr>
        <w:t>reduce health problems and promotes mindfulness.</w:t>
      </w:r>
    </w:p>
    <w:p w14:paraId="684867A8" w14:textId="77777777" w:rsidR="008A5CEC" w:rsidRDefault="008A5CEC" w:rsidP="0060254C">
      <w:pPr>
        <w:pStyle w:val="NoSpacing"/>
        <w:rPr>
          <w:rFonts w:ascii="Calibri" w:eastAsia="Times New Roman" w:hAnsi="Calibri" w:cs="Calibri"/>
          <w:color w:val="111111"/>
          <w:kern w:val="0"/>
          <w:sz w:val="22"/>
          <w:szCs w:val="22"/>
          <w:lang w:eastAsia="en-GB"/>
          <w14:ligatures w14:val="none"/>
        </w:rPr>
      </w:pPr>
    </w:p>
    <w:p w14:paraId="4B4A83BC" w14:textId="624BF99A" w:rsidR="008A5CEC" w:rsidRDefault="008A5CEC" w:rsidP="0060254C">
      <w:pPr>
        <w:pStyle w:val="NoSpacing"/>
        <w:rPr>
          <w:rFonts w:ascii="Calibri" w:eastAsia="Times New Roman" w:hAnsi="Calibri" w:cs="Calibri"/>
          <w:color w:val="111111"/>
          <w:kern w:val="0"/>
          <w:sz w:val="22"/>
          <w:szCs w:val="22"/>
          <w:lang w:eastAsia="en-GB"/>
          <w14:ligatures w14:val="none"/>
        </w:rPr>
      </w:pPr>
      <w:r>
        <w:rPr>
          <w:rFonts w:ascii="Calibri" w:eastAsia="Times New Roman" w:hAnsi="Calibri" w:cs="Calibri"/>
          <w:color w:val="111111"/>
          <w:kern w:val="0"/>
          <w:sz w:val="22"/>
          <w:szCs w:val="22"/>
          <w:lang w:eastAsia="en-GB"/>
          <w14:ligatures w14:val="none"/>
        </w:rPr>
        <w:t>There are several pieces of legislation in effect which seek to regulate some aspects of work-life balance. The Working Time Regulations</w:t>
      </w:r>
      <w:r w:rsidR="00A62D98">
        <w:rPr>
          <w:rFonts w:ascii="Calibri" w:eastAsia="Times New Roman" w:hAnsi="Calibri" w:cs="Calibri"/>
          <w:color w:val="111111"/>
          <w:kern w:val="0"/>
          <w:sz w:val="22"/>
          <w:szCs w:val="22"/>
          <w:lang w:eastAsia="en-GB"/>
          <w14:ligatures w14:val="none"/>
        </w:rPr>
        <w:t xml:space="preserve"> 1998</w:t>
      </w:r>
      <w:r>
        <w:rPr>
          <w:rFonts w:ascii="Calibri" w:eastAsia="Times New Roman" w:hAnsi="Calibri" w:cs="Calibri"/>
          <w:color w:val="111111"/>
          <w:kern w:val="0"/>
          <w:sz w:val="22"/>
          <w:szCs w:val="22"/>
          <w:lang w:eastAsia="en-GB"/>
          <w14:ligatures w14:val="none"/>
        </w:rPr>
        <w:t xml:space="preserve"> </w:t>
      </w:r>
      <w:r w:rsidR="00F00962">
        <w:rPr>
          <w:rFonts w:ascii="Calibri" w:eastAsia="Times New Roman" w:hAnsi="Calibri" w:cs="Calibri"/>
          <w:color w:val="111111"/>
          <w:kern w:val="0"/>
          <w:sz w:val="22"/>
          <w:szCs w:val="22"/>
          <w:lang w:eastAsia="en-GB"/>
          <w14:ligatures w14:val="none"/>
        </w:rPr>
        <w:t>limit the</w:t>
      </w:r>
      <w:r>
        <w:rPr>
          <w:rFonts w:ascii="Calibri" w:eastAsia="Times New Roman" w:hAnsi="Calibri" w:cs="Calibri"/>
          <w:color w:val="111111"/>
          <w:kern w:val="0"/>
          <w:sz w:val="22"/>
          <w:szCs w:val="22"/>
          <w:lang w:eastAsia="en-GB"/>
          <w14:ligatures w14:val="none"/>
        </w:rPr>
        <w:t xml:space="preserve"> number of hours which can be worked on average per week. This is currently set at 48 hours per week on average over a 17 week period. There are exceptions for certain jobs within the legislation and workers in other roles may opt out of the 48 hour limit if they choose.</w:t>
      </w:r>
      <w:r w:rsidR="00A50290">
        <w:rPr>
          <w:rFonts w:ascii="Calibri" w:eastAsia="Times New Roman" w:hAnsi="Calibri" w:cs="Calibri"/>
          <w:color w:val="111111"/>
          <w:kern w:val="0"/>
          <w:sz w:val="22"/>
          <w:szCs w:val="22"/>
          <w:lang w:eastAsia="en-GB"/>
          <w14:ligatures w14:val="none"/>
        </w:rPr>
        <w:t xml:space="preserve"> </w:t>
      </w:r>
    </w:p>
    <w:p w14:paraId="6FBEF772" w14:textId="77777777" w:rsidR="00A50290" w:rsidRDefault="00A50290" w:rsidP="0060254C">
      <w:pPr>
        <w:pStyle w:val="NoSpacing"/>
        <w:rPr>
          <w:rFonts w:ascii="Calibri" w:eastAsia="Times New Roman" w:hAnsi="Calibri" w:cs="Calibri"/>
          <w:color w:val="111111"/>
          <w:kern w:val="0"/>
          <w:sz w:val="22"/>
          <w:szCs w:val="22"/>
          <w:lang w:eastAsia="en-GB"/>
          <w14:ligatures w14:val="none"/>
        </w:rPr>
      </w:pPr>
    </w:p>
    <w:p w14:paraId="6CE5C174" w14:textId="2FA71934" w:rsidR="00A50290" w:rsidRPr="0060254C" w:rsidRDefault="00A50290" w:rsidP="0060254C">
      <w:pPr>
        <w:pStyle w:val="NoSpacing"/>
        <w:rPr>
          <w:rFonts w:ascii="Roboto" w:eastAsia="Times New Roman" w:hAnsi="Roboto" w:cs="Times New Roman"/>
          <w:color w:val="111111"/>
          <w:kern w:val="0"/>
          <w:sz w:val="22"/>
          <w:szCs w:val="22"/>
          <w:lang w:eastAsia="en-GB"/>
          <w14:ligatures w14:val="none"/>
        </w:rPr>
      </w:pPr>
      <w:r>
        <w:rPr>
          <w:rFonts w:ascii="Calibri" w:eastAsia="Times New Roman" w:hAnsi="Calibri" w:cs="Calibri"/>
          <w:color w:val="111111"/>
          <w:kern w:val="0"/>
          <w:sz w:val="22"/>
          <w:szCs w:val="22"/>
          <w:lang w:eastAsia="en-GB"/>
          <w14:ligatures w14:val="none"/>
        </w:rPr>
        <w:t xml:space="preserve">The Employment Rights Act 1996, Maternity and Parental Leave etc Regulations 1999 and Equality Act 2010 provide employees with rights with respect to leave and other rights which provides protections for employees who are pregnant or who have new children who wish to prioritise their life balance and family needs at a potentially demanding and vulnerable time. The Paternity and Adoption Leave Regulations </w:t>
      </w:r>
      <w:r w:rsidR="00BF78F5">
        <w:rPr>
          <w:rFonts w:ascii="Calibri" w:eastAsia="Times New Roman" w:hAnsi="Calibri" w:cs="Calibri"/>
          <w:color w:val="111111"/>
          <w:kern w:val="0"/>
          <w:sz w:val="22"/>
          <w:szCs w:val="22"/>
          <w:lang w:eastAsia="en-GB"/>
          <w14:ligatures w14:val="none"/>
        </w:rPr>
        <w:t>2</w:t>
      </w:r>
      <w:r>
        <w:rPr>
          <w:rFonts w:ascii="Calibri" w:eastAsia="Times New Roman" w:hAnsi="Calibri" w:cs="Calibri"/>
          <w:color w:val="111111"/>
          <w:kern w:val="0"/>
          <w:sz w:val="22"/>
          <w:szCs w:val="22"/>
          <w:lang w:eastAsia="en-GB"/>
          <w14:ligatures w14:val="none"/>
        </w:rPr>
        <w:t>002 provide similar protections for new adoptive parents.</w:t>
      </w:r>
    </w:p>
    <w:p w14:paraId="5BD3D8F6" w14:textId="77777777" w:rsidR="0060254C" w:rsidRDefault="0060254C" w:rsidP="001873C7">
      <w:pPr>
        <w:pStyle w:val="NoSpacing"/>
        <w:rPr>
          <w:rFonts w:ascii="Calibri" w:hAnsi="Calibri" w:cs="Calibri"/>
          <w:sz w:val="22"/>
          <w:szCs w:val="22"/>
        </w:rPr>
      </w:pPr>
    </w:p>
    <w:p w14:paraId="67FF2FFA" w14:textId="38EEE9CF" w:rsidR="00A10FB4" w:rsidRDefault="00A10FB4" w:rsidP="001873C7">
      <w:pPr>
        <w:pStyle w:val="NoSpacing"/>
        <w:rPr>
          <w:rFonts w:ascii="Calibri" w:hAnsi="Calibri" w:cs="Calibri"/>
          <w:sz w:val="22"/>
          <w:szCs w:val="22"/>
        </w:rPr>
      </w:pPr>
      <w:r>
        <w:rPr>
          <w:rFonts w:ascii="Calibri" w:hAnsi="Calibri" w:cs="Calibri"/>
          <w:sz w:val="22"/>
          <w:szCs w:val="22"/>
        </w:rPr>
        <w:t>Under the Employment Rights Act 1996 employees have the right to request flexible working including working hours and shift pattens. An employer must accept the request unless there is a genuine business reason not to do so. An employee who is considering making a request for flexible working, has made such a request or raised an issue or legal challenge regarding a request for flexible working has protection from unfavourable treatment by an employer which is carried out as a result of exercising their rights. The right to request flexible working provides a statutory mechanism for employees and employers to find a solution, where possible, to re-balancing the work-life balance of an employee.</w:t>
      </w:r>
      <w:r w:rsidR="00617C7A">
        <w:rPr>
          <w:rFonts w:ascii="Calibri" w:hAnsi="Calibri" w:cs="Calibri"/>
          <w:sz w:val="22"/>
          <w:szCs w:val="22"/>
        </w:rPr>
        <w:t xml:space="preserve"> The Equality Act 2010 provides protections to employees with protected characteristics such as disabilities and to those who are carers which also apply to the right to request flexible working.</w:t>
      </w:r>
    </w:p>
    <w:p w14:paraId="52E5C8CD" w14:textId="77777777" w:rsidR="00A10FB4" w:rsidRDefault="00A10FB4" w:rsidP="001873C7">
      <w:pPr>
        <w:pStyle w:val="NoSpacing"/>
        <w:rPr>
          <w:rFonts w:ascii="Calibri" w:hAnsi="Calibri" w:cs="Calibri"/>
          <w:sz w:val="22"/>
          <w:szCs w:val="22"/>
        </w:rPr>
      </w:pPr>
    </w:p>
    <w:p w14:paraId="7669CF2A" w14:textId="77777777" w:rsidR="001873C7" w:rsidRDefault="001873C7" w:rsidP="001873C7">
      <w:pPr>
        <w:pStyle w:val="NoSpacing"/>
        <w:rPr>
          <w:rFonts w:ascii="Calibri" w:hAnsi="Calibri" w:cs="Calibri"/>
          <w:sz w:val="22"/>
          <w:szCs w:val="22"/>
        </w:rPr>
      </w:pPr>
    </w:p>
    <w:p w14:paraId="7DBDFF14" w14:textId="7A059D90" w:rsidR="001873C7" w:rsidRDefault="001873C7" w:rsidP="001873C7">
      <w:pPr>
        <w:pStyle w:val="NoSpacing"/>
        <w:rPr>
          <w:rFonts w:ascii="Calibri" w:hAnsi="Calibri" w:cs="Calibri"/>
          <w:sz w:val="22"/>
          <w:szCs w:val="22"/>
        </w:rPr>
      </w:pPr>
      <w:r>
        <w:rPr>
          <w:rFonts w:ascii="Calibri" w:hAnsi="Calibri" w:cs="Calibri"/>
          <w:sz w:val="22"/>
          <w:szCs w:val="22"/>
        </w:rPr>
        <w:t>AC 3.2</w:t>
      </w:r>
    </w:p>
    <w:p w14:paraId="571D9B8C" w14:textId="77777777" w:rsidR="001873C7" w:rsidRDefault="001873C7" w:rsidP="001873C7">
      <w:pPr>
        <w:pStyle w:val="NoSpacing"/>
        <w:rPr>
          <w:rFonts w:ascii="Calibri" w:hAnsi="Calibri" w:cs="Calibri"/>
          <w:sz w:val="22"/>
          <w:szCs w:val="22"/>
        </w:rPr>
      </w:pPr>
    </w:p>
    <w:p w14:paraId="574DD531" w14:textId="431A6898" w:rsidR="00C613D3" w:rsidRDefault="00C613D3" w:rsidP="001873C7">
      <w:pPr>
        <w:pStyle w:val="NoSpacing"/>
        <w:rPr>
          <w:rFonts w:ascii="Calibri" w:hAnsi="Calibri" w:cs="Calibri"/>
          <w:sz w:val="22"/>
          <w:szCs w:val="22"/>
        </w:rPr>
      </w:pPr>
      <w:r>
        <w:rPr>
          <w:rFonts w:ascii="Calibri" w:hAnsi="Calibri" w:cs="Calibri"/>
          <w:sz w:val="22"/>
          <w:szCs w:val="22"/>
        </w:rPr>
        <w:t>Wellbeing in the workplace is the promotion of physical health, mental health, a positive environment and a sense of contentment with the workforce. The promotion of wellbeing in the workplace is important as it has the potential to reduce absences caused by physical or mental ill-health, the potential for improved engagement and work output by employees, better morale, the potential for improved retention of employees</w:t>
      </w:r>
      <w:r w:rsidR="004143CC">
        <w:rPr>
          <w:rFonts w:ascii="Calibri" w:hAnsi="Calibri" w:cs="Calibri"/>
          <w:sz w:val="22"/>
          <w:szCs w:val="22"/>
        </w:rPr>
        <w:t xml:space="preserve">, increased performance at an organisational level </w:t>
      </w:r>
      <w:r>
        <w:rPr>
          <w:rFonts w:ascii="Calibri" w:hAnsi="Calibri" w:cs="Calibri"/>
          <w:sz w:val="22"/>
          <w:szCs w:val="22"/>
        </w:rPr>
        <w:t xml:space="preserve">and a potential improvement to organisational reputation and a competitive edge in recruitment. </w:t>
      </w:r>
    </w:p>
    <w:p w14:paraId="61C58523" w14:textId="77777777" w:rsidR="001873C7" w:rsidRDefault="001873C7" w:rsidP="001873C7">
      <w:pPr>
        <w:pStyle w:val="NoSpacing"/>
        <w:rPr>
          <w:rFonts w:ascii="Calibri" w:hAnsi="Calibri" w:cs="Calibri"/>
          <w:sz w:val="22"/>
          <w:szCs w:val="22"/>
        </w:rPr>
      </w:pPr>
    </w:p>
    <w:p w14:paraId="152CE4AD" w14:textId="77777777" w:rsidR="0012135A" w:rsidRDefault="0012135A" w:rsidP="001873C7">
      <w:pPr>
        <w:pStyle w:val="NoSpacing"/>
        <w:rPr>
          <w:rFonts w:ascii="Calibri" w:hAnsi="Calibri" w:cs="Calibri"/>
          <w:sz w:val="22"/>
          <w:szCs w:val="22"/>
        </w:rPr>
      </w:pPr>
    </w:p>
    <w:p w14:paraId="6FA8CB33" w14:textId="77777777" w:rsidR="005B20AC" w:rsidRDefault="005B20AC" w:rsidP="001873C7">
      <w:pPr>
        <w:pStyle w:val="NoSpacing"/>
        <w:rPr>
          <w:rFonts w:ascii="Calibri" w:hAnsi="Calibri" w:cs="Calibri"/>
          <w:sz w:val="22"/>
          <w:szCs w:val="22"/>
        </w:rPr>
      </w:pPr>
    </w:p>
    <w:p w14:paraId="4B6B53D0" w14:textId="77777777" w:rsidR="005B20AC" w:rsidRDefault="005B20AC" w:rsidP="001873C7">
      <w:pPr>
        <w:pStyle w:val="NoSpacing"/>
        <w:rPr>
          <w:rFonts w:ascii="Calibri" w:hAnsi="Calibri" w:cs="Calibri"/>
          <w:sz w:val="22"/>
          <w:szCs w:val="22"/>
        </w:rPr>
      </w:pPr>
    </w:p>
    <w:p w14:paraId="6174D355" w14:textId="77777777" w:rsidR="005B20AC" w:rsidRDefault="005B20AC" w:rsidP="001873C7">
      <w:pPr>
        <w:pStyle w:val="NoSpacing"/>
        <w:rPr>
          <w:rFonts w:ascii="Calibri" w:hAnsi="Calibri" w:cs="Calibri"/>
          <w:sz w:val="22"/>
          <w:szCs w:val="22"/>
        </w:rPr>
      </w:pPr>
    </w:p>
    <w:p w14:paraId="73EA6E79" w14:textId="77777777" w:rsidR="005B20AC" w:rsidRDefault="005B20AC" w:rsidP="001873C7">
      <w:pPr>
        <w:pStyle w:val="NoSpacing"/>
        <w:rPr>
          <w:rFonts w:ascii="Calibri" w:hAnsi="Calibri" w:cs="Calibri"/>
          <w:sz w:val="22"/>
          <w:szCs w:val="22"/>
        </w:rPr>
      </w:pPr>
    </w:p>
    <w:p w14:paraId="3DE560EF" w14:textId="77777777" w:rsidR="005B20AC" w:rsidRDefault="005B20AC" w:rsidP="001873C7">
      <w:pPr>
        <w:pStyle w:val="NoSpacing"/>
        <w:rPr>
          <w:rFonts w:ascii="Calibri" w:hAnsi="Calibri" w:cs="Calibri"/>
          <w:sz w:val="22"/>
          <w:szCs w:val="22"/>
        </w:rPr>
      </w:pPr>
    </w:p>
    <w:p w14:paraId="44C95BC9" w14:textId="77777777" w:rsidR="005B20AC" w:rsidRDefault="005B20AC" w:rsidP="001873C7">
      <w:pPr>
        <w:pStyle w:val="NoSpacing"/>
        <w:rPr>
          <w:rFonts w:ascii="Calibri" w:hAnsi="Calibri" w:cs="Calibri"/>
          <w:sz w:val="22"/>
          <w:szCs w:val="22"/>
        </w:rPr>
      </w:pPr>
    </w:p>
    <w:p w14:paraId="3C5EDD09" w14:textId="77777777" w:rsidR="005B20AC" w:rsidRDefault="005B20AC" w:rsidP="001873C7">
      <w:pPr>
        <w:pStyle w:val="NoSpacing"/>
        <w:rPr>
          <w:rFonts w:ascii="Calibri" w:hAnsi="Calibri" w:cs="Calibri"/>
          <w:sz w:val="22"/>
          <w:szCs w:val="22"/>
        </w:rPr>
      </w:pPr>
    </w:p>
    <w:p w14:paraId="7750E74B" w14:textId="77777777" w:rsidR="001873C7" w:rsidRDefault="001873C7" w:rsidP="001873C7">
      <w:pPr>
        <w:pStyle w:val="NoSpacing"/>
        <w:rPr>
          <w:rFonts w:ascii="Calibri" w:hAnsi="Calibri" w:cs="Calibri"/>
          <w:sz w:val="22"/>
          <w:szCs w:val="22"/>
        </w:rPr>
      </w:pPr>
    </w:p>
    <w:p w14:paraId="4A39417F" w14:textId="37DCC7CD" w:rsidR="001873C7" w:rsidRDefault="001873C7" w:rsidP="001873C7">
      <w:pPr>
        <w:pStyle w:val="NoSpacing"/>
        <w:rPr>
          <w:rFonts w:ascii="Calibri" w:hAnsi="Calibri" w:cs="Calibri"/>
          <w:sz w:val="22"/>
          <w:szCs w:val="22"/>
        </w:rPr>
      </w:pPr>
      <w:r>
        <w:rPr>
          <w:rFonts w:ascii="Calibri" w:hAnsi="Calibri" w:cs="Calibri"/>
          <w:sz w:val="22"/>
          <w:szCs w:val="22"/>
        </w:rPr>
        <w:lastRenderedPageBreak/>
        <w:t>AC 3.3</w:t>
      </w:r>
    </w:p>
    <w:p w14:paraId="44F901F3" w14:textId="77777777" w:rsidR="001873C7" w:rsidRDefault="001873C7" w:rsidP="001873C7">
      <w:pPr>
        <w:pStyle w:val="NoSpacing"/>
        <w:rPr>
          <w:rFonts w:ascii="Calibri" w:hAnsi="Calibri" w:cs="Calibri"/>
          <w:sz w:val="22"/>
          <w:szCs w:val="22"/>
        </w:rPr>
      </w:pPr>
    </w:p>
    <w:p w14:paraId="1D460A4B" w14:textId="2E168ED8" w:rsidR="0012135A" w:rsidRDefault="0012135A" w:rsidP="001873C7">
      <w:pPr>
        <w:pStyle w:val="NoSpacing"/>
        <w:rPr>
          <w:rFonts w:ascii="Calibri" w:hAnsi="Calibri" w:cs="Calibri"/>
          <w:sz w:val="22"/>
          <w:szCs w:val="22"/>
        </w:rPr>
      </w:pPr>
      <w:r>
        <w:rPr>
          <w:rFonts w:ascii="Calibri" w:hAnsi="Calibri" w:cs="Calibri"/>
          <w:sz w:val="22"/>
          <w:szCs w:val="22"/>
        </w:rPr>
        <w:t>There are several key pieces of legislation in force within the UK which seek to provide a legislative framework for the protection of employees against discrimination.</w:t>
      </w:r>
    </w:p>
    <w:p w14:paraId="76A13E0E" w14:textId="77777777" w:rsidR="0012135A" w:rsidRDefault="0012135A" w:rsidP="001873C7">
      <w:pPr>
        <w:pStyle w:val="NoSpacing"/>
        <w:rPr>
          <w:rFonts w:ascii="Calibri" w:hAnsi="Calibri" w:cs="Calibri"/>
          <w:sz w:val="22"/>
          <w:szCs w:val="22"/>
        </w:rPr>
      </w:pPr>
    </w:p>
    <w:p w14:paraId="342D763D" w14:textId="77777777" w:rsidR="0011218F" w:rsidRDefault="0012135A" w:rsidP="0011218F">
      <w:pPr>
        <w:pStyle w:val="NoSpacing"/>
        <w:rPr>
          <w:rFonts w:ascii="Calibri" w:hAnsi="Calibri" w:cs="Calibri"/>
          <w:sz w:val="22"/>
          <w:szCs w:val="22"/>
        </w:rPr>
      </w:pPr>
      <w:r>
        <w:rPr>
          <w:rFonts w:ascii="Calibri" w:hAnsi="Calibri" w:cs="Calibri"/>
          <w:sz w:val="22"/>
          <w:szCs w:val="22"/>
        </w:rPr>
        <w:t xml:space="preserve">One of the most important pieces of legislation for the protection against discrimination is the Equality Act 2010. </w:t>
      </w:r>
      <w:r w:rsidR="0011218F">
        <w:rPr>
          <w:rFonts w:ascii="Calibri" w:hAnsi="Calibri" w:cs="Calibri"/>
          <w:sz w:val="22"/>
          <w:szCs w:val="22"/>
        </w:rPr>
        <w:t xml:space="preserve">The Equality Act 2010 provides protection from discrimination for people with certain characteristics. These characteristics are known as ‘protected characteristics’ under the legislation and there are 9 such characteristics in the Equality Act 2010.The characteristics are age, disability, gender reassignment, marriage and civil partnership, pregnancy and maternity, race, religion, sex, sexual orientation. The Equality Act 2010 protects persons with a protected characteristic from direct discrimination, indirect discrimination, harassment and victimisation. </w:t>
      </w:r>
    </w:p>
    <w:p w14:paraId="3E500F4D" w14:textId="4F1DCF1C" w:rsidR="0011218F" w:rsidRDefault="0011218F" w:rsidP="001873C7">
      <w:pPr>
        <w:pStyle w:val="NoSpacing"/>
        <w:rPr>
          <w:rFonts w:ascii="Calibri" w:hAnsi="Calibri" w:cs="Calibri"/>
          <w:sz w:val="22"/>
          <w:szCs w:val="22"/>
        </w:rPr>
      </w:pPr>
    </w:p>
    <w:p w14:paraId="0C6323AF" w14:textId="464C33AB" w:rsidR="0011218F" w:rsidRDefault="0011218F" w:rsidP="001873C7">
      <w:pPr>
        <w:pStyle w:val="NoSpacing"/>
        <w:rPr>
          <w:rFonts w:ascii="Calibri" w:hAnsi="Calibri" w:cs="Calibri"/>
          <w:sz w:val="22"/>
          <w:szCs w:val="22"/>
        </w:rPr>
      </w:pPr>
      <w:r>
        <w:rPr>
          <w:rFonts w:ascii="Calibri" w:hAnsi="Calibri" w:cs="Calibri"/>
          <w:sz w:val="22"/>
          <w:szCs w:val="22"/>
        </w:rPr>
        <w:t xml:space="preserve">Direct discrimination would be a form of discrimination in which someone is treated unfairly because they have a protected characteristic.  Advertising a role which would only be open to a person of a specific gender, age requirements or </w:t>
      </w:r>
      <w:r w:rsidR="00EC5CA0">
        <w:rPr>
          <w:rFonts w:ascii="Calibri" w:hAnsi="Calibri" w:cs="Calibri"/>
          <w:sz w:val="22"/>
          <w:szCs w:val="22"/>
        </w:rPr>
        <w:t xml:space="preserve">that an applicant must </w:t>
      </w:r>
      <w:r>
        <w:rPr>
          <w:rFonts w:ascii="Calibri" w:hAnsi="Calibri" w:cs="Calibri"/>
          <w:sz w:val="22"/>
          <w:szCs w:val="22"/>
        </w:rPr>
        <w:t>not be married for example would be a case of direct discrimination.</w:t>
      </w:r>
      <w:r w:rsidR="00836464">
        <w:rPr>
          <w:rFonts w:ascii="Calibri" w:hAnsi="Calibri" w:cs="Calibri"/>
          <w:sz w:val="22"/>
          <w:szCs w:val="22"/>
        </w:rPr>
        <w:t xml:space="preserve"> There are some circumstances where direct discrimination can be justified as an occupational requirement, for example, requiring a specific gender in a heath or care setting or authenticity in theatrical and dramatic acting roles. </w:t>
      </w:r>
    </w:p>
    <w:p w14:paraId="08DA6D8A" w14:textId="77777777" w:rsidR="001C77D1" w:rsidRDefault="001C77D1" w:rsidP="001C77D1">
      <w:pPr>
        <w:pStyle w:val="NoSpacing"/>
        <w:rPr>
          <w:rFonts w:ascii="Calibri" w:hAnsi="Calibri" w:cs="Calibri"/>
          <w:sz w:val="22"/>
          <w:szCs w:val="22"/>
        </w:rPr>
      </w:pPr>
    </w:p>
    <w:p w14:paraId="03893FD6" w14:textId="17B3743F" w:rsidR="001C77D1" w:rsidRDefault="001C77D1" w:rsidP="001C77D1">
      <w:pPr>
        <w:pStyle w:val="NoSpacing"/>
        <w:rPr>
          <w:rFonts w:ascii="Calibri" w:hAnsi="Calibri" w:cs="Calibri"/>
          <w:sz w:val="22"/>
          <w:szCs w:val="22"/>
        </w:rPr>
      </w:pPr>
      <w:r>
        <w:rPr>
          <w:rFonts w:ascii="Calibri" w:hAnsi="Calibri" w:cs="Calibri"/>
          <w:sz w:val="22"/>
          <w:szCs w:val="22"/>
        </w:rPr>
        <w:t xml:space="preserve">The Equality Act 2010 also includes provisions for protecting persons who are directly discriminated against because of their association or perceived association with someone who does have a protected characteristic. For example, a person who is not given a promotion or job because they live with someone who has a disability and there is a perception that this may mean they need to take time off. </w:t>
      </w:r>
    </w:p>
    <w:p w14:paraId="2D355F35" w14:textId="77777777" w:rsidR="00836464" w:rsidRDefault="00836464" w:rsidP="001873C7">
      <w:pPr>
        <w:pStyle w:val="NoSpacing"/>
        <w:rPr>
          <w:rFonts w:ascii="Calibri" w:hAnsi="Calibri" w:cs="Calibri"/>
          <w:sz w:val="22"/>
          <w:szCs w:val="22"/>
        </w:rPr>
      </w:pPr>
    </w:p>
    <w:p w14:paraId="4B7226EE" w14:textId="70AACA14" w:rsidR="00836464" w:rsidRDefault="00836464" w:rsidP="001873C7">
      <w:pPr>
        <w:pStyle w:val="NoSpacing"/>
        <w:rPr>
          <w:rFonts w:ascii="Calibri" w:hAnsi="Calibri" w:cs="Calibri"/>
          <w:sz w:val="22"/>
          <w:szCs w:val="22"/>
        </w:rPr>
      </w:pPr>
      <w:r>
        <w:rPr>
          <w:rFonts w:ascii="Calibri" w:hAnsi="Calibri" w:cs="Calibri"/>
          <w:sz w:val="22"/>
          <w:szCs w:val="22"/>
        </w:rPr>
        <w:t xml:space="preserve">Indirect discrimination would be where a workplace policy, rule or other requirement has the appearance of being neutral and may have been intended to be so but in practice does in fact disadvantage someone with a protected characteristic. </w:t>
      </w:r>
      <w:r w:rsidR="00B61FB2">
        <w:rPr>
          <w:rFonts w:ascii="Calibri" w:hAnsi="Calibri" w:cs="Calibri"/>
          <w:sz w:val="22"/>
          <w:szCs w:val="22"/>
        </w:rPr>
        <w:t xml:space="preserve">For example a policy that all roles must be full time may disadvantage women as women are statistically more likely to have child caring responsibilities and may need a part time role to access the workplace around other responsibilities. </w:t>
      </w:r>
    </w:p>
    <w:p w14:paraId="697413A2" w14:textId="77777777" w:rsidR="00E5621B" w:rsidRDefault="00E5621B" w:rsidP="001873C7">
      <w:pPr>
        <w:pStyle w:val="NoSpacing"/>
        <w:rPr>
          <w:rFonts w:ascii="Calibri" w:hAnsi="Calibri" w:cs="Calibri"/>
          <w:sz w:val="22"/>
          <w:szCs w:val="22"/>
        </w:rPr>
      </w:pPr>
    </w:p>
    <w:p w14:paraId="260F3D28" w14:textId="5A7F4C8F" w:rsidR="00E5621B" w:rsidRDefault="00E5621B" w:rsidP="001873C7">
      <w:pPr>
        <w:pStyle w:val="NoSpacing"/>
        <w:rPr>
          <w:rFonts w:ascii="Calibri" w:hAnsi="Calibri" w:cs="Calibri"/>
          <w:sz w:val="22"/>
          <w:szCs w:val="22"/>
        </w:rPr>
      </w:pPr>
      <w:r>
        <w:rPr>
          <w:rFonts w:ascii="Calibri" w:hAnsi="Calibri" w:cs="Calibri"/>
          <w:sz w:val="22"/>
          <w:szCs w:val="22"/>
        </w:rPr>
        <w:t xml:space="preserve">Harassment involves unwanted behaviour such as bullying are inflicted upon someone because they have, or are perceived to have, a protected characteristic. </w:t>
      </w:r>
      <w:r w:rsidR="00CB08F2">
        <w:rPr>
          <w:rFonts w:ascii="Calibri" w:hAnsi="Calibri" w:cs="Calibri"/>
          <w:sz w:val="22"/>
          <w:szCs w:val="22"/>
        </w:rPr>
        <w:t>Harassment would also include inappropriate sexual comments or gestures towards a colleague because of their gender and offensive comments, banter and conversations.</w:t>
      </w:r>
    </w:p>
    <w:p w14:paraId="49BFE5B6" w14:textId="77777777" w:rsidR="0011218F" w:rsidRDefault="0011218F" w:rsidP="001873C7">
      <w:pPr>
        <w:pStyle w:val="NoSpacing"/>
        <w:rPr>
          <w:rFonts w:ascii="Calibri" w:hAnsi="Calibri" w:cs="Calibri"/>
          <w:sz w:val="22"/>
          <w:szCs w:val="22"/>
        </w:rPr>
      </w:pPr>
    </w:p>
    <w:p w14:paraId="0B084E26" w14:textId="798B0E55" w:rsidR="001873C7" w:rsidRDefault="00CB08F2" w:rsidP="001873C7">
      <w:pPr>
        <w:pStyle w:val="NoSpacing"/>
        <w:rPr>
          <w:rFonts w:ascii="Calibri" w:hAnsi="Calibri" w:cs="Calibri"/>
          <w:sz w:val="22"/>
          <w:szCs w:val="22"/>
        </w:rPr>
      </w:pPr>
      <w:r>
        <w:rPr>
          <w:rFonts w:ascii="Calibri" w:hAnsi="Calibri" w:cs="Calibri"/>
          <w:sz w:val="22"/>
          <w:szCs w:val="22"/>
        </w:rPr>
        <w:t>Victimisation is where someone with a protected characteristic is treated less favourably because they have exercised their rights under the Equality Act, intend to do so or because there is a belief that someone has exercised their rights or intends to do so.</w:t>
      </w:r>
    </w:p>
    <w:p w14:paraId="4B4CC8CB" w14:textId="77777777" w:rsidR="00CB08F2" w:rsidRDefault="00CB08F2" w:rsidP="001873C7">
      <w:pPr>
        <w:pStyle w:val="NoSpacing"/>
        <w:rPr>
          <w:rFonts w:ascii="Calibri" w:hAnsi="Calibri" w:cs="Calibri"/>
          <w:sz w:val="22"/>
          <w:szCs w:val="22"/>
        </w:rPr>
      </w:pPr>
    </w:p>
    <w:p w14:paraId="5ADDCD75" w14:textId="77777777" w:rsidR="005B20AC" w:rsidRDefault="005B20AC" w:rsidP="001873C7">
      <w:pPr>
        <w:pStyle w:val="NoSpacing"/>
        <w:rPr>
          <w:rFonts w:ascii="Calibri" w:hAnsi="Calibri" w:cs="Calibri"/>
          <w:sz w:val="22"/>
          <w:szCs w:val="22"/>
        </w:rPr>
      </w:pPr>
    </w:p>
    <w:p w14:paraId="068FC9B8" w14:textId="77777777" w:rsidR="005B20AC" w:rsidRDefault="005B20AC" w:rsidP="001873C7">
      <w:pPr>
        <w:pStyle w:val="NoSpacing"/>
        <w:rPr>
          <w:rFonts w:ascii="Calibri" w:hAnsi="Calibri" w:cs="Calibri"/>
          <w:sz w:val="22"/>
          <w:szCs w:val="22"/>
        </w:rPr>
      </w:pPr>
    </w:p>
    <w:p w14:paraId="2835F276" w14:textId="77777777" w:rsidR="001873C7" w:rsidRDefault="001873C7" w:rsidP="001873C7">
      <w:pPr>
        <w:pStyle w:val="NoSpacing"/>
        <w:rPr>
          <w:rFonts w:ascii="Calibri" w:hAnsi="Calibri" w:cs="Calibri"/>
          <w:sz w:val="22"/>
          <w:szCs w:val="22"/>
        </w:rPr>
      </w:pPr>
    </w:p>
    <w:p w14:paraId="6D94A80A" w14:textId="226AB6FD" w:rsidR="001873C7" w:rsidRDefault="001873C7" w:rsidP="001873C7">
      <w:pPr>
        <w:pStyle w:val="NoSpacing"/>
        <w:rPr>
          <w:rFonts w:ascii="Calibri" w:hAnsi="Calibri" w:cs="Calibri"/>
          <w:sz w:val="22"/>
          <w:szCs w:val="22"/>
        </w:rPr>
      </w:pPr>
      <w:r>
        <w:rPr>
          <w:rFonts w:ascii="Calibri" w:hAnsi="Calibri" w:cs="Calibri"/>
          <w:sz w:val="22"/>
          <w:szCs w:val="22"/>
        </w:rPr>
        <w:t>AC 3.4</w:t>
      </w:r>
    </w:p>
    <w:p w14:paraId="19BF81F2" w14:textId="77777777" w:rsidR="001873C7" w:rsidRDefault="001873C7" w:rsidP="001873C7">
      <w:pPr>
        <w:pStyle w:val="NoSpacing"/>
        <w:rPr>
          <w:rFonts w:ascii="Calibri" w:hAnsi="Calibri" w:cs="Calibri"/>
          <w:sz w:val="22"/>
          <w:szCs w:val="22"/>
        </w:rPr>
      </w:pPr>
    </w:p>
    <w:p w14:paraId="3E23E52D" w14:textId="77777777" w:rsidR="008A34E1" w:rsidRDefault="008A34E1" w:rsidP="001873C7">
      <w:pPr>
        <w:pStyle w:val="NoSpacing"/>
        <w:rPr>
          <w:rFonts w:ascii="Calibri" w:hAnsi="Calibri" w:cs="Calibri"/>
          <w:sz w:val="22"/>
          <w:szCs w:val="22"/>
        </w:rPr>
      </w:pPr>
      <w:r>
        <w:rPr>
          <w:rFonts w:ascii="Calibri" w:hAnsi="Calibri" w:cs="Calibri"/>
          <w:sz w:val="22"/>
          <w:szCs w:val="22"/>
        </w:rPr>
        <w:t xml:space="preserve">Diversity in the workplace is where there is a balance within the organisation of employees with different genders, sexual orientation, disabilities, ethnicities, religious, cultural backgrounds, educational backgrounds, skills and personality traits. Diversity has the potential to bring a more diverse set of skills, experiences, insights and knowledge than would otherwise be the case. This can potentially lead to benefits for the organisation in that the diversification of skills and ideas may help </w:t>
      </w:r>
      <w:r>
        <w:rPr>
          <w:rFonts w:ascii="Calibri" w:hAnsi="Calibri" w:cs="Calibri"/>
          <w:sz w:val="22"/>
          <w:szCs w:val="22"/>
        </w:rPr>
        <w:lastRenderedPageBreak/>
        <w:t>with innovation, being able to relate to and connect with a diverse range of potential clients and customers, being more attractive as a place to work, being more reflective of wider society and promoting a more harmonious workplace with increased wellbeing.</w:t>
      </w:r>
    </w:p>
    <w:p w14:paraId="7C4D4746" w14:textId="77777777" w:rsidR="008A34E1" w:rsidRDefault="008A34E1" w:rsidP="001873C7">
      <w:pPr>
        <w:pStyle w:val="NoSpacing"/>
        <w:rPr>
          <w:rFonts w:ascii="Calibri" w:hAnsi="Calibri" w:cs="Calibri"/>
          <w:sz w:val="22"/>
          <w:szCs w:val="22"/>
        </w:rPr>
      </w:pPr>
    </w:p>
    <w:p w14:paraId="1CF27D60" w14:textId="769F9671" w:rsidR="001873C7" w:rsidRDefault="008A34E1" w:rsidP="001873C7">
      <w:pPr>
        <w:pStyle w:val="NoSpacing"/>
        <w:rPr>
          <w:rFonts w:ascii="Calibri" w:hAnsi="Calibri" w:cs="Calibri"/>
          <w:sz w:val="22"/>
          <w:szCs w:val="22"/>
        </w:rPr>
      </w:pPr>
      <w:r>
        <w:rPr>
          <w:rFonts w:ascii="Calibri" w:hAnsi="Calibri" w:cs="Calibri"/>
          <w:sz w:val="22"/>
          <w:szCs w:val="22"/>
        </w:rPr>
        <w:t xml:space="preserve">Inclusivity is the practice of ensuring equal opportunity and accessibility </w:t>
      </w:r>
      <w:r w:rsidR="002C6F04">
        <w:rPr>
          <w:rFonts w:ascii="Calibri" w:hAnsi="Calibri" w:cs="Calibri"/>
          <w:sz w:val="22"/>
          <w:szCs w:val="22"/>
        </w:rPr>
        <w:t>within the workplace, particularly for employees with characteristics who may have been marginalised in the workplace historically. For example, training or recruitment practices for persons who are neurodivergent may need to be adapted to ensure that the person has the same opportunities to access and get the most from training and recruitment opportunities as neurotypical individuals.</w:t>
      </w:r>
      <w:r w:rsidR="00A03308">
        <w:rPr>
          <w:rFonts w:ascii="Calibri" w:hAnsi="Calibri" w:cs="Calibri"/>
          <w:sz w:val="22"/>
          <w:szCs w:val="22"/>
        </w:rPr>
        <w:t xml:space="preserve"> Inclusivity is about ensuring that not only does the workforce appear diverse but that all employees and potential employees are included in the workplace and given equal access to make a contribution and fulfil their potential at work.</w:t>
      </w:r>
      <w:r>
        <w:rPr>
          <w:rFonts w:ascii="Calibri" w:hAnsi="Calibri" w:cs="Calibri"/>
          <w:sz w:val="22"/>
          <w:szCs w:val="22"/>
        </w:rPr>
        <w:t xml:space="preserve"> </w:t>
      </w:r>
    </w:p>
    <w:p w14:paraId="7FBC9084" w14:textId="77777777" w:rsidR="001873C7" w:rsidRDefault="001873C7" w:rsidP="001873C7">
      <w:pPr>
        <w:pStyle w:val="NoSpacing"/>
        <w:rPr>
          <w:rFonts w:ascii="Calibri" w:hAnsi="Calibri" w:cs="Calibri"/>
          <w:sz w:val="22"/>
          <w:szCs w:val="22"/>
        </w:rPr>
      </w:pPr>
    </w:p>
    <w:p w14:paraId="43539BF0" w14:textId="77777777" w:rsidR="001873C7" w:rsidRDefault="001873C7" w:rsidP="001873C7">
      <w:pPr>
        <w:pStyle w:val="NoSpacing"/>
        <w:rPr>
          <w:rFonts w:ascii="Calibri" w:hAnsi="Calibri" w:cs="Calibri"/>
          <w:sz w:val="22"/>
          <w:szCs w:val="22"/>
        </w:rPr>
      </w:pPr>
    </w:p>
    <w:p w14:paraId="1DC91CB8" w14:textId="53CEC1ED" w:rsidR="001873C7" w:rsidRDefault="001873C7" w:rsidP="001873C7">
      <w:pPr>
        <w:pStyle w:val="NoSpacing"/>
        <w:rPr>
          <w:rFonts w:ascii="Calibri" w:hAnsi="Calibri" w:cs="Calibri"/>
          <w:sz w:val="22"/>
          <w:szCs w:val="22"/>
        </w:rPr>
      </w:pPr>
      <w:r>
        <w:rPr>
          <w:rFonts w:ascii="Calibri" w:hAnsi="Calibri" w:cs="Calibri"/>
          <w:sz w:val="22"/>
          <w:szCs w:val="22"/>
        </w:rPr>
        <w:t>AC 3.5</w:t>
      </w:r>
    </w:p>
    <w:p w14:paraId="0C3013F8" w14:textId="77777777" w:rsidR="00CB17CE" w:rsidRDefault="00CB17CE" w:rsidP="001873C7">
      <w:pPr>
        <w:pStyle w:val="NoSpacing"/>
        <w:rPr>
          <w:rFonts w:ascii="Calibri" w:hAnsi="Calibri" w:cs="Calibri"/>
          <w:sz w:val="22"/>
          <w:szCs w:val="22"/>
        </w:rPr>
      </w:pPr>
    </w:p>
    <w:p w14:paraId="201EA35A" w14:textId="229032CF" w:rsidR="00CB17CE" w:rsidRDefault="00C62794" w:rsidP="001873C7">
      <w:pPr>
        <w:pStyle w:val="NoSpacing"/>
        <w:rPr>
          <w:rFonts w:ascii="Calibri" w:hAnsi="Calibri" w:cs="Calibri"/>
          <w:sz w:val="22"/>
          <w:szCs w:val="22"/>
        </w:rPr>
      </w:pPr>
      <w:r>
        <w:rPr>
          <w:rFonts w:ascii="Calibri" w:hAnsi="Calibri" w:cs="Calibri"/>
          <w:sz w:val="22"/>
          <w:szCs w:val="22"/>
        </w:rPr>
        <w:t>Dismissal is the term for the ending of a contract of employment by the employer. The law provides that in some situations a dismissal may be unfair. Examples of unfair dismissal would be where an employee is dismissed for exercising statutory rights such as taking maternity, paternity or adoption leave, being a member of a trade union, asking to be paid the minimum wage</w:t>
      </w:r>
      <w:r w:rsidR="00F61119">
        <w:rPr>
          <w:rFonts w:ascii="Calibri" w:hAnsi="Calibri" w:cs="Calibri"/>
          <w:sz w:val="22"/>
          <w:szCs w:val="22"/>
        </w:rPr>
        <w:t>, whistleblowing or raising concerns regarding a health and safety issue.</w:t>
      </w:r>
    </w:p>
    <w:p w14:paraId="34D9DD0B" w14:textId="77777777" w:rsidR="00CD5600" w:rsidRDefault="00CD5600" w:rsidP="001873C7">
      <w:pPr>
        <w:pStyle w:val="NoSpacing"/>
        <w:rPr>
          <w:rFonts w:ascii="Calibri" w:hAnsi="Calibri" w:cs="Calibri"/>
          <w:sz w:val="22"/>
          <w:szCs w:val="22"/>
        </w:rPr>
      </w:pPr>
    </w:p>
    <w:p w14:paraId="50C7884F" w14:textId="4D0B0C69" w:rsidR="00CD5600" w:rsidRDefault="00CD5600" w:rsidP="001873C7">
      <w:pPr>
        <w:pStyle w:val="NoSpacing"/>
        <w:rPr>
          <w:rFonts w:ascii="Calibri" w:hAnsi="Calibri" w:cs="Calibri"/>
          <w:sz w:val="22"/>
          <w:szCs w:val="22"/>
        </w:rPr>
      </w:pPr>
      <w:r>
        <w:rPr>
          <w:rFonts w:ascii="Calibri" w:hAnsi="Calibri" w:cs="Calibri"/>
          <w:sz w:val="22"/>
          <w:szCs w:val="22"/>
        </w:rPr>
        <w:t>Constructive Dismissal refers to situations where the employer does not directly end the contract but does something which is series enough to cause the employee to end the contract themselves.</w:t>
      </w:r>
      <w:r w:rsidR="00106CFA">
        <w:rPr>
          <w:rFonts w:ascii="Calibri" w:hAnsi="Calibri" w:cs="Calibri"/>
          <w:sz w:val="22"/>
          <w:szCs w:val="22"/>
        </w:rPr>
        <w:t xml:space="preserve"> This can involve being treated less favourably in terms of pay, promotion, bullying, harassment or not looking into a grievance or protecting the employee from harassment and bullying by their colleagues.</w:t>
      </w:r>
    </w:p>
    <w:p w14:paraId="4EB0A5E5" w14:textId="77777777" w:rsidR="00106CFA" w:rsidRDefault="00106CFA" w:rsidP="001873C7">
      <w:pPr>
        <w:pStyle w:val="NoSpacing"/>
        <w:rPr>
          <w:rFonts w:ascii="Calibri" w:hAnsi="Calibri" w:cs="Calibri"/>
          <w:sz w:val="22"/>
          <w:szCs w:val="22"/>
        </w:rPr>
      </w:pPr>
    </w:p>
    <w:p w14:paraId="4BBE71ED" w14:textId="02987039" w:rsidR="00106CFA" w:rsidRDefault="00E87403" w:rsidP="001873C7">
      <w:pPr>
        <w:pStyle w:val="NoSpacing"/>
        <w:rPr>
          <w:rFonts w:ascii="Calibri" w:hAnsi="Calibri" w:cs="Calibri"/>
          <w:sz w:val="22"/>
          <w:szCs w:val="22"/>
        </w:rPr>
      </w:pPr>
      <w:r>
        <w:rPr>
          <w:rFonts w:ascii="Calibri" w:hAnsi="Calibri" w:cs="Calibri"/>
          <w:sz w:val="22"/>
          <w:szCs w:val="22"/>
        </w:rPr>
        <w:t>Fair dismissal would be where the employer ends the contract of employment on the grounds of the employee’s qualifications, conduct, redundancy or where existing law or new legislation means the contract cannot continue due to restrictions or a ban which would impact on the contract.</w:t>
      </w:r>
    </w:p>
    <w:p w14:paraId="3FAC983D" w14:textId="77777777" w:rsidR="00E87403" w:rsidRDefault="00E87403" w:rsidP="001873C7">
      <w:pPr>
        <w:pStyle w:val="NoSpacing"/>
        <w:rPr>
          <w:rFonts w:ascii="Calibri" w:hAnsi="Calibri" w:cs="Calibri"/>
          <w:sz w:val="22"/>
          <w:szCs w:val="22"/>
        </w:rPr>
      </w:pPr>
    </w:p>
    <w:p w14:paraId="05FB4C63" w14:textId="4549CA7F" w:rsidR="00E87403" w:rsidRDefault="00E87403" w:rsidP="001873C7">
      <w:pPr>
        <w:pStyle w:val="NoSpacing"/>
        <w:rPr>
          <w:rFonts w:ascii="Calibri" w:hAnsi="Calibri" w:cs="Calibri"/>
          <w:sz w:val="22"/>
          <w:szCs w:val="22"/>
        </w:rPr>
      </w:pPr>
      <w:r>
        <w:rPr>
          <w:rFonts w:ascii="Calibri" w:hAnsi="Calibri" w:cs="Calibri"/>
          <w:sz w:val="22"/>
          <w:szCs w:val="22"/>
        </w:rPr>
        <w:t>Unfair dismissal involves the application of a two stage test by an Employment Tribunal. The first stage of the test is whether there is a fair reason for the dismissal. The second part of the test is if there is a fair reason, was the dismissal itself dealt with fairly. Therefore, even a dismissal with a fair reason can be considered an unfair dismissal if the dismissal process is not managed fairly. This is why it is vitally important for HR professionals to ensure that investigative, disciplinary and dismissal processes are all followed correctly and are properly documented at each stage to reduce the risk of potential claims for unfair dismissal.</w:t>
      </w:r>
    </w:p>
    <w:p w14:paraId="4B3B47B9" w14:textId="77777777" w:rsidR="00CB17CE" w:rsidRDefault="00CB17CE" w:rsidP="001873C7">
      <w:pPr>
        <w:pStyle w:val="NoSpacing"/>
        <w:rPr>
          <w:rFonts w:ascii="Calibri" w:hAnsi="Calibri" w:cs="Calibri"/>
          <w:sz w:val="22"/>
          <w:szCs w:val="22"/>
        </w:rPr>
      </w:pPr>
    </w:p>
    <w:p w14:paraId="4DFDF3BC" w14:textId="77777777" w:rsidR="00CB17CE" w:rsidRDefault="00CB17CE" w:rsidP="001873C7">
      <w:pPr>
        <w:pStyle w:val="NoSpacing"/>
        <w:rPr>
          <w:rFonts w:ascii="Calibri" w:hAnsi="Calibri" w:cs="Calibri"/>
          <w:sz w:val="22"/>
          <w:szCs w:val="22"/>
        </w:rPr>
      </w:pPr>
    </w:p>
    <w:p w14:paraId="1842EB63" w14:textId="77777777" w:rsidR="00CB17CE" w:rsidRDefault="00CB17CE" w:rsidP="001873C7">
      <w:pPr>
        <w:pStyle w:val="NoSpacing"/>
        <w:rPr>
          <w:rFonts w:ascii="Calibri" w:hAnsi="Calibri" w:cs="Calibri"/>
          <w:sz w:val="22"/>
          <w:szCs w:val="22"/>
        </w:rPr>
      </w:pPr>
    </w:p>
    <w:p w14:paraId="53DFC453" w14:textId="77777777" w:rsidR="00CB17CE" w:rsidRDefault="00CB17CE" w:rsidP="001873C7">
      <w:pPr>
        <w:pStyle w:val="NoSpacing"/>
        <w:rPr>
          <w:rFonts w:ascii="Calibri" w:hAnsi="Calibri" w:cs="Calibri"/>
          <w:sz w:val="22"/>
          <w:szCs w:val="22"/>
        </w:rPr>
      </w:pPr>
    </w:p>
    <w:p w14:paraId="008BB4B5" w14:textId="77777777" w:rsidR="00CB17CE" w:rsidRDefault="00CB17CE" w:rsidP="001873C7">
      <w:pPr>
        <w:pStyle w:val="NoSpacing"/>
        <w:rPr>
          <w:rFonts w:ascii="Calibri" w:hAnsi="Calibri" w:cs="Calibri"/>
          <w:sz w:val="22"/>
          <w:szCs w:val="22"/>
        </w:rPr>
      </w:pPr>
    </w:p>
    <w:p w14:paraId="5220BD5E" w14:textId="0906CF44" w:rsidR="00CB17CE" w:rsidRDefault="00CB17CE" w:rsidP="001873C7">
      <w:pPr>
        <w:pStyle w:val="NoSpacing"/>
        <w:rPr>
          <w:rFonts w:ascii="Calibri" w:hAnsi="Calibri" w:cs="Calibri"/>
          <w:sz w:val="22"/>
          <w:szCs w:val="22"/>
        </w:rPr>
      </w:pPr>
      <w:r>
        <w:rPr>
          <w:rFonts w:ascii="Calibri" w:hAnsi="Calibri" w:cs="Calibri"/>
          <w:sz w:val="22"/>
          <w:szCs w:val="22"/>
        </w:rPr>
        <w:t>References</w:t>
      </w:r>
    </w:p>
    <w:p w14:paraId="600600A9" w14:textId="77777777" w:rsidR="00CB17CE" w:rsidRDefault="00CB17CE" w:rsidP="001873C7">
      <w:pPr>
        <w:pStyle w:val="NoSpacing"/>
        <w:rPr>
          <w:rFonts w:ascii="Calibri" w:hAnsi="Calibri" w:cs="Calibri"/>
          <w:sz w:val="22"/>
          <w:szCs w:val="22"/>
        </w:rPr>
      </w:pPr>
    </w:p>
    <w:p w14:paraId="76B6D8B0" w14:textId="55E6BE51" w:rsidR="00CB17CE" w:rsidRDefault="00CB17CE" w:rsidP="001873C7">
      <w:pPr>
        <w:pStyle w:val="NoSpacing"/>
        <w:rPr>
          <w:rFonts w:ascii="Calibri" w:hAnsi="Calibri" w:cs="Calibri"/>
          <w:sz w:val="22"/>
          <w:szCs w:val="22"/>
        </w:rPr>
      </w:pPr>
      <w:r>
        <w:rPr>
          <w:rFonts w:ascii="Calibri" w:hAnsi="Calibri" w:cs="Calibri"/>
          <w:sz w:val="22"/>
          <w:szCs w:val="22"/>
        </w:rPr>
        <w:t>A3.1</w:t>
      </w:r>
    </w:p>
    <w:p w14:paraId="39ED3990" w14:textId="3EA599C2" w:rsidR="00CB17CE" w:rsidRDefault="00F20F0F" w:rsidP="00C61563">
      <w:pPr>
        <w:pStyle w:val="NoSpacing"/>
        <w:rPr>
          <w:rFonts w:ascii="Calibri" w:hAnsi="Calibri" w:cs="Calibri"/>
          <w:sz w:val="22"/>
          <w:szCs w:val="22"/>
        </w:rPr>
      </w:pPr>
      <w:r>
        <w:rPr>
          <w:rFonts w:ascii="Calibri" w:hAnsi="Calibri" w:cs="Calibri"/>
          <w:sz w:val="22"/>
          <w:szCs w:val="22"/>
        </w:rPr>
        <w:t xml:space="preserve">Black, A. and Black, C. (2009) </w:t>
      </w:r>
      <w:r w:rsidR="00C61563" w:rsidRPr="00F20F0F">
        <w:rPr>
          <w:rFonts w:ascii="Calibri" w:hAnsi="Calibri" w:cs="Calibri"/>
          <w:i/>
          <w:iCs/>
          <w:sz w:val="22"/>
          <w:szCs w:val="22"/>
        </w:rPr>
        <w:t>Balance your life and work : how to get the best from your job and still have a life.</w:t>
      </w:r>
      <w:r>
        <w:rPr>
          <w:rFonts w:ascii="Calibri" w:hAnsi="Calibri" w:cs="Calibri"/>
          <w:sz w:val="22"/>
          <w:szCs w:val="22"/>
        </w:rPr>
        <w:t xml:space="preserve"> </w:t>
      </w:r>
      <w:r w:rsidR="00C61563" w:rsidRPr="00C61563">
        <w:rPr>
          <w:rFonts w:ascii="Calibri" w:hAnsi="Calibri" w:cs="Calibri"/>
          <w:sz w:val="22"/>
          <w:szCs w:val="22"/>
        </w:rPr>
        <w:t>Bloomsbury Business Library</w:t>
      </w:r>
      <w:r>
        <w:rPr>
          <w:rFonts w:ascii="Calibri" w:hAnsi="Calibri" w:cs="Calibri"/>
          <w:sz w:val="22"/>
          <w:szCs w:val="22"/>
        </w:rPr>
        <w:t>.</w:t>
      </w:r>
    </w:p>
    <w:p w14:paraId="73F12BAE" w14:textId="77777777" w:rsidR="0020496C" w:rsidRDefault="0020496C" w:rsidP="0020496C">
      <w:pPr>
        <w:pStyle w:val="NoSpacing"/>
        <w:rPr>
          <w:rFonts w:ascii="Calibri" w:hAnsi="Calibri" w:cs="Calibri"/>
          <w:sz w:val="22"/>
          <w:szCs w:val="22"/>
        </w:rPr>
      </w:pPr>
    </w:p>
    <w:p w14:paraId="47DD9A0F" w14:textId="77777777" w:rsidR="00F20F0F" w:rsidRDefault="00F20F0F" w:rsidP="0020496C">
      <w:pPr>
        <w:pStyle w:val="NoSpacing"/>
        <w:rPr>
          <w:rFonts w:ascii="Calibri" w:hAnsi="Calibri" w:cs="Calibri"/>
          <w:sz w:val="22"/>
          <w:szCs w:val="22"/>
        </w:rPr>
      </w:pPr>
    </w:p>
    <w:p w14:paraId="69986CA7" w14:textId="00CFD79C" w:rsidR="00CB17CE" w:rsidRDefault="00CB17CE" w:rsidP="001873C7">
      <w:pPr>
        <w:pStyle w:val="NoSpacing"/>
        <w:rPr>
          <w:rFonts w:ascii="Calibri" w:hAnsi="Calibri" w:cs="Calibri"/>
          <w:sz w:val="22"/>
          <w:szCs w:val="22"/>
        </w:rPr>
      </w:pPr>
      <w:r>
        <w:rPr>
          <w:rFonts w:ascii="Calibri" w:hAnsi="Calibri" w:cs="Calibri"/>
          <w:sz w:val="22"/>
          <w:szCs w:val="22"/>
        </w:rPr>
        <w:lastRenderedPageBreak/>
        <w:t xml:space="preserve">A3.2 </w:t>
      </w:r>
    </w:p>
    <w:p w14:paraId="35269E4A" w14:textId="265F895D" w:rsidR="005C5AE2" w:rsidRPr="005C5AE2" w:rsidRDefault="005C5AE2" w:rsidP="001873C7">
      <w:pPr>
        <w:pStyle w:val="NoSpacing"/>
        <w:rPr>
          <w:rFonts w:ascii="Calibri" w:hAnsi="Calibri" w:cs="Calibri"/>
          <w:sz w:val="22"/>
          <w:szCs w:val="22"/>
        </w:rPr>
      </w:pPr>
      <w:r>
        <w:rPr>
          <w:rFonts w:ascii="Calibri" w:hAnsi="Calibri" w:cs="Calibri"/>
          <w:sz w:val="22"/>
          <w:szCs w:val="22"/>
        </w:rPr>
        <w:t xml:space="preserve">Gallup </w:t>
      </w:r>
      <w:r>
        <w:rPr>
          <w:rFonts w:ascii="Calibri" w:hAnsi="Calibri" w:cs="Calibri"/>
          <w:i/>
          <w:iCs/>
          <w:sz w:val="22"/>
          <w:szCs w:val="22"/>
        </w:rPr>
        <w:t>What is Employee Wellbeing? And Why does it Matter?</w:t>
      </w:r>
      <w:r>
        <w:rPr>
          <w:rFonts w:ascii="Calibri" w:hAnsi="Calibri" w:cs="Calibri"/>
          <w:sz w:val="22"/>
          <w:szCs w:val="22"/>
        </w:rPr>
        <w:t>. Available at:</w:t>
      </w:r>
    </w:p>
    <w:p w14:paraId="4C129A84" w14:textId="0CE6E943" w:rsidR="008B1312" w:rsidRPr="005C5AE2" w:rsidRDefault="00000000" w:rsidP="008B1312">
      <w:pPr>
        <w:pStyle w:val="NoSpacing"/>
        <w:rPr>
          <w:rFonts w:ascii="Calibri" w:hAnsi="Calibri" w:cs="Calibri"/>
          <w:color w:val="000000" w:themeColor="text1"/>
          <w:sz w:val="22"/>
          <w:szCs w:val="22"/>
        </w:rPr>
      </w:pPr>
      <w:hyperlink r:id="rId7" w:history="1">
        <w:r w:rsidR="008B1312" w:rsidRPr="002246E9">
          <w:rPr>
            <w:rStyle w:val="Hyperlink"/>
            <w:rFonts w:ascii="Calibri" w:hAnsi="Calibri" w:cs="Calibri"/>
            <w:sz w:val="22"/>
            <w:szCs w:val="22"/>
          </w:rPr>
          <w:t>https://www.gallup.com/workplace/404105/importance-of-employee-wellbeing.aspx.aspx</w:t>
        </w:r>
      </w:hyperlink>
      <w:r w:rsidR="005C5AE2">
        <w:rPr>
          <w:rStyle w:val="Hyperlink"/>
          <w:rFonts w:ascii="Calibri" w:hAnsi="Calibri" w:cs="Calibri"/>
          <w:sz w:val="22"/>
          <w:szCs w:val="22"/>
        </w:rPr>
        <w:t xml:space="preserve"> </w:t>
      </w:r>
      <w:r w:rsidR="005C5AE2">
        <w:rPr>
          <w:rStyle w:val="Hyperlink"/>
          <w:rFonts w:ascii="Calibri" w:hAnsi="Calibri" w:cs="Calibri"/>
          <w:color w:val="000000" w:themeColor="text1"/>
          <w:sz w:val="22"/>
          <w:szCs w:val="22"/>
          <w:u w:val="none"/>
        </w:rPr>
        <w:t>(Accessed: 6 July 2024).</w:t>
      </w:r>
    </w:p>
    <w:p w14:paraId="00BE92AC" w14:textId="77777777" w:rsidR="008B1312" w:rsidRDefault="008B1312" w:rsidP="008B1312">
      <w:pPr>
        <w:pStyle w:val="NoSpacing"/>
        <w:rPr>
          <w:rFonts w:ascii="Calibri" w:hAnsi="Calibri" w:cs="Calibri"/>
          <w:sz w:val="22"/>
          <w:szCs w:val="22"/>
        </w:rPr>
      </w:pPr>
    </w:p>
    <w:p w14:paraId="2A0D865C" w14:textId="492C7D2E" w:rsidR="008B1312" w:rsidRPr="005C5AE2" w:rsidRDefault="005C5AE2" w:rsidP="008B1312">
      <w:pPr>
        <w:pStyle w:val="NoSpacing"/>
        <w:rPr>
          <w:rFonts w:ascii="Calibri" w:hAnsi="Calibri" w:cs="Calibri"/>
          <w:sz w:val="22"/>
          <w:szCs w:val="22"/>
        </w:rPr>
      </w:pPr>
      <w:r>
        <w:rPr>
          <w:rFonts w:ascii="Calibri" w:hAnsi="Calibri" w:cs="Calibri"/>
          <w:sz w:val="22"/>
          <w:szCs w:val="22"/>
        </w:rPr>
        <w:t xml:space="preserve">Hesketh, I. and Cooper, C. (2019) </w:t>
      </w:r>
      <w:r w:rsidR="008B1312" w:rsidRPr="005C5AE2">
        <w:rPr>
          <w:rFonts w:ascii="Calibri" w:hAnsi="Calibri" w:cs="Calibri"/>
          <w:i/>
          <w:iCs/>
          <w:sz w:val="22"/>
          <w:szCs w:val="22"/>
        </w:rPr>
        <w:t>Wellbeing at Work : How to Design, Implement and Evaluate an Effective Strategy</w:t>
      </w:r>
      <w:r>
        <w:rPr>
          <w:rFonts w:ascii="Calibri" w:hAnsi="Calibri" w:cs="Calibri"/>
          <w:i/>
          <w:iCs/>
          <w:sz w:val="22"/>
          <w:szCs w:val="22"/>
        </w:rPr>
        <w:t xml:space="preserve">. </w:t>
      </w:r>
      <w:r>
        <w:rPr>
          <w:rFonts w:ascii="Calibri" w:hAnsi="Calibri" w:cs="Calibri"/>
          <w:sz w:val="22"/>
          <w:szCs w:val="22"/>
        </w:rPr>
        <w:t>Kogan Page, pp. 9-19.</w:t>
      </w:r>
    </w:p>
    <w:p w14:paraId="060FD4F3" w14:textId="77777777" w:rsidR="008C54F3" w:rsidRDefault="008C54F3" w:rsidP="001873C7">
      <w:pPr>
        <w:pStyle w:val="NoSpacing"/>
        <w:rPr>
          <w:rFonts w:ascii="Calibri" w:hAnsi="Calibri" w:cs="Calibri"/>
          <w:sz w:val="22"/>
          <w:szCs w:val="22"/>
        </w:rPr>
      </w:pPr>
    </w:p>
    <w:p w14:paraId="630D289F" w14:textId="05ED3A78" w:rsidR="008C54F3" w:rsidRDefault="008C54F3" w:rsidP="001873C7">
      <w:pPr>
        <w:pStyle w:val="NoSpacing"/>
        <w:rPr>
          <w:rFonts w:ascii="Calibri" w:hAnsi="Calibri" w:cs="Calibri"/>
          <w:sz w:val="22"/>
          <w:szCs w:val="22"/>
        </w:rPr>
      </w:pPr>
      <w:r>
        <w:rPr>
          <w:rFonts w:ascii="Calibri" w:hAnsi="Calibri" w:cs="Calibri"/>
          <w:sz w:val="22"/>
          <w:szCs w:val="22"/>
        </w:rPr>
        <w:t>A3.3</w:t>
      </w:r>
    </w:p>
    <w:p w14:paraId="15ADD0EB" w14:textId="5FBEF03C" w:rsidR="008C54F3" w:rsidRPr="00456E16" w:rsidRDefault="00456E16" w:rsidP="001873C7">
      <w:pPr>
        <w:pStyle w:val="NoSpacing"/>
        <w:rPr>
          <w:rStyle w:val="Hyperlink"/>
          <w:rFonts w:ascii="Calibri" w:hAnsi="Calibri" w:cs="Calibri"/>
          <w:color w:val="000000" w:themeColor="text1"/>
          <w:sz w:val="22"/>
          <w:szCs w:val="22"/>
          <w:u w:val="none"/>
        </w:rPr>
      </w:pPr>
      <w:r>
        <w:rPr>
          <w:rFonts w:ascii="Calibri" w:hAnsi="Calibri" w:cs="Calibri"/>
          <w:sz w:val="22"/>
          <w:szCs w:val="22"/>
        </w:rPr>
        <w:t xml:space="preserve">ACAS (2023) </w:t>
      </w:r>
      <w:r w:rsidRPr="00456E16">
        <w:rPr>
          <w:rFonts w:ascii="Calibri" w:hAnsi="Calibri" w:cs="Calibri"/>
          <w:i/>
          <w:iCs/>
          <w:sz w:val="22"/>
          <w:szCs w:val="22"/>
        </w:rPr>
        <w:t>Direct Discrimination at Work</w:t>
      </w:r>
      <w:r>
        <w:rPr>
          <w:rFonts w:ascii="Calibri" w:hAnsi="Calibri" w:cs="Calibri"/>
          <w:i/>
          <w:iCs/>
          <w:sz w:val="22"/>
          <w:szCs w:val="22"/>
        </w:rPr>
        <w:t xml:space="preserve">. </w:t>
      </w:r>
      <w:r>
        <w:rPr>
          <w:rFonts w:ascii="Calibri" w:hAnsi="Calibri" w:cs="Calibri"/>
          <w:sz w:val="22"/>
          <w:szCs w:val="22"/>
        </w:rPr>
        <w:t xml:space="preserve">Available at: </w:t>
      </w:r>
      <w:hyperlink r:id="rId8" w:history="1">
        <w:r w:rsidRPr="00291E93">
          <w:rPr>
            <w:rStyle w:val="Hyperlink"/>
            <w:rFonts w:ascii="Calibri" w:hAnsi="Calibri" w:cs="Calibri"/>
            <w:sz w:val="22"/>
            <w:szCs w:val="22"/>
          </w:rPr>
          <w:t>https://www.acas.org.uk/discrimination-and-the-law/direct-discrimination</w:t>
        </w:r>
      </w:hyperlink>
      <w:r>
        <w:rPr>
          <w:rStyle w:val="Hyperlink"/>
          <w:rFonts w:ascii="Calibri" w:hAnsi="Calibri" w:cs="Calibri"/>
          <w:sz w:val="22"/>
          <w:szCs w:val="22"/>
        </w:rPr>
        <w:t xml:space="preserve"> </w:t>
      </w:r>
      <w:r>
        <w:rPr>
          <w:rStyle w:val="Hyperlink"/>
          <w:rFonts w:ascii="Calibri" w:hAnsi="Calibri" w:cs="Calibri"/>
          <w:color w:val="000000" w:themeColor="text1"/>
          <w:sz w:val="22"/>
          <w:szCs w:val="22"/>
          <w:u w:val="none"/>
        </w:rPr>
        <w:t>(Accessed: 6 July 2024).</w:t>
      </w:r>
    </w:p>
    <w:p w14:paraId="10258A3E" w14:textId="77777777" w:rsidR="00F32FF5" w:rsidRDefault="00F32FF5" w:rsidP="001873C7">
      <w:pPr>
        <w:pStyle w:val="NoSpacing"/>
        <w:rPr>
          <w:rStyle w:val="Hyperlink"/>
          <w:rFonts w:ascii="Calibri" w:hAnsi="Calibri" w:cs="Calibri"/>
          <w:sz w:val="22"/>
          <w:szCs w:val="22"/>
        </w:rPr>
      </w:pPr>
    </w:p>
    <w:p w14:paraId="3737F5DD" w14:textId="5B6FA01D" w:rsidR="00B56A3D" w:rsidRDefault="00B56A3D" w:rsidP="001873C7">
      <w:pPr>
        <w:pStyle w:val="NoSpacing"/>
        <w:rPr>
          <w:rFonts w:ascii="Calibri" w:hAnsi="Calibri" w:cs="Calibri"/>
          <w:sz w:val="22"/>
          <w:szCs w:val="22"/>
        </w:rPr>
      </w:pPr>
      <w:r>
        <w:rPr>
          <w:rFonts w:ascii="Calibri" w:hAnsi="Calibri" w:cs="Calibri"/>
          <w:sz w:val="22"/>
          <w:szCs w:val="22"/>
        </w:rPr>
        <w:t>Hussain, Z., Lubna, J. and Sheikh, H. ‘</w:t>
      </w:r>
      <w:r w:rsidRPr="00B56A3D">
        <w:rPr>
          <w:rFonts w:ascii="Calibri" w:hAnsi="Calibri" w:cs="Calibri"/>
          <w:sz w:val="22"/>
          <w:szCs w:val="22"/>
        </w:rPr>
        <w:t>The Equality Act (2010)-pre- and post-pandemic historic development on equality and discrimination issues for employers: review of literature</w:t>
      </w:r>
      <w:r>
        <w:rPr>
          <w:rFonts w:ascii="Calibri" w:hAnsi="Calibri" w:cs="Calibri"/>
          <w:sz w:val="22"/>
          <w:szCs w:val="22"/>
        </w:rPr>
        <w:t>’</w:t>
      </w:r>
    </w:p>
    <w:p w14:paraId="75297D04" w14:textId="5A333099" w:rsidR="00F32FF5" w:rsidRDefault="00F32FF5" w:rsidP="001873C7">
      <w:pPr>
        <w:pStyle w:val="NoSpacing"/>
        <w:rPr>
          <w:rFonts w:ascii="Calibri" w:hAnsi="Calibri" w:cs="Calibri"/>
          <w:sz w:val="22"/>
          <w:szCs w:val="22"/>
        </w:rPr>
      </w:pPr>
      <w:r w:rsidRPr="00B56A3D">
        <w:rPr>
          <w:rFonts w:ascii="Calibri" w:hAnsi="Calibri" w:cs="Calibri"/>
          <w:i/>
          <w:iCs/>
          <w:sz w:val="22"/>
          <w:szCs w:val="22"/>
        </w:rPr>
        <w:t>International Journal of Law and Management</w:t>
      </w:r>
      <w:r w:rsidRPr="00F32FF5">
        <w:rPr>
          <w:rFonts w:ascii="Calibri" w:hAnsi="Calibri" w:cs="Calibri"/>
          <w:sz w:val="22"/>
          <w:szCs w:val="22"/>
        </w:rPr>
        <w:t>; Patrington Vol</w:t>
      </w:r>
      <w:r w:rsidR="00330244">
        <w:rPr>
          <w:rFonts w:ascii="Calibri" w:hAnsi="Calibri" w:cs="Calibri"/>
          <w:sz w:val="22"/>
          <w:szCs w:val="22"/>
        </w:rPr>
        <w:t>ume</w:t>
      </w:r>
      <w:r w:rsidRPr="00F32FF5">
        <w:rPr>
          <w:rFonts w:ascii="Calibri" w:hAnsi="Calibri" w:cs="Calibri"/>
          <w:sz w:val="22"/>
          <w:szCs w:val="22"/>
        </w:rPr>
        <w:t>. 64, Iss</w:t>
      </w:r>
      <w:r w:rsidR="00B56A3D">
        <w:rPr>
          <w:rFonts w:ascii="Calibri" w:hAnsi="Calibri" w:cs="Calibri"/>
          <w:sz w:val="22"/>
          <w:szCs w:val="22"/>
        </w:rPr>
        <w:t>ue</w:t>
      </w:r>
      <w:r w:rsidRPr="00F32FF5">
        <w:rPr>
          <w:rFonts w:ascii="Calibri" w:hAnsi="Calibri" w:cs="Calibri"/>
          <w:sz w:val="22"/>
          <w:szCs w:val="22"/>
        </w:rPr>
        <w:t xml:space="preserve"> 2, (2022)</w:t>
      </w:r>
      <w:r w:rsidR="00B56A3D">
        <w:rPr>
          <w:rFonts w:ascii="Calibri" w:hAnsi="Calibri" w:cs="Calibri"/>
          <w:sz w:val="22"/>
          <w:szCs w:val="22"/>
        </w:rPr>
        <w:t>. pp.</w:t>
      </w:r>
      <w:r w:rsidRPr="00F32FF5">
        <w:rPr>
          <w:rFonts w:ascii="Calibri" w:hAnsi="Calibri" w:cs="Calibri"/>
          <w:sz w:val="22"/>
          <w:szCs w:val="22"/>
        </w:rPr>
        <w:t xml:space="preserve"> 168-183. </w:t>
      </w:r>
    </w:p>
    <w:p w14:paraId="3E029ECC" w14:textId="77777777" w:rsidR="00EB0ADF" w:rsidRDefault="00EB0ADF" w:rsidP="001873C7">
      <w:pPr>
        <w:pStyle w:val="NoSpacing"/>
        <w:rPr>
          <w:rFonts w:ascii="Calibri" w:hAnsi="Calibri" w:cs="Calibri"/>
          <w:sz w:val="22"/>
          <w:szCs w:val="22"/>
        </w:rPr>
      </w:pPr>
    </w:p>
    <w:p w14:paraId="6E3C558C" w14:textId="18D264D4" w:rsidR="00EB0ADF" w:rsidRDefault="00EB0ADF" w:rsidP="001873C7">
      <w:pPr>
        <w:pStyle w:val="NoSpacing"/>
        <w:rPr>
          <w:rFonts w:ascii="Calibri" w:hAnsi="Calibri" w:cs="Calibri"/>
          <w:sz w:val="22"/>
          <w:szCs w:val="22"/>
        </w:rPr>
      </w:pPr>
      <w:r>
        <w:rPr>
          <w:rFonts w:ascii="Calibri" w:hAnsi="Calibri" w:cs="Calibri"/>
          <w:sz w:val="22"/>
          <w:szCs w:val="22"/>
        </w:rPr>
        <w:t>A3.4</w:t>
      </w:r>
    </w:p>
    <w:p w14:paraId="6DAD7385" w14:textId="715DE1ED" w:rsidR="00B734F9" w:rsidRPr="00456E16" w:rsidRDefault="00B734F9" w:rsidP="00B734F9">
      <w:pPr>
        <w:pStyle w:val="NoSpacing"/>
        <w:rPr>
          <w:rStyle w:val="Hyperlink"/>
          <w:rFonts w:ascii="Calibri" w:hAnsi="Calibri" w:cs="Calibri"/>
          <w:color w:val="000000" w:themeColor="text1"/>
          <w:sz w:val="22"/>
          <w:szCs w:val="22"/>
          <w:u w:val="none"/>
        </w:rPr>
      </w:pPr>
      <w:r>
        <w:rPr>
          <w:rFonts w:ascii="Calibri" w:hAnsi="Calibri" w:cs="Calibri"/>
          <w:sz w:val="22"/>
          <w:szCs w:val="22"/>
        </w:rPr>
        <w:t xml:space="preserve">ACAS (2023) </w:t>
      </w:r>
      <w:r>
        <w:rPr>
          <w:rFonts w:ascii="Calibri" w:hAnsi="Calibri" w:cs="Calibri"/>
          <w:i/>
          <w:iCs/>
          <w:sz w:val="22"/>
          <w:szCs w:val="22"/>
        </w:rPr>
        <w:t>Making your Workplace Inclusive- Equality, Diversity and Inclusion</w:t>
      </w:r>
      <w:r>
        <w:rPr>
          <w:rFonts w:ascii="Calibri" w:hAnsi="Calibri" w:cs="Calibri"/>
          <w:i/>
          <w:iCs/>
          <w:sz w:val="22"/>
          <w:szCs w:val="22"/>
        </w:rPr>
        <w:t xml:space="preserve">. </w:t>
      </w:r>
      <w:r>
        <w:rPr>
          <w:rFonts w:ascii="Calibri" w:hAnsi="Calibri" w:cs="Calibri"/>
          <w:sz w:val="22"/>
          <w:szCs w:val="22"/>
        </w:rPr>
        <w:t xml:space="preserve">Available at: </w:t>
      </w:r>
      <w:hyperlink r:id="rId9" w:history="1">
        <w:r w:rsidRPr="002246E9">
          <w:rPr>
            <w:rStyle w:val="Hyperlink"/>
            <w:rFonts w:ascii="Calibri" w:hAnsi="Calibri" w:cs="Calibri"/>
            <w:sz w:val="22"/>
            <w:szCs w:val="22"/>
          </w:rPr>
          <w:t>https://www.acas.org.uk/improving-equality-diversity-and-inclusion/making-your-workplace-inclusive</w:t>
        </w:r>
      </w:hyperlink>
      <w:r>
        <w:rPr>
          <w:rStyle w:val="Hyperlink"/>
          <w:rFonts w:ascii="Calibri" w:hAnsi="Calibri" w:cs="Calibri"/>
          <w:color w:val="000000" w:themeColor="text1"/>
          <w:sz w:val="22"/>
          <w:szCs w:val="22"/>
          <w:u w:val="none"/>
        </w:rPr>
        <w:t xml:space="preserve"> </w:t>
      </w:r>
      <w:r>
        <w:rPr>
          <w:rStyle w:val="Hyperlink"/>
          <w:rFonts w:ascii="Calibri" w:hAnsi="Calibri" w:cs="Calibri"/>
          <w:color w:val="000000" w:themeColor="text1"/>
          <w:sz w:val="22"/>
          <w:szCs w:val="22"/>
          <w:u w:val="none"/>
        </w:rPr>
        <w:t xml:space="preserve">(Accessed: </w:t>
      </w:r>
      <w:r>
        <w:rPr>
          <w:rStyle w:val="Hyperlink"/>
          <w:rFonts w:ascii="Calibri" w:hAnsi="Calibri" w:cs="Calibri"/>
          <w:color w:val="000000" w:themeColor="text1"/>
          <w:sz w:val="22"/>
          <w:szCs w:val="22"/>
          <w:u w:val="none"/>
        </w:rPr>
        <w:t>7</w:t>
      </w:r>
      <w:r>
        <w:rPr>
          <w:rStyle w:val="Hyperlink"/>
          <w:rFonts w:ascii="Calibri" w:hAnsi="Calibri" w:cs="Calibri"/>
          <w:color w:val="000000" w:themeColor="text1"/>
          <w:sz w:val="22"/>
          <w:szCs w:val="22"/>
          <w:u w:val="none"/>
        </w:rPr>
        <w:t xml:space="preserve"> July 2024).</w:t>
      </w:r>
    </w:p>
    <w:p w14:paraId="4B9D5407" w14:textId="77777777" w:rsidR="00B734F9" w:rsidRDefault="00B734F9" w:rsidP="001873C7">
      <w:pPr>
        <w:pStyle w:val="NoSpacing"/>
        <w:rPr>
          <w:rFonts w:ascii="Calibri" w:hAnsi="Calibri" w:cs="Calibri"/>
          <w:sz w:val="22"/>
          <w:szCs w:val="22"/>
        </w:rPr>
      </w:pPr>
    </w:p>
    <w:p w14:paraId="123AAEB3" w14:textId="5C31DF65" w:rsidR="00EB0ADF" w:rsidRPr="00597E60" w:rsidRDefault="00597E60" w:rsidP="001873C7">
      <w:pPr>
        <w:pStyle w:val="NoSpacing"/>
        <w:rPr>
          <w:rStyle w:val="Hyperlink"/>
          <w:rFonts w:ascii="Calibri" w:hAnsi="Calibri" w:cs="Calibri"/>
          <w:color w:val="000000" w:themeColor="text1"/>
          <w:sz w:val="22"/>
          <w:szCs w:val="22"/>
          <w:u w:val="none"/>
        </w:rPr>
      </w:pPr>
      <w:r>
        <w:rPr>
          <w:rFonts w:ascii="Calibri" w:hAnsi="Calibri" w:cs="Calibri"/>
          <w:sz w:val="22"/>
          <w:szCs w:val="22"/>
        </w:rPr>
        <w:t xml:space="preserve">Pavlou, C. (2023) </w:t>
      </w:r>
      <w:r w:rsidRPr="00597E60">
        <w:rPr>
          <w:rFonts w:ascii="Calibri" w:hAnsi="Calibri" w:cs="Calibri"/>
          <w:i/>
          <w:iCs/>
          <w:sz w:val="22"/>
          <w:szCs w:val="22"/>
        </w:rPr>
        <w:t>Diversity in the Workplace: Why it Matters and How to Increase Inclusion.</w:t>
      </w:r>
      <w:r>
        <w:rPr>
          <w:rFonts w:ascii="Calibri" w:hAnsi="Calibri" w:cs="Calibri"/>
          <w:i/>
          <w:iCs/>
          <w:sz w:val="22"/>
          <w:szCs w:val="22"/>
        </w:rPr>
        <w:t xml:space="preserve"> </w:t>
      </w:r>
      <w:r>
        <w:rPr>
          <w:rFonts w:ascii="Calibri" w:hAnsi="Calibri" w:cs="Calibri"/>
          <w:sz w:val="22"/>
          <w:szCs w:val="22"/>
        </w:rPr>
        <w:t xml:space="preserve">Available at: </w:t>
      </w:r>
      <w:hyperlink r:id="rId10" w:history="1">
        <w:r w:rsidRPr="00291E93">
          <w:rPr>
            <w:rStyle w:val="Hyperlink"/>
            <w:rFonts w:ascii="Calibri" w:hAnsi="Calibri" w:cs="Calibri"/>
            <w:sz w:val="22"/>
            <w:szCs w:val="22"/>
          </w:rPr>
          <w:t>https://resources.workable.com/stories-and-insights/diversity-inclusion-in-the-workplace</w:t>
        </w:r>
      </w:hyperlink>
      <w:r>
        <w:rPr>
          <w:rStyle w:val="Hyperlink"/>
          <w:rFonts w:ascii="Calibri" w:hAnsi="Calibri" w:cs="Calibri"/>
          <w:sz w:val="22"/>
          <w:szCs w:val="22"/>
        </w:rPr>
        <w:t xml:space="preserve"> </w:t>
      </w:r>
      <w:r>
        <w:rPr>
          <w:rStyle w:val="Hyperlink"/>
          <w:rFonts w:ascii="Calibri" w:hAnsi="Calibri" w:cs="Calibri"/>
          <w:color w:val="000000" w:themeColor="text1"/>
          <w:sz w:val="22"/>
          <w:szCs w:val="22"/>
          <w:u w:val="none"/>
        </w:rPr>
        <w:t>(Accessed: 7 July 2024).</w:t>
      </w:r>
    </w:p>
    <w:p w14:paraId="6D0128F7" w14:textId="77777777" w:rsidR="00C61563" w:rsidRPr="00544FD8" w:rsidRDefault="00C61563" w:rsidP="001873C7">
      <w:pPr>
        <w:pStyle w:val="NoSpacing"/>
        <w:rPr>
          <w:rStyle w:val="Hyperlink"/>
          <w:rFonts w:ascii="Calibri" w:hAnsi="Calibri" w:cs="Calibri"/>
          <w:color w:val="auto"/>
          <w:sz w:val="22"/>
          <w:szCs w:val="22"/>
          <w:u w:val="none"/>
        </w:rPr>
      </w:pPr>
    </w:p>
    <w:p w14:paraId="38E675AE" w14:textId="1CD802E9" w:rsidR="00544FD8" w:rsidRDefault="00C61563" w:rsidP="001873C7">
      <w:pPr>
        <w:pStyle w:val="NoSpacing"/>
        <w:rPr>
          <w:rStyle w:val="Hyperlink"/>
          <w:rFonts w:ascii="Calibri" w:hAnsi="Calibri" w:cs="Calibri"/>
          <w:color w:val="auto"/>
          <w:sz w:val="22"/>
          <w:szCs w:val="22"/>
          <w:u w:val="none"/>
        </w:rPr>
      </w:pPr>
      <w:r w:rsidRPr="00544FD8">
        <w:rPr>
          <w:rStyle w:val="Hyperlink"/>
          <w:rFonts w:ascii="Calibri" w:hAnsi="Calibri" w:cs="Calibri"/>
          <w:color w:val="auto"/>
          <w:sz w:val="22"/>
          <w:szCs w:val="22"/>
          <w:u w:val="none"/>
        </w:rPr>
        <w:t>A3.5</w:t>
      </w:r>
    </w:p>
    <w:p w14:paraId="4E5D916E" w14:textId="5654B68C" w:rsidR="00064DAD" w:rsidRPr="00D1369B" w:rsidRDefault="00D1369B" w:rsidP="00064DAD">
      <w:pPr>
        <w:pStyle w:val="NoSpacing"/>
        <w:rPr>
          <w:rFonts w:ascii="Calibri" w:hAnsi="Calibri" w:cs="Calibri"/>
          <w:i/>
          <w:iCs/>
          <w:sz w:val="22"/>
          <w:szCs w:val="22"/>
        </w:rPr>
      </w:pPr>
      <w:r>
        <w:rPr>
          <w:rStyle w:val="Hyperlink"/>
          <w:rFonts w:ascii="Calibri" w:hAnsi="Calibri" w:cs="Calibri"/>
          <w:color w:val="auto"/>
          <w:sz w:val="22"/>
          <w:szCs w:val="22"/>
          <w:u w:val="none"/>
        </w:rPr>
        <w:t xml:space="preserve">Daniels, K. (2022) </w:t>
      </w:r>
      <w:r w:rsidR="00064DAD" w:rsidRPr="00D1369B">
        <w:rPr>
          <w:rFonts w:ascii="Calibri" w:hAnsi="Calibri" w:cs="Calibri"/>
          <w:i/>
          <w:iCs/>
          <w:sz w:val="22"/>
          <w:szCs w:val="22"/>
        </w:rPr>
        <w:t>Introduction to employment law : fundamentals for HR and business students</w:t>
      </w:r>
      <w:r>
        <w:rPr>
          <w:rFonts w:ascii="Calibri" w:hAnsi="Calibri" w:cs="Calibri"/>
          <w:i/>
          <w:iCs/>
          <w:sz w:val="22"/>
          <w:szCs w:val="22"/>
        </w:rPr>
        <w:t>.</w:t>
      </w:r>
    </w:p>
    <w:p w14:paraId="16F3CDE3" w14:textId="507EB83F" w:rsidR="00064DAD" w:rsidRDefault="00064DAD" w:rsidP="00064DAD">
      <w:pPr>
        <w:pStyle w:val="NoSpacing"/>
        <w:rPr>
          <w:rFonts w:ascii="Calibri" w:hAnsi="Calibri" w:cs="Calibri"/>
          <w:sz w:val="22"/>
          <w:szCs w:val="22"/>
        </w:rPr>
      </w:pPr>
      <w:r w:rsidRPr="00064DAD">
        <w:rPr>
          <w:rFonts w:ascii="Calibri" w:hAnsi="Calibri" w:cs="Calibri"/>
          <w:sz w:val="22"/>
          <w:szCs w:val="22"/>
        </w:rPr>
        <w:t>Sixth ed</w:t>
      </w:r>
      <w:r w:rsidR="00D1369B">
        <w:rPr>
          <w:rFonts w:ascii="Calibri" w:hAnsi="Calibri" w:cs="Calibri"/>
          <w:sz w:val="22"/>
          <w:szCs w:val="22"/>
        </w:rPr>
        <w:t xml:space="preserve">n. </w:t>
      </w:r>
      <w:r w:rsidRPr="00064DAD">
        <w:rPr>
          <w:rFonts w:ascii="Calibri" w:hAnsi="Calibri" w:cs="Calibri"/>
          <w:sz w:val="22"/>
          <w:szCs w:val="22"/>
        </w:rPr>
        <w:t>Kogan Page</w:t>
      </w:r>
      <w:r w:rsidR="00D1369B">
        <w:rPr>
          <w:rFonts w:ascii="Calibri" w:hAnsi="Calibri" w:cs="Calibri"/>
          <w:sz w:val="22"/>
          <w:szCs w:val="22"/>
        </w:rPr>
        <w:t xml:space="preserve">. p. </w:t>
      </w:r>
      <w:r w:rsidR="00A52046">
        <w:rPr>
          <w:rFonts w:ascii="Calibri" w:hAnsi="Calibri" w:cs="Calibri"/>
          <w:sz w:val="22"/>
          <w:szCs w:val="22"/>
        </w:rPr>
        <w:t>23</w:t>
      </w:r>
      <w:r w:rsidR="00D1369B">
        <w:rPr>
          <w:rFonts w:ascii="Calibri" w:hAnsi="Calibri" w:cs="Calibri"/>
          <w:sz w:val="22"/>
          <w:szCs w:val="22"/>
        </w:rPr>
        <w:t>.</w:t>
      </w:r>
    </w:p>
    <w:p w14:paraId="3669C69C" w14:textId="77777777" w:rsidR="00A52046" w:rsidRDefault="00A52046" w:rsidP="00064DAD">
      <w:pPr>
        <w:pStyle w:val="NoSpacing"/>
        <w:rPr>
          <w:rFonts w:ascii="Calibri" w:hAnsi="Calibri" w:cs="Calibri"/>
          <w:sz w:val="22"/>
          <w:szCs w:val="22"/>
        </w:rPr>
      </w:pPr>
    </w:p>
    <w:p w14:paraId="5E5746D8" w14:textId="77777777" w:rsidR="00A52046" w:rsidRPr="00544FD8" w:rsidRDefault="00A52046" w:rsidP="00064DAD">
      <w:pPr>
        <w:pStyle w:val="NoSpacing"/>
        <w:rPr>
          <w:rFonts w:ascii="Calibri" w:hAnsi="Calibri" w:cs="Calibri"/>
          <w:sz w:val="22"/>
          <w:szCs w:val="22"/>
        </w:rPr>
      </w:pPr>
    </w:p>
    <w:sectPr w:rsidR="00A52046" w:rsidRPr="00544FD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3D4EEC" w14:textId="77777777" w:rsidR="00D87C8B" w:rsidRDefault="00D87C8B" w:rsidP="005B20AC">
      <w:pPr>
        <w:spacing w:after="0" w:line="240" w:lineRule="auto"/>
      </w:pPr>
      <w:r>
        <w:separator/>
      </w:r>
    </w:p>
  </w:endnote>
  <w:endnote w:type="continuationSeparator" w:id="0">
    <w:p w14:paraId="1A883887" w14:textId="77777777" w:rsidR="00D87C8B" w:rsidRDefault="00D87C8B" w:rsidP="005B2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A707EE" w14:textId="77777777" w:rsidR="00D87C8B" w:rsidRDefault="00D87C8B" w:rsidP="005B20AC">
      <w:pPr>
        <w:spacing w:after="0" w:line="240" w:lineRule="auto"/>
      </w:pPr>
      <w:r>
        <w:separator/>
      </w:r>
    </w:p>
  </w:footnote>
  <w:footnote w:type="continuationSeparator" w:id="0">
    <w:p w14:paraId="6AC863DA" w14:textId="77777777" w:rsidR="00D87C8B" w:rsidRDefault="00D87C8B" w:rsidP="005B20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181E97" w14:textId="77777777" w:rsidR="005B20AC" w:rsidRDefault="005B20AC" w:rsidP="005B20AC">
    <w:pPr>
      <w:pStyle w:val="Header"/>
      <w:jc w:val="right"/>
      <w:rPr>
        <w:rFonts w:ascii="Calibri" w:hAnsi="Calibri" w:cs="Calibri"/>
        <w:sz w:val="22"/>
        <w:szCs w:val="22"/>
      </w:rPr>
    </w:pPr>
    <w:r w:rsidRPr="00C815B3">
      <w:rPr>
        <w:rFonts w:ascii="Calibri" w:hAnsi="Calibri" w:cs="Calibri"/>
        <w:sz w:val="22"/>
        <w:szCs w:val="22"/>
      </w:rPr>
      <w:t>Katy Lewis Humphreys</w:t>
    </w:r>
  </w:p>
  <w:p w14:paraId="475A5C6C" w14:textId="77777777" w:rsidR="005B20AC" w:rsidRPr="00DB53B9" w:rsidRDefault="005B20AC" w:rsidP="005B20AC">
    <w:pPr>
      <w:pStyle w:val="Header"/>
      <w:jc w:val="right"/>
      <w:rPr>
        <w:rFonts w:ascii="Calibri" w:hAnsi="Calibri" w:cs="Calibri"/>
        <w:sz w:val="22"/>
        <w:szCs w:val="22"/>
      </w:rPr>
    </w:pPr>
    <w:r w:rsidRPr="00DB53B9">
      <w:rPr>
        <w:rFonts w:ascii="Calibri" w:hAnsi="Calibri" w:cs="Calibri"/>
        <w:sz w:val="22"/>
        <w:szCs w:val="22"/>
      </w:rPr>
      <w:t>Student Number: 23146040</w:t>
    </w:r>
  </w:p>
  <w:p w14:paraId="248A3710" w14:textId="30B5CE8C" w:rsidR="005B20AC" w:rsidRDefault="005B20AC" w:rsidP="005B20AC">
    <w:pPr>
      <w:pStyle w:val="Header"/>
      <w:jc w:val="right"/>
    </w:pPr>
    <w:r w:rsidRPr="00C815B3">
      <w:rPr>
        <w:rFonts w:ascii="Calibri" w:hAnsi="Calibri" w:cs="Calibri"/>
        <w:sz w:val="22"/>
        <w:szCs w:val="22"/>
      </w:rPr>
      <w:t xml:space="preserve">Word Count: </w:t>
    </w:r>
    <w:r>
      <w:rPr>
        <w:rFonts w:ascii="Calibri" w:hAnsi="Calibri" w:cs="Calibri"/>
        <w:sz w:val="22"/>
        <w:szCs w:val="22"/>
      </w:rPr>
      <w:t>1</w:t>
    </w:r>
    <w:r w:rsidR="001C4652">
      <w:rPr>
        <w:rFonts w:ascii="Calibri" w:hAnsi="Calibri" w:cs="Calibri"/>
        <w:sz w:val="22"/>
        <w:szCs w:val="22"/>
      </w:rPr>
      <w:t>372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C317BF"/>
    <w:multiLevelType w:val="multilevel"/>
    <w:tmpl w:val="3EA0F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4611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3C7"/>
    <w:rsid w:val="00064DAD"/>
    <w:rsid w:val="00106CFA"/>
    <w:rsid w:val="0011218F"/>
    <w:rsid w:val="0012135A"/>
    <w:rsid w:val="001873C7"/>
    <w:rsid w:val="001C4652"/>
    <w:rsid w:val="001C77D1"/>
    <w:rsid w:val="001D6F1F"/>
    <w:rsid w:val="0020496C"/>
    <w:rsid w:val="002B6B43"/>
    <w:rsid w:val="002C6F04"/>
    <w:rsid w:val="00330244"/>
    <w:rsid w:val="004143CC"/>
    <w:rsid w:val="00456E16"/>
    <w:rsid w:val="0048392C"/>
    <w:rsid w:val="00544FD8"/>
    <w:rsid w:val="00597E60"/>
    <w:rsid w:val="005B20AC"/>
    <w:rsid w:val="005C5AE2"/>
    <w:rsid w:val="0060254C"/>
    <w:rsid w:val="00617C7A"/>
    <w:rsid w:val="006C15F1"/>
    <w:rsid w:val="00836464"/>
    <w:rsid w:val="008A34E1"/>
    <w:rsid w:val="008A5CEC"/>
    <w:rsid w:val="008B1312"/>
    <w:rsid w:val="008C54F3"/>
    <w:rsid w:val="00A03308"/>
    <w:rsid w:val="00A10FB4"/>
    <w:rsid w:val="00A27274"/>
    <w:rsid w:val="00A50290"/>
    <w:rsid w:val="00A52046"/>
    <w:rsid w:val="00A6296A"/>
    <w:rsid w:val="00A62D98"/>
    <w:rsid w:val="00B56A3D"/>
    <w:rsid w:val="00B61FB2"/>
    <w:rsid w:val="00B734F9"/>
    <w:rsid w:val="00BF78F5"/>
    <w:rsid w:val="00C613D3"/>
    <w:rsid w:val="00C61563"/>
    <w:rsid w:val="00C62794"/>
    <w:rsid w:val="00CB08F2"/>
    <w:rsid w:val="00CB17CE"/>
    <w:rsid w:val="00CD5600"/>
    <w:rsid w:val="00D1369B"/>
    <w:rsid w:val="00D87C8B"/>
    <w:rsid w:val="00E5621B"/>
    <w:rsid w:val="00E63EC9"/>
    <w:rsid w:val="00E87403"/>
    <w:rsid w:val="00EB0ADF"/>
    <w:rsid w:val="00EC5CA0"/>
    <w:rsid w:val="00F00962"/>
    <w:rsid w:val="00F15DEA"/>
    <w:rsid w:val="00F20F0F"/>
    <w:rsid w:val="00F32FF5"/>
    <w:rsid w:val="00F61119"/>
    <w:rsid w:val="00F75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D3054"/>
  <w15:chartTrackingRefBased/>
  <w15:docId w15:val="{5CC94B0E-55E4-4DE4-9E60-DD3302360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73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73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73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73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73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73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3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3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3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3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73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73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73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73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73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3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3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3C7"/>
    <w:rPr>
      <w:rFonts w:eastAsiaTheme="majorEastAsia" w:cstheme="majorBidi"/>
      <w:color w:val="272727" w:themeColor="text1" w:themeTint="D8"/>
    </w:rPr>
  </w:style>
  <w:style w:type="paragraph" w:styleId="Title">
    <w:name w:val="Title"/>
    <w:basedOn w:val="Normal"/>
    <w:next w:val="Normal"/>
    <w:link w:val="TitleChar"/>
    <w:uiPriority w:val="10"/>
    <w:qFormat/>
    <w:rsid w:val="001873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3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3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3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3C7"/>
    <w:pPr>
      <w:spacing w:before="160"/>
      <w:jc w:val="center"/>
    </w:pPr>
    <w:rPr>
      <w:i/>
      <w:iCs/>
      <w:color w:val="404040" w:themeColor="text1" w:themeTint="BF"/>
    </w:rPr>
  </w:style>
  <w:style w:type="character" w:customStyle="1" w:styleId="QuoteChar">
    <w:name w:val="Quote Char"/>
    <w:basedOn w:val="DefaultParagraphFont"/>
    <w:link w:val="Quote"/>
    <w:uiPriority w:val="29"/>
    <w:rsid w:val="001873C7"/>
    <w:rPr>
      <w:i/>
      <w:iCs/>
      <w:color w:val="404040" w:themeColor="text1" w:themeTint="BF"/>
    </w:rPr>
  </w:style>
  <w:style w:type="paragraph" w:styleId="ListParagraph">
    <w:name w:val="List Paragraph"/>
    <w:basedOn w:val="Normal"/>
    <w:uiPriority w:val="34"/>
    <w:qFormat/>
    <w:rsid w:val="001873C7"/>
    <w:pPr>
      <w:ind w:left="720"/>
      <w:contextualSpacing/>
    </w:pPr>
  </w:style>
  <w:style w:type="character" w:styleId="IntenseEmphasis">
    <w:name w:val="Intense Emphasis"/>
    <w:basedOn w:val="DefaultParagraphFont"/>
    <w:uiPriority w:val="21"/>
    <w:qFormat/>
    <w:rsid w:val="001873C7"/>
    <w:rPr>
      <w:i/>
      <w:iCs/>
      <w:color w:val="0F4761" w:themeColor="accent1" w:themeShade="BF"/>
    </w:rPr>
  </w:style>
  <w:style w:type="paragraph" w:styleId="IntenseQuote">
    <w:name w:val="Intense Quote"/>
    <w:basedOn w:val="Normal"/>
    <w:next w:val="Normal"/>
    <w:link w:val="IntenseQuoteChar"/>
    <w:uiPriority w:val="30"/>
    <w:qFormat/>
    <w:rsid w:val="001873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73C7"/>
    <w:rPr>
      <w:i/>
      <w:iCs/>
      <w:color w:val="0F4761" w:themeColor="accent1" w:themeShade="BF"/>
    </w:rPr>
  </w:style>
  <w:style w:type="character" w:styleId="IntenseReference">
    <w:name w:val="Intense Reference"/>
    <w:basedOn w:val="DefaultParagraphFont"/>
    <w:uiPriority w:val="32"/>
    <w:qFormat/>
    <w:rsid w:val="001873C7"/>
    <w:rPr>
      <w:b/>
      <w:bCs/>
      <w:smallCaps/>
      <w:color w:val="0F4761" w:themeColor="accent1" w:themeShade="BF"/>
      <w:spacing w:val="5"/>
    </w:rPr>
  </w:style>
  <w:style w:type="paragraph" w:styleId="NoSpacing">
    <w:name w:val="No Spacing"/>
    <w:uiPriority w:val="1"/>
    <w:qFormat/>
    <w:rsid w:val="001873C7"/>
    <w:pPr>
      <w:spacing w:after="0" w:line="240" w:lineRule="auto"/>
    </w:pPr>
  </w:style>
  <w:style w:type="character" w:styleId="Hyperlink">
    <w:name w:val="Hyperlink"/>
    <w:basedOn w:val="DefaultParagraphFont"/>
    <w:uiPriority w:val="99"/>
    <w:unhideWhenUsed/>
    <w:rsid w:val="00CB17CE"/>
    <w:rPr>
      <w:color w:val="467886" w:themeColor="hyperlink"/>
      <w:u w:val="single"/>
    </w:rPr>
  </w:style>
  <w:style w:type="character" w:styleId="UnresolvedMention">
    <w:name w:val="Unresolved Mention"/>
    <w:basedOn w:val="DefaultParagraphFont"/>
    <w:uiPriority w:val="99"/>
    <w:semiHidden/>
    <w:unhideWhenUsed/>
    <w:rsid w:val="00CB17CE"/>
    <w:rPr>
      <w:color w:val="605E5C"/>
      <w:shd w:val="clear" w:color="auto" w:fill="E1DFDD"/>
    </w:rPr>
  </w:style>
  <w:style w:type="character" w:styleId="FollowedHyperlink">
    <w:name w:val="FollowedHyperlink"/>
    <w:basedOn w:val="DefaultParagraphFont"/>
    <w:uiPriority w:val="99"/>
    <w:semiHidden/>
    <w:unhideWhenUsed/>
    <w:rsid w:val="0048392C"/>
    <w:rPr>
      <w:color w:val="96607D" w:themeColor="followedHyperlink"/>
      <w:u w:val="single"/>
    </w:rPr>
  </w:style>
  <w:style w:type="paragraph" w:styleId="Header">
    <w:name w:val="header"/>
    <w:basedOn w:val="Normal"/>
    <w:link w:val="HeaderChar"/>
    <w:uiPriority w:val="99"/>
    <w:unhideWhenUsed/>
    <w:rsid w:val="005B20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0AC"/>
  </w:style>
  <w:style w:type="paragraph" w:styleId="Footer">
    <w:name w:val="footer"/>
    <w:basedOn w:val="Normal"/>
    <w:link w:val="FooterChar"/>
    <w:uiPriority w:val="99"/>
    <w:unhideWhenUsed/>
    <w:rsid w:val="005B20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0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79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discrimination-and-the-law/direct-discrimin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allup.com/workplace/404105/importance-of-employee-wellbeing.aspx.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resources.workable.com/stories-and-insights/diversity-inclusion-in-the-workplace" TargetMode="External"/><Relationship Id="rId4" Type="http://schemas.openxmlformats.org/officeDocument/2006/relationships/webSettings" Target="webSettings.xml"/><Relationship Id="rId9" Type="http://schemas.openxmlformats.org/officeDocument/2006/relationships/hyperlink" Target="https://www.acas.org.uk/improving-equality-diversity-and-inclusion/making-your-workplace-inclus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1627</Words>
  <Characters>9275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Humphreys</dc:creator>
  <cp:keywords/>
  <dc:description/>
  <cp:lastModifiedBy>Mark Humphreys</cp:lastModifiedBy>
  <cp:revision>12</cp:revision>
  <dcterms:created xsi:type="dcterms:W3CDTF">2024-08-05T17:50:00Z</dcterms:created>
  <dcterms:modified xsi:type="dcterms:W3CDTF">2024-08-05T18:58:00Z</dcterms:modified>
</cp:coreProperties>
</file>