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23533B" w14:textId="77777777" w:rsidR="00FB319D" w:rsidRDefault="00FB319D" w:rsidP="00FB319D">
      <w:pPr>
        <w:jc w:val="center"/>
        <w:rPr>
          <w:rFonts w:ascii="Arial" w:eastAsia="Times New Roman" w:hAnsi="Arial" w:cs="Arial"/>
          <w:b/>
          <w:bCs/>
          <w:color w:val="000000"/>
          <w:kern w:val="0"/>
          <w:lang w:eastAsia="en-GB"/>
          <w14:ligatures w14:val="none"/>
        </w:rPr>
      </w:pPr>
    </w:p>
    <w:p w14:paraId="4206435E" w14:textId="77777777" w:rsidR="00FB319D" w:rsidRDefault="00FB319D" w:rsidP="00FB319D">
      <w:pPr>
        <w:jc w:val="center"/>
        <w:rPr>
          <w:rFonts w:ascii="Arial" w:eastAsia="Times New Roman" w:hAnsi="Arial" w:cs="Arial"/>
          <w:b/>
          <w:bCs/>
          <w:color w:val="000000"/>
          <w:kern w:val="0"/>
          <w:lang w:eastAsia="en-GB"/>
          <w14:ligatures w14:val="none"/>
        </w:rPr>
      </w:pPr>
    </w:p>
    <w:p w14:paraId="69440DA5" w14:textId="77777777" w:rsidR="00FB319D" w:rsidRDefault="00FB319D" w:rsidP="00FB319D">
      <w:pPr>
        <w:jc w:val="center"/>
        <w:rPr>
          <w:rFonts w:ascii="Arial" w:eastAsia="Times New Roman" w:hAnsi="Arial" w:cs="Arial"/>
          <w:b/>
          <w:bCs/>
          <w:color w:val="000000"/>
          <w:kern w:val="0"/>
          <w:lang w:eastAsia="en-GB"/>
          <w14:ligatures w14:val="none"/>
        </w:rPr>
      </w:pPr>
    </w:p>
    <w:p w14:paraId="272DF257" w14:textId="77777777" w:rsidR="00FB319D" w:rsidRDefault="00FB319D" w:rsidP="00FB319D">
      <w:pPr>
        <w:jc w:val="center"/>
        <w:rPr>
          <w:rFonts w:ascii="Arial" w:eastAsia="Times New Roman" w:hAnsi="Arial" w:cs="Arial"/>
          <w:b/>
          <w:bCs/>
          <w:color w:val="000000"/>
          <w:kern w:val="0"/>
          <w:lang w:eastAsia="en-GB"/>
          <w14:ligatures w14:val="none"/>
        </w:rPr>
      </w:pPr>
    </w:p>
    <w:p w14:paraId="06D4ED06" w14:textId="77777777" w:rsidR="00FB319D" w:rsidRDefault="00FB319D" w:rsidP="00FB319D">
      <w:pPr>
        <w:jc w:val="center"/>
        <w:rPr>
          <w:rFonts w:ascii="Arial" w:eastAsia="Times New Roman" w:hAnsi="Arial" w:cs="Arial"/>
          <w:b/>
          <w:bCs/>
          <w:color w:val="000000"/>
          <w:kern w:val="0"/>
          <w:lang w:eastAsia="en-GB"/>
          <w14:ligatures w14:val="none"/>
        </w:rPr>
      </w:pPr>
    </w:p>
    <w:p w14:paraId="5566FA8D" w14:textId="77777777" w:rsidR="00FB319D" w:rsidRDefault="00FB319D" w:rsidP="00FB319D">
      <w:pPr>
        <w:jc w:val="center"/>
        <w:rPr>
          <w:rFonts w:ascii="Arial" w:eastAsia="Times New Roman" w:hAnsi="Arial" w:cs="Arial"/>
          <w:b/>
          <w:bCs/>
          <w:color w:val="000000"/>
          <w:kern w:val="0"/>
          <w:lang w:eastAsia="en-GB"/>
          <w14:ligatures w14:val="none"/>
        </w:rPr>
      </w:pPr>
    </w:p>
    <w:p w14:paraId="1B01BCE7" w14:textId="77777777" w:rsidR="00FB319D" w:rsidRDefault="00FB319D" w:rsidP="00FB319D">
      <w:pPr>
        <w:jc w:val="center"/>
        <w:rPr>
          <w:rFonts w:ascii="Arial" w:eastAsia="Times New Roman" w:hAnsi="Arial" w:cs="Arial"/>
          <w:b/>
          <w:bCs/>
          <w:color w:val="000000"/>
          <w:kern w:val="0"/>
          <w:lang w:eastAsia="en-GB"/>
          <w14:ligatures w14:val="none"/>
        </w:rPr>
      </w:pPr>
    </w:p>
    <w:p w14:paraId="4335A972" w14:textId="77777777" w:rsidR="00FB319D" w:rsidRDefault="00FB319D" w:rsidP="00FB319D">
      <w:pPr>
        <w:jc w:val="center"/>
        <w:rPr>
          <w:rFonts w:ascii="Arial" w:eastAsia="Times New Roman" w:hAnsi="Arial" w:cs="Arial"/>
          <w:b/>
          <w:bCs/>
          <w:color w:val="000000"/>
          <w:kern w:val="0"/>
          <w:lang w:eastAsia="en-GB"/>
          <w14:ligatures w14:val="none"/>
        </w:rPr>
      </w:pPr>
    </w:p>
    <w:p w14:paraId="62E675CC" w14:textId="77777777" w:rsidR="00FB319D" w:rsidRDefault="00FB319D" w:rsidP="00FB319D">
      <w:pPr>
        <w:jc w:val="center"/>
        <w:rPr>
          <w:rFonts w:ascii="Arial" w:eastAsia="Times New Roman" w:hAnsi="Arial" w:cs="Arial"/>
          <w:b/>
          <w:bCs/>
          <w:color w:val="000000"/>
          <w:kern w:val="0"/>
          <w:lang w:eastAsia="en-GB"/>
          <w14:ligatures w14:val="none"/>
        </w:rPr>
      </w:pPr>
    </w:p>
    <w:p w14:paraId="050BD6D8" w14:textId="77777777" w:rsidR="00FB319D" w:rsidRDefault="00FB319D" w:rsidP="00FB319D">
      <w:pPr>
        <w:jc w:val="center"/>
        <w:rPr>
          <w:rFonts w:ascii="Arial" w:eastAsia="Times New Roman" w:hAnsi="Arial" w:cs="Arial"/>
          <w:b/>
          <w:bCs/>
          <w:color w:val="000000"/>
          <w:kern w:val="0"/>
          <w:lang w:eastAsia="en-GB"/>
          <w14:ligatures w14:val="none"/>
        </w:rPr>
      </w:pPr>
    </w:p>
    <w:p w14:paraId="0B2DE842" w14:textId="77777777" w:rsidR="00FB319D" w:rsidRDefault="00FB319D" w:rsidP="00FB319D">
      <w:pPr>
        <w:jc w:val="center"/>
        <w:rPr>
          <w:rFonts w:ascii="Arial" w:eastAsia="Times New Roman" w:hAnsi="Arial" w:cs="Arial"/>
          <w:b/>
          <w:bCs/>
          <w:color w:val="000000"/>
          <w:kern w:val="0"/>
          <w:lang w:eastAsia="en-GB"/>
          <w14:ligatures w14:val="none"/>
        </w:rPr>
      </w:pPr>
    </w:p>
    <w:p w14:paraId="10D3AE06" w14:textId="77777777" w:rsidR="00FB319D" w:rsidRDefault="00FB319D" w:rsidP="00FB319D">
      <w:pPr>
        <w:jc w:val="center"/>
        <w:rPr>
          <w:rFonts w:ascii="Arial" w:eastAsia="Times New Roman" w:hAnsi="Arial" w:cs="Arial"/>
          <w:b/>
          <w:bCs/>
          <w:color w:val="000000"/>
          <w:kern w:val="0"/>
          <w:lang w:eastAsia="en-GB"/>
          <w14:ligatures w14:val="none"/>
        </w:rPr>
      </w:pPr>
    </w:p>
    <w:p w14:paraId="41AA4665" w14:textId="77777777" w:rsidR="00FB319D" w:rsidRDefault="00FB319D" w:rsidP="00FB319D">
      <w:pPr>
        <w:jc w:val="center"/>
        <w:rPr>
          <w:rFonts w:ascii="Arial" w:eastAsia="Times New Roman" w:hAnsi="Arial" w:cs="Arial"/>
          <w:b/>
          <w:bCs/>
          <w:color w:val="000000"/>
          <w:kern w:val="0"/>
          <w:lang w:eastAsia="en-GB"/>
          <w14:ligatures w14:val="none"/>
        </w:rPr>
      </w:pPr>
    </w:p>
    <w:p w14:paraId="3A7663F3" w14:textId="23C7C3AB" w:rsidR="00FB319D" w:rsidRPr="00FB319D" w:rsidRDefault="00FB319D" w:rsidP="00FB319D">
      <w:pPr>
        <w:jc w:val="center"/>
        <w:rPr>
          <w:rFonts w:ascii="Arial" w:eastAsia="Times New Roman" w:hAnsi="Arial" w:cs="Arial"/>
          <w:b/>
          <w:bCs/>
          <w:color w:val="000000"/>
          <w:kern w:val="0"/>
          <w:lang w:eastAsia="en-GB"/>
          <w14:ligatures w14:val="none"/>
        </w:rPr>
      </w:pPr>
      <w:r w:rsidRPr="00FB319D">
        <w:rPr>
          <w:rFonts w:ascii="Arial" w:eastAsia="Times New Roman" w:hAnsi="Arial" w:cs="Arial"/>
          <w:b/>
          <w:bCs/>
          <w:color w:val="000000"/>
          <w:kern w:val="0"/>
          <w:lang w:eastAsia="en-GB"/>
          <w14:ligatures w14:val="none"/>
        </w:rPr>
        <w:t>AI declaration</w:t>
      </w:r>
    </w:p>
    <w:p w14:paraId="6AE5265C" w14:textId="77777777" w:rsidR="00FB319D" w:rsidRPr="00FB319D" w:rsidRDefault="00FB319D" w:rsidP="00FB319D">
      <w:pPr>
        <w:jc w:val="center"/>
        <w:rPr>
          <w:rFonts w:ascii="Arial" w:eastAsia="Times New Roman" w:hAnsi="Arial" w:cs="Arial"/>
          <w:color w:val="000000"/>
          <w:kern w:val="0"/>
          <w:lang w:eastAsia="en-GB"/>
          <w14:ligatures w14:val="none"/>
        </w:rPr>
      </w:pPr>
      <w:r w:rsidRPr="00FB319D">
        <w:rPr>
          <w:rFonts w:ascii="Arial" w:eastAsia="Times New Roman" w:hAnsi="Arial" w:cs="Arial"/>
          <w:color w:val="000000"/>
          <w:kern w:val="0"/>
          <w:lang w:eastAsia="en-GB"/>
          <w14:ligatures w14:val="none"/>
        </w:rPr>
        <w:t>I confirm that I have not presented any AI generated text as my own work.</w:t>
      </w:r>
    </w:p>
    <w:p w14:paraId="058A683B" w14:textId="73FD8364" w:rsidR="001F04E7" w:rsidRDefault="001F04E7">
      <w:pPr>
        <w:rPr>
          <w:rFonts w:ascii="Arial" w:eastAsia="Times New Roman" w:hAnsi="Arial" w:cs="Arial"/>
          <w:b/>
          <w:bCs/>
          <w:color w:val="000000"/>
          <w:kern w:val="0"/>
          <w:lang w:eastAsia="en-GB"/>
          <w14:ligatures w14:val="none"/>
        </w:rPr>
      </w:pPr>
    </w:p>
    <w:p w14:paraId="5F64CA5F" w14:textId="77777777" w:rsidR="00FB319D" w:rsidRDefault="00FB319D">
      <w:pPr>
        <w:rPr>
          <w:rFonts w:ascii="Arial" w:eastAsia="Times New Roman" w:hAnsi="Arial" w:cs="Arial"/>
          <w:b/>
          <w:bCs/>
          <w:color w:val="000000"/>
          <w:kern w:val="0"/>
          <w:lang w:eastAsia="en-GB"/>
          <w14:ligatures w14:val="none"/>
        </w:rPr>
      </w:pPr>
      <w:r>
        <w:rPr>
          <w:rFonts w:ascii="Arial" w:eastAsia="Times New Roman" w:hAnsi="Arial" w:cs="Arial"/>
          <w:b/>
          <w:bCs/>
          <w:color w:val="000000"/>
          <w:kern w:val="0"/>
          <w:lang w:eastAsia="en-GB"/>
          <w14:ligatures w14:val="none"/>
        </w:rPr>
        <w:br w:type="page"/>
      </w:r>
    </w:p>
    <w:p w14:paraId="417BBF5F" w14:textId="7C478922" w:rsidR="001F04E7" w:rsidRDefault="001F04E7" w:rsidP="001F04E7">
      <w:pPr>
        <w:spacing w:line="360" w:lineRule="auto"/>
        <w:rPr>
          <w:rFonts w:ascii="Arial" w:eastAsia="Times New Roman" w:hAnsi="Arial" w:cs="Arial"/>
          <w:b/>
          <w:bCs/>
          <w:color w:val="000000"/>
          <w:kern w:val="0"/>
          <w:lang w:eastAsia="en-GB"/>
          <w14:ligatures w14:val="none"/>
        </w:rPr>
      </w:pPr>
      <w:r>
        <w:rPr>
          <w:rFonts w:ascii="Arial" w:eastAsia="Times New Roman" w:hAnsi="Arial" w:cs="Arial"/>
          <w:b/>
          <w:bCs/>
          <w:color w:val="000000"/>
          <w:kern w:val="0"/>
          <w:lang w:eastAsia="en-GB"/>
          <w14:ligatures w14:val="none"/>
        </w:rPr>
        <w:lastRenderedPageBreak/>
        <w:t xml:space="preserve">Critical reflection of Brown </w:t>
      </w:r>
      <w:r w:rsidRPr="007922A8">
        <w:rPr>
          <w:rFonts w:ascii="Arial" w:eastAsia="Times New Roman" w:hAnsi="Arial" w:cs="Arial"/>
          <w:b/>
          <w:bCs/>
          <w:i/>
          <w:iCs/>
          <w:color w:val="000000"/>
          <w:kern w:val="0"/>
          <w:lang w:eastAsia="en-GB"/>
          <w14:ligatures w14:val="none"/>
        </w:rPr>
        <w:t>et al.</w:t>
      </w:r>
      <w:r>
        <w:rPr>
          <w:rFonts w:ascii="Arial" w:eastAsia="Times New Roman" w:hAnsi="Arial" w:cs="Arial"/>
          <w:b/>
          <w:bCs/>
          <w:color w:val="000000"/>
          <w:kern w:val="0"/>
          <w:lang w:eastAsia="en-GB"/>
          <w14:ligatures w14:val="none"/>
        </w:rPr>
        <w:t xml:space="preserve"> (2022) research on teachers’ perception of menstrual health education.</w:t>
      </w:r>
    </w:p>
    <w:p w14:paraId="4158783F" w14:textId="77777777" w:rsidR="001F04E7" w:rsidRDefault="001F04E7">
      <w:pPr>
        <w:rPr>
          <w:rFonts w:ascii="Arial" w:eastAsia="Times New Roman" w:hAnsi="Arial" w:cs="Arial"/>
          <w:b/>
          <w:bCs/>
          <w:color w:val="000000"/>
          <w:kern w:val="0"/>
          <w:lang w:eastAsia="en-GB"/>
          <w14:ligatures w14:val="none"/>
        </w:rPr>
      </w:pPr>
    </w:p>
    <w:sdt>
      <w:sdtPr>
        <w:rPr>
          <w:rFonts w:asciiTheme="minorHAnsi" w:eastAsiaTheme="minorHAnsi" w:hAnsiTheme="minorHAnsi" w:cstheme="minorHAnsi"/>
          <w:color w:val="auto"/>
          <w:kern w:val="2"/>
          <w:sz w:val="24"/>
          <w:szCs w:val="24"/>
          <w:lang w:val="en-GB"/>
          <w14:ligatures w14:val="standardContextual"/>
        </w:rPr>
        <w:id w:val="537019576"/>
        <w:docPartObj>
          <w:docPartGallery w:val="Table of Contents"/>
          <w:docPartUnique/>
        </w:docPartObj>
      </w:sdtPr>
      <w:sdtEndPr>
        <w:rPr>
          <w:noProof/>
        </w:rPr>
      </w:sdtEndPr>
      <w:sdtContent>
        <w:p w14:paraId="08F5B5DC" w14:textId="0925F3AA" w:rsidR="00B81C15" w:rsidRPr="00815F19" w:rsidRDefault="00B81C15">
          <w:pPr>
            <w:pStyle w:val="TOCHeading"/>
            <w:rPr>
              <w:rFonts w:ascii="Arial" w:hAnsi="Arial" w:cs="Arial"/>
              <w:b/>
              <w:bCs/>
              <w:color w:val="auto"/>
              <w:sz w:val="24"/>
              <w:szCs w:val="24"/>
            </w:rPr>
          </w:pPr>
          <w:r w:rsidRPr="00815F19">
            <w:rPr>
              <w:rFonts w:ascii="Arial" w:hAnsi="Arial" w:cs="Arial"/>
              <w:b/>
              <w:bCs/>
              <w:color w:val="auto"/>
              <w:sz w:val="24"/>
              <w:szCs w:val="24"/>
            </w:rPr>
            <w:t>Contents</w:t>
          </w:r>
        </w:p>
        <w:p w14:paraId="1C11A67C" w14:textId="77777777" w:rsidR="00B81C15" w:rsidRPr="00815F19" w:rsidRDefault="00B81C15" w:rsidP="00B81C15">
          <w:pPr>
            <w:rPr>
              <w:rFonts w:ascii="Arial" w:hAnsi="Arial" w:cs="Arial"/>
              <w:lang w:val="en-US"/>
            </w:rPr>
          </w:pPr>
        </w:p>
        <w:p w14:paraId="4F727FFE" w14:textId="701AD0C2" w:rsidR="00815F19" w:rsidRPr="00815F19" w:rsidRDefault="00B81C15">
          <w:pPr>
            <w:pStyle w:val="TOC1"/>
            <w:tabs>
              <w:tab w:val="right" w:leader="dot" w:pos="9016"/>
            </w:tabs>
            <w:rPr>
              <w:rFonts w:ascii="Arial" w:eastAsiaTheme="minorEastAsia" w:hAnsi="Arial" w:cs="Arial"/>
              <w:noProof/>
              <w:lang w:eastAsia="en-GB"/>
            </w:rPr>
          </w:pPr>
          <w:r w:rsidRPr="00815F19">
            <w:rPr>
              <w:rFonts w:ascii="Arial" w:hAnsi="Arial" w:cs="Arial"/>
            </w:rPr>
            <w:fldChar w:fldCharType="begin"/>
          </w:r>
          <w:r w:rsidRPr="00815F19">
            <w:rPr>
              <w:rFonts w:ascii="Arial" w:hAnsi="Arial" w:cs="Arial"/>
            </w:rPr>
            <w:instrText xml:space="preserve"> TOC \o "1-3" \h \z \u </w:instrText>
          </w:r>
          <w:r w:rsidRPr="00815F19">
            <w:rPr>
              <w:rFonts w:ascii="Arial" w:hAnsi="Arial" w:cs="Arial"/>
            </w:rPr>
            <w:fldChar w:fldCharType="separate"/>
          </w:r>
          <w:hyperlink w:anchor="_Toc228106645" w:history="1">
            <w:r w:rsidR="00815F19" w:rsidRPr="00815F19">
              <w:rPr>
                <w:rStyle w:val="Hyperlink"/>
                <w:rFonts w:ascii="Arial" w:eastAsia="Times New Roman" w:hAnsi="Arial" w:cs="Arial"/>
                <w:noProof/>
                <w:lang w:eastAsia="en-GB"/>
              </w:rPr>
              <w:t>Introduction</w:t>
            </w:r>
            <w:r w:rsidR="00815F19" w:rsidRPr="00815F19">
              <w:rPr>
                <w:rFonts w:ascii="Arial" w:hAnsi="Arial" w:cs="Arial"/>
                <w:noProof/>
                <w:webHidden/>
              </w:rPr>
              <w:tab/>
            </w:r>
            <w:r w:rsidR="00815F19" w:rsidRPr="00815F19">
              <w:rPr>
                <w:rFonts w:ascii="Arial" w:hAnsi="Arial" w:cs="Arial"/>
                <w:noProof/>
                <w:webHidden/>
              </w:rPr>
              <w:fldChar w:fldCharType="begin"/>
            </w:r>
            <w:r w:rsidR="00815F19" w:rsidRPr="00815F19">
              <w:rPr>
                <w:rFonts w:ascii="Arial" w:hAnsi="Arial" w:cs="Arial"/>
                <w:noProof/>
                <w:webHidden/>
              </w:rPr>
              <w:instrText xml:space="preserve"> PAGEREF _Toc228106645 \h </w:instrText>
            </w:r>
            <w:r w:rsidR="00815F19" w:rsidRPr="00815F19">
              <w:rPr>
                <w:rFonts w:ascii="Arial" w:hAnsi="Arial" w:cs="Arial"/>
                <w:noProof/>
                <w:webHidden/>
              </w:rPr>
            </w:r>
            <w:r w:rsidR="00815F19" w:rsidRPr="00815F19">
              <w:rPr>
                <w:rFonts w:ascii="Arial" w:hAnsi="Arial" w:cs="Arial"/>
                <w:noProof/>
                <w:webHidden/>
              </w:rPr>
              <w:fldChar w:fldCharType="separate"/>
            </w:r>
            <w:r w:rsidR="00815F19" w:rsidRPr="00815F19">
              <w:rPr>
                <w:rFonts w:ascii="Arial" w:hAnsi="Arial" w:cs="Arial"/>
                <w:noProof/>
                <w:webHidden/>
              </w:rPr>
              <w:t>3</w:t>
            </w:r>
            <w:r w:rsidR="00815F19" w:rsidRPr="00815F19">
              <w:rPr>
                <w:rFonts w:ascii="Arial" w:hAnsi="Arial" w:cs="Arial"/>
                <w:noProof/>
                <w:webHidden/>
              </w:rPr>
              <w:fldChar w:fldCharType="end"/>
            </w:r>
          </w:hyperlink>
        </w:p>
        <w:p w14:paraId="76A5173A" w14:textId="34DECB3E" w:rsidR="00815F19" w:rsidRPr="00815F19" w:rsidRDefault="00815F19">
          <w:pPr>
            <w:pStyle w:val="TOC1"/>
            <w:tabs>
              <w:tab w:val="right" w:leader="dot" w:pos="9016"/>
            </w:tabs>
            <w:rPr>
              <w:rFonts w:ascii="Arial" w:eastAsiaTheme="minorEastAsia" w:hAnsi="Arial" w:cs="Arial"/>
              <w:noProof/>
              <w:lang w:eastAsia="en-GB"/>
            </w:rPr>
          </w:pPr>
          <w:hyperlink w:anchor="_Toc228106646" w:history="1">
            <w:r w:rsidRPr="00815F19">
              <w:rPr>
                <w:rStyle w:val="Hyperlink"/>
                <w:rFonts w:ascii="Arial" w:eastAsia="Times New Roman" w:hAnsi="Arial" w:cs="Arial"/>
                <w:noProof/>
                <w:lang w:eastAsia="en-GB"/>
              </w:rPr>
              <w:t>Literature review</w:t>
            </w:r>
            <w:r w:rsidRPr="00815F19">
              <w:rPr>
                <w:rFonts w:ascii="Arial" w:hAnsi="Arial" w:cs="Arial"/>
                <w:noProof/>
                <w:webHidden/>
              </w:rPr>
              <w:tab/>
            </w:r>
            <w:r w:rsidRPr="00815F19">
              <w:rPr>
                <w:rFonts w:ascii="Arial" w:hAnsi="Arial" w:cs="Arial"/>
                <w:noProof/>
                <w:webHidden/>
              </w:rPr>
              <w:fldChar w:fldCharType="begin"/>
            </w:r>
            <w:r w:rsidRPr="00815F19">
              <w:rPr>
                <w:rFonts w:ascii="Arial" w:hAnsi="Arial" w:cs="Arial"/>
                <w:noProof/>
                <w:webHidden/>
              </w:rPr>
              <w:instrText xml:space="preserve"> PAGEREF _Toc228106646 \h </w:instrText>
            </w:r>
            <w:r w:rsidRPr="00815F19">
              <w:rPr>
                <w:rFonts w:ascii="Arial" w:hAnsi="Arial" w:cs="Arial"/>
                <w:noProof/>
                <w:webHidden/>
              </w:rPr>
            </w:r>
            <w:r w:rsidRPr="00815F19">
              <w:rPr>
                <w:rFonts w:ascii="Arial" w:hAnsi="Arial" w:cs="Arial"/>
                <w:noProof/>
                <w:webHidden/>
              </w:rPr>
              <w:fldChar w:fldCharType="separate"/>
            </w:r>
            <w:r w:rsidRPr="00815F19">
              <w:rPr>
                <w:rFonts w:ascii="Arial" w:hAnsi="Arial" w:cs="Arial"/>
                <w:noProof/>
                <w:webHidden/>
              </w:rPr>
              <w:t>3</w:t>
            </w:r>
            <w:r w:rsidRPr="00815F19">
              <w:rPr>
                <w:rFonts w:ascii="Arial" w:hAnsi="Arial" w:cs="Arial"/>
                <w:noProof/>
                <w:webHidden/>
              </w:rPr>
              <w:fldChar w:fldCharType="end"/>
            </w:r>
          </w:hyperlink>
        </w:p>
        <w:p w14:paraId="3678F1C0" w14:textId="2E55E373" w:rsidR="00815F19" w:rsidRPr="00815F19" w:rsidRDefault="00815F19">
          <w:pPr>
            <w:pStyle w:val="TOC1"/>
            <w:tabs>
              <w:tab w:val="right" w:leader="dot" w:pos="9016"/>
            </w:tabs>
            <w:rPr>
              <w:rFonts w:ascii="Arial" w:eastAsiaTheme="minorEastAsia" w:hAnsi="Arial" w:cs="Arial"/>
              <w:noProof/>
              <w:lang w:eastAsia="en-GB"/>
            </w:rPr>
          </w:pPr>
          <w:hyperlink w:anchor="_Toc228106647" w:history="1">
            <w:r w:rsidRPr="00815F19">
              <w:rPr>
                <w:rStyle w:val="Hyperlink"/>
                <w:rFonts w:ascii="Arial" w:eastAsia="Times New Roman" w:hAnsi="Arial" w:cs="Arial"/>
                <w:noProof/>
                <w:lang w:eastAsia="en-GB"/>
              </w:rPr>
              <w:t>Methodology</w:t>
            </w:r>
            <w:r w:rsidRPr="00815F19">
              <w:rPr>
                <w:rFonts w:ascii="Arial" w:hAnsi="Arial" w:cs="Arial"/>
                <w:noProof/>
                <w:webHidden/>
              </w:rPr>
              <w:tab/>
            </w:r>
            <w:r w:rsidRPr="00815F19">
              <w:rPr>
                <w:rFonts w:ascii="Arial" w:hAnsi="Arial" w:cs="Arial"/>
                <w:noProof/>
                <w:webHidden/>
              </w:rPr>
              <w:fldChar w:fldCharType="begin"/>
            </w:r>
            <w:r w:rsidRPr="00815F19">
              <w:rPr>
                <w:rFonts w:ascii="Arial" w:hAnsi="Arial" w:cs="Arial"/>
                <w:noProof/>
                <w:webHidden/>
              </w:rPr>
              <w:instrText xml:space="preserve"> PAGEREF _Toc228106647 \h </w:instrText>
            </w:r>
            <w:r w:rsidRPr="00815F19">
              <w:rPr>
                <w:rFonts w:ascii="Arial" w:hAnsi="Arial" w:cs="Arial"/>
                <w:noProof/>
                <w:webHidden/>
              </w:rPr>
            </w:r>
            <w:r w:rsidRPr="00815F19">
              <w:rPr>
                <w:rFonts w:ascii="Arial" w:hAnsi="Arial" w:cs="Arial"/>
                <w:noProof/>
                <w:webHidden/>
              </w:rPr>
              <w:fldChar w:fldCharType="separate"/>
            </w:r>
            <w:r w:rsidRPr="00815F19">
              <w:rPr>
                <w:rFonts w:ascii="Arial" w:hAnsi="Arial" w:cs="Arial"/>
                <w:noProof/>
                <w:webHidden/>
              </w:rPr>
              <w:t>4</w:t>
            </w:r>
            <w:r w:rsidRPr="00815F19">
              <w:rPr>
                <w:rFonts w:ascii="Arial" w:hAnsi="Arial" w:cs="Arial"/>
                <w:noProof/>
                <w:webHidden/>
              </w:rPr>
              <w:fldChar w:fldCharType="end"/>
            </w:r>
          </w:hyperlink>
        </w:p>
        <w:p w14:paraId="58DF18F5" w14:textId="13E5B32F" w:rsidR="00815F19" w:rsidRPr="00815F19" w:rsidRDefault="00815F19">
          <w:pPr>
            <w:pStyle w:val="TOC1"/>
            <w:tabs>
              <w:tab w:val="right" w:leader="dot" w:pos="9016"/>
            </w:tabs>
            <w:rPr>
              <w:rFonts w:ascii="Arial" w:eastAsiaTheme="minorEastAsia" w:hAnsi="Arial" w:cs="Arial"/>
              <w:noProof/>
              <w:lang w:eastAsia="en-GB"/>
            </w:rPr>
          </w:pPr>
          <w:hyperlink w:anchor="_Toc228106648" w:history="1">
            <w:r w:rsidRPr="00815F19">
              <w:rPr>
                <w:rStyle w:val="Hyperlink"/>
                <w:rFonts w:ascii="Arial" w:eastAsia="Times New Roman" w:hAnsi="Arial" w:cs="Arial"/>
                <w:noProof/>
                <w:lang w:eastAsia="en-GB"/>
              </w:rPr>
              <w:t>Data collection methods</w:t>
            </w:r>
            <w:r w:rsidRPr="00815F19">
              <w:rPr>
                <w:rFonts w:ascii="Arial" w:hAnsi="Arial" w:cs="Arial"/>
                <w:noProof/>
                <w:webHidden/>
              </w:rPr>
              <w:tab/>
            </w:r>
            <w:r w:rsidRPr="00815F19">
              <w:rPr>
                <w:rFonts w:ascii="Arial" w:hAnsi="Arial" w:cs="Arial"/>
                <w:noProof/>
                <w:webHidden/>
              </w:rPr>
              <w:fldChar w:fldCharType="begin"/>
            </w:r>
            <w:r w:rsidRPr="00815F19">
              <w:rPr>
                <w:rFonts w:ascii="Arial" w:hAnsi="Arial" w:cs="Arial"/>
                <w:noProof/>
                <w:webHidden/>
              </w:rPr>
              <w:instrText xml:space="preserve"> PAGEREF _Toc228106648 \h </w:instrText>
            </w:r>
            <w:r w:rsidRPr="00815F19">
              <w:rPr>
                <w:rFonts w:ascii="Arial" w:hAnsi="Arial" w:cs="Arial"/>
                <w:noProof/>
                <w:webHidden/>
              </w:rPr>
            </w:r>
            <w:r w:rsidRPr="00815F19">
              <w:rPr>
                <w:rFonts w:ascii="Arial" w:hAnsi="Arial" w:cs="Arial"/>
                <w:noProof/>
                <w:webHidden/>
              </w:rPr>
              <w:fldChar w:fldCharType="separate"/>
            </w:r>
            <w:r w:rsidRPr="00815F19">
              <w:rPr>
                <w:rFonts w:ascii="Arial" w:hAnsi="Arial" w:cs="Arial"/>
                <w:noProof/>
                <w:webHidden/>
              </w:rPr>
              <w:t>7</w:t>
            </w:r>
            <w:r w:rsidRPr="00815F19">
              <w:rPr>
                <w:rFonts w:ascii="Arial" w:hAnsi="Arial" w:cs="Arial"/>
                <w:noProof/>
                <w:webHidden/>
              </w:rPr>
              <w:fldChar w:fldCharType="end"/>
            </w:r>
          </w:hyperlink>
        </w:p>
        <w:p w14:paraId="01CD506A" w14:textId="2383870F" w:rsidR="00815F19" w:rsidRPr="00815F19" w:rsidRDefault="00815F19">
          <w:pPr>
            <w:pStyle w:val="TOC1"/>
            <w:tabs>
              <w:tab w:val="right" w:leader="dot" w:pos="9016"/>
            </w:tabs>
            <w:rPr>
              <w:rFonts w:ascii="Arial" w:eastAsiaTheme="minorEastAsia" w:hAnsi="Arial" w:cs="Arial"/>
              <w:noProof/>
              <w:lang w:eastAsia="en-GB"/>
            </w:rPr>
          </w:pPr>
          <w:hyperlink w:anchor="_Toc228106649" w:history="1">
            <w:r w:rsidRPr="00815F19">
              <w:rPr>
                <w:rStyle w:val="Hyperlink"/>
                <w:rFonts w:ascii="Arial" w:eastAsia="Times New Roman" w:hAnsi="Arial" w:cs="Arial"/>
                <w:noProof/>
                <w:lang w:eastAsia="en-GB"/>
              </w:rPr>
              <w:t>Ethical considerations</w:t>
            </w:r>
            <w:r w:rsidRPr="00815F19">
              <w:rPr>
                <w:rFonts w:ascii="Arial" w:hAnsi="Arial" w:cs="Arial"/>
                <w:noProof/>
                <w:webHidden/>
              </w:rPr>
              <w:tab/>
            </w:r>
            <w:r w:rsidRPr="00815F19">
              <w:rPr>
                <w:rFonts w:ascii="Arial" w:hAnsi="Arial" w:cs="Arial"/>
                <w:noProof/>
                <w:webHidden/>
              </w:rPr>
              <w:fldChar w:fldCharType="begin"/>
            </w:r>
            <w:r w:rsidRPr="00815F19">
              <w:rPr>
                <w:rFonts w:ascii="Arial" w:hAnsi="Arial" w:cs="Arial"/>
                <w:noProof/>
                <w:webHidden/>
              </w:rPr>
              <w:instrText xml:space="preserve"> PAGEREF _Toc228106649 \h </w:instrText>
            </w:r>
            <w:r w:rsidRPr="00815F19">
              <w:rPr>
                <w:rFonts w:ascii="Arial" w:hAnsi="Arial" w:cs="Arial"/>
                <w:noProof/>
                <w:webHidden/>
              </w:rPr>
            </w:r>
            <w:r w:rsidRPr="00815F19">
              <w:rPr>
                <w:rFonts w:ascii="Arial" w:hAnsi="Arial" w:cs="Arial"/>
                <w:noProof/>
                <w:webHidden/>
              </w:rPr>
              <w:fldChar w:fldCharType="separate"/>
            </w:r>
            <w:r w:rsidRPr="00815F19">
              <w:rPr>
                <w:rFonts w:ascii="Arial" w:hAnsi="Arial" w:cs="Arial"/>
                <w:noProof/>
                <w:webHidden/>
              </w:rPr>
              <w:t>10</w:t>
            </w:r>
            <w:r w:rsidRPr="00815F19">
              <w:rPr>
                <w:rFonts w:ascii="Arial" w:hAnsi="Arial" w:cs="Arial"/>
                <w:noProof/>
                <w:webHidden/>
              </w:rPr>
              <w:fldChar w:fldCharType="end"/>
            </w:r>
          </w:hyperlink>
        </w:p>
        <w:p w14:paraId="3C92AB14" w14:textId="5DADFC71" w:rsidR="00815F19" w:rsidRPr="00815F19" w:rsidRDefault="00815F19">
          <w:pPr>
            <w:pStyle w:val="TOC1"/>
            <w:tabs>
              <w:tab w:val="right" w:leader="dot" w:pos="9016"/>
            </w:tabs>
            <w:rPr>
              <w:rFonts w:ascii="Arial" w:eastAsiaTheme="minorEastAsia" w:hAnsi="Arial" w:cs="Arial"/>
              <w:noProof/>
              <w:lang w:eastAsia="en-GB"/>
            </w:rPr>
          </w:pPr>
          <w:hyperlink w:anchor="_Toc228106650" w:history="1">
            <w:r w:rsidRPr="00815F19">
              <w:rPr>
                <w:rStyle w:val="Hyperlink"/>
                <w:rFonts w:ascii="Arial" w:eastAsia="Times New Roman" w:hAnsi="Arial" w:cs="Arial"/>
                <w:noProof/>
                <w:lang w:eastAsia="en-GB"/>
              </w:rPr>
              <w:t>Implications</w:t>
            </w:r>
            <w:r w:rsidRPr="00815F19">
              <w:rPr>
                <w:rFonts w:ascii="Arial" w:hAnsi="Arial" w:cs="Arial"/>
                <w:noProof/>
                <w:webHidden/>
              </w:rPr>
              <w:tab/>
            </w:r>
            <w:r w:rsidRPr="00815F19">
              <w:rPr>
                <w:rFonts w:ascii="Arial" w:hAnsi="Arial" w:cs="Arial"/>
                <w:noProof/>
                <w:webHidden/>
              </w:rPr>
              <w:fldChar w:fldCharType="begin"/>
            </w:r>
            <w:r w:rsidRPr="00815F19">
              <w:rPr>
                <w:rFonts w:ascii="Arial" w:hAnsi="Arial" w:cs="Arial"/>
                <w:noProof/>
                <w:webHidden/>
              </w:rPr>
              <w:instrText xml:space="preserve"> PAGEREF _Toc228106650 \h </w:instrText>
            </w:r>
            <w:r w:rsidRPr="00815F19">
              <w:rPr>
                <w:rFonts w:ascii="Arial" w:hAnsi="Arial" w:cs="Arial"/>
                <w:noProof/>
                <w:webHidden/>
              </w:rPr>
            </w:r>
            <w:r w:rsidRPr="00815F19">
              <w:rPr>
                <w:rFonts w:ascii="Arial" w:hAnsi="Arial" w:cs="Arial"/>
                <w:noProof/>
                <w:webHidden/>
              </w:rPr>
              <w:fldChar w:fldCharType="separate"/>
            </w:r>
            <w:r w:rsidRPr="00815F19">
              <w:rPr>
                <w:rFonts w:ascii="Arial" w:hAnsi="Arial" w:cs="Arial"/>
                <w:noProof/>
                <w:webHidden/>
              </w:rPr>
              <w:t>11</w:t>
            </w:r>
            <w:r w:rsidRPr="00815F19">
              <w:rPr>
                <w:rFonts w:ascii="Arial" w:hAnsi="Arial" w:cs="Arial"/>
                <w:noProof/>
                <w:webHidden/>
              </w:rPr>
              <w:fldChar w:fldCharType="end"/>
            </w:r>
          </w:hyperlink>
        </w:p>
        <w:p w14:paraId="61B9FD6D" w14:textId="65A7FCE0" w:rsidR="00815F19" w:rsidRPr="00815F19" w:rsidRDefault="00815F19">
          <w:pPr>
            <w:pStyle w:val="TOC1"/>
            <w:tabs>
              <w:tab w:val="right" w:leader="dot" w:pos="9016"/>
            </w:tabs>
            <w:rPr>
              <w:rFonts w:ascii="Arial" w:eastAsiaTheme="minorEastAsia" w:hAnsi="Arial" w:cs="Arial"/>
              <w:noProof/>
              <w:lang w:eastAsia="en-GB"/>
            </w:rPr>
          </w:pPr>
          <w:hyperlink w:anchor="_Toc228106651" w:history="1">
            <w:r w:rsidRPr="00815F19">
              <w:rPr>
                <w:rStyle w:val="Hyperlink"/>
                <w:rFonts w:ascii="Arial" w:eastAsia="Times New Roman" w:hAnsi="Arial" w:cs="Arial"/>
                <w:noProof/>
                <w:lang w:eastAsia="en-GB"/>
              </w:rPr>
              <w:t>Conclusion</w:t>
            </w:r>
            <w:r w:rsidRPr="00815F19">
              <w:rPr>
                <w:rFonts w:ascii="Arial" w:hAnsi="Arial" w:cs="Arial"/>
                <w:noProof/>
                <w:webHidden/>
              </w:rPr>
              <w:tab/>
            </w:r>
            <w:r w:rsidRPr="00815F19">
              <w:rPr>
                <w:rFonts w:ascii="Arial" w:hAnsi="Arial" w:cs="Arial"/>
                <w:noProof/>
                <w:webHidden/>
              </w:rPr>
              <w:fldChar w:fldCharType="begin"/>
            </w:r>
            <w:r w:rsidRPr="00815F19">
              <w:rPr>
                <w:rFonts w:ascii="Arial" w:hAnsi="Arial" w:cs="Arial"/>
                <w:noProof/>
                <w:webHidden/>
              </w:rPr>
              <w:instrText xml:space="preserve"> PAGEREF _Toc228106651 \h </w:instrText>
            </w:r>
            <w:r w:rsidRPr="00815F19">
              <w:rPr>
                <w:rFonts w:ascii="Arial" w:hAnsi="Arial" w:cs="Arial"/>
                <w:noProof/>
                <w:webHidden/>
              </w:rPr>
            </w:r>
            <w:r w:rsidRPr="00815F19">
              <w:rPr>
                <w:rFonts w:ascii="Arial" w:hAnsi="Arial" w:cs="Arial"/>
                <w:noProof/>
                <w:webHidden/>
              </w:rPr>
              <w:fldChar w:fldCharType="separate"/>
            </w:r>
            <w:r w:rsidRPr="00815F19">
              <w:rPr>
                <w:rFonts w:ascii="Arial" w:hAnsi="Arial" w:cs="Arial"/>
                <w:noProof/>
                <w:webHidden/>
              </w:rPr>
              <w:t>12</w:t>
            </w:r>
            <w:r w:rsidRPr="00815F19">
              <w:rPr>
                <w:rFonts w:ascii="Arial" w:hAnsi="Arial" w:cs="Arial"/>
                <w:noProof/>
                <w:webHidden/>
              </w:rPr>
              <w:fldChar w:fldCharType="end"/>
            </w:r>
          </w:hyperlink>
        </w:p>
        <w:p w14:paraId="373C234D" w14:textId="3E6D8979" w:rsidR="00815F19" w:rsidRPr="00815F19" w:rsidRDefault="00815F19">
          <w:pPr>
            <w:pStyle w:val="TOC1"/>
            <w:tabs>
              <w:tab w:val="right" w:leader="dot" w:pos="9016"/>
            </w:tabs>
            <w:rPr>
              <w:rFonts w:ascii="Arial" w:eastAsiaTheme="minorEastAsia" w:hAnsi="Arial" w:cs="Arial"/>
              <w:noProof/>
              <w:lang w:eastAsia="en-GB"/>
            </w:rPr>
          </w:pPr>
          <w:hyperlink w:anchor="_Toc228106652" w:history="1">
            <w:r w:rsidRPr="00815F19">
              <w:rPr>
                <w:rStyle w:val="Hyperlink"/>
                <w:rFonts w:ascii="Arial" w:hAnsi="Arial" w:cs="Arial"/>
                <w:noProof/>
              </w:rPr>
              <w:t>Reference list</w:t>
            </w:r>
            <w:r w:rsidRPr="00815F19">
              <w:rPr>
                <w:rFonts w:ascii="Arial" w:hAnsi="Arial" w:cs="Arial"/>
                <w:noProof/>
                <w:webHidden/>
              </w:rPr>
              <w:tab/>
            </w:r>
            <w:r w:rsidRPr="00815F19">
              <w:rPr>
                <w:rFonts w:ascii="Arial" w:hAnsi="Arial" w:cs="Arial"/>
                <w:noProof/>
                <w:webHidden/>
              </w:rPr>
              <w:fldChar w:fldCharType="begin"/>
            </w:r>
            <w:r w:rsidRPr="00815F19">
              <w:rPr>
                <w:rFonts w:ascii="Arial" w:hAnsi="Arial" w:cs="Arial"/>
                <w:noProof/>
                <w:webHidden/>
              </w:rPr>
              <w:instrText xml:space="preserve"> PAGEREF _Toc228106652 \h </w:instrText>
            </w:r>
            <w:r w:rsidRPr="00815F19">
              <w:rPr>
                <w:rFonts w:ascii="Arial" w:hAnsi="Arial" w:cs="Arial"/>
                <w:noProof/>
                <w:webHidden/>
              </w:rPr>
            </w:r>
            <w:r w:rsidRPr="00815F19">
              <w:rPr>
                <w:rFonts w:ascii="Arial" w:hAnsi="Arial" w:cs="Arial"/>
                <w:noProof/>
                <w:webHidden/>
              </w:rPr>
              <w:fldChar w:fldCharType="separate"/>
            </w:r>
            <w:r w:rsidRPr="00815F19">
              <w:rPr>
                <w:rFonts w:ascii="Arial" w:hAnsi="Arial" w:cs="Arial"/>
                <w:noProof/>
                <w:webHidden/>
              </w:rPr>
              <w:t>14</w:t>
            </w:r>
            <w:r w:rsidRPr="00815F19">
              <w:rPr>
                <w:rFonts w:ascii="Arial" w:hAnsi="Arial" w:cs="Arial"/>
                <w:noProof/>
                <w:webHidden/>
              </w:rPr>
              <w:fldChar w:fldCharType="end"/>
            </w:r>
          </w:hyperlink>
        </w:p>
        <w:p w14:paraId="554E7025" w14:textId="19231F9C" w:rsidR="00B81C15" w:rsidRPr="00B81C15" w:rsidRDefault="00B81C15">
          <w:r w:rsidRPr="00815F19">
            <w:rPr>
              <w:rFonts w:ascii="Arial" w:hAnsi="Arial" w:cs="Arial"/>
              <w:noProof/>
            </w:rPr>
            <w:fldChar w:fldCharType="end"/>
          </w:r>
        </w:p>
      </w:sdtContent>
    </w:sdt>
    <w:p w14:paraId="40085AB6" w14:textId="43697FCB" w:rsidR="001F04E7" w:rsidRDefault="001F04E7">
      <w:pPr>
        <w:rPr>
          <w:rFonts w:ascii="Arial" w:eastAsia="Times New Roman" w:hAnsi="Arial" w:cs="Arial"/>
          <w:b/>
          <w:bCs/>
          <w:color w:val="000000"/>
          <w:kern w:val="0"/>
          <w:lang w:eastAsia="en-GB"/>
          <w14:ligatures w14:val="none"/>
        </w:rPr>
      </w:pPr>
      <w:r>
        <w:rPr>
          <w:rFonts w:ascii="Arial" w:eastAsia="Times New Roman" w:hAnsi="Arial" w:cs="Arial"/>
          <w:b/>
          <w:bCs/>
          <w:color w:val="000000"/>
          <w:kern w:val="0"/>
          <w:lang w:eastAsia="en-GB"/>
          <w14:ligatures w14:val="none"/>
        </w:rPr>
        <w:br w:type="page"/>
      </w:r>
    </w:p>
    <w:p w14:paraId="61FC59EC" w14:textId="55D74F41" w:rsidR="0060146C" w:rsidRPr="00F56DC7" w:rsidRDefault="0060146C" w:rsidP="00F56DC7">
      <w:pPr>
        <w:pStyle w:val="Heading1"/>
        <w:rPr>
          <w:rFonts w:ascii="Arial" w:eastAsiaTheme="minorHAnsi" w:hAnsi="Arial" w:cs="Arial"/>
          <w:b/>
          <w:bCs/>
          <w:color w:val="auto"/>
          <w:sz w:val="24"/>
          <w:szCs w:val="24"/>
        </w:rPr>
      </w:pPr>
      <w:bookmarkStart w:id="0" w:name="_Toc228106645"/>
      <w:r w:rsidRPr="00F56DC7">
        <w:rPr>
          <w:rFonts w:ascii="Arial" w:eastAsia="Times New Roman" w:hAnsi="Arial" w:cs="Arial"/>
          <w:b/>
          <w:bCs/>
          <w:color w:val="auto"/>
          <w:sz w:val="24"/>
          <w:szCs w:val="24"/>
          <w:lang w:eastAsia="en-GB"/>
        </w:rPr>
        <w:lastRenderedPageBreak/>
        <w:t>Introduction</w:t>
      </w:r>
      <w:bookmarkEnd w:id="0"/>
    </w:p>
    <w:p w14:paraId="2912ADEB" w14:textId="2E0FFD46" w:rsidR="0060146C" w:rsidRPr="00D4538E" w:rsidRDefault="0060146C" w:rsidP="00D4538E">
      <w:pPr>
        <w:spacing w:before="240" w:after="240" w:line="360" w:lineRule="auto"/>
        <w:jc w:val="both"/>
        <w:rPr>
          <w:rFonts w:ascii="Arial" w:eastAsia="Times New Roman" w:hAnsi="Arial" w:cs="Arial"/>
          <w:kern w:val="0"/>
          <w:lang w:eastAsia="en-GB"/>
          <w14:ligatures w14:val="none"/>
        </w:rPr>
      </w:pPr>
      <w:r w:rsidRPr="00D4538E">
        <w:rPr>
          <w:rFonts w:ascii="Arial" w:eastAsia="Times New Roman" w:hAnsi="Arial" w:cs="Arial"/>
          <w:color w:val="000000"/>
          <w:kern w:val="0"/>
          <w:lang w:eastAsia="en-GB"/>
          <w14:ligatures w14:val="none"/>
        </w:rPr>
        <w:t xml:space="preserve">This assignment will critically analyse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article on teachers’ perceptions of menstrual health education and the support received in schools. Hereafter,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will either be referred to by name</w:t>
      </w:r>
      <w:r w:rsidR="00E065CC">
        <w:rPr>
          <w:rFonts w:ascii="Arial" w:eastAsia="Times New Roman" w:hAnsi="Arial" w:cs="Arial"/>
          <w:color w:val="000000"/>
          <w:kern w:val="0"/>
          <w:lang w:eastAsia="en-GB"/>
          <w14:ligatures w14:val="none"/>
        </w:rPr>
        <w:t xml:space="preserve">, as the </w:t>
      </w:r>
      <w:r w:rsidR="00DA655A">
        <w:rPr>
          <w:rFonts w:ascii="Arial" w:eastAsia="Times New Roman" w:hAnsi="Arial" w:cs="Arial"/>
          <w:color w:val="000000"/>
          <w:kern w:val="0"/>
          <w:lang w:eastAsia="en-GB"/>
          <w14:ligatures w14:val="none"/>
        </w:rPr>
        <w:t>researchers</w:t>
      </w:r>
      <w:r w:rsidRPr="00D4538E">
        <w:rPr>
          <w:rFonts w:ascii="Arial" w:eastAsia="Times New Roman" w:hAnsi="Arial" w:cs="Arial"/>
          <w:color w:val="000000"/>
          <w:kern w:val="0"/>
          <w:lang w:eastAsia="en-GB"/>
          <w14:ligatures w14:val="none"/>
        </w:rPr>
        <w:t>,</w:t>
      </w:r>
      <w:r w:rsidR="00E065CC">
        <w:rPr>
          <w:rFonts w:ascii="Arial" w:eastAsia="Times New Roman" w:hAnsi="Arial" w:cs="Arial"/>
          <w:color w:val="000000"/>
          <w:kern w:val="0"/>
          <w:lang w:eastAsia="en-GB"/>
          <w14:ligatures w14:val="none"/>
        </w:rPr>
        <w:t xml:space="preserve"> or the authors, and</w:t>
      </w:r>
      <w:r w:rsidRPr="00D4538E">
        <w:rPr>
          <w:rFonts w:ascii="Arial" w:eastAsia="Times New Roman" w:hAnsi="Arial" w:cs="Arial"/>
          <w:color w:val="000000"/>
          <w:kern w:val="0"/>
          <w:lang w:eastAsia="en-GB"/>
          <w14:ligatures w14:val="none"/>
        </w:rPr>
        <w:t xml:space="preserve"> the article will be referred to as the article. The evaluation will focus on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research methodology, data collection methods, ethical consideration, and implications of the article. The research questions within the article were “to explore current education provision in UK schools including barriers to menstrual cycle education and assess the perceived support teachers received to deliver menstrual cycle education” (Brown </w:t>
      </w:r>
      <w:r w:rsidRPr="00D4538E">
        <w:rPr>
          <w:rFonts w:ascii="Arial" w:eastAsia="Times New Roman" w:hAnsi="Arial" w:cs="Arial"/>
          <w:i/>
          <w:iCs/>
          <w:color w:val="000000"/>
          <w:kern w:val="0"/>
          <w:lang w:eastAsia="en-GB"/>
          <w14:ligatures w14:val="none"/>
        </w:rPr>
        <w:t xml:space="preserve">et al., </w:t>
      </w:r>
      <w:r w:rsidRPr="00D4538E">
        <w:rPr>
          <w:rFonts w:ascii="Arial" w:eastAsia="Times New Roman" w:hAnsi="Arial" w:cs="Arial"/>
          <w:color w:val="000000"/>
          <w:kern w:val="0"/>
          <w:lang w:eastAsia="en-GB"/>
          <w14:ligatures w14:val="none"/>
        </w:rPr>
        <w:t>2022, p. 1). In addition, a brief literature review identifies the importance of menstrual health education, and the absence of knowledge teachers could have on menstrual health lessons within schools. Within this assignment, inclusive language will be used to describe people who menstruate, as not everyone who menstruates identifies as a woman (Graham, 2023).</w:t>
      </w:r>
    </w:p>
    <w:p w14:paraId="4CA6DB86" w14:textId="77777777" w:rsidR="0060146C" w:rsidRPr="00D4538E" w:rsidRDefault="0060146C" w:rsidP="00D4538E">
      <w:pPr>
        <w:spacing w:before="240" w:after="240" w:line="360" w:lineRule="auto"/>
        <w:jc w:val="both"/>
        <w:rPr>
          <w:rFonts w:ascii="Arial" w:eastAsia="Times New Roman" w:hAnsi="Arial" w:cs="Arial"/>
          <w:kern w:val="0"/>
          <w:lang w:eastAsia="en-GB"/>
          <w14:ligatures w14:val="none"/>
        </w:rPr>
      </w:pPr>
      <w:r w:rsidRPr="00D4538E">
        <w:rPr>
          <w:rFonts w:ascii="Arial" w:eastAsia="Times New Roman" w:hAnsi="Arial" w:cs="Arial"/>
          <w:color w:val="000000"/>
          <w:kern w:val="0"/>
          <w:lang w:eastAsia="en-GB"/>
          <w14:ligatures w14:val="none"/>
        </w:rPr>
        <w:t> </w:t>
      </w:r>
    </w:p>
    <w:p w14:paraId="384084A3" w14:textId="77777777" w:rsidR="0060146C" w:rsidRPr="00F56DC7" w:rsidRDefault="0060146C" w:rsidP="00F56DC7">
      <w:pPr>
        <w:pStyle w:val="Heading1"/>
        <w:rPr>
          <w:rFonts w:ascii="Arial" w:eastAsia="Times New Roman" w:hAnsi="Arial" w:cs="Arial"/>
          <w:b/>
          <w:bCs/>
          <w:color w:val="auto"/>
          <w:sz w:val="24"/>
          <w:szCs w:val="24"/>
          <w:lang w:eastAsia="en-GB"/>
        </w:rPr>
      </w:pPr>
      <w:bookmarkStart w:id="1" w:name="_Toc228106646"/>
      <w:r w:rsidRPr="00F56DC7">
        <w:rPr>
          <w:rFonts w:ascii="Arial" w:eastAsia="Times New Roman" w:hAnsi="Arial" w:cs="Arial"/>
          <w:b/>
          <w:bCs/>
          <w:color w:val="auto"/>
          <w:sz w:val="24"/>
          <w:szCs w:val="24"/>
          <w:lang w:eastAsia="en-GB"/>
        </w:rPr>
        <w:t>Literature review</w:t>
      </w:r>
      <w:bookmarkEnd w:id="1"/>
    </w:p>
    <w:p w14:paraId="1E2D3CB4" w14:textId="0898F624" w:rsidR="0060146C" w:rsidRPr="00D4538E" w:rsidRDefault="0060146C" w:rsidP="00D4538E">
      <w:pPr>
        <w:spacing w:before="240" w:after="240" w:line="360" w:lineRule="auto"/>
        <w:jc w:val="both"/>
        <w:rPr>
          <w:rFonts w:ascii="Arial" w:eastAsia="Times New Roman" w:hAnsi="Arial" w:cs="Arial"/>
          <w:kern w:val="0"/>
          <w:lang w:eastAsia="en-GB"/>
          <w14:ligatures w14:val="none"/>
        </w:rPr>
      </w:pPr>
      <w:r w:rsidRPr="00D4538E">
        <w:rPr>
          <w:rFonts w:ascii="Arial" w:eastAsia="Times New Roman" w:hAnsi="Arial" w:cs="Arial"/>
          <w:color w:val="000000"/>
          <w:kern w:val="0"/>
          <w:lang w:eastAsia="en-GB"/>
          <w14:ligatures w14:val="none"/>
        </w:rPr>
        <w:t xml:space="preserve">The purpose of this article was to “explore current education provision in UK schools including barriers to menstrual cycle education and assess the perceived support teachers received to deliver menstrual cycle education” (Brown </w:t>
      </w:r>
      <w:r w:rsidRPr="00D4538E">
        <w:rPr>
          <w:rFonts w:ascii="Arial" w:eastAsia="Times New Roman" w:hAnsi="Arial" w:cs="Arial"/>
          <w:i/>
          <w:iCs/>
          <w:color w:val="000000"/>
          <w:kern w:val="0"/>
          <w:lang w:eastAsia="en-GB"/>
          <w14:ligatures w14:val="none"/>
        </w:rPr>
        <w:t xml:space="preserve">et al., </w:t>
      </w:r>
      <w:r w:rsidRPr="00D4538E">
        <w:rPr>
          <w:rFonts w:ascii="Arial" w:eastAsia="Times New Roman" w:hAnsi="Arial" w:cs="Arial"/>
          <w:color w:val="000000"/>
          <w:kern w:val="0"/>
          <w:lang w:eastAsia="en-GB"/>
          <w14:ligatures w14:val="none"/>
        </w:rPr>
        <w:t xml:space="preserve">2022, p. 1). Menstruation is when the blood and tissues from the uterus lining leaves the vagina causing monthly bleeds (Liang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2023). The authors considered the research important because young girls may miss school due to an absence of knowledge, preparation, and stigma surrounding menstruation (Brown </w:t>
      </w:r>
      <w:r w:rsidRPr="00D4538E">
        <w:rPr>
          <w:rFonts w:ascii="Arial" w:eastAsia="Times New Roman" w:hAnsi="Arial" w:cs="Arial"/>
          <w:i/>
          <w:iCs/>
          <w:color w:val="000000"/>
          <w:kern w:val="0"/>
          <w:lang w:eastAsia="en-GB"/>
          <w14:ligatures w14:val="none"/>
        </w:rPr>
        <w:t xml:space="preserve">et al., </w:t>
      </w:r>
      <w:r w:rsidRPr="00D4538E">
        <w:rPr>
          <w:rFonts w:ascii="Arial" w:eastAsia="Times New Roman" w:hAnsi="Arial" w:cs="Arial"/>
          <w:color w:val="000000"/>
          <w:kern w:val="0"/>
          <w:lang w:eastAsia="en-GB"/>
          <w14:ligatures w14:val="none"/>
        </w:rPr>
        <w:t xml:space="preserve">2022). In support, Haque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(2014), Santhanakrishnan and Athipathy (2018), Evans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Ghimire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(2024), and Vollmar, Mahalingaiah, and Jukic (2025) stated menstrual health education could be effective in supporting people who menstruate’ knowledge and practices around menstrual health. In addition, Siva (2022), Munro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(2024), and Brooks, Maybin, and Harper (2026) further addressed may be achieved with accurate education and encouraging open communication on menstruation, perimenopause, and menopause. The article addressed an absence of research in understanding what education is provided to young students on menstrual health, as </w:t>
      </w:r>
      <w:r w:rsidRPr="00D4538E">
        <w:rPr>
          <w:rFonts w:ascii="Arial" w:eastAsia="Times New Roman" w:hAnsi="Arial" w:cs="Arial"/>
          <w:color w:val="000000"/>
          <w:kern w:val="0"/>
          <w:lang w:eastAsia="en-GB"/>
          <w14:ligatures w14:val="none"/>
        </w:rPr>
        <w:lastRenderedPageBreak/>
        <w:t xml:space="preserve">some curriculums </w:t>
      </w:r>
      <w:r w:rsidR="00DA655A">
        <w:rPr>
          <w:rFonts w:ascii="Arial" w:eastAsia="Times New Roman" w:hAnsi="Arial" w:cs="Arial"/>
          <w:color w:val="000000"/>
          <w:kern w:val="0"/>
          <w:lang w:eastAsia="en-GB"/>
          <w14:ligatures w14:val="none"/>
        </w:rPr>
        <w:t xml:space="preserve">may </w:t>
      </w:r>
      <w:r w:rsidRPr="00D4538E">
        <w:rPr>
          <w:rFonts w:ascii="Arial" w:eastAsia="Times New Roman" w:hAnsi="Arial" w:cs="Arial"/>
          <w:color w:val="000000"/>
          <w:kern w:val="0"/>
          <w:lang w:eastAsia="en-GB"/>
          <w14:ligatures w14:val="none"/>
        </w:rPr>
        <w:t>primaril</w:t>
      </w:r>
      <w:r w:rsidR="00DA655A">
        <w:rPr>
          <w:rFonts w:ascii="Arial" w:eastAsia="Times New Roman" w:hAnsi="Arial" w:cs="Arial"/>
          <w:color w:val="000000"/>
          <w:kern w:val="0"/>
          <w:lang w:eastAsia="en-GB"/>
          <w14:ligatures w14:val="none"/>
        </w:rPr>
        <w:t>y</w:t>
      </w:r>
      <w:r w:rsidRPr="00D4538E">
        <w:rPr>
          <w:rFonts w:ascii="Arial" w:eastAsia="Times New Roman" w:hAnsi="Arial" w:cs="Arial"/>
          <w:color w:val="000000"/>
          <w:kern w:val="0"/>
          <w:lang w:eastAsia="en-GB"/>
          <w14:ligatures w14:val="none"/>
        </w:rPr>
        <w:t xml:space="preserve"> focus on biological aspects of menstruation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which is supported by Plan International UK (2018) and Brooks, Maybin, and Harper (2026). In addition, Miiro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(2018), Armour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(2020), and Shah </w:t>
      </w:r>
      <w:r w:rsidRPr="00D4538E">
        <w:rPr>
          <w:rFonts w:ascii="Arial" w:eastAsia="Times New Roman" w:hAnsi="Arial" w:cs="Arial"/>
          <w:i/>
          <w:iCs/>
          <w:color w:val="000000"/>
          <w:kern w:val="0"/>
          <w:lang w:eastAsia="en-GB"/>
          <w14:ligatures w14:val="none"/>
        </w:rPr>
        <w:t xml:space="preserve">et al. </w:t>
      </w:r>
      <w:r w:rsidRPr="00D4538E">
        <w:rPr>
          <w:rFonts w:ascii="Arial" w:eastAsia="Times New Roman" w:hAnsi="Arial" w:cs="Arial"/>
          <w:color w:val="000000"/>
          <w:kern w:val="0"/>
          <w:lang w:eastAsia="en-GB"/>
          <w14:ligatures w14:val="none"/>
        </w:rPr>
        <w:t xml:space="preserve">(2022) stated a correlation between menstrual stigma, pain, and an absence of knowledge with academic achievement or absenteeism, which Hennegan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stated unmet menstrual needs, and inadequate social support may be associated with low wellbeing and social isolation. The article believed this menstrual inequality may be overcome if teachers provided improved educational menstrual information and created a positive classroom environment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In support, Shenkman </w:t>
      </w:r>
      <w:r w:rsidRPr="00D4538E">
        <w:rPr>
          <w:rFonts w:ascii="Arial" w:eastAsia="Times New Roman" w:hAnsi="Arial" w:cs="Arial"/>
          <w:i/>
          <w:iCs/>
          <w:color w:val="000000"/>
          <w:kern w:val="0"/>
          <w:lang w:eastAsia="en-GB"/>
          <w14:ligatures w14:val="none"/>
        </w:rPr>
        <w:t xml:space="preserve">et al. </w:t>
      </w:r>
      <w:r w:rsidRPr="00D4538E">
        <w:rPr>
          <w:rFonts w:ascii="Arial" w:eastAsia="Times New Roman" w:hAnsi="Arial" w:cs="Arial"/>
          <w:color w:val="000000"/>
          <w:kern w:val="0"/>
          <w:lang w:eastAsia="en-GB"/>
          <w14:ligatures w14:val="none"/>
        </w:rPr>
        <w:t xml:space="preserve">(2023) stated teachers are considered primary influences within menstrual health learning, and understanding if support is given to teachers could correlate with the education students receive, addressing the gap in knowledge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aimed to explore. In support, Mahfuz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(2021) agreed additional support for menstrual health lessons should be assigned to teachers, as Plan International UK (2018) and Huseth-Zosel and Secor-Turner (2022) addressed the attitude and ethos within a school and from teachers could influence the opinion and beliefs students develop towards menstruation. Nevertheless, the Relationships and Sexuality Education Code (Welsh Government, 2022) and the Relationship and Sex Education and Health Education (Department for Education, 2025) both present teachers and schools with autonomy on which content to teach, which could result in individualistic and subjective interpretation of menstrual health education (Rowlands, 2021; Daly and Heah, 2023). However, Daly and Heah (2023) and Brooks, Maybin, and Harper (2026) stated some teachers may not have the training or confidence to teach students menstrual health education. Therefore, menstrual health education could be significant in preparing students throughout their life, but the teaching received on menstruation may not be sufficient due to inadequate training and confidence.</w:t>
      </w:r>
    </w:p>
    <w:p w14:paraId="487E96EA" w14:textId="77777777" w:rsidR="0060146C" w:rsidRPr="00D4538E" w:rsidRDefault="0060146C" w:rsidP="00D4538E">
      <w:pPr>
        <w:spacing w:before="240" w:after="240" w:line="360" w:lineRule="auto"/>
        <w:jc w:val="both"/>
        <w:rPr>
          <w:rFonts w:ascii="Arial" w:eastAsia="Times New Roman" w:hAnsi="Arial" w:cs="Arial"/>
          <w:kern w:val="0"/>
          <w:lang w:eastAsia="en-GB"/>
          <w14:ligatures w14:val="none"/>
        </w:rPr>
      </w:pPr>
      <w:r w:rsidRPr="00D4538E">
        <w:rPr>
          <w:rFonts w:ascii="Arial" w:eastAsia="Times New Roman" w:hAnsi="Arial" w:cs="Arial"/>
          <w:color w:val="000000"/>
          <w:kern w:val="0"/>
          <w:lang w:eastAsia="en-GB"/>
          <w14:ligatures w14:val="none"/>
        </w:rPr>
        <w:t> </w:t>
      </w:r>
    </w:p>
    <w:p w14:paraId="3B705A76" w14:textId="77777777" w:rsidR="0060146C" w:rsidRPr="00F56DC7" w:rsidRDefault="0060146C" w:rsidP="00F56DC7">
      <w:pPr>
        <w:pStyle w:val="Heading1"/>
        <w:rPr>
          <w:rFonts w:ascii="Arial" w:eastAsia="Times New Roman" w:hAnsi="Arial" w:cs="Arial"/>
          <w:b/>
          <w:bCs/>
          <w:color w:val="auto"/>
          <w:sz w:val="24"/>
          <w:szCs w:val="24"/>
          <w:lang w:eastAsia="en-GB"/>
        </w:rPr>
      </w:pPr>
      <w:bookmarkStart w:id="2" w:name="_Toc228106647"/>
      <w:r w:rsidRPr="00F56DC7">
        <w:rPr>
          <w:rFonts w:ascii="Arial" w:eastAsia="Times New Roman" w:hAnsi="Arial" w:cs="Arial"/>
          <w:b/>
          <w:bCs/>
          <w:color w:val="auto"/>
          <w:sz w:val="24"/>
          <w:szCs w:val="24"/>
          <w:lang w:eastAsia="en-GB"/>
        </w:rPr>
        <w:t>Methodology</w:t>
      </w:r>
      <w:bookmarkEnd w:id="2"/>
    </w:p>
    <w:p w14:paraId="604B3755" w14:textId="77777777" w:rsidR="0060146C" w:rsidRPr="00D4538E" w:rsidRDefault="0060146C" w:rsidP="00D4538E">
      <w:pPr>
        <w:spacing w:before="240" w:after="240" w:line="360" w:lineRule="auto"/>
        <w:jc w:val="both"/>
        <w:rPr>
          <w:rFonts w:ascii="Arial" w:eastAsia="Times New Roman" w:hAnsi="Arial" w:cs="Arial"/>
          <w:kern w:val="0"/>
          <w:lang w:eastAsia="en-GB"/>
          <w14:ligatures w14:val="none"/>
        </w:rPr>
      </w:pPr>
      <w:r w:rsidRPr="00D4538E">
        <w:rPr>
          <w:rFonts w:ascii="Arial" w:eastAsia="Times New Roman" w:hAnsi="Arial" w:cs="Arial"/>
          <w:color w:val="000000"/>
          <w:kern w:val="0"/>
          <w:lang w:eastAsia="en-GB"/>
          <w14:ligatures w14:val="none"/>
        </w:rPr>
        <w:t xml:space="preserve">Research paradigms could form the foundation of research and encompass multiple ways of experiencing the world based on the researchers’ assumptions on reality, the creation of knowledge, and the value of learning (Mackenzie and Knipe, 2006; Davies and Fisher, 2018). The methodology describes how researchers explain the </w:t>
      </w:r>
      <w:r w:rsidRPr="00D4538E">
        <w:rPr>
          <w:rFonts w:ascii="Arial" w:eastAsia="Times New Roman" w:hAnsi="Arial" w:cs="Arial"/>
          <w:color w:val="000000"/>
          <w:kern w:val="0"/>
          <w:lang w:eastAsia="en-GB"/>
          <w14:ligatures w14:val="none"/>
        </w:rPr>
        <w:lastRenderedPageBreak/>
        <w:t>assumptions for the research rationale and the methods used to interpret data (Goundar, 2012; Almalki, 2016). The methodological position is not clearly defined within the article, which may not provide readers with a clear perspective on the author's beliefs and expectations. However, based on the research question and aims, assumptions could be reached on the methodological approach, but further clarification would be needed for a definitive response.</w:t>
      </w:r>
    </w:p>
    <w:p w14:paraId="4096A93F" w14:textId="6F2789CF" w:rsidR="0060146C" w:rsidRPr="00D4538E" w:rsidRDefault="0060146C" w:rsidP="00D4538E">
      <w:pPr>
        <w:spacing w:before="240" w:after="240" w:line="360" w:lineRule="auto"/>
        <w:jc w:val="both"/>
        <w:rPr>
          <w:rFonts w:ascii="Arial" w:eastAsia="Times New Roman" w:hAnsi="Arial" w:cs="Arial"/>
          <w:kern w:val="0"/>
          <w:lang w:eastAsia="en-GB"/>
          <w14:ligatures w14:val="none"/>
        </w:rPr>
      </w:pPr>
      <w:r w:rsidRPr="00D4538E">
        <w:rPr>
          <w:rFonts w:ascii="Arial" w:eastAsia="Times New Roman" w:hAnsi="Arial" w:cs="Arial"/>
          <w:color w:val="000000"/>
          <w:kern w:val="0"/>
          <w:lang w:eastAsia="en-GB"/>
          <w14:ligatures w14:val="none"/>
        </w:rPr>
        <w:t xml:space="preserve">Ontology describes the nature of beliefs about social reality, including researchers’ assumptions, how beliefs are created, and understanding the reality that exists, in addition to if cause and effect correlations could be established (Rehman and Alharthi, 2016; Berryman, 2019). This position could be explored in the article, as the researchers address the absence of support for education practitioners teaching menstrual health lessons, which may be due to menstruation being considered a taboo topic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Through this perspective, the researchers explored whether the stigmatised view of menstruation may be overcome through education for teachers and students, to normalise conversations on menstruation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However, due to societal and cultural norms, the researchers stated reducing the stigma around menstruation could be difficult and would require teachers to critically reflect on their own discomfort discussing menstruation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This could consider constructivism, which describes how individuals construct their own interpretation of reality based on social interactions and experiences (Chand, 2024), in addition to hermeneutics, the study of interpreting the beliefs, actions and meaning of human experience (George, 2025). This is because teachers' personal experience of menstruation could influence their teaching of menstrual health. Furthermore, interpretivism, which explores various truths compared to cause and effect (Berryman, 2019), may be addressed within the research. This is because the researchers explore the social constructions which may influence menstrual education, but while the article identified correlations to social norms, it was not identified as a primary focus.</w:t>
      </w:r>
    </w:p>
    <w:p w14:paraId="6EE7A8E8" w14:textId="5ADEB605" w:rsidR="0060146C" w:rsidRPr="00D4538E" w:rsidRDefault="0060146C" w:rsidP="00D4538E">
      <w:pPr>
        <w:spacing w:before="240" w:after="240" w:line="360" w:lineRule="auto"/>
        <w:jc w:val="both"/>
        <w:rPr>
          <w:rFonts w:ascii="Arial" w:eastAsia="Times New Roman" w:hAnsi="Arial" w:cs="Arial"/>
          <w:kern w:val="0"/>
          <w:lang w:eastAsia="en-GB"/>
          <w14:ligatures w14:val="none"/>
        </w:rPr>
      </w:pPr>
      <w:r w:rsidRPr="00D4538E">
        <w:rPr>
          <w:rFonts w:ascii="Arial" w:eastAsia="Times New Roman" w:hAnsi="Arial" w:cs="Arial"/>
          <w:color w:val="000000"/>
          <w:kern w:val="0"/>
          <w:lang w:eastAsia="en-GB"/>
          <w14:ligatures w14:val="none"/>
        </w:rPr>
        <w:t xml:space="preserve">Epistemology explores knowledge and how researchers come to understand this reality (Berryman, 2019). This methodological position is present within the research, as the researchers address the knowledge teachers have on menstrual health education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The primary data explores whether teachers receive training on menstrual health to improve their comfortability with discussing </w:t>
      </w:r>
      <w:proofErr w:type="gramStart"/>
      <w:r w:rsidRPr="00D4538E">
        <w:rPr>
          <w:rFonts w:ascii="Arial" w:eastAsia="Times New Roman" w:hAnsi="Arial" w:cs="Arial"/>
          <w:color w:val="000000"/>
          <w:kern w:val="0"/>
          <w:lang w:eastAsia="en-GB"/>
          <w14:ligatures w14:val="none"/>
        </w:rPr>
        <w:lastRenderedPageBreak/>
        <w:t>menstruation</w:t>
      </w:r>
      <w:r w:rsidR="00DA655A">
        <w:rPr>
          <w:rFonts w:ascii="Arial" w:eastAsia="Times New Roman" w:hAnsi="Arial" w:cs="Arial"/>
          <w:color w:val="000000"/>
          <w:kern w:val="0"/>
          <w:lang w:eastAsia="en-GB"/>
          <w14:ligatures w14:val="none"/>
        </w:rPr>
        <w:t>,</w:t>
      </w:r>
      <w:r w:rsidRPr="00D4538E">
        <w:rPr>
          <w:rFonts w:ascii="Arial" w:eastAsia="Times New Roman" w:hAnsi="Arial" w:cs="Arial"/>
          <w:color w:val="000000"/>
          <w:kern w:val="0"/>
          <w:lang w:eastAsia="en-GB"/>
          <w14:ligatures w14:val="none"/>
        </w:rPr>
        <w:t xml:space="preserve"> and</w:t>
      </w:r>
      <w:proofErr w:type="gramEnd"/>
      <w:r w:rsidRPr="00D4538E">
        <w:rPr>
          <w:rFonts w:ascii="Arial" w:eastAsia="Times New Roman" w:hAnsi="Arial" w:cs="Arial"/>
          <w:color w:val="000000"/>
          <w:kern w:val="0"/>
          <w:lang w:eastAsia="en-GB"/>
          <w14:ligatures w14:val="none"/>
        </w:rPr>
        <w:t xml:space="preserve"> incorporating adequate information for students to support them throughout their life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In addition, the article explores whether external knowledge about menstruation, for example, from societal and cultural norms, could influence how menstrual education is taught within schools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This methodological position could relate to pragmatism, which addresses the practical consequences within reality (Kelly and Cordeiro, 2020). This is because from teachers not receiving support for menstrual health lessons, students may receive inadequate menstrual health education, which could have consequences for people who menstruate and the overall social acceptance of menstruation. Furthermore, the research design could incorporate phenomenology, which focuses on the nature of experience from individual perspectives (Connelly, 2010), as menstruation may be considered a phenomenon, due to the physical, emotional, and social affects (Jarrell, 2018; Critchley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2020). This may suggest, while the purpose of the research is not based on a phenomenological approach, the researchers are aiming to understand the education of a phenomenon.</w:t>
      </w:r>
    </w:p>
    <w:p w14:paraId="4847B003" w14:textId="2CF9C658" w:rsidR="0060146C" w:rsidRPr="00D4538E" w:rsidRDefault="0060146C" w:rsidP="00D4538E">
      <w:pPr>
        <w:spacing w:before="240" w:after="240" w:line="360" w:lineRule="auto"/>
        <w:jc w:val="both"/>
        <w:rPr>
          <w:rFonts w:ascii="Arial" w:eastAsia="Times New Roman" w:hAnsi="Arial" w:cs="Arial"/>
          <w:kern w:val="0"/>
          <w:lang w:eastAsia="en-GB"/>
          <w14:ligatures w14:val="none"/>
        </w:rPr>
      </w:pPr>
      <w:r w:rsidRPr="00D4538E">
        <w:rPr>
          <w:rFonts w:ascii="Arial" w:eastAsia="Times New Roman" w:hAnsi="Arial" w:cs="Arial"/>
          <w:color w:val="000000"/>
          <w:kern w:val="0"/>
          <w:lang w:eastAsia="en-GB"/>
          <w14:ligatures w14:val="none"/>
        </w:rPr>
        <w:t>In addition, feminist theory could underpin the discussions on menstruation, as dualistic thinking, for example, dividing society based on binary genders of male and female, could create power hierarchies and gender inequalities within society (Ferguson, 2017). Simone de Beauvoir argued women were viewed with duality, for example</w:t>
      </w:r>
      <w:r w:rsidR="00DA655A">
        <w:rPr>
          <w:rFonts w:ascii="Arial" w:eastAsia="Times New Roman" w:hAnsi="Arial" w:cs="Arial"/>
          <w:color w:val="000000"/>
          <w:kern w:val="0"/>
          <w:lang w:eastAsia="en-GB"/>
          <w14:ligatures w14:val="none"/>
        </w:rPr>
        <w:t>,</w:t>
      </w:r>
      <w:r w:rsidRPr="00D4538E">
        <w:rPr>
          <w:rFonts w:ascii="Arial" w:eastAsia="Times New Roman" w:hAnsi="Arial" w:cs="Arial"/>
          <w:color w:val="000000"/>
          <w:kern w:val="0"/>
          <w:lang w:eastAsia="en-GB"/>
          <w14:ligatures w14:val="none"/>
        </w:rPr>
        <w:t xml:space="preserve"> as less competent and worthy as mothers, because of their reproduction (Roberts </w:t>
      </w:r>
      <w:r w:rsidRPr="00D4538E">
        <w:rPr>
          <w:rFonts w:ascii="Arial" w:eastAsia="Times New Roman" w:hAnsi="Arial" w:cs="Arial"/>
          <w:i/>
          <w:iCs/>
          <w:color w:val="000000"/>
          <w:kern w:val="0"/>
          <w:lang w:eastAsia="en-GB"/>
          <w14:ligatures w14:val="none"/>
        </w:rPr>
        <w:t xml:space="preserve">et al., </w:t>
      </w:r>
      <w:r w:rsidRPr="00D4538E">
        <w:rPr>
          <w:rFonts w:ascii="Arial" w:eastAsia="Times New Roman" w:hAnsi="Arial" w:cs="Arial"/>
          <w:color w:val="000000"/>
          <w:kern w:val="0"/>
          <w:lang w:eastAsia="en-GB"/>
          <w14:ligatures w14:val="none"/>
        </w:rPr>
        <w:t xml:space="preserve">2002), which could silence menstruation as a women’s issue (Berg, 2025). Menstrual advocacy may have increased as people who menstruate aim to learn about their bodies and disengage from concealment norms and cultural taboo (Roberts </w:t>
      </w:r>
      <w:r w:rsidRPr="00D4538E">
        <w:rPr>
          <w:rFonts w:ascii="Arial" w:eastAsia="Times New Roman" w:hAnsi="Arial" w:cs="Arial"/>
          <w:i/>
          <w:iCs/>
          <w:color w:val="000000"/>
          <w:kern w:val="0"/>
          <w:lang w:eastAsia="en-GB"/>
          <w14:ligatures w14:val="none"/>
        </w:rPr>
        <w:t xml:space="preserve">et al., </w:t>
      </w:r>
      <w:r w:rsidRPr="00D4538E">
        <w:rPr>
          <w:rFonts w:ascii="Arial" w:eastAsia="Times New Roman" w:hAnsi="Arial" w:cs="Arial"/>
          <w:color w:val="000000"/>
          <w:kern w:val="0"/>
          <w:lang w:eastAsia="en-GB"/>
          <w14:ligatures w14:val="none"/>
        </w:rPr>
        <w:t>2002; Hill, 2019; Graham, 2023; Berg, 2025). Feminist theory supports the article addressing the inadequacies of menstrual health education. Therefore, the article addresses various methodological approaches which reinforce their research, however, clarity on the researchers identified methodological positions could have been beneficial.</w:t>
      </w:r>
    </w:p>
    <w:p w14:paraId="013833F1" w14:textId="77777777" w:rsidR="0060146C" w:rsidRPr="00D4538E" w:rsidRDefault="0060146C" w:rsidP="00D4538E">
      <w:pPr>
        <w:spacing w:before="240" w:after="240" w:line="360" w:lineRule="auto"/>
        <w:jc w:val="both"/>
        <w:rPr>
          <w:rFonts w:ascii="Arial" w:eastAsia="Times New Roman" w:hAnsi="Arial" w:cs="Arial"/>
          <w:kern w:val="0"/>
          <w:lang w:eastAsia="en-GB"/>
          <w14:ligatures w14:val="none"/>
        </w:rPr>
      </w:pPr>
      <w:r w:rsidRPr="00D4538E">
        <w:rPr>
          <w:rFonts w:ascii="Arial" w:eastAsia="Times New Roman" w:hAnsi="Arial" w:cs="Arial"/>
          <w:b/>
          <w:bCs/>
          <w:color w:val="000000"/>
          <w:kern w:val="0"/>
          <w:lang w:eastAsia="en-GB"/>
          <w14:ligatures w14:val="none"/>
        </w:rPr>
        <w:t> </w:t>
      </w:r>
    </w:p>
    <w:p w14:paraId="29F1C378" w14:textId="77777777" w:rsidR="00F56DC7" w:rsidRDefault="00F56DC7" w:rsidP="00D4538E">
      <w:pPr>
        <w:spacing w:before="240" w:after="240" w:line="360" w:lineRule="auto"/>
        <w:jc w:val="both"/>
        <w:rPr>
          <w:rFonts w:ascii="Arial" w:eastAsia="Times New Roman" w:hAnsi="Arial" w:cs="Arial"/>
          <w:b/>
          <w:bCs/>
          <w:color w:val="000000"/>
          <w:kern w:val="0"/>
          <w:lang w:eastAsia="en-GB"/>
          <w14:ligatures w14:val="none"/>
        </w:rPr>
      </w:pPr>
    </w:p>
    <w:p w14:paraId="642D57A6" w14:textId="6404DF27" w:rsidR="0060146C" w:rsidRPr="00F56DC7" w:rsidRDefault="0060146C" w:rsidP="00F56DC7">
      <w:pPr>
        <w:pStyle w:val="Heading1"/>
        <w:rPr>
          <w:rFonts w:ascii="Arial" w:eastAsia="Times New Roman" w:hAnsi="Arial" w:cs="Arial"/>
          <w:b/>
          <w:bCs/>
          <w:color w:val="auto"/>
          <w:sz w:val="24"/>
          <w:szCs w:val="24"/>
          <w:lang w:eastAsia="en-GB"/>
        </w:rPr>
      </w:pPr>
      <w:bookmarkStart w:id="3" w:name="_Toc228106648"/>
      <w:r w:rsidRPr="00F56DC7">
        <w:rPr>
          <w:rFonts w:ascii="Arial" w:eastAsia="Times New Roman" w:hAnsi="Arial" w:cs="Arial"/>
          <w:b/>
          <w:bCs/>
          <w:color w:val="auto"/>
          <w:sz w:val="24"/>
          <w:szCs w:val="24"/>
          <w:lang w:eastAsia="en-GB"/>
        </w:rPr>
        <w:lastRenderedPageBreak/>
        <w:t>Data collection methods</w:t>
      </w:r>
      <w:bookmarkEnd w:id="3"/>
    </w:p>
    <w:p w14:paraId="3A8876DD" w14:textId="053AE05C" w:rsidR="0060146C" w:rsidRPr="00D4538E" w:rsidRDefault="0060146C" w:rsidP="00D4538E">
      <w:pPr>
        <w:spacing w:before="240" w:after="240" w:line="360" w:lineRule="auto"/>
        <w:jc w:val="both"/>
        <w:rPr>
          <w:rFonts w:ascii="Arial" w:eastAsia="Times New Roman" w:hAnsi="Arial" w:cs="Arial"/>
          <w:kern w:val="0"/>
          <w:lang w:eastAsia="en-GB"/>
          <w14:ligatures w14:val="none"/>
        </w:rPr>
      </w:pPr>
      <w:r w:rsidRPr="00D4538E">
        <w:rPr>
          <w:rFonts w:ascii="Arial" w:eastAsia="Times New Roman" w:hAnsi="Arial" w:cs="Arial"/>
          <w:color w:val="000000"/>
          <w:kern w:val="0"/>
          <w:lang w:eastAsia="en-GB"/>
          <w14:ligatures w14:val="none"/>
        </w:rPr>
        <w:t xml:space="preserve">The data from the article was collected through an anonymous online survey using convenience and snowball sampling, which produced both qualitative and quantitative information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Data collection methods are used to support researchers to make informed decisions based on data to support their research question, and to ensure reliability and validity of the findings (Taherdoost, 2021). This could include primary, data gathered by the researcher, and secondary, data which is already published, research, in addition to qualitative or quantitative methods (Taherdoost, 2021). The researchers use</w:t>
      </w:r>
      <w:r w:rsidR="00DA655A">
        <w:rPr>
          <w:rFonts w:ascii="Arial" w:eastAsia="Times New Roman" w:hAnsi="Arial" w:cs="Arial"/>
          <w:color w:val="000000"/>
          <w:kern w:val="0"/>
          <w:lang w:eastAsia="en-GB"/>
          <w14:ligatures w14:val="none"/>
        </w:rPr>
        <w:t>d</w:t>
      </w:r>
      <w:r w:rsidRPr="00D4538E">
        <w:rPr>
          <w:rFonts w:ascii="Arial" w:eastAsia="Times New Roman" w:hAnsi="Arial" w:cs="Arial"/>
          <w:color w:val="000000"/>
          <w:kern w:val="0"/>
          <w:lang w:eastAsia="en-GB"/>
          <w14:ligatures w14:val="none"/>
        </w:rPr>
        <w:t xml:space="preserve"> primary data, as they developed an online survey to answer the research questions, while secondary data is included within the literature review to present the importance of the research.</w:t>
      </w:r>
    </w:p>
    <w:p w14:paraId="2044CF62" w14:textId="325D73E2" w:rsidR="0060146C" w:rsidRPr="00D4538E" w:rsidRDefault="0060146C" w:rsidP="00D4538E">
      <w:pPr>
        <w:spacing w:before="240" w:after="240" w:line="360" w:lineRule="auto"/>
        <w:jc w:val="both"/>
        <w:rPr>
          <w:rFonts w:ascii="Arial" w:eastAsia="Times New Roman" w:hAnsi="Arial" w:cs="Arial"/>
          <w:kern w:val="0"/>
          <w:lang w:eastAsia="en-GB"/>
          <w14:ligatures w14:val="none"/>
        </w:rPr>
      </w:pPr>
      <w:r w:rsidRPr="00D4538E">
        <w:rPr>
          <w:rFonts w:ascii="Arial" w:eastAsia="Times New Roman" w:hAnsi="Arial" w:cs="Arial"/>
          <w:color w:val="000000"/>
          <w:kern w:val="0"/>
          <w:lang w:eastAsia="en-GB"/>
          <w14:ligatures w14:val="none"/>
        </w:rPr>
        <w:t xml:space="preserve">Qualitative research is used with the aim to explore and understand people’s opinions and experiences within or of the world through non-numerical data, for example, text and audio (Naderifar, Goli, and Ghaljaie, 2017; UK Statistics Authority, 2022). This approach provides rich detailed information, which allows for deeper insight into participants' experiences to answer the research question (Easton, McComish, and Greenberg, 2000). For example, within the article, quotations from the participants are used to support the research questions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However, the data could be subjective or selective, as researcher bias could influence how responses were interpreted or presented in the article, which may affect the research credibility (Easton, McComish, and Greenberg, 2000; LeCompte, 2000; Almalki, 2016). Nevertheless, the article states the raw data which the conclusions were drawn from would be provided on request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suggesting further analysis could be conducted on whether researcher bias influenced the presentation of results. In addition, reflexibility could have been considered, as within qualitative research, it allows researchers to critically reflect upon the contextual influences and how their own assumptions and biases may interact with the findings, which might improve the reproducibility and clarity of the data (UK Statistics Authority, 2022). However, due to participant’s composing their responses, errors could be present in the punctuation, which could change the meaning or inference of the response (Easton, McComish, and Greenberg, 2000). This implies that while qualitative data may be considered beneficial </w:t>
      </w:r>
      <w:r w:rsidR="00DA655A">
        <w:rPr>
          <w:rFonts w:ascii="Arial" w:eastAsia="Times New Roman" w:hAnsi="Arial" w:cs="Arial"/>
          <w:color w:val="000000"/>
          <w:kern w:val="0"/>
          <w:lang w:eastAsia="en-GB"/>
          <w14:ligatures w14:val="none"/>
        </w:rPr>
        <w:t>for</w:t>
      </w:r>
      <w:r w:rsidRPr="00D4538E">
        <w:rPr>
          <w:rFonts w:ascii="Arial" w:eastAsia="Times New Roman" w:hAnsi="Arial" w:cs="Arial"/>
          <w:color w:val="000000"/>
          <w:kern w:val="0"/>
          <w:lang w:eastAsia="en-GB"/>
          <w14:ligatures w14:val="none"/>
        </w:rPr>
        <w:t xml:space="preserve"> the research questions this article aims to explore, the researchers could have explored whether another qualitative research method, for example, interviews </w:t>
      </w:r>
      <w:r w:rsidRPr="00D4538E">
        <w:rPr>
          <w:rFonts w:ascii="Arial" w:eastAsia="Times New Roman" w:hAnsi="Arial" w:cs="Arial"/>
          <w:color w:val="000000"/>
          <w:kern w:val="0"/>
          <w:lang w:eastAsia="en-GB"/>
          <w14:ligatures w14:val="none"/>
        </w:rPr>
        <w:lastRenderedPageBreak/>
        <w:t xml:space="preserve">or focus groups would have provided deeper insight with potentially less subjective researcher interpretation. This is because these methods allow for additional questions, if the researchers decided on a semi-structured approach, but considering the data presented within the article, these approaches would have been time consuming, as 789 participants were sampled from across the UK (Morgan and Harmon, 2001;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Therefore, the qualitative data collected in the form of a survey was effective in achieving the research aims of this article and exploring insight into teacher perspectives of menstrual health lessons. However, qualitative research methods, for example, interviews and focus groups, could be considered when conducting further research, as part of a triangulation approach, where more than one data collection method is used to increase credibility of the data (Heale and Forbes, 2013), to ensure the data presented was reliable and credible.</w:t>
      </w:r>
    </w:p>
    <w:p w14:paraId="0AD4A6F1" w14:textId="77777777" w:rsidR="0060146C" w:rsidRPr="00D4538E" w:rsidRDefault="0060146C" w:rsidP="00D4538E">
      <w:pPr>
        <w:spacing w:before="240" w:after="240" w:line="360" w:lineRule="auto"/>
        <w:jc w:val="both"/>
        <w:rPr>
          <w:rFonts w:ascii="Arial" w:eastAsia="Times New Roman" w:hAnsi="Arial" w:cs="Arial"/>
          <w:kern w:val="0"/>
          <w:lang w:eastAsia="en-GB"/>
          <w14:ligatures w14:val="none"/>
        </w:rPr>
      </w:pPr>
      <w:r w:rsidRPr="00D4538E">
        <w:rPr>
          <w:rFonts w:ascii="Arial" w:eastAsia="Times New Roman" w:hAnsi="Arial" w:cs="Arial"/>
          <w:color w:val="000000"/>
          <w:kern w:val="0"/>
          <w:lang w:eastAsia="en-GB"/>
          <w14:ligatures w14:val="none"/>
        </w:rPr>
        <w:t xml:space="preserve">Quantitative data collects numeric data, from surveys or questionnaires, with the aim of understanding social phenomena and generalising data based on measurable and quantifiable data (Almalki, 2016; Lim, 2025). For example, the survey questions had multiple choice options to produce quantifiable data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This data could be generalised to a wider population, because of the standardisation and reproducibility of the data (Lim, 2025). However, this could omit contextual reasons, for example the research questions influencing responses (Lim, 2025), therefore reducing the generalisability of the data. Nevertheless, this method reduces researcher bias through using mathematical data, which may increase the objectivity of the research (Lim, 2025). Quantitative data, within the context of this article, supports the research question and provides the researchers with data which can be measured to ensure validity. Considering the qualitative and quantitative information included within the article, this research has applied a mixed method approach to answer their research questions. Mixed methods could be considered a contested definition, as there may be various approaches to using this approach within research (Almalki, 2016), suggesting the definition is determined by the researcher and the research questions. When using this approach, researchers could identify if qualitative or quantitative data is given equal status or whether one is considered more significant (Almalki, 2016). Mixed methods could be beneficial in limiting the potential bias from either qualitative or quantitative data collection (Axinn and Pearce, 2006), because the researchers can compare both qualitative and quantitative data to ensure reliability. </w:t>
      </w:r>
      <w:r w:rsidRPr="00D4538E">
        <w:rPr>
          <w:rFonts w:ascii="Arial" w:eastAsia="Times New Roman" w:hAnsi="Arial" w:cs="Arial"/>
          <w:color w:val="000000"/>
          <w:kern w:val="0"/>
          <w:lang w:eastAsia="en-GB"/>
          <w14:ligatures w14:val="none"/>
        </w:rPr>
        <w:lastRenderedPageBreak/>
        <w:t>Therefore, the mixed method approach using qualitative and quantitative data within this study could be considered effective at answering the research question and supporting further research.</w:t>
      </w:r>
    </w:p>
    <w:p w14:paraId="1B1511D7" w14:textId="77777777" w:rsidR="0060146C" w:rsidRPr="00D4538E" w:rsidRDefault="0060146C" w:rsidP="00D4538E">
      <w:pPr>
        <w:spacing w:before="240" w:after="240" w:line="360" w:lineRule="auto"/>
        <w:jc w:val="both"/>
        <w:rPr>
          <w:rFonts w:ascii="Arial" w:eastAsia="Times New Roman" w:hAnsi="Arial" w:cs="Arial"/>
          <w:kern w:val="0"/>
          <w:lang w:eastAsia="en-GB"/>
          <w14:ligatures w14:val="none"/>
        </w:rPr>
      </w:pPr>
      <w:r w:rsidRPr="00D4538E">
        <w:rPr>
          <w:rFonts w:ascii="Arial" w:eastAsia="Times New Roman" w:hAnsi="Arial" w:cs="Arial"/>
          <w:color w:val="000000"/>
          <w:kern w:val="0"/>
          <w:lang w:eastAsia="en-GB"/>
          <w14:ligatures w14:val="none"/>
        </w:rPr>
        <w:t xml:space="preserve">The research was conducted using convenience sampling, through emails sent to schools, and snowball sampling, as social media platforms were used to focus on UK based teachers, which the authors considered valid and reliable due to the nature of the research (Brown </w:t>
      </w:r>
      <w:r w:rsidRPr="00D4538E">
        <w:rPr>
          <w:rFonts w:ascii="Arial" w:eastAsia="Times New Roman" w:hAnsi="Arial" w:cs="Arial"/>
          <w:i/>
          <w:iCs/>
          <w:color w:val="000000"/>
          <w:kern w:val="0"/>
          <w:lang w:eastAsia="en-GB"/>
          <w14:ligatures w14:val="none"/>
        </w:rPr>
        <w:t xml:space="preserve">et al., </w:t>
      </w:r>
      <w:r w:rsidRPr="00D4538E">
        <w:rPr>
          <w:rFonts w:ascii="Arial" w:eastAsia="Times New Roman" w:hAnsi="Arial" w:cs="Arial"/>
          <w:color w:val="000000"/>
          <w:kern w:val="0"/>
          <w:lang w:eastAsia="en-GB"/>
          <w14:ligatures w14:val="none"/>
        </w:rPr>
        <w:t xml:space="preserve">2022). Sampling is the process of selecting a section of the population to represent the whole (Naderifar, Goli, and Ghaljaie, 2017). Non-probability methods, including convenience and snowball sampling, are when the researchers select the participants or if the population is not provided with an equal chance of participation (Naderifar, Goli, and Ghaljaie, 2017). Snowball sampling is considered a form of convenience sampling (Parker, Scott, and Geddes, 2019) and involves initial participants recruiting further participants until the sample size is collected (Naderifar, Goli, and Ghaljaie, 2017). This method could be effective in researching sensitive topics, as trust between social connections may encourage participation (Ting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2025), which is beneficial for the topic of menstruation, as it may be considered taboo. In contrast, Waters (2015) stated snowball sampling may likely be most effective when the research topic is not personal or considered private to individuals, as people may be less likely to respond. However, this criticism may not apply to this research as the online survey had a large sample size. Nevertheless, criticisms of snowball sampling include selection bias, the researcher chooses participants for their research (Lu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lack of external validity, when the research cannot be generalised (Lynch, 1983), and an absence of control over sample size, which could influence the validity and reliability of the research (Garg, 2016; Parker, Scott, and Geddes, 2019; Ting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2025). In support, with no indication of expected sample size, it is unclear whether the researchers expected the large sample, which may have been more time consuming to analyse. However, convenience and snowball sampling were effective in this research at collecting participants for the online survey. Therefore, the sampling methods chosen for this research supported the research question, but other sampling methods could be considered in further research.</w:t>
      </w:r>
    </w:p>
    <w:p w14:paraId="125A37FB" w14:textId="77777777" w:rsidR="0060146C" w:rsidRPr="00D4538E" w:rsidRDefault="0060146C" w:rsidP="00D4538E">
      <w:pPr>
        <w:spacing w:before="240" w:after="240" w:line="360" w:lineRule="auto"/>
        <w:jc w:val="both"/>
        <w:rPr>
          <w:rFonts w:ascii="Arial" w:eastAsia="Times New Roman" w:hAnsi="Arial" w:cs="Arial"/>
          <w:kern w:val="0"/>
          <w:lang w:eastAsia="en-GB"/>
          <w14:ligatures w14:val="none"/>
        </w:rPr>
      </w:pPr>
      <w:r w:rsidRPr="00D4538E">
        <w:rPr>
          <w:rFonts w:ascii="Arial" w:eastAsia="Times New Roman" w:hAnsi="Arial" w:cs="Arial"/>
          <w:color w:val="000000"/>
          <w:kern w:val="0"/>
          <w:lang w:eastAsia="en-GB"/>
          <w14:ligatures w14:val="none"/>
        </w:rPr>
        <w:lastRenderedPageBreak/>
        <w:t xml:space="preserve">An anonymous online survey was considered appropriate due to the research subject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because menstruation may be considered taboo to some, and the anonymity of online surveys may facilitate participations in sharing their opinions and experiences (Van Selm and Jankowski, 2006), supported by similar data collection methods from Armour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(2020), Armour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(2021), Medina-Perucha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(2023), and Munro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(2024). With the internet increasingly used within research studies, online surveys could be effective in reaching a wider population, reducing social desirability bias, as the researcher is not present, and increase response rates, because participants can complete the survey at their convenience (Van Selm and Jankowski, 2006; Sadan, 2017; Ball, 2019). Nevertheless, online survey questions cannot be open-ended, therefore, an absence of clarification or subjective interpretation could be present when analysing the data (Van Selm and Jankowski, 2006; Ball, 2019). Furthermore, this method excludes people who cannot access the internet or do not have assistance to complete an online survey (Ball, 2019), which may isolate perspectives from the sample. Using an online survey as a data collection method was effective for this research and provided the researchers with beneficial data to support their research question. However, in further research, researchers may consider methods, for example, interviews or focus groups, to reduce digital exclusion and allow for deeper insight into participants' opinions and experiences.</w:t>
      </w:r>
    </w:p>
    <w:p w14:paraId="2A22479D" w14:textId="77777777" w:rsidR="0060146C" w:rsidRPr="00D4538E" w:rsidRDefault="0060146C" w:rsidP="00D4538E">
      <w:pPr>
        <w:spacing w:before="240" w:after="240" w:line="360" w:lineRule="auto"/>
        <w:jc w:val="both"/>
        <w:rPr>
          <w:rFonts w:ascii="Arial" w:eastAsia="Times New Roman" w:hAnsi="Arial" w:cs="Arial"/>
          <w:kern w:val="0"/>
          <w:lang w:eastAsia="en-GB"/>
          <w14:ligatures w14:val="none"/>
        </w:rPr>
      </w:pPr>
      <w:r w:rsidRPr="00D4538E">
        <w:rPr>
          <w:rFonts w:ascii="Arial" w:eastAsia="Times New Roman" w:hAnsi="Arial" w:cs="Arial"/>
          <w:color w:val="000000"/>
          <w:kern w:val="0"/>
          <w:lang w:eastAsia="en-GB"/>
          <w14:ligatures w14:val="none"/>
        </w:rPr>
        <w:t> </w:t>
      </w:r>
    </w:p>
    <w:p w14:paraId="00222B0E" w14:textId="77777777" w:rsidR="0060146C" w:rsidRPr="00F56DC7" w:rsidRDefault="0060146C" w:rsidP="00F56DC7">
      <w:pPr>
        <w:pStyle w:val="Heading1"/>
        <w:rPr>
          <w:rFonts w:ascii="Arial" w:eastAsia="Times New Roman" w:hAnsi="Arial" w:cs="Arial"/>
          <w:b/>
          <w:bCs/>
          <w:color w:val="auto"/>
          <w:sz w:val="24"/>
          <w:szCs w:val="24"/>
          <w:lang w:eastAsia="en-GB"/>
        </w:rPr>
      </w:pPr>
      <w:bookmarkStart w:id="4" w:name="_Toc228106649"/>
      <w:r w:rsidRPr="00F56DC7">
        <w:rPr>
          <w:rFonts w:ascii="Arial" w:eastAsia="Times New Roman" w:hAnsi="Arial" w:cs="Arial"/>
          <w:b/>
          <w:bCs/>
          <w:color w:val="auto"/>
          <w:sz w:val="24"/>
          <w:szCs w:val="24"/>
          <w:lang w:eastAsia="en-GB"/>
        </w:rPr>
        <w:t>Ethical considerations</w:t>
      </w:r>
      <w:bookmarkEnd w:id="4"/>
    </w:p>
    <w:p w14:paraId="39DA6378" w14:textId="262BC8E2" w:rsidR="0060146C" w:rsidRPr="00D4538E" w:rsidRDefault="0060146C" w:rsidP="00D4538E">
      <w:pPr>
        <w:spacing w:before="240" w:after="240" w:line="360" w:lineRule="auto"/>
        <w:jc w:val="both"/>
        <w:rPr>
          <w:rFonts w:ascii="Arial" w:eastAsia="Times New Roman" w:hAnsi="Arial" w:cs="Arial"/>
          <w:kern w:val="0"/>
          <w:lang w:eastAsia="en-GB"/>
          <w14:ligatures w14:val="none"/>
        </w:rPr>
      </w:pPr>
      <w:r w:rsidRPr="00D4538E">
        <w:rPr>
          <w:rFonts w:ascii="Arial" w:eastAsia="Times New Roman" w:hAnsi="Arial" w:cs="Arial"/>
          <w:color w:val="000000"/>
          <w:kern w:val="0"/>
          <w:lang w:eastAsia="en-GB"/>
          <w14:ligatures w14:val="none"/>
        </w:rPr>
        <w:t xml:space="preserve">Ethical approval was reviewed and approved by Swansea University, requiring all participants to provide written informed consent to participate in the research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However, there are no further details provided on the ethical considerations the authors established within the research, therefore, without viewing the ethics form submitted to Swansea University for approval or contacting the authors, any judgement on the ethical considerations or practices would be hypothetical. Nevertheless, the Swansea University ethics committee did grant ethical approval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so it may be reasonable to assume that the authors considered all the ethical implications of their research. In addition, Swansea University (2008) and Swansea University (2023) addressed clear ethical guidelines </w:t>
      </w:r>
      <w:r w:rsidRPr="00D4538E">
        <w:rPr>
          <w:rFonts w:ascii="Arial" w:eastAsia="Times New Roman" w:hAnsi="Arial" w:cs="Arial"/>
          <w:color w:val="000000"/>
          <w:kern w:val="0"/>
          <w:lang w:eastAsia="en-GB"/>
          <w14:ligatures w14:val="none"/>
        </w:rPr>
        <w:lastRenderedPageBreak/>
        <w:t xml:space="preserve">for research which ensures researchers and participants are protected, but different versions may have been available during the publication, due to changing ethical guidelines. However, the article did state written informed consent, where participants are provided with information about the research to consent with autonomy (Yusof, Teo, and Ng, 2022), was obtained from participants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In addition, 0.5% of participants were aged under 21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indicating the researchers may have considered parental or gatekeeper consent within the research. Nevertheless, clarification on whether participants were given the full details of the study or the right to withdraw policy was not specified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This information may have been beneficial to include within the article, or as an additional section, to ensure readers understood ethical guidance and practices were adhered to. Nevertheless, within the article</w:t>
      </w:r>
      <w:r w:rsidR="00B1219E">
        <w:rPr>
          <w:rFonts w:ascii="Arial" w:eastAsia="Times New Roman" w:hAnsi="Arial" w:cs="Arial"/>
          <w:color w:val="000000"/>
          <w:kern w:val="0"/>
          <w:lang w:eastAsia="en-GB"/>
          <w14:ligatures w14:val="none"/>
        </w:rPr>
        <w:t>,</w:t>
      </w:r>
      <w:r w:rsidRPr="00D4538E">
        <w:rPr>
          <w:rFonts w:ascii="Arial" w:eastAsia="Times New Roman" w:hAnsi="Arial" w:cs="Arial"/>
          <w:color w:val="000000"/>
          <w:kern w:val="0"/>
          <w:lang w:eastAsia="en-GB"/>
          <w14:ligatures w14:val="none"/>
        </w:rPr>
        <w:t xml:space="preserve"> anonymity, no identifying personal information (Kang and Hwang, 2023), is maintained, as quotations from the participants are referred to as “one teacher shared” or “comments such as…”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p. 4). This may demonstrate the authors ethical considerations of confidentiality and privacy practices within their research, suggesting a high level of research ethics and research integrity (Kang and Hwang, 2023). However, the data availability statement states that raw data would be provided on request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which could present GDPR and ethical concerns for participants anonymity, but some of these concerns may be mitigated because the online survey was anonymous. Therefore, from the article, it may be reasonable to assume that ethical guidelines were adhered to, but further information on the ethics pro</w:t>
      </w:r>
      <w:r w:rsidR="00B1219E">
        <w:rPr>
          <w:rFonts w:ascii="Arial" w:eastAsia="Times New Roman" w:hAnsi="Arial" w:cs="Arial"/>
          <w:color w:val="000000"/>
          <w:kern w:val="0"/>
          <w:lang w:eastAsia="en-GB"/>
          <w14:ligatures w14:val="none"/>
        </w:rPr>
        <w:t>cedure</w:t>
      </w:r>
      <w:r w:rsidRPr="00D4538E">
        <w:rPr>
          <w:rFonts w:ascii="Arial" w:eastAsia="Times New Roman" w:hAnsi="Arial" w:cs="Arial"/>
          <w:color w:val="000000"/>
          <w:kern w:val="0"/>
          <w:lang w:eastAsia="en-GB"/>
          <w14:ligatures w14:val="none"/>
        </w:rPr>
        <w:t xml:space="preserve"> for this research could have been provided within the article, to assure readers participants and researchers were protected throughout the study.</w:t>
      </w:r>
    </w:p>
    <w:p w14:paraId="0A26D2F5" w14:textId="77777777" w:rsidR="0060146C" w:rsidRPr="00D4538E" w:rsidRDefault="0060146C" w:rsidP="00D4538E">
      <w:pPr>
        <w:spacing w:before="240" w:after="240" w:line="360" w:lineRule="auto"/>
        <w:jc w:val="both"/>
        <w:rPr>
          <w:rFonts w:ascii="Arial" w:eastAsia="Times New Roman" w:hAnsi="Arial" w:cs="Arial"/>
          <w:kern w:val="0"/>
          <w:lang w:eastAsia="en-GB"/>
          <w14:ligatures w14:val="none"/>
        </w:rPr>
      </w:pPr>
      <w:r w:rsidRPr="00D4538E">
        <w:rPr>
          <w:rFonts w:ascii="Arial" w:eastAsia="Times New Roman" w:hAnsi="Arial" w:cs="Arial"/>
          <w:color w:val="000000"/>
          <w:kern w:val="0"/>
          <w:lang w:eastAsia="en-GB"/>
          <w14:ligatures w14:val="none"/>
        </w:rPr>
        <w:t> </w:t>
      </w:r>
    </w:p>
    <w:p w14:paraId="0E77B322" w14:textId="77777777" w:rsidR="0060146C" w:rsidRPr="00F56DC7" w:rsidRDefault="0060146C" w:rsidP="00F56DC7">
      <w:pPr>
        <w:pStyle w:val="Heading1"/>
        <w:rPr>
          <w:rFonts w:ascii="Arial" w:eastAsia="Times New Roman" w:hAnsi="Arial" w:cs="Arial"/>
          <w:b/>
          <w:bCs/>
          <w:color w:val="auto"/>
          <w:sz w:val="24"/>
          <w:szCs w:val="24"/>
          <w:lang w:eastAsia="en-GB"/>
        </w:rPr>
      </w:pPr>
      <w:bookmarkStart w:id="5" w:name="_Toc228106650"/>
      <w:r w:rsidRPr="00F56DC7">
        <w:rPr>
          <w:rFonts w:ascii="Arial" w:eastAsia="Times New Roman" w:hAnsi="Arial" w:cs="Arial"/>
          <w:b/>
          <w:bCs/>
          <w:color w:val="auto"/>
          <w:sz w:val="24"/>
          <w:szCs w:val="24"/>
          <w:lang w:eastAsia="en-GB"/>
        </w:rPr>
        <w:t>Implications</w:t>
      </w:r>
      <w:bookmarkEnd w:id="5"/>
    </w:p>
    <w:p w14:paraId="211FE6AF" w14:textId="6E0FBFD1" w:rsidR="0060146C" w:rsidRPr="00D4538E" w:rsidRDefault="0060146C" w:rsidP="00D4538E">
      <w:pPr>
        <w:spacing w:before="240" w:after="240" w:line="360" w:lineRule="auto"/>
        <w:jc w:val="both"/>
        <w:rPr>
          <w:rFonts w:ascii="Arial" w:eastAsia="Times New Roman" w:hAnsi="Arial" w:cs="Arial"/>
          <w:kern w:val="0"/>
          <w:lang w:eastAsia="en-GB"/>
          <w14:ligatures w14:val="none"/>
        </w:rPr>
      </w:pPr>
      <w:r w:rsidRPr="00D4538E">
        <w:rPr>
          <w:rFonts w:ascii="Arial" w:eastAsia="Times New Roman" w:hAnsi="Arial" w:cs="Arial"/>
          <w:color w:val="000000"/>
          <w:kern w:val="0"/>
          <w:lang w:eastAsia="en-GB"/>
          <w14:ligatures w14:val="none"/>
        </w:rPr>
        <w:t xml:space="preserve">The implications of the article are important to consider as it may support the ongoing discussions about menstrual health education and if additional support or training should be provided to teachers. This article addressed how teacher training for menstrual health lessons, for all gender teachers, should be provided to ensure the teacher feels confident and capable of delivering menstrual health education to students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However, the article presents gender as biological and </w:t>
      </w:r>
      <w:r w:rsidRPr="00D4538E">
        <w:rPr>
          <w:rFonts w:ascii="Arial" w:eastAsia="Times New Roman" w:hAnsi="Arial" w:cs="Arial"/>
          <w:color w:val="000000"/>
          <w:kern w:val="0"/>
          <w:lang w:eastAsia="en-GB"/>
          <w14:ligatures w14:val="none"/>
        </w:rPr>
        <w:lastRenderedPageBreak/>
        <w:t xml:space="preserve">binary and does not define women or girls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This does not account for people who menstruate who do not identify as a woman, as supported by Hennegan </w:t>
      </w:r>
      <w:r w:rsidRPr="00D4538E">
        <w:rPr>
          <w:rFonts w:ascii="Arial" w:eastAsia="Times New Roman" w:hAnsi="Arial" w:cs="Arial"/>
          <w:i/>
          <w:iCs/>
          <w:color w:val="000000"/>
          <w:kern w:val="0"/>
          <w:lang w:eastAsia="en-GB"/>
          <w14:ligatures w14:val="none"/>
        </w:rPr>
        <w:t xml:space="preserve">et al. </w:t>
      </w:r>
      <w:r w:rsidRPr="00D4538E">
        <w:rPr>
          <w:rFonts w:ascii="Arial" w:eastAsia="Times New Roman" w:hAnsi="Arial" w:cs="Arial"/>
          <w:color w:val="000000"/>
          <w:kern w:val="0"/>
          <w:lang w:eastAsia="en-GB"/>
          <w14:ligatures w14:val="none"/>
        </w:rPr>
        <w:t xml:space="preserve">(2021) and Bell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(2025) who stated menstruation could be experienced by women, non-binary, transgender men, genderqueer individuals, in addition to other gender ident</w:t>
      </w:r>
      <w:r w:rsidR="00B1219E">
        <w:rPr>
          <w:rFonts w:ascii="Arial" w:eastAsia="Times New Roman" w:hAnsi="Arial" w:cs="Arial"/>
          <w:color w:val="000000"/>
          <w:kern w:val="0"/>
          <w:lang w:eastAsia="en-GB"/>
          <w14:ligatures w14:val="none"/>
        </w:rPr>
        <w:t>ities</w:t>
      </w:r>
      <w:r w:rsidRPr="00D4538E">
        <w:rPr>
          <w:rFonts w:ascii="Arial" w:eastAsia="Times New Roman" w:hAnsi="Arial" w:cs="Arial"/>
          <w:color w:val="000000"/>
          <w:kern w:val="0"/>
          <w:lang w:eastAsia="en-GB"/>
          <w14:ligatures w14:val="none"/>
        </w:rPr>
        <w:t xml:space="preserve"> who menstruate and women who may not menstruate. Therefore, the article may present </w:t>
      </w:r>
      <w:r w:rsidR="002C3EBA">
        <w:rPr>
          <w:rFonts w:ascii="Arial" w:eastAsia="Times New Roman" w:hAnsi="Arial" w:cs="Arial"/>
          <w:color w:val="000000"/>
          <w:kern w:val="0"/>
          <w:lang w:eastAsia="en-GB"/>
          <w14:ligatures w14:val="none"/>
        </w:rPr>
        <w:t>menstruation</w:t>
      </w:r>
      <w:r w:rsidRPr="00D4538E">
        <w:rPr>
          <w:rFonts w:ascii="Arial" w:eastAsia="Times New Roman" w:hAnsi="Arial" w:cs="Arial"/>
          <w:color w:val="000000"/>
          <w:kern w:val="0"/>
          <w:lang w:eastAsia="en-GB"/>
          <w14:ligatures w14:val="none"/>
        </w:rPr>
        <w:t xml:space="preserve"> as a traditional feminine issue, which could relate to the feminist methodological position discussed. Inclusive language when discussing people who menstruate could aid the article in advocating for inclusive educational practices, which could influence societal, political, and media perception and discussions of menstruation, addressing critical realism, the view that change within society is possible if inequalities are known (Zhang, 2023). Furthermore, within the article, gender bias is presented in the findings, as 91% of participants identified as women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This statistic could support the view of menstruation as a women’s issue, however,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considered additional influences which may have limited male teachers’ responses, but none were definitive. In addition, Brown </w:t>
      </w:r>
      <w:r w:rsidRPr="00D4538E">
        <w:rPr>
          <w:rFonts w:ascii="Arial" w:eastAsia="Times New Roman" w:hAnsi="Arial" w:cs="Arial"/>
          <w:i/>
          <w:iCs/>
          <w:color w:val="000000"/>
          <w:kern w:val="0"/>
          <w:lang w:eastAsia="en-GB"/>
          <w14:ligatures w14:val="none"/>
        </w:rPr>
        <w:t>et al.</w:t>
      </w:r>
      <w:r w:rsidRPr="00D4538E">
        <w:rPr>
          <w:rFonts w:ascii="Arial" w:eastAsia="Times New Roman" w:hAnsi="Arial" w:cs="Arial"/>
          <w:color w:val="000000"/>
          <w:kern w:val="0"/>
          <w:lang w:eastAsia="en-GB"/>
          <w14:ligatures w14:val="none"/>
        </w:rPr>
        <w:t xml:space="preserve"> (2022) identified 70% of teachers within the UK identify as female, at the time of publication, which could suggest the biased sample may have been predicted. Therefore, considering the absence of inclusive language and gender bias within the research, adjustments could be established in further research to mitigate these issues. However, this article raises awareness of menstrual health education, and the research may have positive implications on further discussions and improvements.</w:t>
      </w:r>
    </w:p>
    <w:p w14:paraId="5FE19E6A" w14:textId="77777777" w:rsidR="0060146C" w:rsidRPr="00D4538E" w:rsidRDefault="0060146C" w:rsidP="00D4538E">
      <w:pPr>
        <w:spacing w:before="240" w:after="240" w:line="360" w:lineRule="auto"/>
        <w:jc w:val="both"/>
        <w:rPr>
          <w:rFonts w:ascii="Arial" w:eastAsia="Times New Roman" w:hAnsi="Arial" w:cs="Arial"/>
          <w:kern w:val="0"/>
          <w:lang w:eastAsia="en-GB"/>
          <w14:ligatures w14:val="none"/>
        </w:rPr>
      </w:pPr>
      <w:r w:rsidRPr="00D4538E">
        <w:rPr>
          <w:rFonts w:ascii="Arial" w:eastAsia="Times New Roman" w:hAnsi="Arial" w:cs="Arial"/>
          <w:color w:val="000000"/>
          <w:kern w:val="0"/>
          <w:lang w:eastAsia="en-GB"/>
          <w14:ligatures w14:val="none"/>
        </w:rPr>
        <w:t> </w:t>
      </w:r>
    </w:p>
    <w:p w14:paraId="6D87365A" w14:textId="77777777" w:rsidR="0060146C" w:rsidRPr="00F56DC7" w:rsidRDefault="0060146C" w:rsidP="00F56DC7">
      <w:pPr>
        <w:pStyle w:val="Heading1"/>
        <w:rPr>
          <w:rFonts w:ascii="Arial" w:eastAsia="Times New Roman" w:hAnsi="Arial" w:cs="Arial"/>
          <w:b/>
          <w:bCs/>
          <w:color w:val="auto"/>
          <w:sz w:val="24"/>
          <w:szCs w:val="24"/>
          <w:lang w:eastAsia="en-GB"/>
        </w:rPr>
      </w:pPr>
      <w:bookmarkStart w:id="6" w:name="_Toc228106651"/>
      <w:r w:rsidRPr="00F56DC7">
        <w:rPr>
          <w:rFonts w:ascii="Arial" w:eastAsia="Times New Roman" w:hAnsi="Arial" w:cs="Arial"/>
          <w:b/>
          <w:bCs/>
          <w:color w:val="auto"/>
          <w:sz w:val="24"/>
          <w:szCs w:val="24"/>
          <w:lang w:eastAsia="en-GB"/>
        </w:rPr>
        <w:t>Conclusion</w:t>
      </w:r>
      <w:bookmarkEnd w:id="6"/>
    </w:p>
    <w:p w14:paraId="773CFF79" w14:textId="77777777" w:rsidR="0060146C" w:rsidRPr="00D4538E" w:rsidRDefault="0060146C" w:rsidP="00D4538E">
      <w:pPr>
        <w:spacing w:before="240" w:after="240" w:line="360" w:lineRule="auto"/>
        <w:jc w:val="both"/>
        <w:rPr>
          <w:rFonts w:ascii="Arial" w:eastAsia="Times New Roman" w:hAnsi="Arial" w:cs="Arial"/>
          <w:kern w:val="0"/>
          <w:lang w:eastAsia="en-GB"/>
          <w14:ligatures w14:val="none"/>
        </w:rPr>
      </w:pPr>
      <w:r w:rsidRPr="00D4538E">
        <w:rPr>
          <w:rFonts w:ascii="Arial" w:eastAsia="Times New Roman" w:hAnsi="Arial" w:cs="Arial"/>
          <w:color w:val="000000"/>
          <w:kern w:val="0"/>
          <w:lang w:eastAsia="en-GB"/>
          <w14:ligatures w14:val="none"/>
        </w:rPr>
        <w:t xml:space="preserve">To conclude, the article could be considered relevant and useful in addressing the importance of research into teachers’ opinions of menstrual health education, and whether additional support should be provided in schools to teachers. As presented in the literature review, similar research has been conducted on the importance of effective menstrual health education for students, which demonstrates the prevalence and reliability of the article. The methodology, data collection methods, and ethical considerations within the article may be considered effective for this research and provide the researchers with insightful information. This article primarily affects </w:t>
      </w:r>
      <w:r w:rsidRPr="00D4538E">
        <w:rPr>
          <w:rFonts w:ascii="Arial" w:eastAsia="Times New Roman" w:hAnsi="Arial" w:cs="Arial"/>
          <w:color w:val="000000"/>
          <w:kern w:val="0"/>
          <w:lang w:eastAsia="en-GB"/>
          <w14:ligatures w14:val="none"/>
        </w:rPr>
        <w:lastRenderedPageBreak/>
        <w:t xml:space="preserve">teachers and students, as education improvements to the curriculum or additional teacher training could ensure adequate menstrual health education supports students throughout their life. This may aid societal normalisation of menstruation with increased confident discussions of menstruation. In addition, this article could influence further developments in curriculum changes to reduce menstrual taboo. However, further research could consider another qualitative method, for example, focus groups or interviews, as additional questions and clarification of responses may support deeper understanding of menstrual health education within schools and societal influences on the curriculum. Overall, this article may have positive implications on understanding menstrual health education from teachers’ perspective, but discussions on societal and cultural norms, which may affect menstrual equality, could be considered in further research. </w:t>
      </w:r>
    </w:p>
    <w:p w14:paraId="31AF846E" w14:textId="77777777" w:rsidR="00080467" w:rsidRDefault="00080467" w:rsidP="00080467">
      <w:pPr>
        <w:spacing w:line="240" w:lineRule="auto"/>
        <w:jc w:val="both"/>
        <w:rPr>
          <w:rFonts w:ascii="Times New Roman" w:hAnsi="Times New Roman" w:cs="Times New Roman"/>
        </w:rPr>
      </w:pPr>
    </w:p>
    <w:p w14:paraId="5CAB35EA" w14:textId="2F403D28" w:rsidR="00F56DC7" w:rsidRDefault="00F56DC7">
      <w:pPr>
        <w:rPr>
          <w:rFonts w:ascii="Times New Roman" w:hAnsi="Times New Roman" w:cs="Times New Roman"/>
        </w:rPr>
      </w:pPr>
      <w:r>
        <w:rPr>
          <w:rFonts w:ascii="Times New Roman" w:hAnsi="Times New Roman" w:cs="Times New Roman"/>
        </w:rPr>
        <w:br w:type="page"/>
      </w:r>
    </w:p>
    <w:p w14:paraId="18E42409" w14:textId="04F782BF" w:rsidR="00F56DC7" w:rsidRDefault="00F56DC7" w:rsidP="00C53572">
      <w:pPr>
        <w:pStyle w:val="Heading1"/>
        <w:rPr>
          <w:rFonts w:ascii="Arial" w:hAnsi="Arial" w:cs="Arial"/>
          <w:b/>
          <w:bCs/>
          <w:color w:val="auto"/>
          <w:sz w:val="24"/>
          <w:szCs w:val="24"/>
        </w:rPr>
      </w:pPr>
      <w:bookmarkStart w:id="7" w:name="_Toc228106652"/>
      <w:r w:rsidRPr="00F56DC7">
        <w:rPr>
          <w:rFonts w:ascii="Arial" w:hAnsi="Arial" w:cs="Arial"/>
          <w:b/>
          <w:bCs/>
          <w:color w:val="auto"/>
          <w:sz w:val="24"/>
          <w:szCs w:val="24"/>
        </w:rPr>
        <w:lastRenderedPageBreak/>
        <w:t>Reference list</w:t>
      </w:r>
      <w:bookmarkEnd w:id="7"/>
    </w:p>
    <w:p w14:paraId="39589B38" w14:textId="77777777" w:rsidR="00C53572" w:rsidRPr="00C53572" w:rsidRDefault="00C53572" w:rsidP="00C53572"/>
    <w:p w14:paraId="3FAC01B0"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Almalki, S. (2016) ‘Integrating Quantitative and Qualitative Data in Mixed Methods Research—Challenges and Benefits’, </w:t>
      </w:r>
      <w:r w:rsidRPr="00C53572">
        <w:rPr>
          <w:rFonts w:ascii="Arial" w:eastAsia="Times New Roman" w:hAnsi="Arial" w:cs="Arial"/>
          <w:i/>
          <w:iCs/>
          <w:color w:val="000000"/>
          <w:kern w:val="0"/>
          <w:lang w:eastAsia="en-GB"/>
          <w14:ligatures w14:val="none"/>
        </w:rPr>
        <w:t>Journal of Education and Learning</w:t>
      </w:r>
      <w:r w:rsidRPr="00C53572">
        <w:rPr>
          <w:rFonts w:ascii="Arial" w:eastAsia="Times New Roman" w:hAnsi="Arial" w:cs="Arial"/>
          <w:color w:val="000000"/>
          <w:kern w:val="0"/>
          <w:lang w:eastAsia="en-GB"/>
          <w14:ligatures w14:val="none"/>
        </w:rPr>
        <w:t>, 5(3), pp. 288-296. Available at: http://dx.doi.org/10.5539/jel.v5n3p288 </w:t>
      </w:r>
    </w:p>
    <w:p w14:paraId="44C98E62"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03683074"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Armour, M., Ferfolja, T., Curry, C., Hyman, M.S., Parry, K., Chalmers, K.J., Smith, C.A., MacMillan, F. and Holmes, K. (2020) ‘The Prevalence and Educational Impact of Pelvic and Menstrual Pain in Australia: A National Online Survey of 4202 Young Women Aged 13-25 Years’, </w:t>
      </w:r>
      <w:r w:rsidRPr="00C53572">
        <w:rPr>
          <w:rFonts w:ascii="Arial" w:eastAsia="Times New Roman" w:hAnsi="Arial" w:cs="Arial"/>
          <w:i/>
          <w:iCs/>
          <w:color w:val="000000"/>
          <w:kern w:val="0"/>
          <w:lang w:eastAsia="en-GB"/>
          <w14:ligatures w14:val="none"/>
        </w:rPr>
        <w:t xml:space="preserve">Journal of Pediatric and Adolescent Gynecology, </w:t>
      </w:r>
      <w:r w:rsidRPr="00C53572">
        <w:rPr>
          <w:rFonts w:ascii="Arial" w:eastAsia="Times New Roman" w:hAnsi="Arial" w:cs="Arial"/>
          <w:color w:val="000000"/>
          <w:kern w:val="0"/>
          <w:lang w:eastAsia="en-GB"/>
          <w14:ligatures w14:val="none"/>
        </w:rPr>
        <w:t>33(5), pp. 511-518. Available at: https://doi.org/10.1016/j.jpag.2020.06.007 </w:t>
      </w:r>
    </w:p>
    <w:p w14:paraId="4F17865D"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548A8EC7"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Armour, M., Hyman, M.S., Al-Dabbas, M., Parry, K., Ferfolja, T., Curry, C., MacMillan, F., Smith, C.A. and Holmes, K. (2021) ‘Menstrual Health Literacy and Management Strategies in Young Women in Australia: A National Online Survey of Young Women Aged 13-25 Years’, </w:t>
      </w:r>
      <w:r w:rsidRPr="00C53572">
        <w:rPr>
          <w:rFonts w:ascii="Arial" w:eastAsia="Times New Roman" w:hAnsi="Arial" w:cs="Arial"/>
          <w:i/>
          <w:iCs/>
          <w:color w:val="000000"/>
          <w:kern w:val="0"/>
          <w:lang w:eastAsia="en-GB"/>
          <w14:ligatures w14:val="none"/>
        </w:rPr>
        <w:t>Journal of Pediatric and Adolescent Gynecology</w:t>
      </w:r>
      <w:r w:rsidRPr="00C53572">
        <w:rPr>
          <w:rFonts w:ascii="Arial" w:eastAsia="Times New Roman" w:hAnsi="Arial" w:cs="Arial"/>
          <w:color w:val="000000"/>
          <w:kern w:val="0"/>
          <w:lang w:eastAsia="en-GB"/>
          <w14:ligatures w14:val="none"/>
        </w:rPr>
        <w:t>, 34(2), pp. 135-143. Available at: https://doi.org/10.1016/j.jpag.2020.11.007 </w:t>
      </w:r>
    </w:p>
    <w:p w14:paraId="62943ED5"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6C3B69B6"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Axinn, W.G. and Pearce, L.D. (2006) </w:t>
      </w:r>
      <w:r w:rsidRPr="00C53572">
        <w:rPr>
          <w:rFonts w:ascii="Arial" w:eastAsia="Times New Roman" w:hAnsi="Arial" w:cs="Arial"/>
          <w:i/>
          <w:iCs/>
          <w:color w:val="000000"/>
          <w:kern w:val="0"/>
          <w:lang w:eastAsia="en-GB"/>
          <w14:ligatures w14:val="none"/>
        </w:rPr>
        <w:t>Mixed Method Data Collection Strategies.</w:t>
      </w:r>
      <w:r w:rsidRPr="00C53572">
        <w:rPr>
          <w:rFonts w:ascii="Arial" w:eastAsia="Times New Roman" w:hAnsi="Arial" w:cs="Arial"/>
          <w:color w:val="000000"/>
          <w:kern w:val="0"/>
          <w:lang w:eastAsia="en-GB"/>
          <w14:ligatures w14:val="none"/>
        </w:rPr>
        <w:t xml:space="preserve"> Cambridge University Press.</w:t>
      </w:r>
    </w:p>
    <w:p w14:paraId="3E536061"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1FA54D6B"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Ball, H.L. (2019) ‘Conducting Online Surveys’,</w:t>
      </w:r>
      <w:r w:rsidRPr="00C53572">
        <w:rPr>
          <w:rFonts w:ascii="Arial" w:eastAsia="Times New Roman" w:hAnsi="Arial" w:cs="Arial"/>
          <w:i/>
          <w:iCs/>
          <w:color w:val="000000"/>
          <w:kern w:val="0"/>
          <w:lang w:eastAsia="en-GB"/>
          <w14:ligatures w14:val="none"/>
        </w:rPr>
        <w:t xml:space="preserve"> Journal of Human Lactation</w:t>
      </w:r>
      <w:r w:rsidRPr="00C53572">
        <w:rPr>
          <w:rFonts w:ascii="Arial" w:eastAsia="Times New Roman" w:hAnsi="Arial" w:cs="Arial"/>
          <w:color w:val="000000"/>
          <w:kern w:val="0"/>
          <w:lang w:eastAsia="en-GB"/>
          <w14:ligatures w14:val="none"/>
        </w:rPr>
        <w:t>, 35(3). Available at: https://doi.org/10.1177/0890334419848734 </w:t>
      </w:r>
    </w:p>
    <w:p w14:paraId="2397D618"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12FD107E"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Bell, K., Cash, B., Moorhead, B., </w:t>
      </w:r>
      <w:proofErr w:type="spellStart"/>
      <w:r w:rsidRPr="00C53572">
        <w:rPr>
          <w:rFonts w:ascii="Arial" w:eastAsia="Times New Roman" w:hAnsi="Arial" w:cs="Arial"/>
          <w:color w:val="000000"/>
          <w:kern w:val="0"/>
          <w:lang w:eastAsia="en-GB"/>
          <w14:ligatures w14:val="none"/>
        </w:rPr>
        <w:t>Boetto</w:t>
      </w:r>
      <w:proofErr w:type="spellEnd"/>
      <w:r w:rsidRPr="00C53572">
        <w:rPr>
          <w:rFonts w:ascii="Arial" w:eastAsia="Times New Roman" w:hAnsi="Arial" w:cs="Arial"/>
          <w:color w:val="000000"/>
          <w:kern w:val="0"/>
          <w:lang w:eastAsia="en-GB"/>
          <w14:ligatures w14:val="none"/>
        </w:rPr>
        <w:t xml:space="preserve">, H. and Ivory, N. (2025) ‘Menstrual inequities and menstrual justice: A scoping review of social work literature’, </w:t>
      </w:r>
      <w:r w:rsidRPr="00C53572">
        <w:rPr>
          <w:rFonts w:ascii="Arial" w:eastAsia="Times New Roman" w:hAnsi="Arial" w:cs="Arial"/>
          <w:i/>
          <w:iCs/>
          <w:color w:val="000000"/>
          <w:kern w:val="0"/>
          <w:lang w:eastAsia="en-GB"/>
          <w14:ligatures w14:val="none"/>
        </w:rPr>
        <w:t>International Social Work</w:t>
      </w:r>
      <w:r w:rsidRPr="00C53572">
        <w:rPr>
          <w:rFonts w:ascii="Arial" w:eastAsia="Times New Roman" w:hAnsi="Arial" w:cs="Arial"/>
          <w:color w:val="000000"/>
          <w:kern w:val="0"/>
          <w:lang w:eastAsia="en-GB"/>
          <w14:ligatures w14:val="none"/>
        </w:rPr>
        <w:t>, 68(6). Available at: https://doi.org/10.1177/00208728251360602 </w:t>
      </w:r>
    </w:p>
    <w:p w14:paraId="116E66FA"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537136F2"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Berg, L. (2025) ‘What do the bloody spiritualists say? Exploring menstruation advocacy and feminist frictions in Sweden’, </w:t>
      </w:r>
      <w:r w:rsidRPr="00C53572">
        <w:rPr>
          <w:rFonts w:ascii="Arial" w:eastAsia="Times New Roman" w:hAnsi="Arial" w:cs="Arial"/>
          <w:i/>
          <w:iCs/>
          <w:color w:val="000000"/>
          <w:kern w:val="0"/>
          <w:lang w:eastAsia="en-GB"/>
          <w14:ligatures w14:val="none"/>
        </w:rPr>
        <w:t>European Journal of Women’s Studies</w:t>
      </w:r>
      <w:r w:rsidRPr="00C53572">
        <w:rPr>
          <w:rFonts w:ascii="Arial" w:eastAsia="Times New Roman" w:hAnsi="Arial" w:cs="Arial"/>
          <w:color w:val="000000"/>
          <w:kern w:val="0"/>
          <w:lang w:eastAsia="en-GB"/>
          <w14:ligatures w14:val="none"/>
        </w:rPr>
        <w:t>, 32(1). Available at: https://doi.org/10.1177/13505068241312296 </w:t>
      </w:r>
    </w:p>
    <w:p w14:paraId="3955CF9C"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2C0A6A84"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Berryman, D.R. (2019) ‘Ontology, Epistemology, Methodology, and Methods: Information for Librarian Researchers’, </w:t>
      </w:r>
      <w:r w:rsidRPr="00C53572">
        <w:rPr>
          <w:rFonts w:ascii="Arial" w:eastAsia="Times New Roman" w:hAnsi="Arial" w:cs="Arial"/>
          <w:i/>
          <w:iCs/>
          <w:color w:val="000000"/>
          <w:kern w:val="0"/>
          <w:lang w:eastAsia="en-GB"/>
          <w14:ligatures w14:val="none"/>
        </w:rPr>
        <w:t>Medical Reference Services Quarterly</w:t>
      </w:r>
      <w:r w:rsidRPr="00C53572">
        <w:rPr>
          <w:rFonts w:ascii="Arial" w:eastAsia="Times New Roman" w:hAnsi="Arial" w:cs="Arial"/>
          <w:color w:val="000000"/>
          <w:kern w:val="0"/>
          <w:lang w:eastAsia="en-GB"/>
          <w14:ligatures w14:val="none"/>
        </w:rPr>
        <w:t>, 38(3), pp. 271-279. Available at: https://doi.org/10.1080/02763869.2019.1623614 </w:t>
      </w:r>
    </w:p>
    <w:p w14:paraId="26A51170"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259AB41B"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Brooks, A.E. Maybin, J.A. and Harper, J.C. (2026) ‘Menstrual experiences of adolescent girls in schools: recommendations for menstrual health education in England’, </w:t>
      </w:r>
      <w:r w:rsidRPr="00C53572">
        <w:rPr>
          <w:rFonts w:ascii="Arial" w:eastAsia="Times New Roman" w:hAnsi="Arial" w:cs="Arial"/>
          <w:i/>
          <w:iCs/>
          <w:color w:val="000000"/>
          <w:kern w:val="0"/>
          <w:lang w:eastAsia="en-GB"/>
          <w14:ligatures w14:val="none"/>
        </w:rPr>
        <w:t>BMC Public Health</w:t>
      </w:r>
      <w:r w:rsidRPr="00C53572">
        <w:rPr>
          <w:rFonts w:ascii="Arial" w:eastAsia="Times New Roman" w:hAnsi="Arial" w:cs="Arial"/>
          <w:color w:val="000000"/>
          <w:kern w:val="0"/>
          <w:lang w:eastAsia="en-GB"/>
          <w14:ligatures w14:val="none"/>
        </w:rPr>
        <w:t>, 26 (March) article 946. Available at: https://doi.org/10.1186/s12889-025-24681-1 </w:t>
      </w:r>
    </w:p>
    <w:p w14:paraId="3AFC2F0C"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77A5C4E2"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Brown, N., Williams, R., Bruinvels, G., Piasecki, J. and Forrest, L.J. (2022) ‘Teachers' Perceptions and Experiences of Menstrual Cycle Education and Support in UK Schools’, </w:t>
      </w:r>
      <w:r w:rsidRPr="00C53572">
        <w:rPr>
          <w:rFonts w:ascii="Arial" w:eastAsia="Times New Roman" w:hAnsi="Arial" w:cs="Arial"/>
          <w:i/>
          <w:iCs/>
          <w:color w:val="000000"/>
          <w:kern w:val="0"/>
          <w:lang w:eastAsia="en-GB"/>
          <w14:ligatures w14:val="none"/>
        </w:rPr>
        <w:t>Frontiers in Global Women’s Health</w:t>
      </w:r>
      <w:r w:rsidRPr="00C53572">
        <w:rPr>
          <w:rFonts w:ascii="Arial" w:eastAsia="Times New Roman" w:hAnsi="Arial" w:cs="Arial"/>
          <w:color w:val="000000"/>
          <w:kern w:val="0"/>
          <w:lang w:eastAsia="en-GB"/>
          <w14:ligatures w14:val="none"/>
        </w:rPr>
        <w:t>, 3. Available at: https://doi.org/10.3389/fgwh.2022.827365 </w:t>
      </w:r>
    </w:p>
    <w:p w14:paraId="2D7F1707"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7FA32402"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Chand, S.P. (2024) ‘Constructivism in Education: Exploring the Contributions of Piaget, Vygotsky, and Bruner’, </w:t>
      </w:r>
      <w:r w:rsidRPr="00C53572">
        <w:rPr>
          <w:rFonts w:ascii="Arial" w:eastAsia="Times New Roman" w:hAnsi="Arial" w:cs="Arial"/>
          <w:i/>
          <w:iCs/>
          <w:color w:val="000000"/>
          <w:kern w:val="0"/>
          <w:lang w:eastAsia="en-GB"/>
          <w14:ligatures w14:val="none"/>
        </w:rPr>
        <w:t>International Journal of Science and Research</w:t>
      </w:r>
      <w:r w:rsidRPr="00C53572">
        <w:rPr>
          <w:rFonts w:ascii="Arial" w:eastAsia="Times New Roman" w:hAnsi="Arial" w:cs="Arial"/>
          <w:color w:val="000000"/>
          <w:kern w:val="0"/>
          <w:lang w:eastAsia="en-GB"/>
          <w14:ligatures w14:val="none"/>
        </w:rPr>
        <w:t xml:space="preserve">, 12(7), pp. 274-278. Available at: </w:t>
      </w:r>
      <w:r w:rsidRPr="00C53572">
        <w:rPr>
          <w:rFonts w:ascii="Arial" w:eastAsia="Times New Roman" w:hAnsi="Arial" w:cs="Arial"/>
          <w:color w:val="000000"/>
          <w:kern w:val="0"/>
          <w:lang w:eastAsia="en-GB"/>
          <w14:ligatures w14:val="none"/>
        </w:rPr>
        <w:lastRenderedPageBreak/>
        <w:t>https://www.researchgate.net/publication/378071316_Constructivism_in_Education_Exploring_the_Contributions_of_Piaget_Vygotsky_and_Bruner (Accessed: 25 April 2026). </w:t>
      </w:r>
    </w:p>
    <w:p w14:paraId="30A950F8"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6A9417D4"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Connelly, L.M. (2010) ‘What Is Phenomenology?’, </w:t>
      </w:r>
      <w:proofErr w:type="spellStart"/>
      <w:r w:rsidRPr="00C53572">
        <w:rPr>
          <w:rFonts w:ascii="Arial" w:eastAsia="Times New Roman" w:hAnsi="Arial" w:cs="Arial"/>
          <w:i/>
          <w:iCs/>
          <w:color w:val="000000"/>
          <w:kern w:val="0"/>
          <w:lang w:eastAsia="en-GB"/>
          <w14:ligatures w14:val="none"/>
        </w:rPr>
        <w:t>Medsurg</w:t>
      </w:r>
      <w:proofErr w:type="spellEnd"/>
      <w:r w:rsidRPr="00C53572">
        <w:rPr>
          <w:rFonts w:ascii="Arial" w:eastAsia="Times New Roman" w:hAnsi="Arial" w:cs="Arial"/>
          <w:i/>
          <w:iCs/>
          <w:color w:val="000000"/>
          <w:kern w:val="0"/>
          <w:lang w:eastAsia="en-GB"/>
          <w14:ligatures w14:val="none"/>
        </w:rPr>
        <w:t xml:space="preserve"> Nursing</w:t>
      </w:r>
      <w:r w:rsidRPr="00C53572">
        <w:rPr>
          <w:rFonts w:ascii="Arial" w:eastAsia="Times New Roman" w:hAnsi="Arial" w:cs="Arial"/>
          <w:color w:val="000000"/>
          <w:kern w:val="0"/>
          <w:lang w:eastAsia="en-GB"/>
          <w14:ligatures w14:val="none"/>
        </w:rPr>
        <w:t>, 19(2), pp. 127-128. Available at: https://www.proquest.com/openview/ab35d40d1633a022d37a016bad8cea09/1?pq-origsite=gscholar&amp;cbl=30764 (Accessed: 19 April 2026). </w:t>
      </w:r>
    </w:p>
    <w:p w14:paraId="4E6302C5"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476E28D7"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Critchley, H.O.D., Babayev, E., Bulun, S.E., Clark, S., Garcia-Grau, I., Gregersen, P.K., Kilcoyne, A., Kim, J-Y.J., Lavender, M., Marsh, E.E., Matteson, K.A., Maybin, J.A., Metz, C.N., Moreno, I., Silk, K., Sommer, M., Simon, C., Tariyal, R., Taylor, H.S., Wagner, G.P. and Griffith, L.G. (2020) ‘Menstruation: science and society’, </w:t>
      </w:r>
      <w:r w:rsidRPr="00C53572">
        <w:rPr>
          <w:rFonts w:ascii="Arial" w:eastAsia="Times New Roman" w:hAnsi="Arial" w:cs="Arial"/>
          <w:i/>
          <w:iCs/>
          <w:color w:val="000000"/>
          <w:kern w:val="0"/>
          <w:lang w:eastAsia="en-GB"/>
          <w14:ligatures w14:val="none"/>
        </w:rPr>
        <w:t>American Journal of Obstetrics and Gynecology</w:t>
      </w:r>
      <w:r w:rsidRPr="00C53572">
        <w:rPr>
          <w:rFonts w:ascii="Arial" w:eastAsia="Times New Roman" w:hAnsi="Arial" w:cs="Arial"/>
          <w:color w:val="000000"/>
          <w:kern w:val="0"/>
          <w:lang w:eastAsia="en-GB"/>
          <w14:ligatures w14:val="none"/>
        </w:rPr>
        <w:t>, 223(5), pp. 624-664. Available at: https://doi.org/10.1016/j.ajog.2020.06.004 </w:t>
      </w:r>
    </w:p>
    <w:p w14:paraId="6821A1CF"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6D497D01"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Daly, A.C. and Heah, R. (2023) ‘Mandatory Relationships and Sex Education (RSE) in England—Educators’ Views on Children’s Rights’, </w:t>
      </w:r>
      <w:r w:rsidRPr="00C53572">
        <w:rPr>
          <w:rFonts w:ascii="Arial" w:eastAsia="Times New Roman" w:hAnsi="Arial" w:cs="Arial"/>
          <w:i/>
          <w:iCs/>
          <w:color w:val="000000"/>
          <w:kern w:val="0"/>
          <w:lang w:eastAsia="en-GB"/>
          <w14:ligatures w14:val="none"/>
        </w:rPr>
        <w:t>Youth,</w:t>
      </w:r>
      <w:r w:rsidRPr="00C53572">
        <w:rPr>
          <w:rFonts w:ascii="Arial" w:eastAsia="Times New Roman" w:hAnsi="Arial" w:cs="Arial"/>
          <w:color w:val="000000"/>
          <w:kern w:val="0"/>
          <w:lang w:eastAsia="en-GB"/>
          <w14:ligatures w14:val="none"/>
        </w:rPr>
        <w:t xml:space="preserve"> 3(3), pp. 1013-1029. Available at: https://doi.org/10.3390/youth3030065 </w:t>
      </w:r>
    </w:p>
    <w:p w14:paraId="374D8467"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33DD32C5"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Department for Education (2025) </w:t>
      </w:r>
      <w:r w:rsidRPr="00C53572">
        <w:rPr>
          <w:rFonts w:ascii="Arial" w:eastAsia="Times New Roman" w:hAnsi="Arial" w:cs="Arial"/>
          <w:i/>
          <w:iCs/>
          <w:color w:val="000000"/>
          <w:kern w:val="0"/>
          <w:lang w:eastAsia="en-GB"/>
          <w14:ligatures w14:val="none"/>
        </w:rPr>
        <w:t>Relationships and sex education (RSE) and health education.</w:t>
      </w:r>
      <w:r w:rsidRPr="00C53572">
        <w:rPr>
          <w:rFonts w:ascii="Arial" w:eastAsia="Times New Roman" w:hAnsi="Arial" w:cs="Arial"/>
          <w:color w:val="000000"/>
          <w:kern w:val="0"/>
          <w:lang w:eastAsia="en-GB"/>
          <w14:ligatures w14:val="none"/>
        </w:rPr>
        <w:t xml:space="preserve"> Available at: https://www.gov.uk/government/publications/relationships-education-relationships-and-sex-education-rse-and-health-education#full-publication-update-history (Accessed: 15 April 2026). </w:t>
      </w:r>
    </w:p>
    <w:p w14:paraId="47F170C1"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147F7701"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Easton, K.L., McComish, J.F. and Greenberg, R. (2000) ‘Avoiding Common Pitfalls in Qualitative Data Collection and Transcription’, </w:t>
      </w:r>
      <w:r w:rsidRPr="00C53572">
        <w:rPr>
          <w:rFonts w:ascii="Arial" w:eastAsia="Times New Roman" w:hAnsi="Arial" w:cs="Arial"/>
          <w:i/>
          <w:iCs/>
          <w:color w:val="000000"/>
          <w:kern w:val="0"/>
          <w:lang w:eastAsia="en-GB"/>
          <w14:ligatures w14:val="none"/>
        </w:rPr>
        <w:t>Qualitative Health Research</w:t>
      </w:r>
      <w:r w:rsidRPr="00C53572">
        <w:rPr>
          <w:rFonts w:ascii="Arial" w:eastAsia="Times New Roman" w:hAnsi="Arial" w:cs="Arial"/>
          <w:color w:val="000000"/>
          <w:kern w:val="0"/>
          <w:lang w:eastAsia="en-GB"/>
          <w14:ligatures w14:val="none"/>
        </w:rPr>
        <w:t>, 10(5). Available at: https://doi.org/10.1177/104973200129118651 </w:t>
      </w:r>
    </w:p>
    <w:p w14:paraId="79052180"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54E317EC"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Evans, R.L., Harris, B., Onuegbu, C. and Griffiths, F. (2022) ‘Systematic review of educational interventions to improve the menstrual health of young adolescent girls’, </w:t>
      </w:r>
      <w:r w:rsidRPr="00C53572">
        <w:rPr>
          <w:rFonts w:ascii="Arial" w:eastAsia="Times New Roman" w:hAnsi="Arial" w:cs="Arial"/>
          <w:i/>
          <w:iCs/>
          <w:color w:val="000000"/>
          <w:kern w:val="0"/>
          <w:lang w:eastAsia="en-GB"/>
          <w14:ligatures w14:val="none"/>
        </w:rPr>
        <w:t>BMJ Open</w:t>
      </w:r>
      <w:r w:rsidRPr="00C53572">
        <w:rPr>
          <w:rFonts w:ascii="Arial" w:eastAsia="Times New Roman" w:hAnsi="Arial" w:cs="Arial"/>
          <w:color w:val="000000"/>
          <w:kern w:val="0"/>
          <w:lang w:eastAsia="en-GB"/>
          <w14:ligatures w14:val="none"/>
        </w:rPr>
        <w:t>, 12(6). Available at: https://doi.org/10.1136/bmjopen-2021-057204 </w:t>
      </w:r>
    </w:p>
    <w:p w14:paraId="27198C48"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1A276DF1"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Ferguson, K.E. (2017) ‘Feminist Theory Today’, </w:t>
      </w:r>
      <w:r w:rsidRPr="00C53572">
        <w:rPr>
          <w:rFonts w:ascii="Arial" w:eastAsia="Times New Roman" w:hAnsi="Arial" w:cs="Arial"/>
          <w:i/>
          <w:iCs/>
          <w:color w:val="000000"/>
          <w:kern w:val="0"/>
          <w:lang w:eastAsia="en-GB"/>
          <w14:ligatures w14:val="none"/>
        </w:rPr>
        <w:t>Annual Review of Political Science,</w:t>
      </w:r>
      <w:r w:rsidRPr="00C53572">
        <w:rPr>
          <w:rFonts w:ascii="Arial" w:eastAsia="Times New Roman" w:hAnsi="Arial" w:cs="Arial"/>
          <w:color w:val="000000"/>
          <w:kern w:val="0"/>
          <w:lang w:eastAsia="en-GB"/>
          <w14:ligatures w14:val="none"/>
        </w:rPr>
        <w:t xml:space="preserve"> 20, pp. 269-286. Available at: https://doi.org/10.1146/annurev-polisci-052715-111648 </w:t>
      </w:r>
    </w:p>
    <w:p w14:paraId="75B16A79"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324E9F71"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Garg, R. (2016) ‘Methodology for research I’, </w:t>
      </w:r>
      <w:r w:rsidRPr="00C53572">
        <w:rPr>
          <w:rFonts w:ascii="Arial" w:eastAsia="Times New Roman" w:hAnsi="Arial" w:cs="Arial"/>
          <w:i/>
          <w:iCs/>
          <w:color w:val="000000"/>
          <w:kern w:val="0"/>
          <w:lang w:eastAsia="en-GB"/>
          <w14:ligatures w14:val="none"/>
        </w:rPr>
        <w:t>Indian Journal of Anaesthesia</w:t>
      </w:r>
      <w:r w:rsidRPr="00C53572">
        <w:rPr>
          <w:rFonts w:ascii="Arial" w:eastAsia="Times New Roman" w:hAnsi="Arial" w:cs="Arial"/>
          <w:color w:val="000000"/>
          <w:kern w:val="0"/>
          <w:lang w:eastAsia="en-GB"/>
          <w14:ligatures w14:val="none"/>
        </w:rPr>
        <w:t>, 60(9), pp. 640-645. Available at: https://journals.lww.com/ijaweb/fulltext/2016/60090/methodology_for_research_i.6.aspx (Accessed: 15 April 2026).</w:t>
      </w:r>
    </w:p>
    <w:p w14:paraId="0D4772B8"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0908A6F5"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George, T. (2025) ‘Hermeneutics’, </w:t>
      </w:r>
      <w:r w:rsidRPr="00C53572">
        <w:rPr>
          <w:rFonts w:ascii="Arial" w:eastAsia="Times New Roman" w:hAnsi="Arial" w:cs="Arial"/>
          <w:i/>
          <w:iCs/>
          <w:color w:val="000000"/>
          <w:kern w:val="0"/>
          <w:lang w:eastAsia="en-GB"/>
          <w14:ligatures w14:val="none"/>
        </w:rPr>
        <w:t>The Stanford Encyclopedia of Philosophy</w:t>
      </w:r>
      <w:r w:rsidRPr="00C53572">
        <w:rPr>
          <w:rFonts w:ascii="Arial" w:eastAsia="Times New Roman" w:hAnsi="Arial" w:cs="Arial"/>
          <w:color w:val="000000"/>
          <w:kern w:val="0"/>
          <w:lang w:eastAsia="en-GB"/>
          <w14:ligatures w14:val="none"/>
        </w:rPr>
        <w:t>. Available at: https://plato.stanford.edu/cgi-bin/encyclopedia/archinfo.cgi?entry=hermeneutics (Accessed: 15 April 2026). </w:t>
      </w:r>
    </w:p>
    <w:p w14:paraId="2BF9BBA1"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269FD2ED"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Ghimire, S., Gahatraj, N.R., Shrestha, N., Manandhar, S. and Dhital, S.R. (2024) ‘Effects of health education intervention on menstrual hygiene knowledge and practices among the adolescent girls of Pokhara Metropolitan, Nepal’, </w:t>
      </w:r>
      <w:r w:rsidRPr="00C53572">
        <w:rPr>
          <w:rFonts w:ascii="Arial" w:eastAsia="Times New Roman" w:hAnsi="Arial" w:cs="Arial"/>
          <w:i/>
          <w:iCs/>
          <w:color w:val="000000"/>
          <w:kern w:val="0"/>
          <w:lang w:eastAsia="en-GB"/>
          <w14:ligatures w14:val="none"/>
        </w:rPr>
        <w:t>PLoS ONE</w:t>
      </w:r>
      <w:r w:rsidRPr="00C53572">
        <w:rPr>
          <w:rFonts w:ascii="Arial" w:eastAsia="Times New Roman" w:hAnsi="Arial" w:cs="Arial"/>
          <w:color w:val="000000"/>
          <w:kern w:val="0"/>
          <w:lang w:eastAsia="en-GB"/>
          <w14:ligatures w14:val="none"/>
        </w:rPr>
        <w:t>, 19(9). Available at: https://doi.org/10.1371/journal.pone.0291884 </w:t>
      </w:r>
    </w:p>
    <w:p w14:paraId="5C6B93DB"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26141685"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lastRenderedPageBreak/>
        <w:t xml:space="preserve">Goundar, S. (2012) ‘Chapter 3 - Research Methodology and Research Method’, in. S. Goundar (ed) </w:t>
      </w:r>
      <w:r w:rsidRPr="00C53572">
        <w:rPr>
          <w:rFonts w:ascii="Arial" w:eastAsia="Times New Roman" w:hAnsi="Arial" w:cs="Arial"/>
          <w:i/>
          <w:iCs/>
          <w:color w:val="000000"/>
          <w:kern w:val="0"/>
          <w:lang w:eastAsia="en-GB"/>
          <w14:ligatures w14:val="none"/>
        </w:rPr>
        <w:t>Cloud Computing</w:t>
      </w:r>
      <w:r w:rsidRPr="00C53572">
        <w:rPr>
          <w:rFonts w:ascii="Arial" w:eastAsia="Times New Roman" w:hAnsi="Arial" w:cs="Arial"/>
          <w:color w:val="000000"/>
          <w:kern w:val="0"/>
          <w:lang w:eastAsia="en-GB"/>
          <w14:ligatures w14:val="none"/>
        </w:rPr>
        <w:t>. Research Gate Publications. </w:t>
      </w:r>
    </w:p>
    <w:p w14:paraId="6BB0BD9C"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76670CF1"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Graham, S. (2023)</w:t>
      </w:r>
      <w:r w:rsidRPr="00C53572">
        <w:rPr>
          <w:rFonts w:ascii="Arial" w:eastAsia="Times New Roman" w:hAnsi="Arial" w:cs="Arial"/>
          <w:i/>
          <w:iCs/>
          <w:color w:val="000000"/>
          <w:kern w:val="0"/>
          <w:lang w:eastAsia="en-GB"/>
          <w14:ligatures w14:val="none"/>
        </w:rPr>
        <w:t xml:space="preserve"> Rebel Bodies.</w:t>
      </w:r>
      <w:r w:rsidRPr="00C53572">
        <w:rPr>
          <w:rFonts w:ascii="Arial" w:eastAsia="Times New Roman" w:hAnsi="Arial" w:cs="Arial"/>
          <w:color w:val="000000"/>
          <w:kern w:val="0"/>
          <w:lang w:eastAsia="en-GB"/>
          <w14:ligatures w14:val="none"/>
        </w:rPr>
        <w:t xml:space="preserve"> Green Tree. </w:t>
      </w:r>
    </w:p>
    <w:p w14:paraId="6A6882BE"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466CA357"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Haque, S.E., Rahman, M., Itsuko, K., </w:t>
      </w:r>
      <w:proofErr w:type="spellStart"/>
      <w:r w:rsidRPr="00C53572">
        <w:rPr>
          <w:rFonts w:ascii="Arial" w:eastAsia="Times New Roman" w:hAnsi="Arial" w:cs="Arial"/>
          <w:color w:val="000000"/>
          <w:kern w:val="0"/>
          <w:lang w:eastAsia="en-GB"/>
          <w14:ligatures w14:val="none"/>
        </w:rPr>
        <w:t>Mutahara</w:t>
      </w:r>
      <w:proofErr w:type="spellEnd"/>
      <w:r w:rsidRPr="00C53572">
        <w:rPr>
          <w:rFonts w:ascii="Arial" w:eastAsia="Times New Roman" w:hAnsi="Arial" w:cs="Arial"/>
          <w:color w:val="000000"/>
          <w:kern w:val="0"/>
          <w:lang w:eastAsia="en-GB"/>
          <w14:ligatures w14:val="none"/>
        </w:rPr>
        <w:t xml:space="preserve">, M. and </w:t>
      </w:r>
      <w:proofErr w:type="spellStart"/>
      <w:r w:rsidRPr="00C53572">
        <w:rPr>
          <w:rFonts w:ascii="Arial" w:eastAsia="Times New Roman" w:hAnsi="Arial" w:cs="Arial"/>
          <w:color w:val="000000"/>
          <w:kern w:val="0"/>
          <w:lang w:eastAsia="en-GB"/>
          <w14:ligatures w14:val="none"/>
        </w:rPr>
        <w:t>Sakisaka</w:t>
      </w:r>
      <w:proofErr w:type="spellEnd"/>
      <w:r w:rsidRPr="00C53572">
        <w:rPr>
          <w:rFonts w:ascii="Arial" w:eastAsia="Times New Roman" w:hAnsi="Arial" w:cs="Arial"/>
          <w:color w:val="000000"/>
          <w:kern w:val="0"/>
          <w:lang w:eastAsia="en-GB"/>
          <w14:ligatures w14:val="none"/>
        </w:rPr>
        <w:t>, K. (2014) ‘The effect of a school-based educational intervention on menstrual health: an intervention study among adolescent girls in Bangladesh’, BMJ Open, 4(7). Available at: https://doi.org/10.1136/bmjopen-2013-004607 </w:t>
      </w:r>
    </w:p>
    <w:p w14:paraId="50C32529"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69756697"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Heale, R. and Forbes, D. (2013) ‘Understanding triangulation in research’, </w:t>
      </w:r>
      <w:r w:rsidRPr="00C53572">
        <w:rPr>
          <w:rFonts w:ascii="Arial" w:eastAsia="Times New Roman" w:hAnsi="Arial" w:cs="Arial"/>
          <w:i/>
          <w:iCs/>
          <w:color w:val="000000"/>
          <w:kern w:val="0"/>
          <w:lang w:eastAsia="en-GB"/>
          <w14:ligatures w14:val="none"/>
        </w:rPr>
        <w:t>Evidence-Based Nursing</w:t>
      </w:r>
      <w:r w:rsidRPr="00C53572">
        <w:rPr>
          <w:rFonts w:ascii="Arial" w:eastAsia="Times New Roman" w:hAnsi="Arial" w:cs="Arial"/>
          <w:color w:val="000000"/>
          <w:kern w:val="0"/>
          <w:lang w:eastAsia="en-GB"/>
          <w14:ligatures w14:val="none"/>
        </w:rPr>
        <w:t>, 16(4). Available at: https://doi.org/10.1136/eb-2013-101494 </w:t>
      </w:r>
    </w:p>
    <w:p w14:paraId="57EDA0BF"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523C9CD2"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Hennegan, J., Bukenya, J.N., Makumbi, F.E., Nakamya, P., Exum, N.G., Schwab, K.J. and </w:t>
      </w:r>
      <w:proofErr w:type="spellStart"/>
      <w:r w:rsidRPr="00C53572">
        <w:rPr>
          <w:rFonts w:ascii="Arial" w:eastAsia="Times New Roman" w:hAnsi="Arial" w:cs="Arial"/>
          <w:color w:val="000000"/>
          <w:kern w:val="0"/>
          <w:lang w:eastAsia="en-GB"/>
          <w14:ligatures w14:val="none"/>
        </w:rPr>
        <w:t>Kibira</w:t>
      </w:r>
      <w:proofErr w:type="spellEnd"/>
      <w:r w:rsidRPr="00C53572">
        <w:rPr>
          <w:rFonts w:ascii="Arial" w:eastAsia="Times New Roman" w:hAnsi="Arial" w:cs="Arial"/>
          <w:color w:val="000000"/>
          <w:kern w:val="0"/>
          <w:lang w:eastAsia="en-GB"/>
          <w14:ligatures w14:val="none"/>
        </w:rPr>
        <w:t xml:space="preserve">, S.P.S. (2022) ‘Menstrual health challenges in the workplace and consequences for women’s work and wellbeing: A cross-sectional survey in Mukono, Uganda’, </w:t>
      </w:r>
      <w:r w:rsidRPr="00C53572">
        <w:rPr>
          <w:rFonts w:ascii="Arial" w:eastAsia="Times New Roman" w:hAnsi="Arial" w:cs="Arial"/>
          <w:i/>
          <w:iCs/>
          <w:color w:val="000000"/>
          <w:kern w:val="0"/>
          <w:lang w:eastAsia="en-GB"/>
          <w14:ligatures w14:val="none"/>
        </w:rPr>
        <w:t>PLOS Global Public Health</w:t>
      </w:r>
      <w:r w:rsidRPr="00C53572">
        <w:rPr>
          <w:rFonts w:ascii="Arial" w:eastAsia="Times New Roman" w:hAnsi="Arial" w:cs="Arial"/>
          <w:color w:val="000000"/>
          <w:kern w:val="0"/>
          <w:lang w:eastAsia="en-GB"/>
          <w14:ligatures w14:val="none"/>
        </w:rPr>
        <w:t>, 2(7). Available at: https://doi.org/10.1371/journal.pgph.0000589 </w:t>
      </w:r>
    </w:p>
    <w:p w14:paraId="7A591188"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4602882A"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Hennegan, J., Winkler, I.T., Bobel, C., Keiser, D., Hampton, J., Larsson, G., Chandra-Mouli, V., Plesons, M. and Mahon, T. (2021) ‘Menstrual health: a definition for policy, practice, and research’, </w:t>
      </w:r>
      <w:r w:rsidRPr="00C53572">
        <w:rPr>
          <w:rFonts w:ascii="Arial" w:eastAsia="Times New Roman" w:hAnsi="Arial" w:cs="Arial"/>
          <w:i/>
          <w:iCs/>
          <w:color w:val="000000"/>
          <w:kern w:val="0"/>
          <w:lang w:eastAsia="en-GB"/>
          <w14:ligatures w14:val="none"/>
        </w:rPr>
        <w:t>Sexual and Reproductive Health Matters</w:t>
      </w:r>
      <w:r w:rsidRPr="00C53572">
        <w:rPr>
          <w:rFonts w:ascii="Arial" w:eastAsia="Times New Roman" w:hAnsi="Arial" w:cs="Arial"/>
          <w:color w:val="000000"/>
          <w:kern w:val="0"/>
          <w:lang w:eastAsia="en-GB"/>
          <w14:ligatures w14:val="none"/>
        </w:rPr>
        <w:t>, 29(1). Available at: https://doi.org/10.1080/26410397.2021.1911618 </w:t>
      </w:r>
    </w:p>
    <w:p w14:paraId="6A2E938A"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17DEFEA2"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Hill, M. (2019) </w:t>
      </w:r>
      <w:r w:rsidRPr="00C53572">
        <w:rPr>
          <w:rFonts w:ascii="Arial" w:eastAsia="Times New Roman" w:hAnsi="Arial" w:cs="Arial"/>
          <w:i/>
          <w:iCs/>
          <w:color w:val="000000"/>
          <w:kern w:val="0"/>
          <w:lang w:eastAsia="en-GB"/>
          <w14:ligatures w14:val="none"/>
        </w:rPr>
        <w:t xml:space="preserve">Period Power: Harness Your Hormones and Get Your Cycle Working For You. </w:t>
      </w:r>
      <w:r w:rsidRPr="00C53572">
        <w:rPr>
          <w:rFonts w:ascii="Arial" w:eastAsia="Times New Roman" w:hAnsi="Arial" w:cs="Arial"/>
          <w:color w:val="000000"/>
          <w:kern w:val="0"/>
          <w:lang w:eastAsia="en-GB"/>
          <w14:ligatures w14:val="none"/>
        </w:rPr>
        <w:t>Dublin: Green Tree.  </w:t>
      </w:r>
    </w:p>
    <w:p w14:paraId="60DB5D19"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5A8F7686"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Huseth-Zosel, A.L. and Sector-Turner, M. (2021) ‘Teacher Perceptions of and Experiences with Student Menstruation in the School Setting’, </w:t>
      </w:r>
      <w:r w:rsidRPr="00C53572">
        <w:rPr>
          <w:rFonts w:ascii="Arial" w:eastAsia="Times New Roman" w:hAnsi="Arial" w:cs="Arial"/>
          <w:i/>
          <w:iCs/>
          <w:color w:val="000000"/>
          <w:kern w:val="0"/>
          <w:lang w:eastAsia="en-GB"/>
          <w14:ligatures w14:val="none"/>
        </w:rPr>
        <w:t>Journal of School Health</w:t>
      </w:r>
      <w:r w:rsidRPr="00C53572">
        <w:rPr>
          <w:rFonts w:ascii="Arial" w:eastAsia="Times New Roman" w:hAnsi="Arial" w:cs="Arial"/>
          <w:color w:val="000000"/>
          <w:kern w:val="0"/>
          <w:lang w:eastAsia="en-GB"/>
          <w14:ligatures w14:val="none"/>
        </w:rPr>
        <w:t>, 92(2), pp. 194-204. Available at: https://doi.org/10.1111/josh.13120 </w:t>
      </w:r>
    </w:p>
    <w:p w14:paraId="4CC2E8D7"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6C6B6B1A"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Jarrell, J. (2018) ‘The significance and evolution of menstruation’,</w:t>
      </w:r>
      <w:r w:rsidRPr="00C53572">
        <w:rPr>
          <w:rFonts w:ascii="Arial" w:eastAsia="Times New Roman" w:hAnsi="Arial" w:cs="Arial"/>
          <w:i/>
          <w:iCs/>
          <w:color w:val="000000"/>
          <w:kern w:val="0"/>
          <w:lang w:eastAsia="en-GB"/>
          <w14:ligatures w14:val="none"/>
        </w:rPr>
        <w:t xml:space="preserve"> Best Practice &amp; Research Clinical Obstetrics &amp; Gynaecology, </w:t>
      </w:r>
      <w:r w:rsidRPr="00C53572">
        <w:rPr>
          <w:rFonts w:ascii="Arial" w:eastAsia="Times New Roman" w:hAnsi="Arial" w:cs="Arial"/>
          <w:color w:val="000000"/>
          <w:kern w:val="0"/>
          <w:lang w:eastAsia="en-GB"/>
          <w14:ligatures w14:val="none"/>
        </w:rPr>
        <w:t>50, pp. 18-26. Available at: https://doi.org/10.1016/j.bpobgyn.2018.01.007 </w:t>
      </w:r>
    </w:p>
    <w:p w14:paraId="6FF8ACF8"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32108EEB"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Kang, E. and Hwang, H-J. (2023) ‘The Importance of Anonymity and Confidentiality for Conducting   </w:t>
      </w:r>
    </w:p>
    <w:p w14:paraId="4047ABB5"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Survey Research’, </w:t>
      </w:r>
      <w:r w:rsidRPr="00C53572">
        <w:rPr>
          <w:rFonts w:ascii="Arial" w:eastAsia="Times New Roman" w:hAnsi="Arial" w:cs="Arial"/>
          <w:i/>
          <w:iCs/>
          <w:color w:val="000000"/>
          <w:kern w:val="0"/>
          <w:lang w:eastAsia="en-GB"/>
          <w14:ligatures w14:val="none"/>
        </w:rPr>
        <w:t>Journal of Research and Publication Ethics</w:t>
      </w:r>
      <w:r w:rsidRPr="00C53572">
        <w:rPr>
          <w:rFonts w:ascii="Arial" w:eastAsia="Times New Roman" w:hAnsi="Arial" w:cs="Arial"/>
          <w:color w:val="000000"/>
          <w:kern w:val="0"/>
          <w:lang w:eastAsia="en-GB"/>
          <w14:ligatures w14:val="none"/>
        </w:rPr>
        <w:t>, 4(1), pp. 1-7. Available at: https://doi.org/10.15722/jrpe.4.1.202303.1 </w:t>
      </w:r>
    </w:p>
    <w:p w14:paraId="18930C88"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5C5485B6"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Kelly, L.M. and Cordeiro, M. (2020) ‘Three principles of pragmatism for research on organizational processes’, </w:t>
      </w:r>
      <w:r w:rsidRPr="00C53572">
        <w:rPr>
          <w:rFonts w:ascii="Arial" w:eastAsia="Times New Roman" w:hAnsi="Arial" w:cs="Arial"/>
          <w:i/>
          <w:iCs/>
          <w:color w:val="000000"/>
          <w:kern w:val="0"/>
          <w:lang w:eastAsia="en-GB"/>
          <w14:ligatures w14:val="none"/>
        </w:rPr>
        <w:t>Methodological Innovations</w:t>
      </w:r>
      <w:r w:rsidRPr="00C53572">
        <w:rPr>
          <w:rFonts w:ascii="Arial" w:eastAsia="Times New Roman" w:hAnsi="Arial" w:cs="Arial"/>
          <w:color w:val="000000"/>
          <w:kern w:val="0"/>
          <w:lang w:eastAsia="en-GB"/>
          <w14:ligatures w14:val="none"/>
        </w:rPr>
        <w:t>, 13(2). Available at: https://doi.org/10.1177/2059799120937242 </w:t>
      </w:r>
    </w:p>
    <w:p w14:paraId="319A7BD2"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0E8D05ED"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LeCompte, M.D. (2000) ‘Analyzing Qualitative Data’, </w:t>
      </w:r>
      <w:r w:rsidRPr="00C53572">
        <w:rPr>
          <w:rFonts w:ascii="Arial" w:eastAsia="Times New Roman" w:hAnsi="Arial" w:cs="Arial"/>
          <w:i/>
          <w:iCs/>
          <w:color w:val="000000"/>
          <w:kern w:val="0"/>
          <w:lang w:eastAsia="en-GB"/>
          <w14:ligatures w14:val="none"/>
        </w:rPr>
        <w:t>Theory Into Practice</w:t>
      </w:r>
      <w:r w:rsidRPr="00C53572">
        <w:rPr>
          <w:rFonts w:ascii="Arial" w:eastAsia="Times New Roman" w:hAnsi="Arial" w:cs="Arial"/>
          <w:color w:val="000000"/>
          <w:kern w:val="0"/>
          <w:lang w:eastAsia="en-GB"/>
          <w14:ligatures w14:val="none"/>
        </w:rPr>
        <w:t>, 39(3), pp. 146-154. Available at: https://doi.org/10.1207/s15430421tip3903_5 </w:t>
      </w:r>
    </w:p>
    <w:p w14:paraId="53291862"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6A9945C9"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Lim, W.M. (2025) ‘What Is Quantitative Research? An Overview and Guidelines’, </w:t>
      </w:r>
      <w:proofErr w:type="spellStart"/>
      <w:r w:rsidRPr="00C53572">
        <w:rPr>
          <w:rFonts w:ascii="Arial" w:eastAsia="Times New Roman" w:hAnsi="Arial" w:cs="Arial"/>
          <w:i/>
          <w:iCs/>
          <w:color w:val="000000"/>
          <w:kern w:val="0"/>
          <w:lang w:eastAsia="en-GB"/>
          <w14:ligatures w14:val="none"/>
        </w:rPr>
        <w:t>Australasin</w:t>
      </w:r>
      <w:proofErr w:type="spellEnd"/>
      <w:r w:rsidRPr="00C53572">
        <w:rPr>
          <w:rFonts w:ascii="Arial" w:eastAsia="Times New Roman" w:hAnsi="Arial" w:cs="Arial"/>
          <w:i/>
          <w:iCs/>
          <w:color w:val="000000"/>
          <w:kern w:val="0"/>
          <w:lang w:eastAsia="en-GB"/>
          <w14:ligatures w14:val="none"/>
        </w:rPr>
        <w:t xml:space="preserve"> Marketing Journal,</w:t>
      </w:r>
      <w:r w:rsidRPr="00C53572">
        <w:rPr>
          <w:rFonts w:ascii="Arial" w:eastAsia="Times New Roman" w:hAnsi="Arial" w:cs="Arial"/>
          <w:color w:val="000000"/>
          <w:kern w:val="0"/>
          <w:lang w:eastAsia="en-GB"/>
          <w14:ligatures w14:val="none"/>
        </w:rPr>
        <w:t xml:space="preserve"> 33(3), pp. 325-348. Available at: https://doi.org/10.1177/14413582241264622 </w:t>
      </w:r>
    </w:p>
    <w:p w14:paraId="1517163A"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31BC5942"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Lu, H., Cole, S.R., Howe, C.J. and Westreich, D. (2022) ‘Toward a Clearer Definition of Selection Bias When Estimating Causal Effects’, </w:t>
      </w:r>
      <w:r w:rsidRPr="00C53572">
        <w:rPr>
          <w:rFonts w:ascii="Arial" w:eastAsia="Times New Roman" w:hAnsi="Arial" w:cs="Arial"/>
          <w:i/>
          <w:iCs/>
          <w:color w:val="000000"/>
          <w:kern w:val="0"/>
          <w:lang w:eastAsia="en-GB"/>
          <w14:ligatures w14:val="none"/>
        </w:rPr>
        <w:t>Epidemiology</w:t>
      </w:r>
      <w:r w:rsidRPr="00C53572">
        <w:rPr>
          <w:rFonts w:ascii="Arial" w:eastAsia="Times New Roman" w:hAnsi="Arial" w:cs="Arial"/>
          <w:color w:val="000000"/>
          <w:kern w:val="0"/>
          <w:lang w:eastAsia="en-GB"/>
          <w14:ligatures w14:val="none"/>
        </w:rPr>
        <w:t>, 33(5), pp. 699-706. Available at: https://journals.lww.com/epidem/abstract/2022/09000/toward_a_clearer_definition_of_selection_bias_when.13.aspx (Accessed: 19 April 2026). </w:t>
      </w:r>
    </w:p>
    <w:p w14:paraId="21B8F692"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4FD7FE5A"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Lynch, J.G. (1983) ‘The Role of External Validity in Theoretical Research’, </w:t>
      </w:r>
      <w:r w:rsidRPr="00C53572">
        <w:rPr>
          <w:rFonts w:ascii="Arial" w:eastAsia="Times New Roman" w:hAnsi="Arial" w:cs="Arial"/>
          <w:i/>
          <w:iCs/>
          <w:color w:val="000000"/>
          <w:kern w:val="0"/>
          <w:lang w:eastAsia="en-GB"/>
          <w14:ligatures w14:val="none"/>
        </w:rPr>
        <w:t>Journal of Consumer Research</w:t>
      </w:r>
      <w:r w:rsidRPr="00C53572">
        <w:rPr>
          <w:rFonts w:ascii="Arial" w:eastAsia="Times New Roman" w:hAnsi="Arial" w:cs="Arial"/>
          <w:color w:val="000000"/>
          <w:kern w:val="0"/>
          <w:lang w:eastAsia="en-GB"/>
          <w14:ligatures w14:val="none"/>
        </w:rPr>
        <w:t>, 10(1), pp. 109-111. Available at: https://www.jstor.org/stable/2488860 (Accessed: 19 April 2026). </w:t>
      </w:r>
    </w:p>
    <w:p w14:paraId="2C45AF31"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085EC53E"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Mahfuz, M.T., Sultana, F., Hunter, E.C., Jahan, F., Akand, F., Khan, S., </w:t>
      </w:r>
      <w:proofErr w:type="spellStart"/>
      <w:r w:rsidRPr="00C53572">
        <w:rPr>
          <w:rFonts w:ascii="Arial" w:eastAsia="Times New Roman" w:hAnsi="Arial" w:cs="Arial"/>
          <w:color w:val="000000"/>
          <w:kern w:val="0"/>
          <w:lang w:eastAsia="en-GB"/>
          <w14:ligatures w14:val="none"/>
        </w:rPr>
        <w:t>Mobashhara</w:t>
      </w:r>
      <w:proofErr w:type="spellEnd"/>
      <w:r w:rsidRPr="00C53572">
        <w:rPr>
          <w:rFonts w:ascii="Arial" w:eastAsia="Times New Roman" w:hAnsi="Arial" w:cs="Arial"/>
          <w:color w:val="000000"/>
          <w:kern w:val="0"/>
          <w:lang w:eastAsia="en-GB"/>
          <w14:ligatures w14:val="none"/>
        </w:rPr>
        <w:t xml:space="preserve">, M., Rahman, M., Alam, M-U., Unicomb, L., Luby, S.P. and Winch, P.J. (2021) ‘Teachers’ perspective on implementation of menstrual hygiene management and puberty education in a pilot study in Bangladeshi schools’, </w:t>
      </w:r>
      <w:r w:rsidRPr="00C53572">
        <w:rPr>
          <w:rFonts w:ascii="Arial" w:eastAsia="Times New Roman" w:hAnsi="Arial" w:cs="Arial"/>
          <w:i/>
          <w:iCs/>
          <w:color w:val="000000"/>
          <w:kern w:val="0"/>
          <w:lang w:eastAsia="en-GB"/>
          <w14:ligatures w14:val="none"/>
        </w:rPr>
        <w:t>Global Health Action</w:t>
      </w:r>
      <w:r w:rsidRPr="00C53572">
        <w:rPr>
          <w:rFonts w:ascii="Arial" w:eastAsia="Times New Roman" w:hAnsi="Arial" w:cs="Arial"/>
          <w:color w:val="000000"/>
          <w:kern w:val="0"/>
          <w:lang w:eastAsia="en-GB"/>
          <w14:ligatures w14:val="none"/>
        </w:rPr>
        <w:t>, 14(1). Available at: https://doi.org/10.1080/16549716.2021.1955492 </w:t>
      </w:r>
    </w:p>
    <w:p w14:paraId="36C19837"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3BF954C4"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Medina-Perucha, L., López-Jiménez, T.,  Jacques-Aviñó, C., Holst, A.S., Valls-Llobet, C., Munrós-Feliu, J., Martínez-Bueno, C., Pinzón-Sanabria, D. and Vicente-Hernández, M.M. (2023) ‘Menstruation and social inequities in Spain: a cross-sectional online survey-based study’, </w:t>
      </w:r>
      <w:r w:rsidRPr="00C53572">
        <w:rPr>
          <w:rFonts w:ascii="Arial" w:eastAsia="Times New Roman" w:hAnsi="Arial" w:cs="Arial"/>
          <w:i/>
          <w:iCs/>
          <w:color w:val="000000"/>
          <w:kern w:val="0"/>
          <w:lang w:eastAsia="en-GB"/>
          <w14:ligatures w14:val="none"/>
        </w:rPr>
        <w:t>International Journal for Equity in Health</w:t>
      </w:r>
      <w:r w:rsidRPr="00C53572">
        <w:rPr>
          <w:rFonts w:ascii="Arial" w:eastAsia="Times New Roman" w:hAnsi="Arial" w:cs="Arial"/>
          <w:color w:val="000000"/>
          <w:kern w:val="0"/>
          <w:lang w:eastAsia="en-GB"/>
          <w14:ligatures w14:val="none"/>
        </w:rPr>
        <w:t>, 22 (May) article 92. Available at: https://doi.org/10.1186/s12939-023-01904-8 </w:t>
      </w:r>
    </w:p>
    <w:p w14:paraId="6735B46C"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12578F8B"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Miiro, G., </w:t>
      </w:r>
      <w:proofErr w:type="spellStart"/>
      <w:r w:rsidRPr="00C53572">
        <w:rPr>
          <w:rFonts w:ascii="Arial" w:eastAsia="Times New Roman" w:hAnsi="Arial" w:cs="Arial"/>
          <w:color w:val="000000"/>
          <w:kern w:val="0"/>
          <w:lang w:eastAsia="en-GB"/>
          <w14:ligatures w14:val="none"/>
        </w:rPr>
        <w:t>Rutakumwa</w:t>
      </w:r>
      <w:proofErr w:type="spellEnd"/>
      <w:r w:rsidRPr="00C53572">
        <w:rPr>
          <w:rFonts w:ascii="Arial" w:eastAsia="Times New Roman" w:hAnsi="Arial" w:cs="Arial"/>
          <w:color w:val="000000"/>
          <w:kern w:val="0"/>
          <w:lang w:eastAsia="en-GB"/>
          <w14:ligatures w14:val="none"/>
        </w:rPr>
        <w:t xml:space="preserve">, R., Nakiyingi-Miiro, J., Nakuya, K., Musoke, S., Namakula, J., Francis, S., </w:t>
      </w:r>
      <w:proofErr w:type="spellStart"/>
      <w:r w:rsidRPr="00C53572">
        <w:rPr>
          <w:rFonts w:ascii="Arial" w:eastAsia="Times New Roman" w:hAnsi="Arial" w:cs="Arial"/>
          <w:color w:val="000000"/>
          <w:kern w:val="0"/>
          <w:lang w:eastAsia="en-GB"/>
          <w14:ligatures w14:val="none"/>
        </w:rPr>
        <w:t>Torondel</w:t>
      </w:r>
      <w:proofErr w:type="spellEnd"/>
      <w:r w:rsidRPr="00C53572">
        <w:rPr>
          <w:rFonts w:ascii="Arial" w:eastAsia="Times New Roman" w:hAnsi="Arial" w:cs="Arial"/>
          <w:color w:val="000000"/>
          <w:kern w:val="0"/>
          <w:lang w:eastAsia="en-GB"/>
          <w14:ligatures w14:val="none"/>
        </w:rPr>
        <w:t xml:space="preserve">, B., Gibson, L.J., Ross, D.A. and Weiss, H.A. (2018) ‘Menstrual health and school absenteeism among adolescent girls in Uganda (MENISCUS): a feasibility study’, </w:t>
      </w:r>
      <w:r w:rsidRPr="00C53572">
        <w:rPr>
          <w:rFonts w:ascii="Arial" w:eastAsia="Times New Roman" w:hAnsi="Arial" w:cs="Arial"/>
          <w:i/>
          <w:iCs/>
          <w:color w:val="000000"/>
          <w:kern w:val="0"/>
          <w:lang w:eastAsia="en-GB"/>
          <w14:ligatures w14:val="none"/>
        </w:rPr>
        <w:t>BMC Women’s Health</w:t>
      </w:r>
      <w:r w:rsidRPr="00C53572">
        <w:rPr>
          <w:rFonts w:ascii="Arial" w:eastAsia="Times New Roman" w:hAnsi="Arial" w:cs="Arial"/>
          <w:color w:val="000000"/>
          <w:kern w:val="0"/>
          <w:lang w:eastAsia="en-GB"/>
          <w14:ligatures w14:val="none"/>
        </w:rPr>
        <w:t>, 18(4). Available at: https://doi.org/10.1186/s12905-017-0502-z </w:t>
      </w:r>
    </w:p>
    <w:p w14:paraId="442A8816"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2EB37D80"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Morgan, G.A. and Harmon, R.J. (2001) ‘Data Collection Techniques’, </w:t>
      </w:r>
      <w:r w:rsidRPr="00C53572">
        <w:rPr>
          <w:rFonts w:ascii="Arial" w:eastAsia="Times New Roman" w:hAnsi="Arial" w:cs="Arial"/>
          <w:i/>
          <w:iCs/>
          <w:color w:val="000000"/>
          <w:kern w:val="0"/>
          <w:lang w:eastAsia="en-GB"/>
          <w14:ligatures w14:val="none"/>
        </w:rPr>
        <w:t>Journal of the American Academy of Child and Adolescent Psychiatry</w:t>
      </w:r>
      <w:r w:rsidRPr="00C53572">
        <w:rPr>
          <w:rFonts w:ascii="Arial" w:eastAsia="Times New Roman" w:hAnsi="Arial" w:cs="Arial"/>
          <w:color w:val="000000"/>
          <w:kern w:val="0"/>
          <w:lang w:eastAsia="en-GB"/>
          <w14:ligatures w14:val="none"/>
        </w:rPr>
        <w:t>, 40(8), pp. 973-976. Available at: https://www.researchgate.net/profile/George-Morgan-4/publication/11842651_Data_Collection_Techniques/links/5b8813234585151fd13c8cdd/Data-Collection-Techniques.pdf (Accessed: 19 April 2026). </w:t>
      </w:r>
    </w:p>
    <w:p w14:paraId="36E2523F"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2379FDF3"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Munro, C.B., Walker, E.N., Schembri, R., Moussaoui, D. and Grover, S.R. (2024) ‘Periods Shouldn't Bring Any Adolescents’ World to a Full Stop. Period. An Online Survey of Adolescents’ Experience of Menstruation’, </w:t>
      </w:r>
      <w:r w:rsidRPr="00C53572">
        <w:rPr>
          <w:rFonts w:ascii="Arial" w:eastAsia="Times New Roman" w:hAnsi="Arial" w:cs="Arial"/>
          <w:i/>
          <w:iCs/>
          <w:color w:val="000000"/>
          <w:kern w:val="0"/>
          <w:lang w:eastAsia="en-GB"/>
          <w14:ligatures w14:val="none"/>
        </w:rPr>
        <w:t>Journal of Pediatric and Adolescent Gynecology</w:t>
      </w:r>
      <w:r w:rsidRPr="00C53572">
        <w:rPr>
          <w:rFonts w:ascii="Arial" w:eastAsia="Times New Roman" w:hAnsi="Arial" w:cs="Arial"/>
          <w:color w:val="000000"/>
          <w:kern w:val="0"/>
          <w:lang w:eastAsia="en-GB"/>
          <w14:ligatures w14:val="none"/>
        </w:rPr>
        <w:t>, 37(1), pp. 18-24. Available at: https://doi.org/10.1016/j.jpag.2023.09.004 </w:t>
      </w:r>
    </w:p>
    <w:p w14:paraId="1A101C8F"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77246626"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Naderifar, M., Goli, H. and Ghaljaie, F. (2017) ‘Snowball Sampling: A Purposeful Method of Sampling in Qualitative Research’, </w:t>
      </w:r>
      <w:r w:rsidRPr="00C53572">
        <w:rPr>
          <w:rFonts w:ascii="Arial" w:eastAsia="Times New Roman" w:hAnsi="Arial" w:cs="Arial"/>
          <w:i/>
          <w:iCs/>
          <w:color w:val="000000"/>
          <w:kern w:val="0"/>
          <w:lang w:eastAsia="en-GB"/>
          <w14:ligatures w14:val="none"/>
        </w:rPr>
        <w:t>Strides in Development of Medical Education</w:t>
      </w:r>
      <w:r w:rsidRPr="00C53572">
        <w:rPr>
          <w:rFonts w:ascii="Arial" w:eastAsia="Times New Roman" w:hAnsi="Arial" w:cs="Arial"/>
          <w:color w:val="000000"/>
          <w:kern w:val="0"/>
          <w:lang w:eastAsia="en-GB"/>
          <w14:ligatures w14:val="none"/>
        </w:rPr>
        <w:t>, 14(3). Available at: https://www.researchgate.net/publication/324590206_Snowball_Sampling_A_Purposeful_Method_of_Sampling_in_Qualitative_Research (Accessed: 3 April 2026). </w:t>
      </w:r>
    </w:p>
    <w:p w14:paraId="4A6FB597"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3A965060"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Parker, C., Scott, S. and Geddes, A. (2019) ‘Snowball Sampling’, </w:t>
      </w:r>
      <w:r w:rsidRPr="00C53572">
        <w:rPr>
          <w:rFonts w:ascii="Arial" w:eastAsia="Times New Roman" w:hAnsi="Arial" w:cs="Arial"/>
          <w:i/>
          <w:iCs/>
          <w:color w:val="000000"/>
          <w:kern w:val="0"/>
          <w:lang w:eastAsia="en-GB"/>
          <w14:ligatures w14:val="none"/>
        </w:rPr>
        <w:t>SAGE Research Methods Foundations.</w:t>
      </w:r>
      <w:r w:rsidRPr="00C53572">
        <w:rPr>
          <w:rFonts w:ascii="Arial" w:eastAsia="Times New Roman" w:hAnsi="Arial" w:cs="Arial"/>
          <w:color w:val="000000"/>
          <w:kern w:val="0"/>
          <w:lang w:eastAsia="en-GB"/>
          <w14:ligatures w14:val="none"/>
        </w:rPr>
        <w:t xml:space="preserve"> Available at: </w:t>
      </w:r>
      <w:hyperlink r:id="rId11" w:history="1">
        <w:r w:rsidRPr="00C53572">
          <w:rPr>
            <w:rFonts w:ascii="Arial" w:eastAsia="Times New Roman" w:hAnsi="Arial" w:cs="Arial"/>
            <w:color w:val="000000"/>
            <w:kern w:val="0"/>
            <w:lang w:eastAsia="en-GB"/>
            <w14:ligatures w14:val="none"/>
          </w:rPr>
          <w:t>https://eprints.glos.ac.uk/6781/</w:t>
        </w:r>
      </w:hyperlink>
      <w:r w:rsidRPr="00C53572">
        <w:rPr>
          <w:rFonts w:ascii="Arial" w:eastAsia="Times New Roman" w:hAnsi="Arial" w:cs="Arial"/>
          <w:color w:val="000000"/>
          <w:kern w:val="0"/>
          <w:lang w:eastAsia="en-GB"/>
          <w14:ligatures w14:val="none"/>
        </w:rPr>
        <w:t xml:space="preserve"> (Accessed: 3 April 2026). </w:t>
      </w:r>
    </w:p>
    <w:p w14:paraId="339649A5"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2793FF75"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Plan International UK (2018) </w:t>
      </w:r>
      <w:r w:rsidRPr="00C53572">
        <w:rPr>
          <w:rFonts w:ascii="Arial" w:eastAsia="Times New Roman" w:hAnsi="Arial" w:cs="Arial"/>
          <w:i/>
          <w:iCs/>
          <w:color w:val="000000"/>
          <w:kern w:val="0"/>
          <w:lang w:eastAsia="en-GB"/>
          <w14:ligatures w14:val="none"/>
        </w:rPr>
        <w:t xml:space="preserve">Break The Barriers: Girls’ Experiences of Menstruation in the UK. </w:t>
      </w:r>
      <w:r w:rsidRPr="00C53572">
        <w:rPr>
          <w:rFonts w:ascii="Arial" w:eastAsia="Times New Roman" w:hAnsi="Arial" w:cs="Arial"/>
          <w:color w:val="000000"/>
          <w:kern w:val="0"/>
          <w:lang w:eastAsia="en-GB"/>
          <w14:ligatures w14:val="none"/>
        </w:rPr>
        <w:t>Available at: https://plan-uk.org/file/plan-uk-break-the-barriers-report-032018pdf/download (Accessed: 19 April 2026). </w:t>
      </w:r>
    </w:p>
    <w:p w14:paraId="73BBEE0A"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0BA7DADD"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Rehman, A.A. and Alharthi, K. (2016) ‘An Introduction to Research Paradigms’,</w:t>
      </w:r>
      <w:r w:rsidRPr="00C53572">
        <w:rPr>
          <w:rFonts w:ascii="Arial" w:eastAsia="Times New Roman" w:hAnsi="Arial" w:cs="Arial"/>
          <w:i/>
          <w:iCs/>
          <w:color w:val="000000"/>
          <w:kern w:val="0"/>
          <w:lang w:eastAsia="en-GB"/>
          <w14:ligatures w14:val="none"/>
        </w:rPr>
        <w:t xml:space="preserve"> International Journal of Educational Investigations,</w:t>
      </w:r>
      <w:r w:rsidRPr="00C53572">
        <w:rPr>
          <w:rFonts w:ascii="Arial" w:eastAsia="Times New Roman" w:hAnsi="Arial" w:cs="Arial"/>
          <w:color w:val="000000"/>
          <w:kern w:val="0"/>
          <w:lang w:eastAsia="en-GB"/>
          <w14:ligatures w14:val="none"/>
        </w:rPr>
        <w:t xml:space="preserve"> 3(8), pp. 51-59. Available at: https://www.researchgate.net/publication/325022648_An_introduction_to_research_paradigms (Accessed: 19 April 2026). </w:t>
      </w:r>
    </w:p>
    <w:p w14:paraId="4184130C"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02DB8722"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Roberts, T-A., Goldenberg, J.L., Power, C. and Pyszynski, T. (2002) ‘“Feminine Protection”: The Effects of Menstruation on Attitudes Towards Women’, </w:t>
      </w:r>
      <w:r w:rsidRPr="00C53572">
        <w:rPr>
          <w:rFonts w:ascii="Arial" w:eastAsia="Times New Roman" w:hAnsi="Arial" w:cs="Arial"/>
          <w:i/>
          <w:iCs/>
          <w:color w:val="000000"/>
          <w:kern w:val="0"/>
          <w:lang w:eastAsia="en-GB"/>
          <w14:ligatures w14:val="none"/>
        </w:rPr>
        <w:t>Psychology of Women Quarterly</w:t>
      </w:r>
      <w:r w:rsidRPr="00C53572">
        <w:rPr>
          <w:rFonts w:ascii="Arial" w:eastAsia="Times New Roman" w:hAnsi="Arial" w:cs="Arial"/>
          <w:color w:val="000000"/>
          <w:kern w:val="0"/>
          <w:lang w:eastAsia="en-GB"/>
          <w14:ligatures w14:val="none"/>
        </w:rPr>
        <w:t>, 26(2). Available at: https://doi.org/10.1111/1471-6402.00051 </w:t>
      </w:r>
    </w:p>
    <w:p w14:paraId="3ADBD9AD"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1F3A8FC7"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Rowlands, M. (2021) </w:t>
      </w:r>
      <w:r w:rsidRPr="00C53572">
        <w:rPr>
          <w:rFonts w:ascii="Arial" w:eastAsia="Times New Roman" w:hAnsi="Arial" w:cs="Arial"/>
          <w:i/>
          <w:iCs/>
          <w:color w:val="000000"/>
          <w:kern w:val="0"/>
          <w:lang w:eastAsia="en-GB"/>
          <w14:ligatures w14:val="none"/>
        </w:rPr>
        <w:t xml:space="preserve">Curriculum for Wales guidance and code for Relationships and Sexuality Education (RSE). </w:t>
      </w:r>
      <w:r w:rsidRPr="00C53572">
        <w:rPr>
          <w:rFonts w:ascii="Arial" w:eastAsia="Times New Roman" w:hAnsi="Arial" w:cs="Arial"/>
          <w:color w:val="000000"/>
          <w:kern w:val="0"/>
          <w:lang w:eastAsia="en-GB"/>
          <w14:ligatures w14:val="none"/>
        </w:rPr>
        <w:t>Available at: https://www.estyn.gov.wales/system/files/2021-11/Curriculum%20for%20Wales%20guidance%20and%20code%20for%20Relationships%20and%20Sexuality%20Education%20%28RSE%29.pdf (</w:t>
      </w:r>
      <w:proofErr w:type="spellStart"/>
      <w:r w:rsidRPr="00C53572">
        <w:rPr>
          <w:rFonts w:ascii="Arial" w:eastAsia="Times New Roman" w:hAnsi="Arial" w:cs="Arial"/>
          <w:color w:val="000000"/>
          <w:kern w:val="0"/>
          <w:lang w:eastAsia="en-GB"/>
          <w14:ligatures w14:val="none"/>
        </w:rPr>
        <w:t>Accesed</w:t>
      </w:r>
      <w:proofErr w:type="spellEnd"/>
      <w:r w:rsidRPr="00C53572">
        <w:rPr>
          <w:rFonts w:ascii="Arial" w:eastAsia="Times New Roman" w:hAnsi="Arial" w:cs="Arial"/>
          <w:color w:val="000000"/>
          <w:kern w:val="0"/>
          <w:lang w:eastAsia="en-GB"/>
          <w14:ligatures w14:val="none"/>
        </w:rPr>
        <w:t>: 19 April 2026). </w:t>
      </w:r>
    </w:p>
    <w:p w14:paraId="24AA8C2D"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3DD06DBE"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Sadan, V. (2017) ‘Data Collection Methods in Quantitative Research’,</w:t>
      </w:r>
      <w:r w:rsidRPr="00C53572">
        <w:rPr>
          <w:rFonts w:ascii="Arial" w:eastAsia="Times New Roman" w:hAnsi="Arial" w:cs="Arial"/>
          <w:i/>
          <w:iCs/>
          <w:color w:val="000000"/>
          <w:kern w:val="0"/>
          <w:lang w:eastAsia="en-GB"/>
          <w14:ligatures w14:val="none"/>
        </w:rPr>
        <w:t xml:space="preserve"> Indian Journal of Continuing Nursing Education,</w:t>
      </w:r>
      <w:r w:rsidRPr="00C53572">
        <w:rPr>
          <w:rFonts w:ascii="Arial" w:eastAsia="Times New Roman" w:hAnsi="Arial" w:cs="Arial"/>
          <w:color w:val="000000"/>
          <w:kern w:val="0"/>
          <w:lang w:eastAsia="en-GB"/>
          <w14:ligatures w14:val="none"/>
        </w:rPr>
        <w:t xml:space="preserve"> 18(2), pp. 58-63. Available at: https://journals.lww.com/ijcn/fulltext/2017/18020/data_collection_methods_in_quantitative_research.8.aspx (Accessed: 15 April 2026). </w:t>
      </w:r>
    </w:p>
    <w:p w14:paraId="000EF23C"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586FA3F7"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Santhanakrishnan, I. and Athipathy, V. (2018) ‘Impact of health education on menstrual hygiene: An intervention study among adolescent </w:t>
      </w:r>
      <w:proofErr w:type="gramStart"/>
      <w:r w:rsidRPr="00C53572">
        <w:rPr>
          <w:rFonts w:ascii="Arial" w:eastAsia="Times New Roman" w:hAnsi="Arial" w:cs="Arial"/>
          <w:color w:val="000000"/>
          <w:kern w:val="0"/>
          <w:lang w:eastAsia="en-GB"/>
          <w14:ligatures w14:val="none"/>
        </w:rPr>
        <w:t>school girls’</w:t>
      </w:r>
      <w:proofErr w:type="gramEnd"/>
      <w:r w:rsidRPr="00C53572">
        <w:rPr>
          <w:rFonts w:ascii="Arial" w:eastAsia="Times New Roman" w:hAnsi="Arial" w:cs="Arial"/>
          <w:color w:val="000000"/>
          <w:kern w:val="0"/>
          <w:lang w:eastAsia="en-GB"/>
          <w14:ligatures w14:val="none"/>
        </w:rPr>
        <w:t>,</w:t>
      </w:r>
      <w:r w:rsidRPr="00C53572">
        <w:rPr>
          <w:rFonts w:ascii="Arial" w:eastAsia="Times New Roman" w:hAnsi="Arial" w:cs="Arial"/>
          <w:i/>
          <w:iCs/>
          <w:color w:val="000000"/>
          <w:kern w:val="0"/>
          <w:lang w:eastAsia="en-GB"/>
          <w14:ligatures w14:val="none"/>
        </w:rPr>
        <w:t xml:space="preserve"> International Journal of Medical Science and Public Health,</w:t>
      </w:r>
      <w:r w:rsidRPr="00C53572">
        <w:rPr>
          <w:rFonts w:ascii="Arial" w:eastAsia="Times New Roman" w:hAnsi="Arial" w:cs="Arial"/>
          <w:color w:val="000000"/>
          <w:kern w:val="0"/>
          <w:lang w:eastAsia="en-GB"/>
          <w14:ligatures w14:val="none"/>
        </w:rPr>
        <w:t xml:space="preserve"> 7(6), pp. 468-473. Available at: https://www.researchgate.net/publication/324095234_Impact_of_health_education_on_menstrual_hygiene_An_intervention_study_among_adolescent_school_girls (Accessed: 14 April 2026). </w:t>
      </w:r>
    </w:p>
    <w:p w14:paraId="4DF20F1A"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5A3A2DCA"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Shah, V., Nabwera, H., Sonko, B., Bajo, F., Faal, F., </w:t>
      </w:r>
      <w:proofErr w:type="spellStart"/>
      <w:r w:rsidRPr="00C53572">
        <w:rPr>
          <w:rFonts w:ascii="Arial" w:eastAsia="Times New Roman" w:hAnsi="Arial" w:cs="Arial"/>
          <w:color w:val="000000"/>
          <w:kern w:val="0"/>
          <w:lang w:eastAsia="en-GB"/>
          <w14:ligatures w14:val="none"/>
        </w:rPr>
        <w:t>Saidykhan</w:t>
      </w:r>
      <w:proofErr w:type="spellEnd"/>
      <w:r w:rsidRPr="00C53572">
        <w:rPr>
          <w:rFonts w:ascii="Arial" w:eastAsia="Times New Roman" w:hAnsi="Arial" w:cs="Arial"/>
          <w:color w:val="000000"/>
          <w:kern w:val="0"/>
          <w:lang w:eastAsia="en-GB"/>
          <w14:ligatures w14:val="none"/>
        </w:rPr>
        <w:t xml:space="preserve">, M., Jallow, Y., Keita, O., Schmidt, W-P. and </w:t>
      </w:r>
      <w:proofErr w:type="spellStart"/>
      <w:r w:rsidRPr="00C53572">
        <w:rPr>
          <w:rFonts w:ascii="Arial" w:eastAsia="Times New Roman" w:hAnsi="Arial" w:cs="Arial"/>
          <w:color w:val="000000"/>
          <w:kern w:val="0"/>
          <w:lang w:eastAsia="en-GB"/>
          <w14:ligatures w14:val="none"/>
        </w:rPr>
        <w:t>Torondel</w:t>
      </w:r>
      <w:proofErr w:type="spellEnd"/>
      <w:r w:rsidRPr="00C53572">
        <w:rPr>
          <w:rFonts w:ascii="Arial" w:eastAsia="Times New Roman" w:hAnsi="Arial" w:cs="Arial"/>
          <w:color w:val="000000"/>
          <w:kern w:val="0"/>
          <w:lang w:eastAsia="en-GB"/>
          <w14:ligatures w14:val="none"/>
        </w:rPr>
        <w:t xml:space="preserve">, B. (2022) ‘Effects of Menstrual Health and Hygiene on School Absenteeism and Drop-Out among Adolescent Girls in Rural Gambia’, </w:t>
      </w:r>
      <w:r w:rsidRPr="00C53572">
        <w:rPr>
          <w:rFonts w:ascii="Arial" w:eastAsia="Times New Roman" w:hAnsi="Arial" w:cs="Arial"/>
          <w:i/>
          <w:iCs/>
          <w:color w:val="000000"/>
          <w:kern w:val="0"/>
          <w:lang w:eastAsia="en-GB"/>
          <w14:ligatures w14:val="none"/>
        </w:rPr>
        <w:t>International Journal of Environmental Research and Public Health</w:t>
      </w:r>
      <w:r w:rsidRPr="00C53572">
        <w:rPr>
          <w:rFonts w:ascii="Arial" w:eastAsia="Times New Roman" w:hAnsi="Arial" w:cs="Arial"/>
          <w:color w:val="000000"/>
          <w:kern w:val="0"/>
          <w:lang w:eastAsia="en-GB"/>
          <w14:ligatures w14:val="none"/>
        </w:rPr>
        <w:t>, 19(6). Available at: https://doi.org/10.3390/ijerph19063337 </w:t>
      </w:r>
    </w:p>
    <w:p w14:paraId="04FB73F4"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3D9C1BC0"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Shenkman, J.L., Neubauer, L.C., Mason, L., </w:t>
      </w:r>
      <w:proofErr w:type="spellStart"/>
      <w:r w:rsidRPr="00C53572">
        <w:rPr>
          <w:rFonts w:ascii="Arial" w:eastAsia="Times New Roman" w:hAnsi="Arial" w:cs="Arial"/>
          <w:color w:val="000000"/>
          <w:kern w:val="0"/>
          <w:lang w:eastAsia="en-GB"/>
          <w14:ligatures w14:val="none"/>
        </w:rPr>
        <w:t>Oruko</w:t>
      </w:r>
      <w:proofErr w:type="spellEnd"/>
      <w:r w:rsidRPr="00C53572">
        <w:rPr>
          <w:rFonts w:ascii="Arial" w:eastAsia="Times New Roman" w:hAnsi="Arial" w:cs="Arial"/>
          <w:color w:val="000000"/>
          <w:kern w:val="0"/>
          <w:lang w:eastAsia="en-GB"/>
          <w14:ligatures w14:val="none"/>
        </w:rPr>
        <w:t xml:space="preserve">, K., Alexander, K., Phillips-Howard, P.A. and </w:t>
      </w:r>
      <w:proofErr w:type="spellStart"/>
      <w:r w:rsidRPr="00C53572">
        <w:rPr>
          <w:rFonts w:ascii="Arial" w:eastAsia="Times New Roman" w:hAnsi="Arial" w:cs="Arial"/>
          <w:color w:val="000000"/>
          <w:kern w:val="0"/>
          <w:lang w:eastAsia="en-GB"/>
          <w14:ligatures w14:val="none"/>
        </w:rPr>
        <w:t>Nyothach</w:t>
      </w:r>
      <w:proofErr w:type="spellEnd"/>
      <w:r w:rsidRPr="00C53572">
        <w:rPr>
          <w:rFonts w:ascii="Arial" w:eastAsia="Times New Roman" w:hAnsi="Arial" w:cs="Arial"/>
          <w:color w:val="000000"/>
          <w:kern w:val="0"/>
          <w:lang w:eastAsia="en-GB"/>
          <w14:ligatures w14:val="none"/>
        </w:rPr>
        <w:t xml:space="preserve">, E. (2023) ‘Building menstrual health and hygiene-supportive environments: exploring teachers’ experience in rural Western Kenya’, </w:t>
      </w:r>
      <w:r w:rsidRPr="00C53572">
        <w:rPr>
          <w:rFonts w:ascii="Arial" w:eastAsia="Times New Roman" w:hAnsi="Arial" w:cs="Arial"/>
          <w:i/>
          <w:iCs/>
          <w:color w:val="000000"/>
          <w:kern w:val="0"/>
          <w:lang w:eastAsia="en-GB"/>
          <w14:ligatures w14:val="none"/>
        </w:rPr>
        <w:t>Frontiers in Public Health</w:t>
      </w:r>
      <w:r w:rsidRPr="00C53572">
        <w:rPr>
          <w:rFonts w:ascii="Arial" w:eastAsia="Times New Roman" w:hAnsi="Arial" w:cs="Arial"/>
          <w:color w:val="000000"/>
          <w:kern w:val="0"/>
          <w:lang w:eastAsia="en-GB"/>
          <w14:ligatures w14:val="none"/>
        </w:rPr>
        <w:t>, 11. Available at: https://doi.org/10.3389/fpubh.2023.1206069 </w:t>
      </w:r>
    </w:p>
    <w:p w14:paraId="28E172DD"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6C004127"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Siva, N. (2022) ‘Menstrual cycle education in the UK’, </w:t>
      </w:r>
      <w:r w:rsidRPr="00C53572">
        <w:rPr>
          <w:rFonts w:ascii="Arial" w:eastAsia="Times New Roman" w:hAnsi="Arial" w:cs="Arial"/>
          <w:i/>
          <w:iCs/>
          <w:color w:val="000000"/>
          <w:kern w:val="0"/>
          <w:lang w:eastAsia="en-GB"/>
          <w14:ligatures w14:val="none"/>
        </w:rPr>
        <w:t>The Lancet Child &amp; Adolescent Health</w:t>
      </w:r>
      <w:r w:rsidRPr="00C53572">
        <w:rPr>
          <w:rFonts w:ascii="Arial" w:eastAsia="Times New Roman" w:hAnsi="Arial" w:cs="Arial"/>
          <w:color w:val="000000"/>
          <w:kern w:val="0"/>
          <w:lang w:eastAsia="en-GB"/>
          <w14:ligatures w14:val="none"/>
        </w:rPr>
        <w:t>, 6(9), pp. 602-603. Available at: https://www.thelancet.com/journals/lanchi/article/PIIS2352-4642(22)00218-8/fulltext (Accessed: 19 April 2026). </w:t>
      </w:r>
    </w:p>
    <w:p w14:paraId="60D07033"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376D3842"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lastRenderedPageBreak/>
        <w:t xml:space="preserve">Swansea University (2008) </w:t>
      </w:r>
      <w:r w:rsidRPr="00C53572">
        <w:rPr>
          <w:rFonts w:ascii="Arial" w:eastAsia="Times New Roman" w:hAnsi="Arial" w:cs="Arial"/>
          <w:i/>
          <w:iCs/>
          <w:color w:val="000000"/>
          <w:kern w:val="0"/>
          <w:lang w:eastAsia="en-GB"/>
          <w14:ligatures w14:val="none"/>
        </w:rPr>
        <w:t>Ethics Evaluation and Application Forms.</w:t>
      </w:r>
      <w:r w:rsidRPr="00C53572">
        <w:rPr>
          <w:rFonts w:ascii="Arial" w:eastAsia="Times New Roman" w:hAnsi="Arial" w:cs="Arial"/>
          <w:color w:val="000000"/>
          <w:kern w:val="0"/>
          <w:lang w:eastAsia="en-GB"/>
          <w14:ligatures w14:val="none"/>
        </w:rPr>
        <w:t xml:space="preserve"> Available at: https://view.officeapps.live.com/op/view.aspx?src=https%3A%2F%2Fwww.swansea.ac.uk%2Fmedia%2FP0708-1333-Swansea-University-Ethics-Policy-and-Procedure.doc&amp;wdOrigin=BROWSELINK (Accessed: 15 April 2026). </w:t>
      </w:r>
    </w:p>
    <w:p w14:paraId="74140CBF"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4039F43F"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Swansea University (2023) </w:t>
      </w:r>
      <w:r w:rsidRPr="00C53572">
        <w:rPr>
          <w:rFonts w:ascii="Arial" w:eastAsia="Times New Roman" w:hAnsi="Arial" w:cs="Arial"/>
          <w:i/>
          <w:iCs/>
          <w:color w:val="000000"/>
          <w:kern w:val="0"/>
          <w:lang w:eastAsia="en-GB"/>
          <w14:ligatures w14:val="none"/>
        </w:rPr>
        <w:t>Research Integrity: Policy Framework</w:t>
      </w:r>
      <w:r w:rsidRPr="00C53572">
        <w:rPr>
          <w:rFonts w:ascii="Arial" w:eastAsia="Times New Roman" w:hAnsi="Arial" w:cs="Arial"/>
          <w:color w:val="000000"/>
          <w:kern w:val="0"/>
          <w:lang w:eastAsia="en-GB"/>
          <w14:ligatures w14:val="none"/>
        </w:rPr>
        <w:t>. Available at: https://www.swansea.ac.uk/media/P1415-956-Research-Integrity---Policy-Framework-V6-updated-May-2023.pdf (Accessed: 15 April 2025). </w:t>
      </w:r>
    </w:p>
    <w:p w14:paraId="0A5BEE48"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03D0E806"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Taherdoost, H. (2021) ‘Data Collection Methods and Tools for Research; A Step-by-Step Guide to Choose Data Collection Technique for Academic and Business Research Projects’, </w:t>
      </w:r>
      <w:r w:rsidRPr="00C53572">
        <w:rPr>
          <w:rFonts w:ascii="Arial" w:eastAsia="Times New Roman" w:hAnsi="Arial" w:cs="Arial"/>
          <w:i/>
          <w:iCs/>
          <w:color w:val="000000"/>
          <w:kern w:val="0"/>
          <w:lang w:eastAsia="en-GB"/>
          <w14:ligatures w14:val="none"/>
        </w:rPr>
        <w:t>International Journal of Academic Research in Management</w:t>
      </w:r>
      <w:r w:rsidRPr="00C53572">
        <w:rPr>
          <w:rFonts w:ascii="Arial" w:eastAsia="Times New Roman" w:hAnsi="Arial" w:cs="Arial"/>
          <w:color w:val="000000"/>
          <w:kern w:val="0"/>
          <w:lang w:eastAsia="en-GB"/>
          <w14:ligatures w14:val="none"/>
        </w:rPr>
        <w:t>, 10(1), pp. 10-38. Available at: https://www.researchgate.net/publication/359596426_Data_Collection_Methods_and_Tools_for_Research_A_Step-by-Step_Guide_to_Choose_Data_Collection_Technique_for_Academic_and_Business_Research_Projects (Accessed: 19 April 2026). </w:t>
      </w:r>
    </w:p>
    <w:p w14:paraId="0061D393"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43FE5404"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Ting, H., Memon, M.A., Thurasamy, R. and Cheah, J-H. (2025) ‘Snowball Sampling: A Review and Guidelines for Survey Research’, </w:t>
      </w:r>
      <w:r w:rsidRPr="00C53572">
        <w:rPr>
          <w:rFonts w:ascii="Arial" w:eastAsia="Times New Roman" w:hAnsi="Arial" w:cs="Arial"/>
          <w:i/>
          <w:iCs/>
          <w:color w:val="000000"/>
          <w:kern w:val="0"/>
          <w:lang w:eastAsia="en-GB"/>
          <w14:ligatures w14:val="none"/>
        </w:rPr>
        <w:t>Asian Journal of Business Research</w:t>
      </w:r>
      <w:r w:rsidRPr="00C53572">
        <w:rPr>
          <w:rFonts w:ascii="Arial" w:eastAsia="Times New Roman" w:hAnsi="Arial" w:cs="Arial"/>
          <w:color w:val="000000"/>
          <w:kern w:val="0"/>
          <w:lang w:eastAsia="en-GB"/>
          <w14:ligatures w14:val="none"/>
        </w:rPr>
        <w:t>, 15(1), pp. 1-15. Available at: https://10.0.57.115/ajbr.250186 </w:t>
      </w:r>
    </w:p>
    <w:p w14:paraId="0EE9FE57"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41CF0C26"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UK Statistics Authority (2022) </w:t>
      </w:r>
      <w:r w:rsidRPr="00C53572">
        <w:rPr>
          <w:rFonts w:ascii="Arial" w:eastAsia="Times New Roman" w:hAnsi="Arial" w:cs="Arial"/>
          <w:i/>
          <w:iCs/>
          <w:color w:val="000000"/>
          <w:kern w:val="0"/>
          <w:lang w:eastAsia="en-GB"/>
          <w14:ligatures w14:val="none"/>
        </w:rPr>
        <w:t>Ethical considerations associated with Qualitative Research methods.</w:t>
      </w:r>
      <w:r w:rsidRPr="00C53572">
        <w:rPr>
          <w:rFonts w:ascii="Arial" w:eastAsia="Times New Roman" w:hAnsi="Arial" w:cs="Arial"/>
          <w:color w:val="000000"/>
          <w:kern w:val="0"/>
          <w:lang w:eastAsia="en-GB"/>
          <w14:ligatures w14:val="none"/>
        </w:rPr>
        <w:t xml:space="preserve"> Available at: https://uksa.statisticsauthority.gov.uk/publication/ethical-considerations-associated-with-qualitative-research-methods/pages/2/ (Accessed: 15 April 2026). </w:t>
      </w:r>
    </w:p>
    <w:p w14:paraId="3F11DEA7"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2B978622"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Van Selm, M. and Jankowski, N.W. (2006) ‘Conducting Online Surveys’, </w:t>
      </w:r>
      <w:r w:rsidRPr="00C53572">
        <w:rPr>
          <w:rFonts w:ascii="Arial" w:eastAsia="Times New Roman" w:hAnsi="Arial" w:cs="Arial"/>
          <w:i/>
          <w:iCs/>
          <w:color w:val="000000"/>
          <w:kern w:val="0"/>
          <w:lang w:eastAsia="en-GB"/>
          <w14:ligatures w14:val="none"/>
        </w:rPr>
        <w:t>Quality and Quantity</w:t>
      </w:r>
      <w:r w:rsidRPr="00C53572">
        <w:rPr>
          <w:rFonts w:ascii="Arial" w:eastAsia="Times New Roman" w:hAnsi="Arial" w:cs="Arial"/>
          <w:color w:val="000000"/>
          <w:kern w:val="0"/>
          <w:lang w:eastAsia="en-GB"/>
          <w14:ligatures w14:val="none"/>
        </w:rPr>
        <w:t xml:space="preserve">, 40, pp. 435-456. Available at: </w:t>
      </w:r>
      <w:hyperlink r:id="rId12" w:history="1">
        <w:r w:rsidRPr="00C53572">
          <w:rPr>
            <w:rFonts w:ascii="Arial" w:eastAsia="Times New Roman" w:hAnsi="Arial" w:cs="Arial"/>
            <w:color w:val="000000"/>
            <w:kern w:val="0"/>
            <w:lang w:eastAsia="en-GB"/>
            <w14:ligatures w14:val="none"/>
          </w:rPr>
          <w:t>https://doi.org/10.1007/s11135-005-8081-8</w:t>
        </w:r>
      </w:hyperlink>
    </w:p>
    <w:p w14:paraId="6F019B8B"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2BB9117E"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Vollmar, A.K.R., Mahalingaiah, S. and Jukic, A.M. (2025) ‘The menstrual cycle as a vital sign: a comprehensive review’, </w:t>
      </w:r>
      <w:r w:rsidRPr="00C53572">
        <w:rPr>
          <w:rFonts w:ascii="Arial" w:eastAsia="Times New Roman" w:hAnsi="Arial" w:cs="Arial"/>
          <w:i/>
          <w:iCs/>
          <w:color w:val="000000"/>
          <w:kern w:val="0"/>
          <w:lang w:eastAsia="en-GB"/>
          <w14:ligatures w14:val="none"/>
        </w:rPr>
        <w:t>F&amp;S Reviews,</w:t>
      </w:r>
      <w:r w:rsidRPr="00C53572">
        <w:rPr>
          <w:rFonts w:ascii="Arial" w:eastAsia="Times New Roman" w:hAnsi="Arial" w:cs="Arial"/>
          <w:color w:val="000000"/>
          <w:kern w:val="0"/>
          <w:lang w:eastAsia="en-GB"/>
          <w14:ligatures w14:val="none"/>
        </w:rPr>
        <w:t xml:space="preserve"> 6(1). Available at: https://doi.org/10.1016/j.xfnr.2024.100081 </w:t>
      </w:r>
    </w:p>
    <w:p w14:paraId="75E0DB1F"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4E4337FC"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Waters, J. (2015) ‘Snowball sampling: a cautionary tale involving a study of older drug users’, </w:t>
      </w:r>
      <w:r w:rsidRPr="00C53572">
        <w:rPr>
          <w:rFonts w:ascii="Arial" w:eastAsia="Times New Roman" w:hAnsi="Arial" w:cs="Arial"/>
          <w:i/>
          <w:iCs/>
          <w:color w:val="000000"/>
          <w:kern w:val="0"/>
          <w:lang w:eastAsia="en-GB"/>
          <w14:ligatures w14:val="none"/>
        </w:rPr>
        <w:t>International Journal of Social Research Methodology</w:t>
      </w:r>
      <w:r w:rsidRPr="00C53572">
        <w:rPr>
          <w:rFonts w:ascii="Arial" w:eastAsia="Times New Roman" w:hAnsi="Arial" w:cs="Arial"/>
          <w:color w:val="000000"/>
          <w:kern w:val="0"/>
          <w:lang w:eastAsia="en-GB"/>
          <w14:ligatures w14:val="none"/>
        </w:rPr>
        <w:t>, 18(4), pp. 367-380. Available at: https://doi.org/10.1080/13645579.2014.953316 </w:t>
      </w:r>
    </w:p>
    <w:p w14:paraId="03C7A4FA"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1D10C9EA"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Welsh Government (2022) </w:t>
      </w:r>
      <w:r w:rsidRPr="00C53572">
        <w:rPr>
          <w:rFonts w:ascii="Arial" w:eastAsia="Times New Roman" w:hAnsi="Arial" w:cs="Arial"/>
          <w:i/>
          <w:iCs/>
          <w:color w:val="000000"/>
          <w:kern w:val="0"/>
          <w:lang w:eastAsia="en-GB"/>
          <w14:ligatures w14:val="none"/>
        </w:rPr>
        <w:t xml:space="preserve">Curriculum for Wales: Relationships and Sexuality Education (RSE) Code. </w:t>
      </w:r>
      <w:r w:rsidRPr="00C53572">
        <w:rPr>
          <w:rFonts w:ascii="Arial" w:eastAsia="Times New Roman" w:hAnsi="Arial" w:cs="Arial"/>
          <w:color w:val="000000"/>
          <w:kern w:val="0"/>
          <w:lang w:eastAsia="en-GB"/>
          <w14:ligatures w14:val="none"/>
        </w:rPr>
        <w:t>Available at: https://www.gov.wales/curriculum-wales-relationships-and-sexuality-education-rse-code (Accessed: 19 April 2026). </w:t>
      </w:r>
    </w:p>
    <w:p w14:paraId="281EC73D" w14:textId="77777777" w:rsidR="00C53572" w:rsidRPr="00C53572" w:rsidRDefault="00C53572" w:rsidP="00C53572">
      <w:pPr>
        <w:spacing w:after="0" w:line="240" w:lineRule="auto"/>
        <w:ind w:hanging="284"/>
        <w:rPr>
          <w:rFonts w:ascii="Arial" w:eastAsia="Times New Roman" w:hAnsi="Arial" w:cs="Arial"/>
          <w:kern w:val="0"/>
          <w:lang w:eastAsia="en-GB"/>
          <w14:ligatures w14:val="none"/>
        </w:rPr>
      </w:pPr>
    </w:p>
    <w:p w14:paraId="1B785A8D" w14:textId="77777777" w:rsid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Yusof, M.Y.P.M., Teo, C.H. and Ng, C.J. (2022) ‘Electronic informed consent criteria for research ethics review: a scoping review’, </w:t>
      </w:r>
      <w:r w:rsidRPr="00C53572">
        <w:rPr>
          <w:rFonts w:ascii="Arial" w:eastAsia="Times New Roman" w:hAnsi="Arial" w:cs="Arial"/>
          <w:i/>
          <w:iCs/>
          <w:color w:val="000000"/>
          <w:kern w:val="0"/>
          <w:lang w:eastAsia="en-GB"/>
          <w14:ligatures w14:val="none"/>
        </w:rPr>
        <w:t>BMC Medical Ethics</w:t>
      </w:r>
      <w:r w:rsidRPr="00C53572">
        <w:rPr>
          <w:rFonts w:ascii="Arial" w:eastAsia="Times New Roman" w:hAnsi="Arial" w:cs="Arial"/>
          <w:color w:val="000000"/>
          <w:kern w:val="0"/>
          <w:lang w:eastAsia="en-GB"/>
          <w14:ligatures w14:val="none"/>
        </w:rPr>
        <w:t>, 23 (November) article 117. Available at: https://doi.org/10.1186/s12910-022-00849-x </w:t>
      </w:r>
    </w:p>
    <w:p w14:paraId="120A8277" w14:textId="77777777" w:rsidR="00C53572" w:rsidRDefault="00C53572" w:rsidP="00C53572">
      <w:pPr>
        <w:spacing w:after="0" w:line="240" w:lineRule="auto"/>
        <w:ind w:hanging="284"/>
        <w:rPr>
          <w:rFonts w:ascii="Arial" w:eastAsia="Times New Roman" w:hAnsi="Arial" w:cs="Arial"/>
          <w:kern w:val="0"/>
          <w:lang w:eastAsia="en-GB"/>
          <w14:ligatures w14:val="none"/>
        </w:rPr>
      </w:pPr>
    </w:p>
    <w:p w14:paraId="5E8305BC" w14:textId="7336A2A5" w:rsidR="00F56DC7" w:rsidRPr="00C53572" w:rsidRDefault="00C53572" w:rsidP="00C53572">
      <w:pPr>
        <w:spacing w:after="0" w:line="240" w:lineRule="auto"/>
        <w:ind w:hanging="284"/>
        <w:rPr>
          <w:rFonts w:ascii="Arial" w:eastAsia="Times New Roman" w:hAnsi="Arial" w:cs="Arial"/>
          <w:kern w:val="0"/>
          <w:lang w:eastAsia="en-GB"/>
          <w14:ligatures w14:val="none"/>
        </w:rPr>
      </w:pPr>
      <w:r w:rsidRPr="00C53572">
        <w:rPr>
          <w:rFonts w:ascii="Arial" w:eastAsia="Times New Roman" w:hAnsi="Arial" w:cs="Arial"/>
          <w:color w:val="000000"/>
          <w:kern w:val="0"/>
          <w:lang w:eastAsia="en-GB"/>
          <w14:ligatures w14:val="none"/>
        </w:rPr>
        <w:t xml:space="preserve">Zhang, T. (2023) ‘Critical Realism: A Critical Evaluation’, </w:t>
      </w:r>
      <w:r w:rsidRPr="00C53572">
        <w:rPr>
          <w:rFonts w:ascii="Arial" w:eastAsia="Times New Roman" w:hAnsi="Arial" w:cs="Arial"/>
          <w:i/>
          <w:iCs/>
          <w:color w:val="000000"/>
          <w:kern w:val="0"/>
          <w:lang w:eastAsia="en-GB"/>
          <w14:ligatures w14:val="none"/>
        </w:rPr>
        <w:t>Social Epistemology</w:t>
      </w:r>
      <w:r w:rsidRPr="00C53572">
        <w:rPr>
          <w:rFonts w:ascii="Arial" w:eastAsia="Times New Roman" w:hAnsi="Arial" w:cs="Arial"/>
          <w:color w:val="000000"/>
          <w:kern w:val="0"/>
          <w:lang w:eastAsia="en-GB"/>
          <w14:ligatures w14:val="none"/>
        </w:rPr>
        <w:t>, 37(1), pp. 15-29. Available at: https://doi.org/10.1080/02691728.2022.2080127</w:t>
      </w:r>
    </w:p>
    <w:sectPr w:rsidR="00F56DC7" w:rsidRPr="00C5357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F01136" w14:textId="77777777" w:rsidR="00E45160" w:rsidRDefault="00E45160" w:rsidP="00571C53">
      <w:pPr>
        <w:spacing w:after="0" w:line="240" w:lineRule="auto"/>
      </w:pPr>
      <w:r>
        <w:separator/>
      </w:r>
    </w:p>
  </w:endnote>
  <w:endnote w:type="continuationSeparator" w:id="0">
    <w:p w14:paraId="3EB5B542" w14:textId="77777777" w:rsidR="00E45160" w:rsidRDefault="00E45160" w:rsidP="00571C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175453"/>
      <w:docPartObj>
        <w:docPartGallery w:val="Page Numbers (Bottom of Page)"/>
        <w:docPartUnique/>
      </w:docPartObj>
    </w:sdtPr>
    <w:sdtEndPr>
      <w:rPr>
        <w:noProof/>
      </w:rPr>
    </w:sdtEndPr>
    <w:sdtContent>
      <w:p w14:paraId="00BB5140" w14:textId="3F42C36B" w:rsidR="001F04E7" w:rsidRDefault="001F04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7FEAB8" w14:textId="77777777" w:rsidR="001F04E7" w:rsidRDefault="001F04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EFD290" w14:textId="77777777" w:rsidR="00E45160" w:rsidRDefault="00E45160" w:rsidP="00571C53">
      <w:pPr>
        <w:spacing w:after="0" w:line="240" w:lineRule="auto"/>
      </w:pPr>
      <w:r>
        <w:separator/>
      </w:r>
    </w:p>
  </w:footnote>
  <w:footnote w:type="continuationSeparator" w:id="0">
    <w:p w14:paraId="60A068F3" w14:textId="77777777" w:rsidR="00E45160" w:rsidRDefault="00E45160" w:rsidP="00571C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9E3AE4" w14:textId="383429F6" w:rsidR="007922A8" w:rsidRPr="007922A8" w:rsidRDefault="007922A8">
    <w:pPr>
      <w:pStyle w:val="Header"/>
      <w:rPr>
        <w:rFonts w:ascii="Arial" w:hAnsi="Arial" w:cs="Arial"/>
      </w:rPr>
    </w:pPr>
    <w:r w:rsidRPr="007922A8">
      <w:rPr>
        <w:rFonts w:ascii="Arial" w:hAnsi="Arial" w:cs="Arial"/>
      </w:rPr>
      <w:t>2200299</w:t>
    </w:r>
    <w:r w:rsidRPr="007922A8">
      <w:rPr>
        <w:rFonts w:ascii="Arial" w:hAnsi="Arial" w:cs="Arial"/>
      </w:rPr>
      <w:ptab w:relativeTo="margin" w:alignment="center" w:leader="none"/>
    </w:r>
    <w:r w:rsidRPr="007922A8">
      <w:rPr>
        <w:rFonts w:ascii="Arial" w:hAnsi="Arial" w:cs="Arial"/>
        <w:color w:val="000000"/>
        <w:sz w:val="22"/>
        <w:szCs w:val="22"/>
      </w:rPr>
      <w:t xml:space="preserve"> </w:t>
    </w:r>
    <w:r w:rsidRPr="007922A8">
      <w:rPr>
        <w:rFonts w:ascii="Arial" w:hAnsi="Arial" w:cs="Arial"/>
      </w:rPr>
      <w:t>ECGE7008Q</w:t>
    </w:r>
    <w:r w:rsidRPr="007922A8">
      <w:rPr>
        <w:rFonts w:ascii="Arial" w:hAnsi="Arial" w:cs="Arial"/>
      </w:rPr>
      <w:ptab w:relativeTo="margin" w:alignment="right" w:leader="none"/>
    </w:r>
    <w:r w:rsidR="00815F19">
      <w:rPr>
        <w:rFonts w:ascii="Arial" w:hAnsi="Arial" w:cs="Arial"/>
      </w:rPr>
      <w:t>3,708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3486C"/>
    <w:multiLevelType w:val="hybridMultilevel"/>
    <w:tmpl w:val="2D3259B8"/>
    <w:lvl w:ilvl="0" w:tplc="699E71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A40CB2"/>
    <w:multiLevelType w:val="multilevel"/>
    <w:tmpl w:val="6C789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C3545E"/>
    <w:multiLevelType w:val="hybridMultilevel"/>
    <w:tmpl w:val="029EDBC8"/>
    <w:lvl w:ilvl="0" w:tplc="0E8418A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3802DA"/>
    <w:multiLevelType w:val="hybridMultilevel"/>
    <w:tmpl w:val="6568E5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D91F7C"/>
    <w:multiLevelType w:val="hybridMultilevel"/>
    <w:tmpl w:val="4480331E"/>
    <w:lvl w:ilvl="0" w:tplc="7C2E504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84BA0"/>
    <w:multiLevelType w:val="hybridMultilevel"/>
    <w:tmpl w:val="E374918A"/>
    <w:lvl w:ilvl="0" w:tplc="3BDA625C">
      <w:numFmt w:val="bullet"/>
      <w:lvlText w:val="-"/>
      <w:lvlJc w:val="left"/>
      <w:pPr>
        <w:ind w:left="720" w:hanging="360"/>
      </w:pPr>
      <w:rPr>
        <w:rFonts w:ascii="Calibri" w:eastAsiaTheme="minorHAnsi" w:hAnsi="Calibri" w:cs="Calibr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A57EC5"/>
    <w:multiLevelType w:val="hybridMultilevel"/>
    <w:tmpl w:val="AD9A5C74"/>
    <w:lvl w:ilvl="0" w:tplc="56E2910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4D0BAD"/>
    <w:multiLevelType w:val="hybridMultilevel"/>
    <w:tmpl w:val="153E3A16"/>
    <w:lvl w:ilvl="0" w:tplc="C2024B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041707"/>
    <w:multiLevelType w:val="hybridMultilevel"/>
    <w:tmpl w:val="2848AAE0"/>
    <w:lvl w:ilvl="0" w:tplc="4262397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E265DD"/>
    <w:multiLevelType w:val="hybridMultilevel"/>
    <w:tmpl w:val="B05099B2"/>
    <w:lvl w:ilvl="0" w:tplc="32BC9E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E314A9"/>
    <w:multiLevelType w:val="hybridMultilevel"/>
    <w:tmpl w:val="38D46C20"/>
    <w:lvl w:ilvl="0" w:tplc="C28028E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BA2BA5"/>
    <w:multiLevelType w:val="hybridMultilevel"/>
    <w:tmpl w:val="E51012FC"/>
    <w:lvl w:ilvl="0" w:tplc="480C77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736735"/>
    <w:multiLevelType w:val="hybridMultilevel"/>
    <w:tmpl w:val="D9B80F22"/>
    <w:lvl w:ilvl="0" w:tplc="2FAC4F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5D10EE"/>
    <w:multiLevelType w:val="hybridMultilevel"/>
    <w:tmpl w:val="76DEAD2E"/>
    <w:lvl w:ilvl="0" w:tplc="0432517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604B53"/>
    <w:multiLevelType w:val="multilevel"/>
    <w:tmpl w:val="F29A7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F53F55"/>
    <w:multiLevelType w:val="hybridMultilevel"/>
    <w:tmpl w:val="6E169A76"/>
    <w:lvl w:ilvl="0" w:tplc="A1629B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54349E"/>
    <w:multiLevelType w:val="hybridMultilevel"/>
    <w:tmpl w:val="659A4F62"/>
    <w:lvl w:ilvl="0" w:tplc="C2024B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A61692"/>
    <w:multiLevelType w:val="hybridMultilevel"/>
    <w:tmpl w:val="DFA6818E"/>
    <w:lvl w:ilvl="0" w:tplc="41A0E2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EE7742"/>
    <w:multiLevelType w:val="multilevel"/>
    <w:tmpl w:val="DE921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3945464">
    <w:abstractNumId w:val="8"/>
  </w:num>
  <w:num w:numId="2" w16cid:durableId="1996758628">
    <w:abstractNumId w:val="9"/>
  </w:num>
  <w:num w:numId="3" w16cid:durableId="1064333609">
    <w:abstractNumId w:val="13"/>
  </w:num>
  <w:num w:numId="4" w16cid:durableId="811873610">
    <w:abstractNumId w:val="12"/>
  </w:num>
  <w:num w:numId="5" w16cid:durableId="728454740">
    <w:abstractNumId w:val="11"/>
  </w:num>
  <w:num w:numId="6" w16cid:durableId="1120369989">
    <w:abstractNumId w:val="3"/>
  </w:num>
  <w:num w:numId="7" w16cid:durableId="1255281556">
    <w:abstractNumId w:val="4"/>
  </w:num>
  <w:num w:numId="8" w16cid:durableId="1418752414">
    <w:abstractNumId w:val="2"/>
  </w:num>
  <w:num w:numId="9" w16cid:durableId="1970621015">
    <w:abstractNumId w:val="14"/>
  </w:num>
  <w:num w:numId="10" w16cid:durableId="987175391">
    <w:abstractNumId w:val="6"/>
  </w:num>
  <w:num w:numId="11" w16cid:durableId="2109571012">
    <w:abstractNumId w:val="10"/>
  </w:num>
  <w:num w:numId="12" w16cid:durableId="2106069604">
    <w:abstractNumId w:val="0"/>
  </w:num>
  <w:num w:numId="13" w16cid:durableId="630021041">
    <w:abstractNumId w:val="18"/>
  </w:num>
  <w:num w:numId="14" w16cid:durableId="1291133005">
    <w:abstractNumId w:val="15"/>
  </w:num>
  <w:num w:numId="15" w16cid:durableId="1686517800">
    <w:abstractNumId w:val="17"/>
  </w:num>
  <w:num w:numId="16" w16cid:durableId="1245384053">
    <w:abstractNumId w:val="16"/>
  </w:num>
  <w:num w:numId="17" w16cid:durableId="324171221">
    <w:abstractNumId w:val="7"/>
  </w:num>
  <w:num w:numId="18" w16cid:durableId="224923512">
    <w:abstractNumId w:val="5"/>
  </w:num>
  <w:num w:numId="19" w16cid:durableId="18413819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B25"/>
    <w:rsid w:val="0000186B"/>
    <w:rsid w:val="0000536A"/>
    <w:rsid w:val="000068ED"/>
    <w:rsid w:val="000072C4"/>
    <w:rsid w:val="00007C7A"/>
    <w:rsid w:val="000103B6"/>
    <w:rsid w:val="000118A3"/>
    <w:rsid w:val="00012D4F"/>
    <w:rsid w:val="000139F9"/>
    <w:rsid w:val="00015622"/>
    <w:rsid w:val="000171E6"/>
    <w:rsid w:val="00020DCC"/>
    <w:rsid w:val="000223EF"/>
    <w:rsid w:val="00027CDC"/>
    <w:rsid w:val="00035738"/>
    <w:rsid w:val="000365C6"/>
    <w:rsid w:val="00036B28"/>
    <w:rsid w:val="00036F6C"/>
    <w:rsid w:val="0004072E"/>
    <w:rsid w:val="00041AC5"/>
    <w:rsid w:val="00046CFC"/>
    <w:rsid w:val="00046DA4"/>
    <w:rsid w:val="000501AD"/>
    <w:rsid w:val="000524B0"/>
    <w:rsid w:val="0005346A"/>
    <w:rsid w:val="000547C4"/>
    <w:rsid w:val="0005721E"/>
    <w:rsid w:val="00061039"/>
    <w:rsid w:val="00061CE4"/>
    <w:rsid w:val="000632C6"/>
    <w:rsid w:val="0006702D"/>
    <w:rsid w:val="00067769"/>
    <w:rsid w:val="00073588"/>
    <w:rsid w:val="0007392E"/>
    <w:rsid w:val="00074070"/>
    <w:rsid w:val="00075243"/>
    <w:rsid w:val="00075680"/>
    <w:rsid w:val="00075BBC"/>
    <w:rsid w:val="000764A3"/>
    <w:rsid w:val="00080467"/>
    <w:rsid w:val="000821E2"/>
    <w:rsid w:val="0008234B"/>
    <w:rsid w:val="000840D1"/>
    <w:rsid w:val="00084332"/>
    <w:rsid w:val="00085048"/>
    <w:rsid w:val="00085C4F"/>
    <w:rsid w:val="00087ABC"/>
    <w:rsid w:val="0009057E"/>
    <w:rsid w:val="00091222"/>
    <w:rsid w:val="00095859"/>
    <w:rsid w:val="000961CE"/>
    <w:rsid w:val="000A0DAE"/>
    <w:rsid w:val="000A1DAE"/>
    <w:rsid w:val="000A4191"/>
    <w:rsid w:val="000A55FA"/>
    <w:rsid w:val="000A70FC"/>
    <w:rsid w:val="000A71E6"/>
    <w:rsid w:val="000B0272"/>
    <w:rsid w:val="000B081B"/>
    <w:rsid w:val="000B0886"/>
    <w:rsid w:val="000B2D35"/>
    <w:rsid w:val="000B3BD7"/>
    <w:rsid w:val="000B4D9E"/>
    <w:rsid w:val="000B57AB"/>
    <w:rsid w:val="000C3029"/>
    <w:rsid w:val="000C32F1"/>
    <w:rsid w:val="000C4CC2"/>
    <w:rsid w:val="000C522F"/>
    <w:rsid w:val="000C611C"/>
    <w:rsid w:val="000C63E3"/>
    <w:rsid w:val="000C6425"/>
    <w:rsid w:val="000C6F91"/>
    <w:rsid w:val="000C7811"/>
    <w:rsid w:val="000D3B2D"/>
    <w:rsid w:val="000D4E3E"/>
    <w:rsid w:val="000D6F86"/>
    <w:rsid w:val="000E0A55"/>
    <w:rsid w:val="000E6480"/>
    <w:rsid w:val="000E7293"/>
    <w:rsid w:val="000F0C1D"/>
    <w:rsid w:val="000F0F04"/>
    <w:rsid w:val="000F3653"/>
    <w:rsid w:val="001039C0"/>
    <w:rsid w:val="00105021"/>
    <w:rsid w:val="0010531C"/>
    <w:rsid w:val="00105958"/>
    <w:rsid w:val="00111FF9"/>
    <w:rsid w:val="00112560"/>
    <w:rsid w:val="0011376F"/>
    <w:rsid w:val="00114320"/>
    <w:rsid w:val="001170C2"/>
    <w:rsid w:val="001224E8"/>
    <w:rsid w:val="00124BD4"/>
    <w:rsid w:val="00132184"/>
    <w:rsid w:val="00132C24"/>
    <w:rsid w:val="0013619B"/>
    <w:rsid w:val="00143AB9"/>
    <w:rsid w:val="0014727B"/>
    <w:rsid w:val="001500B8"/>
    <w:rsid w:val="00152553"/>
    <w:rsid w:val="00154626"/>
    <w:rsid w:val="00154892"/>
    <w:rsid w:val="00154A62"/>
    <w:rsid w:val="001555BD"/>
    <w:rsid w:val="00161930"/>
    <w:rsid w:val="00161FED"/>
    <w:rsid w:val="00162391"/>
    <w:rsid w:val="001623E4"/>
    <w:rsid w:val="00163036"/>
    <w:rsid w:val="00166CA1"/>
    <w:rsid w:val="001716A6"/>
    <w:rsid w:val="00171759"/>
    <w:rsid w:val="00172FB2"/>
    <w:rsid w:val="00174077"/>
    <w:rsid w:val="00174AFF"/>
    <w:rsid w:val="00174B92"/>
    <w:rsid w:val="001771FA"/>
    <w:rsid w:val="00177706"/>
    <w:rsid w:val="00177CC2"/>
    <w:rsid w:val="00181652"/>
    <w:rsid w:val="0018202B"/>
    <w:rsid w:val="00186733"/>
    <w:rsid w:val="00194CB7"/>
    <w:rsid w:val="001A5DF7"/>
    <w:rsid w:val="001A7333"/>
    <w:rsid w:val="001A7895"/>
    <w:rsid w:val="001A7AF6"/>
    <w:rsid w:val="001A7E44"/>
    <w:rsid w:val="001B0A2B"/>
    <w:rsid w:val="001B0F73"/>
    <w:rsid w:val="001B26E7"/>
    <w:rsid w:val="001B2775"/>
    <w:rsid w:val="001B2D96"/>
    <w:rsid w:val="001B365F"/>
    <w:rsid w:val="001B534F"/>
    <w:rsid w:val="001B6A9F"/>
    <w:rsid w:val="001B6D8E"/>
    <w:rsid w:val="001C09CB"/>
    <w:rsid w:val="001C3033"/>
    <w:rsid w:val="001C6A04"/>
    <w:rsid w:val="001D0688"/>
    <w:rsid w:val="001D1FFD"/>
    <w:rsid w:val="001D26F8"/>
    <w:rsid w:val="001D7028"/>
    <w:rsid w:val="001E1057"/>
    <w:rsid w:val="001E1430"/>
    <w:rsid w:val="001E1F1C"/>
    <w:rsid w:val="001E2D5B"/>
    <w:rsid w:val="001E6305"/>
    <w:rsid w:val="001F04E7"/>
    <w:rsid w:val="001F0AC1"/>
    <w:rsid w:val="001F1330"/>
    <w:rsid w:val="001F3BE4"/>
    <w:rsid w:val="001F43DF"/>
    <w:rsid w:val="001F65B7"/>
    <w:rsid w:val="00202238"/>
    <w:rsid w:val="00203935"/>
    <w:rsid w:val="0020632F"/>
    <w:rsid w:val="00206BAD"/>
    <w:rsid w:val="00206F59"/>
    <w:rsid w:val="002100AF"/>
    <w:rsid w:val="00210339"/>
    <w:rsid w:val="0021064D"/>
    <w:rsid w:val="00215596"/>
    <w:rsid w:val="00217C39"/>
    <w:rsid w:val="00220CBE"/>
    <w:rsid w:val="0022298A"/>
    <w:rsid w:val="0022306E"/>
    <w:rsid w:val="0022571D"/>
    <w:rsid w:val="00240349"/>
    <w:rsid w:val="00242387"/>
    <w:rsid w:val="002452D8"/>
    <w:rsid w:val="002453EB"/>
    <w:rsid w:val="002455EB"/>
    <w:rsid w:val="0025258E"/>
    <w:rsid w:val="00253594"/>
    <w:rsid w:val="00253F32"/>
    <w:rsid w:val="00257CCD"/>
    <w:rsid w:val="002618F9"/>
    <w:rsid w:val="002655AC"/>
    <w:rsid w:val="00266527"/>
    <w:rsid w:val="00266602"/>
    <w:rsid w:val="0026719E"/>
    <w:rsid w:val="00267AA2"/>
    <w:rsid w:val="00267CDD"/>
    <w:rsid w:val="002754F2"/>
    <w:rsid w:val="00283CE8"/>
    <w:rsid w:val="0028529C"/>
    <w:rsid w:val="0028590D"/>
    <w:rsid w:val="0029193F"/>
    <w:rsid w:val="00296709"/>
    <w:rsid w:val="002968BD"/>
    <w:rsid w:val="00296BA9"/>
    <w:rsid w:val="002A4C0D"/>
    <w:rsid w:val="002A50E1"/>
    <w:rsid w:val="002A5EB0"/>
    <w:rsid w:val="002A7917"/>
    <w:rsid w:val="002A79FF"/>
    <w:rsid w:val="002A7CE5"/>
    <w:rsid w:val="002B04F0"/>
    <w:rsid w:val="002B178F"/>
    <w:rsid w:val="002B228B"/>
    <w:rsid w:val="002B23D9"/>
    <w:rsid w:val="002B59F5"/>
    <w:rsid w:val="002B5A89"/>
    <w:rsid w:val="002B6297"/>
    <w:rsid w:val="002B6B12"/>
    <w:rsid w:val="002C0807"/>
    <w:rsid w:val="002C2594"/>
    <w:rsid w:val="002C355D"/>
    <w:rsid w:val="002C3EBA"/>
    <w:rsid w:val="002C57C6"/>
    <w:rsid w:val="002C7748"/>
    <w:rsid w:val="002D33B7"/>
    <w:rsid w:val="002D39BF"/>
    <w:rsid w:val="002D6952"/>
    <w:rsid w:val="002E0A72"/>
    <w:rsid w:val="002E4D82"/>
    <w:rsid w:val="002E5010"/>
    <w:rsid w:val="002F2635"/>
    <w:rsid w:val="002F4320"/>
    <w:rsid w:val="002F6EAE"/>
    <w:rsid w:val="00305F6E"/>
    <w:rsid w:val="00306B74"/>
    <w:rsid w:val="00307239"/>
    <w:rsid w:val="00307298"/>
    <w:rsid w:val="00313F70"/>
    <w:rsid w:val="0031477D"/>
    <w:rsid w:val="003168EC"/>
    <w:rsid w:val="003200E1"/>
    <w:rsid w:val="00320213"/>
    <w:rsid w:val="00320AE6"/>
    <w:rsid w:val="003219C9"/>
    <w:rsid w:val="0032320D"/>
    <w:rsid w:val="0032387F"/>
    <w:rsid w:val="0032595A"/>
    <w:rsid w:val="00327E05"/>
    <w:rsid w:val="003323B7"/>
    <w:rsid w:val="00337B50"/>
    <w:rsid w:val="00341738"/>
    <w:rsid w:val="00343AA5"/>
    <w:rsid w:val="0034632D"/>
    <w:rsid w:val="00351101"/>
    <w:rsid w:val="00351AF5"/>
    <w:rsid w:val="00352A48"/>
    <w:rsid w:val="00352C8F"/>
    <w:rsid w:val="00353CDA"/>
    <w:rsid w:val="00356E3C"/>
    <w:rsid w:val="00357ABD"/>
    <w:rsid w:val="0036068C"/>
    <w:rsid w:val="003646CB"/>
    <w:rsid w:val="0036529F"/>
    <w:rsid w:val="003654FE"/>
    <w:rsid w:val="003659D8"/>
    <w:rsid w:val="00370F9B"/>
    <w:rsid w:val="00374619"/>
    <w:rsid w:val="00376B63"/>
    <w:rsid w:val="003825FD"/>
    <w:rsid w:val="00382C36"/>
    <w:rsid w:val="00385848"/>
    <w:rsid w:val="00386510"/>
    <w:rsid w:val="0039135D"/>
    <w:rsid w:val="00391997"/>
    <w:rsid w:val="0039746A"/>
    <w:rsid w:val="003A0C1E"/>
    <w:rsid w:val="003A38CB"/>
    <w:rsid w:val="003A4A51"/>
    <w:rsid w:val="003B364B"/>
    <w:rsid w:val="003B392D"/>
    <w:rsid w:val="003B4CB6"/>
    <w:rsid w:val="003B614C"/>
    <w:rsid w:val="003B7C25"/>
    <w:rsid w:val="003C4B96"/>
    <w:rsid w:val="003D1416"/>
    <w:rsid w:val="003D2108"/>
    <w:rsid w:val="003D33D5"/>
    <w:rsid w:val="003D49AA"/>
    <w:rsid w:val="003D65C4"/>
    <w:rsid w:val="003D6DF1"/>
    <w:rsid w:val="003E2EFC"/>
    <w:rsid w:val="003E2FC1"/>
    <w:rsid w:val="003E412F"/>
    <w:rsid w:val="003E4431"/>
    <w:rsid w:val="003E71A6"/>
    <w:rsid w:val="003E76EF"/>
    <w:rsid w:val="003F2117"/>
    <w:rsid w:val="003F39DF"/>
    <w:rsid w:val="003F7266"/>
    <w:rsid w:val="00400679"/>
    <w:rsid w:val="00402473"/>
    <w:rsid w:val="00406C10"/>
    <w:rsid w:val="00410087"/>
    <w:rsid w:val="00410256"/>
    <w:rsid w:val="00410B8B"/>
    <w:rsid w:val="00415A2D"/>
    <w:rsid w:val="00415A4D"/>
    <w:rsid w:val="0041657F"/>
    <w:rsid w:val="00420AD1"/>
    <w:rsid w:val="00421234"/>
    <w:rsid w:val="004249AE"/>
    <w:rsid w:val="00425037"/>
    <w:rsid w:val="00425305"/>
    <w:rsid w:val="00430938"/>
    <w:rsid w:val="00434F9B"/>
    <w:rsid w:val="00435018"/>
    <w:rsid w:val="00435026"/>
    <w:rsid w:val="00435078"/>
    <w:rsid w:val="00436FDF"/>
    <w:rsid w:val="004409A9"/>
    <w:rsid w:val="00440FC8"/>
    <w:rsid w:val="0044151E"/>
    <w:rsid w:val="004426C1"/>
    <w:rsid w:val="0044402B"/>
    <w:rsid w:val="00446DE8"/>
    <w:rsid w:val="00455395"/>
    <w:rsid w:val="004576FD"/>
    <w:rsid w:val="00457898"/>
    <w:rsid w:val="004607B1"/>
    <w:rsid w:val="004609CC"/>
    <w:rsid w:val="0046118C"/>
    <w:rsid w:val="00461C6B"/>
    <w:rsid w:val="00462728"/>
    <w:rsid w:val="00462F6E"/>
    <w:rsid w:val="004631A3"/>
    <w:rsid w:val="00466193"/>
    <w:rsid w:val="004670FE"/>
    <w:rsid w:val="00470C69"/>
    <w:rsid w:val="0047328D"/>
    <w:rsid w:val="0047367C"/>
    <w:rsid w:val="00473D4D"/>
    <w:rsid w:val="004741A0"/>
    <w:rsid w:val="00475AD7"/>
    <w:rsid w:val="00475CF0"/>
    <w:rsid w:val="00476CD3"/>
    <w:rsid w:val="00481A12"/>
    <w:rsid w:val="0048454C"/>
    <w:rsid w:val="00485171"/>
    <w:rsid w:val="004853A7"/>
    <w:rsid w:val="00487814"/>
    <w:rsid w:val="00490949"/>
    <w:rsid w:val="004911F4"/>
    <w:rsid w:val="004917ED"/>
    <w:rsid w:val="00492BB3"/>
    <w:rsid w:val="004930DC"/>
    <w:rsid w:val="00495318"/>
    <w:rsid w:val="004957F8"/>
    <w:rsid w:val="004960A6"/>
    <w:rsid w:val="004A1E82"/>
    <w:rsid w:val="004A278F"/>
    <w:rsid w:val="004A388C"/>
    <w:rsid w:val="004A49D3"/>
    <w:rsid w:val="004A5432"/>
    <w:rsid w:val="004A6A44"/>
    <w:rsid w:val="004A6DF4"/>
    <w:rsid w:val="004B04E9"/>
    <w:rsid w:val="004B312D"/>
    <w:rsid w:val="004C0758"/>
    <w:rsid w:val="004C326B"/>
    <w:rsid w:val="004C32BA"/>
    <w:rsid w:val="004C387E"/>
    <w:rsid w:val="004C4646"/>
    <w:rsid w:val="004D01E3"/>
    <w:rsid w:val="004D0CB1"/>
    <w:rsid w:val="004D1EEB"/>
    <w:rsid w:val="004D24B6"/>
    <w:rsid w:val="004D36CF"/>
    <w:rsid w:val="004D5BEF"/>
    <w:rsid w:val="004D79F8"/>
    <w:rsid w:val="004E185B"/>
    <w:rsid w:val="004E5C17"/>
    <w:rsid w:val="004E622B"/>
    <w:rsid w:val="004E66D5"/>
    <w:rsid w:val="004F1541"/>
    <w:rsid w:val="004F1FEB"/>
    <w:rsid w:val="004F3804"/>
    <w:rsid w:val="00500C28"/>
    <w:rsid w:val="005028B3"/>
    <w:rsid w:val="00502FAB"/>
    <w:rsid w:val="00503472"/>
    <w:rsid w:val="0050535B"/>
    <w:rsid w:val="0050625F"/>
    <w:rsid w:val="00512BD7"/>
    <w:rsid w:val="00512C6A"/>
    <w:rsid w:val="00512F3D"/>
    <w:rsid w:val="00516813"/>
    <w:rsid w:val="005171DD"/>
    <w:rsid w:val="00521B37"/>
    <w:rsid w:val="00522339"/>
    <w:rsid w:val="0052264D"/>
    <w:rsid w:val="0052459F"/>
    <w:rsid w:val="00524C54"/>
    <w:rsid w:val="005256F9"/>
    <w:rsid w:val="0052583A"/>
    <w:rsid w:val="005269F9"/>
    <w:rsid w:val="00527485"/>
    <w:rsid w:val="00530118"/>
    <w:rsid w:val="005303BC"/>
    <w:rsid w:val="00530855"/>
    <w:rsid w:val="00531D43"/>
    <w:rsid w:val="00533D11"/>
    <w:rsid w:val="00535DF0"/>
    <w:rsid w:val="00536270"/>
    <w:rsid w:val="005365E4"/>
    <w:rsid w:val="00541FE3"/>
    <w:rsid w:val="00544271"/>
    <w:rsid w:val="00544DEA"/>
    <w:rsid w:val="00550884"/>
    <w:rsid w:val="005519E8"/>
    <w:rsid w:val="00556FAC"/>
    <w:rsid w:val="0056084B"/>
    <w:rsid w:val="005614D3"/>
    <w:rsid w:val="005658DD"/>
    <w:rsid w:val="00571C53"/>
    <w:rsid w:val="005721E7"/>
    <w:rsid w:val="0057726C"/>
    <w:rsid w:val="00580BBC"/>
    <w:rsid w:val="005859D0"/>
    <w:rsid w:val="00586744"/>
    <w:rsid w:val="005876F1"/>
    <w:rsid w:val="005901F6"/>
    <w:rsid w:val="00592522"/>
    <w:rsid w:val="00594257"/>
    <w:rsid w:val="00594718"/>
    <w:rsid w:val="0059625F"/>
    <w:rsid w:val="0059704C"/>
    <w:rsid w:val="005A0D89"/>
    <w:rsid w:val="005A3207"/>
    <w:rsid w:val="005A34FA"/>
    <w:rsid w:val="005A3C10"/>
    <w:rsid w:val="005A6690"/>
    <w:rsid w:val="005B0E26"/>
    <w:rsid w:val="005B160F"/>
    <w:rsid w:val="005B6002"/>
    <w:rsid w:val="005C2384"/>
    <w:rsid w:val="005C27FB"/>
    <w:rsid w:val="005C2AE8"/>
    <w:rsid w:val="005C35E2"/>
    <w:rsid w:val="005C5390"/>
    <w:rsid w:val="005C5D2D"/>
    <w:rsid w:val="005C7065"/>
    <w:rsid w:val="005D0D8D"/>
    <w:rsid w:val="005D128D"/>
    <w:rsid w:val="005D2C96"/>
    <w:rsid w:val="005D46CF"/>
    <w:rsid w:val="005D5140"/>
    <w:rsid w:val="005D61CA"/>
    <w:rsid w:val="005D6979"/>
    <w:rsid w:val="005E51CB"/>
    <w:rsid w:val="005E51F5"/>
    <w:rsid w:val="005F04A9"/>
    <w:rsid w:val="005F0EAA"/>
    <w:rsid w:val="005F3723"/>
    <w:rsid w:val="00600567"/>
    <w:rsid w:val="0060146C"/>
    <w:rsid w:val="0060507E"/>
    <w:rsid w:val="00605557"/>
    <w:rsid w:val="00607537"/>
    <w:rsid w:val="00607C3F"/>
    <w:rsid w:val="006113CF"/>
    <w:rsid w:val="006128C9"/>
    <w:rsid w:val="00612926"/>
    <w:rsid w:val="00613F23"/>
    <w:rsid w:val="006155F1"/>
    <w:rsid w:val="00616D82"/>
    <w:rsid w:val="00616FC4"/>
    <w:rsid w:val="00621973"/>
    <w:rsid w:val="00622DD0"/>
    <w:rsid w:val="006237E8"/>
    <w:rsid w:val="0062593D"/>
    <w:rsid w:val="006345D7"/>
    <w:rsid w:val="00635FBB"/>
    <w:rsid w:val="00637D05"/>
    <w:rsid w:val="00642F2B"/>
    <w:rsid w:val="00644A7B"/>
    <w:rsid w:val="00645582"/>
    <w:rsid w:val="00646E00"/>
    <w:rsid w:val="0065175C"/>
    <w:rsid w:val="00651EFB"/>
    <w:rsid w:val="00653AD2"/>
    <w:rsid w:val="006614F6"/>
    <w:rsid w:val="00661DD5"/>
    <w:rsid w:val="00666A21"/>
    <w:rsid w:val="006672C5"/>
    <w:rsid w:val="006673B0"/>
    <w:rsid w:val="00670269"/>
    <w:rsid w:val="00670561"/>
    <w:rsid w:val="00672E52"/>
    <w:rsid w:val="006740C9"/>
    <w:rsid w:val="00681629"/>
    <w:rsid w:val="00681B7F"/>
    <w:rsid w:val="00682294"/>
    <w:rsid w:val="00685619"/>
    <w:rsid w:val="00686AD2"/>
    <w:rsid w:val="0068736C"/>
    <w:rsid w:val="0068738A"/>
    <w:rsid w:val="00691767"/>
    <w:rsid w:val="00691F0B"/>
    <w:rsid w:val="00697E9C"/>
    <w:rsid w:val="006A1E3E"/>
    <w:rsid w:val="006A5C0E"/>
    <w:rsid w:val="006A69DA"/>
    <w:rsid w:val="006A6B63"/>
    <w:rsid w:val="006A7E54"/>
    <w:rsid w:val="006B0EEA"/>
    <w:rsid w:val="006B2E02"/>
    <w:rsid w:val="006B31F9"/>
    <w:rsid w:val="006B4663"/>
    <w:rsid w:val="006B4E33"/>
    <w:rsid w:val="006B55B8"/>
    <w:rsid w:val="006C1519"/>
    <w:rsid w:val="006C4E2A"/>
    <w:rsid w:val="006C5143"/>
    <w:rsid w:val="006C638F"/>
    <w:rsid w:val="006C77F8"/>
    <w:rsid w:val="006D16DB"/>
    <w:rsid w:val="006D3B9A"/>
    <w:rsid w:val="006D570B"/>
    <w:rsid w:val="006D77D3"/>
    <w:rsid w:val="006E17A2"/>
    <w:rsid w:val="006E2D8A"/>
    <w:rsid w:val="006E538F"/>
    <w:rsid w:val="006E670E"/>
    <w:rsid w:val="006E7439"/>
    <w:rsid w:val="006F21B9"/>
    <w:rsid w:val="006F2DEE"/>
    <w:rsid w:val="006F33D2"/>
    <w:rsid w:val="006F3BD2"/>
    <w:rsid w:val="006F3D40"/>
    <w:rsid w:val="006F6385"/>
    <w:rsid w:val="00703ED4"/>
    <w:rsid w:val="00704614"/>
    <w:rsid w:val="00715011"/>
    <w:rsid w:val="00716288"/>
    <w:rsid w:val="00721C8C"/>
    <w:rsid w:val="00721D2D"/>
    <w:rsid w:val="0072489B"/>
    <w:rsid w:val="00724F67"/>
    <w:rsid w:val="00731410"/>
    <w:rsid w:val="00733259"/>
    <w:rsid w:val="00733B9D"/>
    <w:rsid w:val="0073413B"/>
    <w:rsid w:val="00734470"/>
    <w:rsid w:val="00735052"/>
    <w:rsid w:val="00737217"/>
    <w:rsid w:val="0073782E"/>
    <w:rsid w:val="00737B57"/>
    <w:rsid w:val="0074254A"/>
    <w:rsid w:val="00743ADF"/>
    <w:rsid w:val="0074423A"/>
    <w:rsid w:val="0074424A"/>
    <w:rsid w:val="00745248"/>
    <w:rsid w:val="00750CDF"/>
    <w:rsid w:val="0075106E"/>
    <w:rsid w:val="00751F28"/>
    <w:rsid w:val="00753A44"/>
    <w:rsid w:val="00755349"/>
    <w:rsid w:val="00755CAA"/>
    <w:rsid w:val="00760BAD"/>
    <w:rsid w:val="0076222D"/>
    <w:rsid w:val="007622D9"/>
    <w:rsid w:val="007632B5"/>
    <w:rsid w:val="00763944"/>
    <w:rsid w:val="0076395B"/>
    <w:rsid w:val="007659F8"/>
    <w:rsid w:val="007679C2"/>
    <w:rsid w:val="00771C3A"/>
    <w:rsid w:val="007740CB"/>
    <w:rsid w:val="00781B91"/>
    <w:rsid w:val="00782C5B"/>
    <w:rsid w:val="00785EA2"/>
    <w:rsid w:val="00786616"/>
    <w:rsid w:val="0079044C"/>
    <w:rsid w:val="007922A8"/>
    <w:rsid w:val="00794F47"/>
    <w:rsid w:val="00797BBD"/>
    <w:rsid w:val="007A25E4"/>
    <w:rsid w:val="007A510F"/>
    <w:rsid w:val="007A5598"/>
    <w:rsid w:val="007B2B2B"/>
    <w:rsid w:val="007B2C88"/>
    <w:rsid w:val="007B3E5A"/>
    <w:rsid w:val="007B4508"/>
    <w:rsid w:val="007B4DE6"/>
    <w:rsid w:val="007B66A3"/>
    <w:rsid w:val="007B69B3"/>
    <w:rsid w:val="007B7E2A"/>
    <w:rsid w:val="007C00D8"/>
    <w:rsid w:val="007C014D"/>
    <w:rsid w:val="007C20C0"/>
    <w:rsid w:val="007C2B5F"/>
    <w:rsid w:val="007C4266"/>
    <w:rsid w:val="007C42F1"/>
    <w:rsid w:val="007C4584"/>
    <w:rsid w:val="007C5D0E"/>
    <w:rsid w:val="007C79B5"/>
    <w:rsid w:val="007D0100"/>
    <w:rsid w:val="007D30E0"/>
    <w:rsid w:val="007D3363"/>
    <w:rsid w:val="007D3F9E"/>
    <w:rsid w:val="007D499D"/>
    <w:rsid w:val="007D55C8"/>
    <w:rsid w:val="007D7D08"/>
    <w:rsid w:val="007F2C64"/>
    <w:rsid w:val="007F3742"/>
    <w:rsid w:val="008011E5"/>
    <w:rsid w:val="008029A9"/>
    <w:rsid w:val="008041B5"/>
    <w:rsid w:val="00810714"/>
    <w:rsid w:val="008121EF"/>
    <w:rsid w:val="00813FFF"/>
    <w:rsid w:val="00814F2E"/>
    <w:rsid w:val="00815F19"/>
    <w:rsid w:val="00816F93"/>
    <w:rsid w:val="00817F0D"/>
    <w:rsid w:val="00820C06"/>
    <w:rsid w:val="008241F6"/>
    <w:rsid w:val="0083267B"/>
    <w:rsid w:val="0083382C"/>
    <w:rsid w:val="0083515A"/>
    <w:rsid w:val="0083563A"/>
    <w:rsid w:val="008357E3"/>
    <w:rsid w:val="00835CB7"/>
    <w:rsid w:val="00837AE4"/>
    <w:rsid w:val="00851F92"/>
    <w:rsid w:val="008524C4"/>
    <w:rsid w:val="008535FD"/>
    <w:rsid w:val="00853C79"/>
    <w:rsid w:val="00856A7E"/>
    <w:rsid w:val="0086084C"/>
    <w:rsid w:val="008634AF"/>
    <w:rsid w:val="0086372B"/>
    <w:rsid w:val="00863DAC"/>
    <w:rsid w:val="00865E44"/>
    <w:rsid w:val="00866FD9"/>
    <w:rsid w:val="00867CAB"/>
    <w:rsid w:val="00870A7E"/>
    <w:rsid w:val="008719F7"/>
    <w:rsid w:val="00871D87"/>
    <w:rsid w:val="008722D2"/>
    <w:rsid w:val="00872F10"/>
    <w:rsid w:val="00874543"/>
    <w:rsid w:val="0087489F"/>
    <w:rsid w:val="00877114"/>
    <w:rsid w:val="0088044C"/>
    <w:rsid w:val="00880919"/>
    <w:rsid w:val="00880FF4"/>
    <w:rsid w:val="00881641"/>
    <w:rsid w:val="00883181"/>
    <w:rsid w:val="00885426"/>
    <w:rsid w:val="00887AC3"/>
    <w:rsid w:val="0089168E"/>
    <w:rsid w:val="00891873"/>
    <w:rsid w:val="0089193D"/>
    <w:rsid w:val="00895153"/>
    <w:rsid w:val="00896933"/>
    <w:rsid w:val="00897BA4"/>
    <w:rsid w:val="008A103B"/>
    <w:rsid w:val="008A4721"/>
    <w:rsid w:val="008A56D1"/>
    <w:rsid w:val="008A6793"/>
    <w:rsid w:val="008B17AC"/>
    <w:rsid w:val="008B2268"/>
    <w:rsid w:val="008B5C5E"/>
    <w:rsid w:val="008C1AC7"/>
    <w:rsid w:val="008C2DDC"/>
    <w:rsid w:val="008C3B74"/>
    <w:rsid w:val="008C6B87"/>
    <w:rsid w:val="008D0299"/>
    <w:rsid w:val="008D09B3"/>
    <w:rsid w:val="008D3662"/>
    <w:rsid w:val="008D4596"/>
    <w:rsid w:val="008D64D8"/>
    <w:rsid w:val="008E17AA"/>
    <w:rsid w:val="008E1A68"/>
    <w:rsid w:val="008E4277"/>
    <w:rsid w:val="008E4C91"/>
    <w:rsid w:val="008E6371"/>
    <w:rsid w:val="008F01BB"/>
    <w:rsid w:val="008F1F94"/>
    <w:rsid w:val="008F2693"/>
    <w:rsid w:val="008F3AF8"/>
    <w:rsid w:val="009030A6"/>
    <w:rsid w:val="00904D67"/>
    <w:rsid w:val="0091325F"/>
    <w:rsid w:val="00913B2B"/>
    <w:rsid w:val="00914288"/>
    <w:rsid w:val="00917318"/>
    <w:rsid w:val="0092024B"/>
    <w:rsid w:val="00921373"/>
    <w:rsid w:val="0092247B"/>
    <w:rsid w:val="009231A0"/>
    <w:rsid w:val="00924B02"/>
    <w:rsid w:val="00925C2A"/>
    <w:rsid w:val="009260BE"/>
    <w:rsid w:val="00926CCF"/>
    <w:rsid w:val="00926EB4"/>
    <w:rsid w:val="00930DC0"/>
    <w:rsid w:val="0093760D"/>
    <w:rsid w:val="0094253A"/>
    <w:rsid w:val="00942F45"/>
    <w:rsid w:val="00946960"/>
    <w:rsid w:val="00950D7C"/>
    <w:rsid w:val="00951FB8"/>
    <w:rsid w:val="00953F82"/>
    <w:rsid w:val="00954000"/>
    <w:rsid w:val="009546E0"/>
    <w:rsid w:val="009548B5"/>
    <w:rsid w:val="00955A01"/>
    <w:rsid w:val="00955ADB"/>
    <w:rsid w:val="009603DC"/>
    <w:rsid w:val="00961417"/>
    <w:rsid w:val="009650AB"/>
    <w:rsid w:val="00966091"/>
    <w:rsid w:val="00972175"/>
    <w:rsid w:val="00974B97"/>
    <w:rsid w:val="009766DE"/>
    <w:rsid w:val="00976831"/>
    <w:rsid w:val="0098070C"/>
    <w:rsid w:val="00987198"/>
    <w:rsid w:val="00991A70"/>
    <w:rsid w:val="00991DBF"/>
    <w:rsid w:val="00992D53"/>
    <w:rsid w:val="00993ACB"/>
    <w:rsid w:val="009945E6"/>
    <w:rsid w:val="009946E0"/>
    <w:rsid w:val="00995B43"/>
    <w:rsid w:val="0099661D"/>
    <w:rsid w:val="009A0B24"/>
    <w:rsid w:val="009A0DC4"/>
    <w:rsid w:val="009A2204"/>
    <w:rsid w:val="009A276F"/>
    <w:rsid w:val="009A33D4"/>
    <w:rsid w:val="009A3682"/>
    <w:rsid w:val="009A3D6F"/>
    <w:rsid w:val="009A4144"/>
    <w:rsid w:val="009A6E5A"/>
    <w:rsid w:val="009B1D75"/>
    <w:rsid w:val="009B1F66"/>
    <w:rsid w:val="009B2516"/>
    <w:rsid w:val="009B2518"/>
    <w:rsid w:val="009B2FAB"/>
    <w:rsid w:val="009B3BBF"/>
    <w:rsid w:val="009B5903"/>
    <w:rsid w:val="009B7018"/>
    <w:rsid w:val="009B787C"/>
    <w:rsid w:val="009C2B2F"/>
    <w:rsid w:val="009C7056"/>
    <w:rsid w:val="009C78F8"/>
    <w:rsid w:val="009D231C"/>
    <w:rsid w:val="009D29E1"/>
    <w:rsid w:val="009D5213"/>
    <w:rsid w:val="009D70DE"/>
    <w:rsid w:val="009D72EE"/>
    <w:rsid w:val="009D7F35"/>
    <w:rsid w:val="009E2B43"/>
    <w:rsid w:val="009E2FA4"/>
    <w:rsid w:val="009E4EB3"/>
    <w:rsid w:val="009E5249"/>
    <w:rsid w:val="009E5368"/>
    <w:rsid w:val="009F2329"/>
    <w:rsid w:val="009F3E48"/>
    <w:rsid w:val="009F7408"/>
    <w:rsid w:val="00A00067"/>
    <w:rsid w:val="00A006F1"/>
    <w:rsid w:val="00A00FE1"/>
    <w:rsid w:val="00A024B7"/>
    <w:rsid w:val="00A02F72"/>
    <w:rsid w:val="00A10EB5"/>
    <w:rsid w:val="00A11ED4"/>
    <w:rsid w:val="00A122D8"/>
    <w:rsid w:val="00A1330B"/>
    <w:rsid w:val="00A15C54"/>
    <w:rsid w:val="00A2052F"/>
    <w:rsid w:val="00A21A2C"/>
    <w:rsid w:val="00A26892"/>
    <w:rsid w:val="00A2717C"/>
    <w:rsid w:val="00A27625"/>
    <w:rsid w:val="00A32549"/>
    <w:rsid w:val="00A3561D"/>
    <w:rsid w:val="00A35DE2"/>
    <w:rsid w:val="00A36933"/>
    <w:rsid w:val="00A420F5"/>
    <w:rsid w:val="00A425FD"/>
    <w:rsid w:val="00A448A3"/>
    <w:rsid w:val="00A464FF"/>
    <w:rsid w:val="00A474CD"/>
    <w:rsid w:val="00A51229"/>
    <w:rsid w:val="00A60255"/>
    <w:rsid w:val="00A61A04"/>
    <w:rsid w:val="00A66E30"/>
    <w:rsid w:val="00A67BF3"/>
    <w:rsid w:val="00A761EC"/>
    <w:rsid w:val="00A8245B"/>
    <w:rsid w:val="00A82CEA"/>
    <w:rsid w:val="00A839EC"/>
    <w:rsid w:val="00A84E39"/>
    <w:rsid w:val="00A85CAD"/>
    <w:rsid w:val="00A86407"/>
    <w:rsid w:val="00A86C96"/>
    <w:rsid w:val="00A90483"/>
    <w:rsid w:val="00A91DC1"/>
    <w:rsid w:val="00A92066"/>
    <w:rsid w:val="00A92B02"/>
    <w:rsid w:val="00A9488C"/>
    <w:rsid w:val="00A97993"/>
    <w:rsid w:val="00AA127F"/>
    <w:rsid w:val="00AA1561"/>
    <w:rsid w:val="00AA5340"/>
    <w:rsid w:val="00AA59E5"/>
    <w:rsid w:val="00AA6D91"/>
    <w:rsid w:val="00AA779C"/>
    <w:rsid w:val="00AA7B25"/>
    <w:rsid w:val="00AB2D86"/>
    <w:rsid w:val="00AB3060"/>
    <w:rsid w:val="00AB4B94"/>
    <w:rsid w:val="00AB4E8D"/>
    <w:rsid w:val="00AB535F"/>
    <w:rsid w:val="00AC0F74"/>
    <w:rsid w:val="00AC2B64"/>
    <w:rsid w:val="00AC50B6"/>
    <w:rsid w:val="00AC61B1"/>
    <w:rsid w:val="00AD1922"/>
    <w:rsid w:val="00AD43A4"/>
    <w:rsid w:val="00AD448C"/>
    <w:rsid w:val="00AD4496"/>
    <w:rsid w:val="00AD7658"/>
    <w:rsid w:val="00AE1060"/>
    <w:rsid w:val="00AE1643"/>
    <w:rsid w:val="00AE410B"/>
    <w:rsid w:val="00AE5BEA"/>
    <w:rsid w:val="00AF0D96"/>
    <w:rsid w:val="00AF3C89"/>
    <w:rsid w:val="00AF4CEA"/>
    <w:rsid w:val="00AF4EE4"/>
    <w:rsid w:val="00B011E7"/>
    <w:rsid w:val="00B02301"/>
    <w:rsid w:val="00B0539A"/>
    <w:rsid w:val="00B07080"/>
    <w:rsid w:val="00B11727"/>
    <w:rsid w:val="00B1219E"/>
    <w:rsid w:val="00B13B56"/>
    <w:rsid w:val="00B14931"/>
    <w:rsid w:val="00B201DF"/>
    <w:rsid w:val="00B24C0B"/>
    <w:rsid w:val="00B25680"/>
    <w:rsid w:val="00B27B97"/>
    <w:rsid w:val="00B32F7A"/>
    <w:rsid w:val="00B331D8"/>
    <w:rsid w:val="00B34906"/>
    <w:rsid w:val="00B35D8C"/>
    <w:rsid w:val="00B36B80"/>
    <w:rsid w:val="00B36FDB"/>
    <w:rsid w:val="00B41CCA"/>
    <w:rsid w:val="00B43A7C"/>
    <w:rsid w:val="00B44EBF"/>
    <w:rsid w:val="00B46C30"/>
    <w:rsid w:val="00B53C31"/>
    <w:rsid w:val="00B53E72"/>
    <w:rsid w:val="00B6320B"/>
    <w:rsid w:val="00B63514"/>
    <w:rsid w:val="00B640F0"/>
    <w:rsid w:val="00B64C9D"/>
    <w:rsid w:val="00B658AD"/>
    <w:rsid w:val="00B667D9"/>
    <w:rsid w:val="00B6761C"/>
    <w:rsid w:val="00B6766F"/>
    <w:rsid w:val="00B677C0"/>
    <w:rsid w:val="00B67FF6"/>
    <w:rsid w:val="00B73D73"/>
    <w:rsid w:val="00B7583B"/>
    <w:rsid w:val="00B77175"/>
    <w:rsid w:val="00B8028E"/>
    <w:rsid w:val="00B80D29"/>
    <w:rsid w:val="00B81594"/>
    <w:rsid w:val="00B81C15"/>
    <w:rsid w:val="00B81CAF"/>
    <w:rsid w:val="00B86763"/>
    <w:rsid w:val="00B86938"/>
    <w:rsid w:val="00B91E29"/>
    <w:rsid w:val="00B92FB0"/>
    <w:rsid w:val="00B93A2F"/>
    <w:rsid w:val="00B93BA0"/>
    <w:rsid w:val="00B952B7"/>
    <w:rsid w:val="00B96031"/>
    <w:rsid w:val="00B960B7"/>
    <w:rsid w:val="00B9779A"/>
    <w:rsid w:val="00BA0426"/>
    <w:rsid w:val="00BA098E"/>
    <w:rsid w:val="00BA2202"/>
    <w:rsid w:val="00BA2AA6"/>
    <w:rsid w:val="00BA5139"/>
    <w:rsid w:val="00BA743D"/>
    <w:rsid w:val="00BB131B"/>
    <w:rsid w:val="00BB169E"/>
    <w:rsid w:val="00BB47BC"/>
    <w:rsid w:val="00BB7989"/>
    <w:rsid w:val="00BB7998"/>
    <w:rsid w:val="00BB7CE3"/>
    <w:rsid w:val="00BC083A"/>
    <w:rsid w:val="00BC1DB5"/>
    <w:rsid w:val="00BC237C"/>
    <w:rsid w:val="00BC2BF1"/>
    <w:rsid w:val="00BC3089"/>
    <w:rsid w:val="00BC4523"/>
    <w:rsid w:val="00BC727C"/>
    <w:rsid w:val="00BD58A5"/>
    <w:rsid w:val="00BD593E"/>
    <w:rsid w:val="00BD5B0E"/>
    <w:rsid w:val="00BD654F"/>
    <w:rsid w:val="00BD7ED7"/>
    <w:rsid w:val="00BE3AE1"/>
    <w:rsid w:val="00BE5976"/>
    <w:rsid w:val="00BF05D1"/>
    <w:rsid w:val="00BF14DF"/>
    <w:rsid w:val="00BF182F"/>
    <w:rsid w:val="00BF4C0F"/>
    <w:rsid w:val="00C0283B"/>
    <w:rsid w:val="00C03470"/>
    <w:rsid w:val="00C05A84"/>
    <w:rsid w:val="00C05D24"/>
    <w:rsid w:val="00C11159"/>
    <w:rsid w:val="00C1204B"/>
    <w:rsid w:val="00C144B0"/>
    <w:rsid w:val="00C145C8"/>
    <w:rsid w:val="00C1531A"/>
    <w:rsid w:val="00C16611"/>
    <w:rsid w:val="00C20F12"/>
    <w:rsid w:val="00C21697"/>
    <w:rsid w:val="00C22869"/>
    <w:rsid w:val="00C25485"/>
    <w:rsid w:val="00C258DE"/>
    <w:rsid w:val="00C269B7"/>
    <w:rsid w:val="00C300E7"/>
    <w:rsid w:val="00C306E2"/>
    <w:rsid w:val="00C313CA"/>
    <w:rsid w:val="00C34F73"/>
    <w:rsid w:val="00C36C61"/>
    <w:rsid w:val="00C37EAF"/>
    <w:rsid w:val="00C40E37"/>
    <w:rsid w:val="00C41900"/>
    <w:rsid w:val="00C42B7C"/>
    <w:rsid w:val="00C43E05"/>
    <w:rsid w:val="00C46278"/>
    <w:rsid w:val="00C46C83"/>
    <w:rsid w:val="00C50D92"/>
    <w:rsid w:val="00C51BDD"/>
    <w:rsid w:val="00C53572"/>
    <w:rsid w:val="00C56A2B"/>
    <w:rsid w:val="00C6038E"/>
    <w:rsid w:val="00C60822"/>
    <w:rsid w:val="00C609C1"/>
    <w:rsid w:val="00C66118"/>
    <w:rsid w:val="00C705C7"/>
    <w:rsid w:val="00C7066D"/>
    <w:rsid w:val="00C70FEC"/>
    <w:rsid w:val="00C713C6"/>
    <w:rsid w:val="00C74179"/>
    <w:rsid w:val="00C753FA"/>
    <w:rsid w:val="00C75754"/>
    <w:rsid w:val="00C75951"/>
    <w:rsid w:val="00C76923"/>
    <w:rsid w:val="00C80B07"/>
    <w:rsid w:val="00C811C1"/>
    <w:rsid w:val="00C81C46"/>
    <w:rsid w:val="00C83581"/>
    <w:rsid w:val="00C86959"/>
    <w:rsid w:val="00C87C28"/>
    <w:rsid w:val="00C87F39"/>
    <w:rsid w:val="00C91747"/>
    <w:rsid w:val="00C930E6"/>
    <w:rsid w:val="00C93EB7"/>
    <w:rsid w:val="00C93EBC"/>
    <w:rsid w:val="00C944A7"/>
    <w:rsid w:val="00C94761"/>
    <w:rsid w:val="00C95BE2"/>
    <w:rsid w:val="00C9602D"/>
    <w:rsid w:val="00C971A8"/>
    <w:rsid w:val="00CA163F"/>
    <w:rsid w:val="00CA1D61"/>
    <w:rsid w:val="00CA465A"/>
    <w:rsid w:val="00CA6398"/>
    <w:rsid w:val="00CA6674"/>
    <w:rsid w:val="00CB4FE5"/>
    <w:rsid w:val="00CB5F00"/>
    <w:rsid w:val="00CB7CA8"/>
    <w:rsid w:val="00CC131D"/>
    <w:rsid w:val="00CC389C"/>
    <w:rsid w:val="00CC57CC"/>
    <w:rsid w:val="00CD1C32"/>
    <w:rsid w:val="00CD4F6B"/>
    <w:rsid w:val="00CD58D3"/>
    <w:rsid w:val="00CD6031"/>
    <w:rsid w:val="00CE024D"/>
    <w:rsid w:val="00CE0A59"/>
    <w:rsid w:val="00CE1527"/>
    <w:rsid w:val="00CE4FEC"/>
    <w:rsid w:val="00CE5D9C"/>
    <w:rsid w:val="00CF006F"/>
    <w:rsid w:val="00CF0BE6"/>
    <w:rsid w:val="00CF18FB"/>
    <w:rsid w:val="00CF5287"/>
    <w:rsid w:val="00CF5F5E"/>
    <w:rsid w:val="00CF7ECE"/>
    <w:rsid w:val="00D01B5F"/>
    <w:rsid w:val="00D01D52"/>
    <w:rsid w:val="00D039FF"/>
    <w:rsid w:val="00D0654E"/>
    <w:rsid w:val="00D07067"/>
    <w:rsid w:val="00D13ED5"/>
    <w:rsid w:val="00D15B25"/>
    <w:rsid w:val="00D16DBD"/>
    <w:rsid w:val="00D21680"/>
    <w:rsid w:val="00D22683"/>
    <w:rsid w:val="00D24902"/>
    <w:rsid w:val="00D24D3A"/>
    <w:rsid w:val="00D24FCA"/>
    <w:rsid w:val="00D27322"/>
    <w:rsid w:val="00D27ED1"/>
    <w:rsid w:val="00D3087E"/>
    <w:rsid w:val="00D328E5"/>
    <w:rsid w:val="00D32F0F"/>
    <w:rsid w:val="00D33D70"/>
    <w:rsid w:val="00D36C57"/>
    <w:rsid w:val="00D37540"/>
    <w:rsid w:val="00D41240"/>
    <w:rsid w:val="00D432CD"/>
    <w:rsid w:val="00D4538E"/>
    <w:rsid w:val="00D4681F"/>
    <w:rsid w:val="00D47B37"/>
    <w:rsid w:val="00D47CF5"/>
    <w:rsid w:val="00D504B6"/>
    <w:rsid w:val="00D52DC1"/>
    <w:rsid w:val="00D55AD5"/>
    <w:rsid w:val="00D57B8C"/>
    <w:rsid w:val="00D6165A"/>
    <w:rsid w:val="00D61B0E"/>
    <w:rsid w:val="00D628E5"/>
    <w:rsid w:val="00D63821"/>
    <w:rsid w:val="00D64990"/>
    <w:rsid w:val="00D64F89"/>
    <w:rsid w:val="00D67331"/>
    <w:rsid w:val="00D7292F"/>
    <w:rsid w:val="00D74920"/>
    <w:rsid w:val="00D777B2"/>
    <w:rsid w:val="00D8031D"/>
    <w:rsid w:val="00D81EAC"/>
    <w:rsid w:val="00D84B1E"/>
    <w:rsid w:val="00D86501"/>
    <w:rsid w:val="00D8734F"/>
    <w:rsid w:val="00D8739A"/>
    <w:rsid w:val="00D87C02"/>
    <w:rsid w:val="00D90202"/>
    <w:rsid w:val="00D90312"/>
    <w:rsid w:val="00D918C3"/>
    <w:rsid w:val="00D94AC0"/>
    <w:rsid w:val="00D9654B"/>
    <w:rsid w:val="00D9692A"/>
    <w:rsid w:val="00D96D8C"/>
    <w:rsid w:val="00D9785B"/>
    <w:rsid w:val="00DA02B0"/>
    <w:rsid w:val="00DA1F0C"/>
    <w:rsid w:val="00DA2994"/>
    <w:rsid w:val="00DA2A94"/>
    <w:rsid w:val="00DA5C5C"/>
    <w:rsid w:val="00DA655A"/>
    <w:rsid w:val="00DA6602"/>
    <w:rsid w:val="00DA78ED"/>
    <w:rsid w:val="00DB056C"/>
    <w:rsid w:val="00DB14A6"/>
    <w:rsid w:val="00DB2922"/>
    <w:rsid w:val="00DB2E73"/>
    <w:rsid w:val="00DB56A1"/>
    <w:rsid w:val="00DB715F"/>
    <w:rsid w:val="00DC00F0"/>
    <w:rsid w:val="00DC29A9"/>
    <w:rsid w:val="00DC4C42"/>
    <w:rsid w:val="00DC4D1D"/>
    <w:rsid w:val="00DC7032"/>
    <w:rsid w:val="00DC78EF"/>
    <w:rsid w:val="00DD2162"/>
    <w:rsid w:val="00DD39DC"/>
    <w:rsid w:val="00DD539B"/>
    <w:rsid w:val="00DE0C66"/>
    <w:rsid w:val="00DE2F03"/>
    <w:rsid w:val="00DE674C"/>
    <w:rsid w:val="00DF2326"/>
    <w:rsid w:val="00DF2A07"/>
    <w:rsid w:val="00DF58F6"/>
    <w:rsid w:val="00DF6525"/>
    <w:rsid w:val="00E025A8"/>
    <w:rsid w:val="00E02818"/>
    <w:rsid w:val="00E02C38"/>
    <w:rsid w:val="00E062FD"/>
    <w:rsid w:val="00E065CC"/>
    <w:rsid w:val="00E06AB7"/>
    <w:rsid w:val="00E0702D"/>
    <w:rsid w:val="00E1124E"/>
    <w:rsid w:val="00E11787"/>
    <w:rsid w:val="00E11896"/>
    <w:rsid w:val="00E1372B"/>
    <w:rsid w:val="00E14459"/>
    <w:rsid w:val="00E15C82"/>
    <w:rsid w:val="00E16E1B"/>
    <w:rsid w:val="00E20862"/>
    <w:rsid w:val="00E20BBC"/>
    <w:rsid w:val="00E22311"/>
    <w:rsid w:val="00E22498"/>
    <w:rsid w:val="00E24CEB"/>
    <w:rsid w:val="00E25EF4"/>
    <w:rsid w:val="00E3060C"/>
    <w:rsid w:val="00E3061F"/>
    <w:rsid w:val="00E320D9"/>
    <w:rsid w:val="00E329DD"/>
    <w:rsid w:val="00E32C8C"/>
    <w:rsid w:val="00E3403E"/>
    <w:rsid w:val="00E35D7A"/>
    <w:rsid w:val="00E36614"/>
    <w:rsid w:val="00E40202"/>
    <w:rsid w:val="00E418F3"/>
    <w:rsid w:val="00E41A99"/>
    <w:rsid w:val="00E4495A"/>
    <w:rsid w:val="00E45160"/>
    <w:rsid w:val="00E470EC"/>
    <w:rsid w:val="00E50819"/>
    <w:rsid w:val="00E51CBC"/>
    <w:rsid w:val="00E52CA4"/>
    <w:rsid w:val="00E568EB"/>
    <w:rsid w:val="00E56E37"/>
    <w:rsid w:val="00E56F9E"/>
    <w:rsid w:val="00E579DB"/>
    <w:rsid w:val="00E60550"/>
    <w:rsid w:val="00E62CF0"/>
    <w:rsid w:val="00E63B60"/>
    <w:rsid w:val="00E64CCD"/>
    <w:rsid w:val="00E678CC"/>
    <w:rsid w:val="00E70967"/>
    <w:rsid w:val="00E70E5B"/>
    <w:rsid w:val="00E72077"/>
    <w:rsid w:val="00E750D9"/>
    <w:rsid w:val="00E762B7"/>
    <w:rsid w:val="00E84698"/>
    <w:rsid w:val="00E856ED"/>
    <w:rsid w:val="00EA161C"/>
    <w:rsid w:val="00EA3710"/>
    <w:rsid w:val="00EA3D60"/>
    <w:rsid w:val="00EA4790"/>
    <w:rsid w:val="00EA5C8B"/>
    <w:rsid w:val="00EA71BE"/>
    <w:rsid w:val="00EB268D"/>
    <w:rsid w:val="00EB38F0"/>
    <w:rsid w:val="00EB41A9"/>
    <w:rsid w:val="00EB7D2D"/>
    <w:rsid w:val="00EC0C4B"/>
    <w:rsid w:val="00EC71AD"/>
    <w:rsid w:val="00EC72AA"/>
    <w:rsid w:val="00ED0DE5"/>
    <w:rsid w:val="00ED1E74"/>
    <w:rsid w:val="00ED4202"/>
    <w:rsid w:val="00ED5FD5"/>
    <w:rsid w:val="00ED75A9"/>
    <w:rsid w:val="00EE12D3"/>
    <w:rsid w:val="00EE13CB"/>
    <w:rsid w:val="00EE356B"/>
    <w:rsid w:val="00EE3D1A"/>
    <w:rsid w:val="00EE5D91"/>
    <w:rsid w:val="00EE65A3"/>
    <w:rsid w:val="00EE6974"/>
    <w:rsid w:val="00EE7509"/>
    <w:rsid w:val="00EF0B91"/>
    <w:rsid w:val="00EF5DDF"/>
    <w:rsid w:val="00F00849"/>
    <w:rsid w:val="00F06463"/>
    <w:rsid w:val="00F1178F"/>
    <w:rsid w:val="00F1374A"/>
    <w:rsid w:val="00F1579F"/>
    <w:rsid w:val="00F15DC4"/>
    <w:rsid w:val="00F161FA"/>
    <w:rsid w:val="00F2015A"/>
    <w:rsid w:val="00F20D6F"/>
    <w:rsid w:val="00F20FBE"/>
    <w:rsid w:val="00F30688"/>
    <w:rsid w:val="00F30F0E"/>
    <w:rsid w:val="00F30FB9"/>
    <w:rsid w:val="00F32CCC"/>
    <w:rsid w:val="00F32E97"/>
    <w:rsid w:val="00F336EB"/>
    <w:rsid w:val="00F34CBF"/>
    <w:rsid w:val="00F364A2"/>
    <w:rsid w:val="00F40710"/>
    <w:rsid w:val="00F4391B"/>
    <w:rsid w:val="00F44E26"/>
    <w:rsid w:val="00F44E98"/>
    <w:rsid w:val="00F45981"/>
    <w:rsid w:val="00F50C02"/>
    <w:rsid w:val="00F53827"/>
    <w:rsid w:val="00F564FA"/>
    <w:rsid w:val="00F56DC7"/>
    <w:rsid w:val="00F56EA0"/>
    <w:rsid w:val="00F5701A"/>
    <w:rsid w:val="00F60660"/>
    <w:rsid w:val="00F6621F"/>
    <w:rsid w:val="00F66E38"/>
    <w:rsid w:val="00F71293"/>
    <w:rsid w:val="00F72D28"/>
    <w:rsid w:val="00F733F7"/>
    <w:rsid w:val="00F77315"/>
    <w:rsid w:val="00F82B3D"/>
    <w:rsid w:val="00F868DC"/>
    <w:rsid w:val="00F86CCE"/>
    <w:rsid w:val="00F90861"/>
    <w:rsid w:val="00F942F3"/>
    <w:rsid w:val="00F946D2"/>
    <w:rsid w:val="00F94B3C"/>
    <w:rsid w:val="00FA0B52"/>
    <w:rsid w:val="00FA2A53"/>
    <w:rsid w:val="00FA46EE"/>
    <w:rsid w:val="00FA7ED6"/>
    <w:rsid w:val="00FB319D"/>
    <w:rsid w:val="00FB3BDA"/>
    <w:rsid w:val="00FB57B9"/>
    <w:rsid w:val="00FB6F99"/>
    <w:rsid w:val="00FC0068"/>
    <w:rsid w:val="00FC2556"/>
    <w:rsid w:val="00FC2E31"/>
    <w:rsid w:val="00FC3003"/>
    <w:rsid w:val="00FC31FD"/>
    <w:rsid w:val="00FC44EB"/>
    <w:rsid w:val="00FC608D"/>
    <w:rsid w:val="00FD19F0"/>
    <w:rsid w:val="00FD2B07"/>
    <w:rsid w:val="00FD4720"/>
    <w:rsid w:val="00FD77ED"/>
    <w:rsid w:val="00FD78C2"/>
    <w:rsid w:val="00FD7AA0"/>
    <w:rsid w:val="00FE0A4A"/>
    <w:rsid w:val="00FE12B6"/>
    <w:rsid w:val="00FE1C0B"/>
    <w:rsid w:val="00FE2EB8"/>
    <w:rsid w:val="00FE4173"/>
    <w:rsid w:val="00FE5B6A"/>
    <w:rsid w:val="00FE77B7"/>
    <w:rsid w:val="00FE79AB"/>
    <w:rsid w:val="00FF32D8"/>
    <w:rsid w:val="00FF4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9E06F8"/>
  <w15:chartTrackingRefBased/>
  <w15:docId w15:val="{0E25C59E-0C01-49B5-809A-ACBF33438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HAnsi"/>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5B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5B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5B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5B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5B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5B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5B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5B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5B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5B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5B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5B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5B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5B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5B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5B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5B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5B25"/>
    <w:rPr>
      <w:rFonts w:eastAsiaTheme="majorEastAsia" w:cstheme="majorBidi"/>
      <w:color w:val="272727" w:themeColor="text1" w:themeTint="D8"/>
    </w:rPr>
  </w:style>
  <w:style w:type="paragraph" w:styleId="Title">
    <w:name w:val="Title"/>
    <w:basedOn w:val="Normal"/>
    <w:next w:val="Normal"/>
    <w:link w:val="TitleChar"/>
    <w:uiPriority w:val="10"/>
    <w:qFormat/>
    <w:rsid w:val="00D15B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5B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5B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5B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5B25"/>
    <w:pPr>
      <w:spacing w:before="160"/>
      <w:jc w:val="center"/>
    </w:pPr>
    <w:rPr>
      <w:i/>
      <w:iCs/>
      <w:color w:val="404040" w:themeColor="text1" w:themeTint="BF"/>
    </w:rPr>
  </w:style>
  <w:style w:type="character" w:customStyle="1" w:styleId="QuoteChar">
    <w:name w:val="Quote Char"/>
    <w:basedOn w:val="DefaultParagraphFont"/>
    <w:link w:val="Quote"/>
    <w:uiPriority w:val="29"/>
    <w:rsid w:val="00D15B25"/>
    <w:rPr>
      <w:i/>
      <w:iCs/>
      <w:color w:val="404040" w:themeColor="text1" w:themeTint="BF"/>
    </w:rPr>
  </w:style>
  <w:style w:type="paragraph" w:styleId="ListParagraph">
    <w:name w:val="List Paragraph"/>
    <w:basedOn w:val="Normal"/>
    <w:uiPriority w:val="34"/>
    <w:qFormat/>
    <w:rsid w:val="00D15B25"/>
    <w:pPr>
      <w:ind w:left="720"/>
      <w:contextualSpacing/>
    </w:pPr>
  </w:style>
  <w:style w:type="character" w:styleId="IntenseEmphasis">
    <w:name w:val="Intense Emphasis"/>
    <w:basedOn w:val="DefaultParagraphFont"/>
    <w:uiPriority w:val="21"/>
    <w:qFormat/>
    <w:rsid w:val="00D15B25"/>
    <w:rPr>
      <w:i/>
      <w:iCs/>
      <w:color w:val="0F4761" w:themeColor="accent1" w:themeShade="BF"/>
    </w:rPr>
  </w:style>
  <w:style w:type="paragraph" w:styleId="IntenseQuote">
    <w:name w:val="Intense Quote"/>
    <w:basedOn w:val="Normal"/>
    <w:next w:val="Normal"/>
    <w:link w:val="IntenseQuoteChar"/>
    <w:uiPriority w:val="30"/>
    <w:qFormat/>
    <w:rsid w:val="00D15B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5B25"/>
    <w:rPr>
      <w:i/>
      <w:iCs/>
      <w:color w:val="0F4761" w:themeColor="accent1" w:themeShade="BF"/>
    </w:rPr>
  </w:style>
  <w:style w:type="character" w:styleId="IntenseReference">
    <w:name w:val="Intense Reference"/>
    <w:basedOn w:val="DefaultParagraphFont"/>
    <w:uiPriority w:val="32"/>
    <w:qFormat/>
    <w:rsid w:val="00D15B25"/>
    <w:rPr>
      <w:b/>
      <w:bCs/>
      <w:smallCaps/>
      <w:color w:val="0F4761" w:themeColor="accent1" w:themeShade="BF"/>
      <w:spacing w:val="5"/>
    </w:rPr>
  </w:style>
  <w:style w:type="paragraph" w:styleId="BodyText">
    <w:name w:val="Body Text"/>
    <w:basedOn w:val="Normal"/>
    <w:link w:val="BodyTextChar"/>
    <w:unhideWhenUsed/>
    <w:rsid w:val="00154892"/>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rsid w:val="00154892"/>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3200E1"/>
    <w:rPr>
      <w:color w:val="467886" w:themeColor="hyperlink"/>
      <w:u w:val="single"/>
    </w:rPr>
  </w:style>
  <w:style w:type="character" w:styleId="UnresolvedMention">
    <w:name w:val="Unresolved Mention"/>
    <w:basedOn w:val="DefaultParagraphFont"/>
    <w:uiPriority w:val="99"/>
    <w:semiHidden/>
    <w:unhideWhenUsed/>
    <w:rsid w:val="003200E1"/>
    <w:rPr>
      <w:color w:val="605E5C"/>
      <w:shd w:val="clear" w:color="auto" w:fill="E1DFDD"/>
    </w:rPr>
  </w:style>
  <w:style w:type="paragraph" w:styleId="NormalWeb">
    <w:name w:val="Normal (Web)"/>
    <w:basedOn w:val="Normal"/>
    <w:uiPriority w:val="99"/>
    <w:semiHidden/>
    <w:unhideWhenUsed/>
    <w:rsid w:val="00865E44"/>
    <w:rPr>
      <w:rFonts w:ascii="Times New Roman" w:hAnsi="Times New Roman" w:cs="Times New Roman"/>
    </w:rPr>
  </w:style>
  <w:style w:type="paragraph" w:styleId="Header">
    <w:name w:val="header"/>
    <w:basedOn w:val="Normal"/>
    <w:link w:val="HeaderChar"/>
    <w:uiPriority w:val="99"/>
    <w:unhideWhenUsed/>
    <w:rsid w:val="00571C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C53"/>
  </w:style>
  <w:style w:type="paragraph" w:styleId="Footer">
    <w:name w:val="footer"/>
    <w:basedOn w:val="Normal"/>
    <w:link w:val="FooterChar"/>
    <w:uiPriority w:val="99"/>
    <w:unhideWhenUsed/>
    <w:rsid w:val="00571C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C53"/>
  </w:style>
  <w:style w:type="paragraph" w:styleId="TOCHeading">
    <w:name w:val="TOC Heading"/>
    <w:basedOn w:val="Heading1"/>
    <w:next w:val="Normal"/>
    <w:uiPriority w:val="39"/>
    <w:unhideWhenUsed/>
    <w:qFormat/>
    <w:rsid w:val="00B81C1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81C1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07/s11135-005-8081-8"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prints.glos.ac.uk/6781/"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4703d605af49039d2e2ffbc2b450d571">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ea28bd1aa981eb61462d85a85769ef9"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97D9A07-DB63-4097-824A-FBC1CDD64543}">
  <ds:schemaRefs>
    <ds:schemaRef ds:uri="http://schemas.openxmlformats.org/officeDocument/2006/bibliography"/>
  </ds:schemaRefs>
</ds:datastoreItem>
</file>

<file path=customXml/itemProps2.xml><?xml version="1.0" encoding="utf-8"?>
<ds:datastoreItem xmlns:ds="http://schemas.openxmlformats.org/officeDocument/2006/customXml" ds:itemID="{5082E880-E39F-44CD-9300-58780361D0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3DB941-97DC-477C-927E-83A7178F372B}">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BEBF4FDB-30B9-4861-89F1-07E8CEE1095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6442</Words>
  <Characters>36721</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Casey</dc:creator>
  <cp:keywords/>
  <dc:description/>
  <cp:lastModifiedBy>Libby Eve Casey (2200299)</cp:lastModifiedBy>
  <cp:revision>2</cp:revision>
  <dcterms:created xsi:type="dcterms:W3CDTF">2026-04-26T13:37:00Z</dcterms:created>
  <dcterms:modified xsi:type="dcterms:W3CDTF">2026-04-26T13:37:00Z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