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29273880"/>
        <w:docPartObj>
          <w:docPartGallery w:val="Cover Pages"/>
          <w:docPartUnique/>
        </w:docPartObj>
      </w:sdtPr>
      <w:sdtContent>
        <w:p w14:paraId="3ABCF022" w14:textId="1443C479" w:rsidR="005B32C0" w:rsidRDefault="005B32C0">
          <w:r>
            <w:rPr>
              <w:noProof/>
            </w:rPr>
            <mc:AlternateContent>
              <mc:Choice Requires="wpg">
                <w:drawing>
                  <wp:anchor distT="0" distB="0" distL="114300" distR="114300" simplePos="0" relativeHeight="251658243" behindDoc="0" locked="0" layoutInCell="1" allowOverlap="1" wp14:anchorId="7D5516F3" wp14:editId="445E56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6A7853"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23786BF" wp14:editId="57393024">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DE054B" w14:textId="53BCC698" w:rsidR="005B32C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B32C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3786BF"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8DE054B" w14:textId="53BCC698" w:rsidR="005B32C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B32C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7F8BE81" wp14:editId="2CB12425">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052218" w14:textId="5F71A232" w:rsidR="005B32C0" w:rsidRDefault="00E83EA4">
                                <w:pPr>
                                  <w:pStyle w:val="NoSpacing"/>
                                  <w:jc w:val="right"/>
                                  <w:rPr>
                                    <w:color w:val="595959" w:themeColor="text1" w:themeTint="A6"/>
                                    <w:sz w:val="20"/>
                                    <w:szCs w:val="20"/>
                                  </w:rPr>
                                </w:pPr>
                                <w:r>
                                  <w:rPr>
                                    <w:color w:val="4472C4" w:themeColor="accent1"/>
                                    <w:sz w:val="28"/>
                                    <w:szCs w:val="28"/>
                                  </w:rPr>
                                  <w:t>Sophie Bailey 1810168</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5B32C0">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F8BE81"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A052218" w14:textId="5F71A232" w:rsidR="005B32C0" w:rsidRDefault="00E83EA4">
                          <w:pPr>
                            <w:pStyle w:val="NoSpacing"/>
                            <w:jc w:val="right"/>
                            <w:rPr>
                              <w:color w:val="595959" w:themeColor="text1" w:themeTint="A6"/>
                              <w:sz w:val="20"/>
                              <w:szCs w:val="20"/>
                            </w:rPr>
                          </w:pPr>
                          <w:r>
                            <w:rPr>
                              <w:color w:val="4472C4" w:themeColor="accent1"/>
                              <w:sz w:val="28"/>
                              <w:szCs w:val="28"/>
                            </w:rPr>
                            <w:t>Sophie Bailey 1810168</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5B32C0">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2C46BA5" wp14:editId="6462685D">
                    <wp:simplePos x="0" y="0"/>
                    <wp:positionH relativeFrom="page">
                      <wp:align>center</wp:align>
                    </wp:positionH>
                    <mc:AlternateContent>
                      <mc:Choice Requires="wp14">
                        <wp:positionV relativeFrom="page">
                          <wp14:pctPosVOffset>30000</wp14:pctPosVOffset>
                        </wp:positionV>
                      </mc:Choice>
                      <mc:Fallback>
                        <wp:positionV relativeFrom="page">
                          <wp:posOffset>3206750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2C9282" w14:textId="30406860" w:rsidR="005B32C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5D31">
                                      <w:rPr>
                                        <w:caps/>
                                        <w:color w:val="4472C4" w:themeColor="accent1"/>
                                        <w:sz w:val="64"/>
                                        <w:szCs w:val="64"/>
                                      </w:rPr>
                                      <w:t xml:space="preserve">PGCE (PCET) </w:t>
                                    </w:r>
                                    <w:r w:rsidR="00615D31">
                                      <w:rPr>
                                        <w:caps/>
                                        <w:color w:val="4472C4" w:themeColor="accent1"/>
                                        <w:sz w:val="64"/>
                                        <w:szCs w:val="64"/>
                                      </w:rPr>
                                      <w:br/>
                                      <w:t>Profgce/PCE (PCET)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FD8581" w14:textId="7BCE288A" w:rsidR="005B32C0" w:rsidRDefault="0075577D">
                                    <w:pPr>
                                      <w:jc w:val="right"/>
                                      <w:rPr>
                                        <w:smallCaps/>
                                        <w:color w:val="404040" w:themeColor="text1" w:themeTint="BF"/>
                                        <w:sz w:val="36"/>
                                        <w:szCs w:val="36"/>
                                      </w:rPr>
                                    </w:pPr>
                                    <w:r>
                                      <w:rPr>
                                        <w:color w:val="404040" w:themeColor="text1" w:themeTint="BF"/>
                                        <w:sz w:val="36"/>
                                        <w:szCs w:val="36"/>
                                      </w:rPr>
                                      <w:t>ACTION RESEARCH PROJECT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C46BA5"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52C9282" w14:textId="30406860" w:rsidR="005B32C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5D31">
                                <w:rPr>
                                  <w:caps/>
                                  <w:color w:val="4472C4" w:themeColor="accent1"/>
                                  <w:sz w:val="64"/>
                                  <w:szCs w:val="64"/>
                                </w:rPr>
                                <w:t xml:space="preserve">PGCE (PCET) </w:t>
                              </w:r>
                              <w:r w:rsidR="00615D31">
                                <w:rPr>
                                  <w:caps/>
                                  <w:color w:val="4472C4" w:themeColor="accent1"/>
                                  <w:sz w:val="64"/>
                                  <w:szCs w:val="64"/>
                                </w:rPr>
                                <w:br/>
                                <w:t>Profgce/PCE (PCET)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FD8581" w14:textId="7BCE288A" w:rsidR="005B32C0" w:rsidRDefault="0075577D">
                              <w:pPr>
                                <w:jc w:val="right"/>
                                <w:rPr>
                                  <w:smallCaps/>
                                  <w:color w:val="404040" w:themeColor="text1" w:themeTint="BF"/>
                                  <w:sz w:val="36"/>
                                  <w:szCs w:val="36"/>
                                </w:rPr>
                              </w:pPr>
                              <w:r>
                                <w:rPr>
                                  <w:color w:val="404040" w:themeColor="text1" w:themeTint="BF"/>
                                  <w:sz w:val="36"/>
                                  <w:szCs w:val="36"/>
                                </w:rPr>
                                <w:t>ACTION RESEARCH PROJECT</w:t>
                              </w:r>
                            </w:p>
                          </w:sdtContent>
                        </w:sdt>
                      </w:txbxContent>
                    </v:textbox>
                    <w10:wrap type="square" anchorx="page" anchory="page"/>
                  </v:shape>
                </w:pict>
              </mc:Fallback>
            </mc:AlternateContent>
          </w:r>
        </w:p>
        <w:p w14:paraId="5E5787A5" w14:textId="00DAD51B" w:rsidR="005B32C0" w:rsidRDefault="005B32C0">
          <w:r>
            <w:br w:type="page"/>
          </w:r>
        </w:p>
      </w:sdtContent>
    </w:sdt>
    <w:p w14:paraId="4D21D0EB" w14:textId="0C1B9535" w:rsidR="00BF329F" w:rsidRDefault="00BF329F"/>
    <w:p w14:paraId="1937B985" w14:textId="19FCEB19" w:rsidR="005B32C0" w:rsidRDefault="005B32C0"/>
    <w:p w14:paraId="16D3CFFD" w14:textId="689B4085" w:rsidR="00BB0E31" w:rsidRDefault="0041051A" w:rsidP="00227C3B">
      <w:pPr>
        <w:pStyle w:val="Heading1"/>
      </w:pPr>
      <w:r>
        <w:t>C</w:t>
      </w:r>
      <w:r w:rsidR="00BB0E31">
        <w:t>ontents</w:t>
      </w:r>
    </w:p>
    <w:p w14:paraId="322F7D0E" w14:textId="62DD56FA" w:rsidR="00BB0E31" w:rsidRDefault="00BB0E31" w:rsidP="00BB0E31"/>
    <w:p w14:paraId="3068D3C3" w14:textId="2B360C4F" w:rsidR="00B9063E" w:rsidRDefault="00B9063E" w:rsidP="00020CAE"/>
    <w:p w14:paraId="75909F68" w14:textId="484047AD" w:rsidR="00B9063E" w:rsidRDefault="00B9063E" w:rsidP="00227C3B"/>
    <w:p w14:paraId="650A8B17" w14:textId="77777777" w:rsidR="00B9063E" w:rsidRPr="00227C3B" w:rsidRDefault="00B9063E" w:rsidP="00227C3B"/>
    <w:p w14:paraId="46496F85" w14:textId="0A481F35" w:rsidR="005B32C0" w:rsidRDefault="005B32C0"/>
    <w:p w14:paraId="0BE1D839" w14:textId="7230BD60" w:rsidR="005B32C0" w:rsidRDefault="005B32C0"/>
    <w:p w14:paraId="52DDEE54" w14:textId="270D006E" w:rsidR="005B32C0" w:rsidRDefault="005B32C0"/>
    <w:p w14:paraId="38D655BA" w14:textId="11A38B47" w:rsidR="005B32C0" w:rsidRDefault="005B32C0"/>
    <w:p w14:paraId="4A22D9F1" w14:textId="360FC067" w:rsidR="005B32C0" w:rsidRDefault="005B32C0"/>
    <w:p w14:paraId="1554FEB2" w14:textId="78BBACE1" w:rsidR="005B32C0" w:rsidRDefault="005B32C0"/>
    <w:p w14:paraId="52E4391C" w14:textId="186FCD4D" w:rsidR="005B32C0" w:rsidRDefault="005B32C0"/>
    <w:p w14:paraId="1423CC8E" w14:textId="3C6B254C" w:rsidR="005B32C0" w:rsidRDefault="005B32C0"/>
    <w:p w14:paraId="7582B9E9" w14:textId="7DBB5D1E" w:rsidR="0041051A" w:rsidRDefault="0041051A">
      <w:r>
        <w:br w:type="page"/>
      </w:r>
    </w:p>
    <w:p w14:paraId="03F1A08F" w14:textId="53830A4A" w:rsidR="0041051A" w:rsidRDefault="0041051A" w:rsidP="0041051A"/>
    <w:p w14:paraId="67A94B3D" w14:textId="77777777" w:rsidR="0041051A" w:rsidRPr="00536FF1" w:rsidRDefault="0041051A" w:rsidP="0041051A">
      <w:pPr>
        <w:jc w:val="right"/>
      </w:pPr>
      <w:r w:rsidRPr="00536FF1">
        <w:rPr>
          <w:noProof/>
        </w:rPr>
        <w:drawing>
          <wp:inline distT="0" distB="0" distL="0" distR="0" wp14:anchorId="791B9C16" wp14:editId="333FED68">
            <wp:extent cx="2257425" cy="897182"/>
            <wp:effectExtent l="0" t="0" r="0"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73813" cy="903695"/>
                    </a:xfrm>
                    <a:prstGeom prst="rect">
                      <a:avLst/>
                    </a:prstGeom>
                    <a:noFill/>
                    <a:ln>
                      <a:noFill/>
                    </a:ln>
                  </pic:spPr>
                </pic:pic>
              </a:graphicData>
            </a:graphic>
          </wp:inline>
        </w:drawing>
      </w:r>
      <w:r w:rsidRPr="00536FF1">
        <w:t> </w:t>
      </w:r>
    </w:p>
    <w:p w14:paraId="64B85353" w14:textId="05824F76" w:rsidR="0041051A" w:rsidRPr="00536FF1" w:rsidRDefault="0041051A" w:rsidP="0041051A">
      <w:r w:rsidRPr="00536FF1">
        <w:rPr>
          <w:b/>
          <w:bCs/>
        </w:rPr>
        <w:t xml:space="preserve">MODULE CODE: </w:t>
      </w:r>
      <w:r w:rsidR="00E83EA4">
        <w:rPr>
          <w:b/>
          <w:bCs/>
        </w:rPr>
        <w:t>ECPT6009</w:t>
      </w:r>
    </w:p>
    <w:p w14:paraId="0E619423" w14:textId="77777777" w:rsidR="0041051A" w:rsidRPr="00536FF1" w:rsidRDefault="0041051A" w:rsidP="0041051A">
      <w:r w:rsidRPr="00536FF1">
        <w:t> </w:t>
      </w:r>
    </w:p>
    <w:p w14:paraId="507CB54A" w14:textId="56773282" w:rsidR="0041051A" w:rsidRPr="00536FF1" w:rsidRDefault="0041051A" w:rsidP="0041051A">
      <w:r w:rsidRPr="00536FF1">
        <w:rPr>
          <w:b/>
          <w:bCs/>
        </w:rPr>
        <w:t xml:space="preserve">ASSESSMENT COMPONENT: </w:t>
      </w:r>
      <w:r w:rsidR="00E83EA4">
        <w:rPr>
          <w:b/>
          <w:bCs/>
        </w:rPr>
        <w:t>Action Research Assignment</w:t>
      </w:r>
    </w:p>
    <w:p w14:paraId="5B43C906" w14:textId="77777777" w:rsidR="0041051A" w:rsidRPr="00536FF1" w:rsidRDefault="0041051A" w:rsidP="0041051A">
      <w:r w:rsidRPr="00536FF1">
        <w:t> </w:t>
      </w:r>
    </w:p>
    <w:p w14:paraId="5283CFA8" w14:textId="563F8BFE" w:rsidR="0041051A" w:rsidRPr="00536FF1" w:rsidRDefault="0041051A" w:rsidP="0041051A">
      <w:r w:rsidRPr="00536FF1">
        <w:rPr>
          <w:b/>
          <w:bCs/>
        </w:rPr>
        <w:t>STUDENT NAME:</w:t>
      </w:r>
      <w:r w:rsidRPr="00536FF1">
        <w:t> </w:t>
      </w:r>
      <w:r w:rsidR="00E83EA4">
        <w:t>Sophie Bailey</w:t>
      </w:r>
    </w:p>
    <w:p w14:paraId="25C25020" w14:textId="77777777" w:rsidR="0041051A" w:rsidRPr="00536FF1" w:rsidRDefault="0041051A" w:rsidP="0041051A">
      <w:r w:rsidRPr="00536FF1">
        <w:t> </w:t>
      </w:r>
    </w:p>
    <w:p w14:paraId="2A88AB47" w14:textId="29A31802" w:rsidR="0041051A" w:rsidRPr="00536FF1" w:rsidRDefault="0041051A" w:rsidP="0041051A">
      <w:r w:rsidRPr="00536FF1">
        <w:rPr>
          <w:b/>
          <w:bCs/>
        </w:rPr>
        <w:t>STUDENT NUMBER:</w:t>
      </w:r>
      <w:r w:rsidRPr="00536FF1">
        <w:t> </w:t>
      </w:r>
      <w:r w:rsidR="00E83EA4">
        <w:t>1810168</w:t>
      </w:r>
    </w:p>
    <w:p w14:paraId="581F797D" w14:textId="77777777" w:rsidR="0041051A" w:rsidRPr="00536FF1" w:rsidRDefault="0041051A" w:rsidP="0041051A">
      <w:r w:rsidRPr="00536FF1">
        <w:t> </w:t>
      </w:r>
    </w:p>
    <w:p w14:paraId="4A84A12D" w14:textId="77777777" w:rsidR="0041051A" w:rsidRPr="00536FF1" w:rsidRDefault="0041051A" w:rsidP="0041051A">
      <w:r w:rsidRPr="00536FF1">
        <w:rPr>
          <w:b/>
          <w:bCs/>
        </w:rPr>
        <w:t>Use of Generative AI in Assessment</w:t>
      </w:r>
      <w:r w:rsidRPr="00536FF1">
        <w:t>  </w:t>
      </w:r>
    </w:p>
    <w:p w14:paraId="67E0EBAA" w14:textId="77777777" w:rsidR="0041051A" w:rsidRPr="00536FF1" w:rsidRDefault="0041051A" w:rsidP="0041051A">
      <w:r w:rsidRPr="00536FF1">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4890"/>
        <w:gridCol w:w="1305"/>
      </w:tblGrid>
      <w:tr w:rsidR="0041051A" w:rsidRPr="00536FF1" w14:paraId="7635F733" w14:textId="77777777" w:rsidTr="00AE4FF5">
        <w:trPr>
          <w:trHeight w:val="1112"/>
        </w:trPr>
        <w:tc>
          <w:tcPr>
            <w:tcW w:w="2205" w:type="dxa"/>
            <w:tcBorders>
              <w:top w:val="single" w:sz="6" w:space="0" w:color="auto"/>
              <w:left w:val="single" w:sz="6" w:space="0" w:color="auto"/>
              <w:bottom w:val="single" w:sz="6" w:space="0" w:color="000000"/>
              <w:right w:val="single" w:sz="6" w:space="0" w:color="000000"/>
            </w:tcBorders>
            <w:hideMark/>
          </w:tcPr>
          <w:p w14:paraId="3ABDCCE6" w14:textId="77777777" w:rsidR="0041051A" w:rsidRPr="00536FF1" w:rsidRDefault="0041051A" w:rsidP="00AE4FF5">
            <w:r w:rsidRPr="00536FF1">
              <w:t>RESEARCH  </w:t>
            </w:r>
          </w:p>
        </w:tc>
        <w:tc>
          <w:tcPr>
            <w:tcW w:w="4890" w:type="dxa"/>
            <w:tcBorders>
              <w:top w:val="single" w:sz="6" w:space="0" w:color="auto"/>
              <w:left w:val="single" w:sz="6" w:space="0" w:color="000000"/>
              <w:bottom w:val="single" w:sz="6" w:space="0" w:color="000000"/>
              <w:right w:val="single" w:sz="6" w:space="0" w:color="000000"/>
            </w:tcBorders>
            <w:hideMark/>
          </w:tcPr>
          <w:p w14:paraId="1E6A5BDD" w14:textId="77777777" w:rsidR="0041051A" w:rsidRPr="00536FF1" w:rsidRDefault="0041051A" w:rsidP="00AE4FF5">
            <w:r w:rsidRPr="00536FF1">
              <w:t>For this assessment, you can use Generative AI to support you in research and data analysis. </w:t>
            </w:r>
          </w:p>
        </w:tc>
        <w:tc>
          <w:tcPr>
            <w:tcW w:w="1305" w:type="dxa"/>
            <w:tcBorders>
              <w:top w:val="single" w:sz="6" w:space="0" w:color="auto"/>
              <w:left w:val="single" w:sz="6" w:space="0" w:color="000000"/>
              <w:bottom w:val="single" w:sz="6" w:space="0" w:color="000000"/>
              <w:right w:val="single" w:sz="6" w:space="0" w:color="auto"/>
            </w:tcBorders>
            <w:hideMark/>
          </w:tcPr>
          <w:p w14:paraId="7152EB9F" w14:textId="77777777" w:rsidR="0041051A" w:rsidRPr="00536FF1" w:rsidRDefault="0041051A" w:rsidP="00AE4FF5">
            <w:r w:rsidRPr="00536FF1">
              <w:t>Yes  ​</w:t>
            </w:r>
            <w:r w:rsidRPr="00536FF1">
              <w:rPr>
                <w:rFonts w:ascii="Segoe UI Symbol" w:hAnsi="Segoe UI Symbol" w:cs="Segoe UI Symbol"/>
              </w:rPr>
              <w:t>☐</w:t>
            </w:r>
            <w:r w:rsidRPr="00536FF1">
              <w:t>​ </w:t>
            </w:r>
          </w:p>
          <w:p w14:paraId="152637C3" w14:textId="77777777" w:rsidR="0041051A" w:rsidRPr="00536FF1" w:rsidRDefault="0041051A" w:rsidP="00AE4FF5">
            <w:r w:rsidRPr="00536FF1">
              <w:t>No   ​</w:t>
            </w:r>
            <w:r w:rsidRPr="00536FF1">
              <w:rPr>
                <w:rFonts w:ascii="Segoe UI Symbol" w:hAnsi="Segoe UI Symbol" w:cs="Segoe UI Symbol"/>
              </w:rPr>
              <w:t>☐</w:t>
            </w:r>
            <w:r w:rsidRPr="00536FF1">
              <w:t>​ </w:t>
            </w:r>
          </w:p>
        </w:tc>
      </w:tr>
      <w:tr w:rsidR="0041051A" w:rsidRPr="00536FF1" w14:paraId="287E5F62" w14:textId="77777777" w:rsidTr="00AE4FF5">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0F5944AF" w14:textId="77777777" w:rsidR="0041051A" w:rsidRPr="00536FF1" w:rsidRDefault="0041051A" w:rsidP="00AE4FF5">
            <w:r w:rsidRPr="00536FF1">
              <w:t>STRUCTURE  </w:t>
            </w:r>
          </w:p>
        </w:tc>
        <w:tc>
          <w:tcPr>
            <w:tcW w:w="4890" w:type="dxa"/>
            <w:tcBorders>
              <w:top w:val="single" w:sz="6" w:space="0" w:color="000000"/>
              <w:left w:val="single" w:sz="6" w:space="0" w:color="000000"/>
              <w:bottom w:val="single" w:sz="6" w:space="0" w:color="000000"/>
              <w:right w:val="single" w:sz="6" w:space="0" w:color="000000"/>
            </w:tcBorders>
            <w:hideMark/>
          </w:tcPr>
          <w:p w14:paraId="6EACA970" w14:textId="77777777" w:rsidR="0041051A" w:rsidRPr="00536FF1" w:rsidRDefault="0041051A" w:rsidP="00AE4FF5">
            <w:r w:rsidRPr="00536FF1">
              <w:t>For this assessment, you can use Generative AI to support you in structuring your submission, including creating a draft argument structure, identifying parts and headings, etc.  </w:t>
            </w:r>
          </w:p>
        </w:tc>
        <w:tc>
          <w:tcPr>
            <w:tcW w:w="1305" w:type="dxa"/>
            <w:tcBorders>
              <w:top w:val="single" w:sz="6" w:space="0" w:color="000000"/>
              <w:left w:val="single" w:sz="6" w:space="0" w:color="000000"/>
              <w:bottom w:val="single" w:sz="6" w:space="0" w:color="000000"/>
              <w:right w:val="single" w:sz="6" w:space="0" w:color="auto"/>
            </w:tcBorders>
            <w:hideMark/>
          </w:tcPr>
          <w:p w14:paraId="70ED32E8" w14:textId="77777777" w:rsidR="0041051A" w:rsidRPr="00536FF1" w:rsidRDefault="0041051A" w:rsidP="00AE4FF5">
            <w:r w:rsidRPr="00536FF1">
              <w:t>Yes  ​</w:t>
            </w:r>
            <w:r w:rsidRPr="00536FF1">
              <w:rPr>
                <w:rFonts w:ascii="Segoe UI Symbol" w:hAnsi="Segoe UI Symbol" w:cs="Segoe UI Symbol"/>
              </w:rPr>
              <w:t>☐</w:t>
            </w:r>
            <w:r w:rsidRPr="00536FF1">
              <w:t>​ </w:t>
            </w:r>
          </w:p>
          <w:p w14:paraId="56C6ECFC" w14:textId="77777777" w:rsidR="0041051A" w:rsidRPr="00536FF1" w:rsidRDefault="0041051A" w:rsidP="00AE4FF5">
            <w:r w:rsidRPr="00536FF1">
              <w:t>No   ​</w:t>
            </w:r>
            <w:r w:rsidRPr="00536FF1">
              <w:rPr>
                <w:rFonts w:ascii="Segoe UI Symbol" w:hAnsi="Segoe UI Symbol" w:cs="Segoe UI Symbol"/>
              </w:rPr>
              <w:t>☐</w:t>
            </w:r>
            <w:r w:rsidRPr="00536FF1">
              <w:t>​ </w:t>
            </w:r>
          </w:p>
        </w:tc>
      </w:tr>
      <w:tr w:rsidR="0041051A" w:rsidRPr="00536FF1" w14:paraId="2838522D" w14:textId="77777777" w:rsidTr="00AE4FF5">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131DF24B" w14:textId="77777777" w:rsidR="0041051A" w:rsidRPr="00536FF1" w:rsidRDefault="0041051A" w:rsidP="00AE4FF5">
            <w:r w:rsidRPr="00536FF1">
              <w:t>PROOFREADING  </w:t>
            </w:r>
          </w:p>
        </w:tc>
        <w:tc>
          <w:tcPr>
            <w:tcW w:w="4890" w:type="dxa"/>
            <w:tcBorders>
              <w:top w:val="single" w:sz="6" w:space="0" w:color="000000"/>
              <w:left w:val="single" w:sz="6" w:space="0" w:color="000000"/>
              <w:bottom w:val="single" w:sz="6" w:space="0" w:color="000000"/>
              <w:right w:val="single" w:sz="6" w:space="0" w:color="000000"/>
            </w:tcBorders>
            <w:hideMark/>
          </w:tcPr>
          <w:p w14:paraId="7EE4E9DB" w14:textId="77777777" w:rsidR="0041051A" w:rsidRPr="00536FF1" w:rsidRDefault="0041051A" w:rsidP="00AE4FF5">
            <w:r w:rsidRPr="00536FF1">
              <w:t>For this assessment, you can use Generative AI to check your own text/creation for grammatical and syntactical mistakes, including getting suggestions to rephrase your work.  </w:t>
            </w:r>
          </w:p>
        </w:tc>
        <w:tc>
          <w:tcPr>
            <w:tcW w:w="1305" w:type="dxa"/>
            <w:tcBorders>
              <w:top w:val="single" w:sz="6" w:space="0" w:color="000000"/>
              <w:left w:val="single" w:sz="6" w:space="0" w:color="000000"/>
              <w:bottom w:val="single" w:sz="6" w:space="0" w:color="000000"/>
              <w:right w:val="single" w:sz="6" w:space="0" w:color="auto"/>
            </w:tcBorders>
            <w:hideMark/>
          </w:tcPr>
          <w:p w14:paraId="2EEC62C2" w14:textId="77777777" w:rsidR="0041051A" w:rsidRPr="00536FF1" w:rsidRDefault="0041051A" w:rsidP="00AE4FF5">
            <w:r w:rsidRPr="00536FF1">
              <w:t>Yes  ​</w:t>
            </w:r>
            <w:r w:rsidRPr="00536FF1">
              <w:rPr>
                <w:rFonts w:ascii="Segoe UI Symbol" w:hAnsi="Segoe UI Symbol" w:cs="Segoe UI Symbol"/>
              </w:rPr>
              <w:t>☐</w:t>
            </w:r>
            <w:r w:rsidRPr="00536FF1">
              <w:t>​ </w:t>
            </w:r>
          </w:p>
          <w:p w14:paraId="3D956B0B" w14:textId="77777777" w:rsidR="0041051A" w:rsidRPr="00536FF1" w:rsidRDefault="0041051A" w:rsidP="00AE4FF5">
            <w:r w:rsidRPr="00536FF1">
              <w:t>No   ​</w:t>
            </w:r>
            <w:r w:rsidRPr="00536FF1">
              <w:rPr>
                <w:rFonts w:ascii="Segoe UI Symbol" w:hAnsi="Segoe UI Symbol" w:cs="Segoe UI Symbol"/>
              </w:rPr>
              <w:t>☐</w:t>
            </w:r>
            <w:r w:rsidRPr="00536FF1">
              <w:t>​ </w:t>
            </w:r>
          </w:p>
        </w:tc>
      </w:tr>
      <w:tr w:rsidR="0041051A" w:rsidRPr="00536FF1" w14:paraId="7F22BDEE" w14:textId="77777777" w:rsidTr="00AE4FF5">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13B53F46" w14:textId="77777777" w:rsidR="0041051A" w:rsidRPr="00536FF1" w:rsidRDefault="0041051A" w:rsidP="00AE4FF5">
            <w:r w:rsidRPr="00536FF1">
              <w:t>WRITING  </w:t>
            </w:r>
          </w:p>
        </w:tc>
        <w:tc>
          <w:tcPr>
            <w:tcW w:w="4890" w:type="dxa"/>
            <w:tcBorders>
              <w:top w:val="single" w:sz="6" w:space="0" w:color="000000"/>
              <w:left w:val="single" w:sz="6" w:space="0" w:color="000000"/>
              <w:bottom w:val="single" w:sz="6" w:space="0" w:color="000000"/>
              <w:right w:val="single" w:sz="6" w:space="0" w:color="000000"/>
            </w:tcBorders>
            <w:hideMark/>
          </w:tcPr>
          <w:p w14:paraId="2B491960" w14:textId="77777777" w:rsidR="0041051A" w:rsidRPr="00536FF1" w:rsidRDefault="0041051A" w:rsidP="00AE4FF5">
            <w:r w:rsidRPr="00536FF1">
              <w:t>For this assessment, you can use Generative AI to create text for submission.  </w:t>
            </w:r>
          </w:p>
        </w:tc>
        <w:tc>
          <w:tcPr>
            <w:tcW w:w="1305" w:type="dxa"/>
            <w:tcBorders>
              <w:top w:val="single" w:sz="6" w:space="0" w:color="000000"/>
              <w:left w:val="single" w:sz="6" w:space="0" w:color="000000"/>
              <w:bottom w:val="single" w:sz="6" w:space="0" w:color="000000"/>
              <w:right w:val="single" w:sz="6" w:space="0" w:color="auto"/>
            </w:tcBorders>
            <w:hideMark/>
          </w:tcPr>
          <w:p w14:paraId="2E5F5384" w14:textId="77777777" w:rsidR="0041051A" w:rsidRPr="00536FF1" w:rsidRDefault="0041051A" w:rsidP="00AE4FF5">
            <w:r w:rsidRPr="00536FF1">
              <w:t>Yes  ​</w:t>
            </w:r>
            <w:r w:rsidRPr="00536FF1">
              <w:rPr>
                <w:rFonts w:ascii="Segoe UI Symbol" w:hAnsi="Segoe UI Symbol" w:cs="Segoe UI Symbol"/>
              </w:rPr>
              <w:t>☐</w:t>
            </w:r>
            <w:r w:rsidRPr="00536FF1">
              <w:t>​ </w:t>
            </w:r>
          </w:p>
          <w:p w14:paraId="1A13A80D" w14:textId="77777777" w:rsidR="0041051A" w:rsidRPr="00536FF1" w:rsidRDefault="0041051A" w:rsidP="00AE4FF5">
            <w:r w:rsidRPr="00536FF1">
              <w:t>No   ​</w:t>
            </w:r>
            <w:r w:rsidRPr="00536FF1">
              <w:rPr>
                <w:rFonts w:ascii="Segoe UI Symbol" w:hAnsi="Segoe UI Symbol" w:cs="Segoe UI Symbol"/>
              </w:rPr>
              <w:t>☐</w:t>
            </w:r>
            <w:r w:rsidRPr="00536FF1">
              <w:t>​ </w:t>
            </w:r>
          </w:p>
        </w:tc>
      </w:tr>
      <w:tr w:rsidR="0041051A" w:rsidRPr="00536FF1" w14:paraId="3437FA77" w14:textId="77777777" w:rsidTr="00AE4FF5">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72DD510A" w14:textId="77777777" w:rsidR="0041051A" w:rsidRPr="00536FF1" w:rsidRDefault="0041051A" w:rsidP="00AE4FF5">
            <w:r w:rsidRPr="00536FF1">
              <w:t>CREATIVE  </w:t>
            </w:r>
          </w:p>
        </w:tc>
        <w:tc>
          <w:tcPr>
            <w:tcW w:w="4890" w:type="dxa"/>
            <w:tcBorders>
              <w:top w:val="single" w:sz="6" w:space="0" w:color="000000"/>
              <w:left w:val="single" w:sz="6" w:space="0" w:color="000000"/>
              <w:bottom w:val="single" w:sz="6" w:space="0" w:color="000000"/>
              <w:right w:val="single" w:sz="6" w:space="0" w:color="000000"/>
            </w:tcBorders>
            <w:hideMark/>
          </w:tcPr>
          <w:p w14:paraId="2F7AD6F5" w14:textId="77777777" w:rsidR="0041051A" w:rsidRPr="00536FF1" w:rsidRDefault="0041051A" w:rsidP="00AE4FF5">
            <w:r w:rsidRPr="00536FF1">
              <w:t>For this assessment, you can use Generative AI to create creative materials, such as images.  </w:t>
            </w:r>
          </w:p>
        </w:tc>
        <w:tc>
          <w:tcPr>
            <w:tcW w:w="1305" w:type="dxa"/>
            <w:tcBorders>
              <w:top w:val="single" w:sz="6" w:space="0" w:color="000000"/>
              <w:left w:val="single" w:sz="6" w:space="0" w:color="000000"/>
              <w:bottom w:val="single" w:sz="6" w:space="0" w:color="000000"/>
              <w:right w:val="single" w:sz="6" w:space="0" w:color="auto"/>
            </w:tcBorders>
            <w:hideMark/>
          </w:tcPr>
          <w:p w14:paraId="16954541" w14:textId="77777777" w:rsidR="0041051A" w:rsidRPr="00536FF1" w:rsidRDefault="0041051A" w:rsidP="00AE4FF5">
            <w:r w:rsidRPr="00536FF1">
              <w:t>Yes  ​</w:t>
            </w:r>
            <w:r w:rsidRPr="00536FF1">
              <w:rPr>
                <w:rFonts w:ascii="Segoe UI Symbol" w:hAnsi="Segoe UI Symbol" w:cs="Segoe UI Symbol"/>
              </w:rPr>
              <w:t>☐</w:t>
            </w:r>
            <w:r w:rsidRPr="00536FF1">
              <w:t>​ </w:t>
            </w:r>
          </w:p>
          <w:p w14:paraId="778E96B1" w14:textId="77777777" w:rsidR="0041051A" w:rsidRPr="00536FF1" w:rsidRDefault="0041051A" w:rsidP="00AE4FF5">
            <w:r w:rsidRPr="00536FF1">
              <w:t>No   ​</w:t>
            </w:r>
            <w:r w:rsidRPr="00536FF1">
              <w:rPr>
                <w:rFonts w:ascii="Segoe UI Symbol" w:hAnsi="Segoe UI Symbol" w:cs="Segoe UI Symbol"/>
              </w:rPr>
              <w:t>☐</w:t>
            </w:r>
            <w:r w:rsidRPr="00536FF1">
              <w:t>​ </w:t>
            </w:r>
          </w:p>
        </w:tc>
      </w:tr>
      <w:tr w:rsidR="0041051A" w:rsidRPr="00536FF1" w14:paraId="4A4EAE56" w14:textId="77777777" w:rsidTr="00AE4FF5">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62906BF0" w14:textId="77777777" w:rsidR="0041051A" w:rsidRPr="00536FF1" w:rsidRDefault="0041051A" w:rsidP="00AE4FF5">
            <w:r w:rsidRPr="00536FF1">
              <w:t>PROGRAMING  </w:t>
            </w:r>
          </w:p>
        </w:tc>
        <w:tc>
          <w:tcPr>
            <w:tcW w:w="4890" w:type="dxa"/>
            <w:tcBorders>
              <w:top w:val="single" w:sz="6" w:space="0" w:color="000000"/>
              <w:left w:val="single" w:sz="6" w:space="0" w:color="000000"/>
              <w:bottom w:val="single" w:sz="6" w:space="0" w:color="000000"/>
              <w:right w:val="single" w:sz="6" w:space="0" w:color="000000"/>
            </w:tcBorders>
            <w:hideMark/>
          </w:tcPr>
          <w:p w14:paraId="5989C5AE" w14:textId="77777777" w:rsidR="0041051A" w:rsidRPr="00536FF1" w:rsidRDefault="0041051A" w:rsidP="00AE4FF5">
            <w:r w:rsidRPr="00536FF1">
              <w:t>For this assessment, you can use Generative AI to create and check code.  </w:t>
            </w:r>
          </w:p>
        </w:tc>
        <w:tc>
          <w:tcPr>
            <w:tcW w:w="1305" w:type="dxa"/>
            <w:tcBorders>
              <w:top w:val="single" w:sz="6" w:space="0" w:color="000000"/>
              <w:left w:val="single" w:sz="6" w:space="0" w:color="000000"/>
              <w:bottom w:val="single" w:sz="6" w:space="0" w:color="000000"/>
              <w:right w:val="single" w:sz="6" w:space="0" w:color="auto"/>
            </w:tcBorders>
            <w:hideMark/>
          </w:tcPr>
          <w:p w14:paraId="157188D8" w14:textId="77777777" w:rsidR="0041051A" w:rsidRPr="00536FF1" w:rsidRDefault="0041051A" w:rsidP="00AE4FF5">
            <w:r w:rsidRPr="00536FF1">
              <w:t>Yes  ​</w:t>
            </w:r>
            <w:r w:rsidRPr="00536FF1">
              <w:rPr>
                <w:rFonts w:ascii="Segoe UI Symbol" w:hAnsi="Segoe UI Symbol" w:cs="Segoe UI Symbol"/>
              </w:rPr>
              <w:t>☐</w:t>
            </w:r>
            <w:r w:rsidRPr="00536FF1">
              <w:t>​ </w:t>
            </w:r>
          </w:p>
          <w:p w14:paraId="3F9B77C6" w14:textId="77777777" w:rsidR="0041051A" w:rsidRPr="00536FF1" w:rsidRDefault="0041051A" w:rsidP="00AE4FF5">
            <w:r w:rsidRPr="00536FF1">
              <w:t>No   ​</w:t>
            </w:r>
            <w:r w:rsidRPr="00536FF1">
              <w:rPr>
                <w:rFonts w:ascii="Segoe UI Symbol" w:hAnsi="Segoe UI Symbol" w:cs="Segoe UI Symbol"/>
              </w:rPr>
              <w:t>☐</w:t>
            </w:r>
            <w:r w:rsidRPr="00536FF1">
              <w:t>​ </w:t>
            </w:r>
          </w:p>
        </w:tc>
      </w:tr>
      <w:tr w:rsidR="0041051A" w:rsidRPr="00536FF1" w14:paraId="7676CC65" w14:textId="77777777" w:rsidTr="00AE4FF5">
        <w:trPr>
          <w:trHeight w:val="300"/>
        </w:trPr>
        <w:tc>
          <w:tcPr>
            <w:tcW w:w="2205" w:type="dxa"/>
            <w:tcBorders>
              <w:top w:val="single" w:sz="6" w:space="0" w:color="000000"/>
              <w:left w:val="single" w:sz="6" w:space="0" w:color="auto"/>
              <w:bottom w:val="single" w:sz="6" w:space="0" w:color="auto"/>
              <w:right w:val="single" w:sz="6" w:space="0" w:color="000000"/>
            </w:tcBorders>
            <w:hideMark/>
          </w:tcPr>
          <w:p w14:paraId="4782F70D" w14:textId="77777777" w:rsidR="0041051A" w:rsidRPr="00536FF1" w:rsidRDefault="0041051A" w:rsidP="00AE4FF5">
            <w:r w:rsidRPr="00536FF1">
              <w:t>NONE </w:t>
            </w:r>
          </w:p>
        </w:tc>
        <w:tc>
          <w:tcPr>
            <w:tcW w:w="4890" w:type="dxa"/>
            <w:tcBorders>
              <w:top w:val="single" w:sz="6" w:space="0" w:color="000000"/>
              <w:left w:val="single" w:sz="6" w:space="0" w:color="000000"/>
              <w:bottom w:val="single" w:sz="6" w:space="0" w:color="auto"/>
              <w:right w:val="single" w:sz="6" w:space="0" w:color="000000"/>
            </w:tcBorders>
            <w:hideMark/>
          </w:tcPr>
          <w:p w14:paraId="064C9773" w14:textId="77777777" w:rsidR="0041051A" w:rsidRPr="00536FF1" w:rsidRDefault="0041051A" w:rsidP="00AE4FF5">
            <w:r w:rsidRPr="00536FF1">
              <w:t xml:space="preserve">For this assessment, you are not allowed to use </w:t>
            </w:r>
            <w:r w:rsidRPr="00536FF1">
              <w:rPr>
                <w:b/>
                <w:bCs/>
              </w:rPr>
              <w:t>any</w:t>
            </w:r>
            <w:r w:rsidRPr="00536FF1">
              <w:t xml:space="preserve">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hideMark/>
          </w:tcPr>
          <w:p w14:paraId="435AD591" w14:textId="77777777" w:rsidR="0041051A" w:rsidRPr="00536FF1" w:rsidRDefault="0041051A" w:rsidP="00AE4FF5">
            <w:pPr>
              <w:jc w:val="center"/>
            </w:pPr>
            <w:r w:rsidRPr="00536FF1">
              <w:rPr>
                <w:rFonts w:ascii="Segoe UI Symbol" w:hAnsi="Segoe UI Symbol" w:cs="Segoe UI Symbol"/>
              </w:rPr>
              <w:t>☐</w:t>
            </w:r>
          </w:p>
          <w:p w14:paraId="0EBFFDC3" w14:textId="77777777" w:rsidR="0041051A" w:rsidRPr="00536FF1" w:rsidRDefault="0041051A" w:rsidP="00AE4FF5">
            <w:pPr>
              <w:jc w:val="center"/>
            </w:pPr>
          </w:p>
        </w:tc>
      </w:tr>
    </w:tbl>
    <w:p w14:paraId="468C457D" w14:textId="77777777" w:rsidR="0041051A" w:rsidRPr="00536FF1" w:rsidRDefault="0041051A" w:rsidP="0041051A">
      <w:r w:rsidRPr="00536FF1">
        <w:t>  </w:t>
      </w:r>
    </w:p>
    <w:p w14:paraId="0E529D90" w14:textId="77777777" w:rsidR="0041051A" w:rsidRPr="00536FF1" w:rsidRDefault="0041051A" w:rsidP="0041051A">
      <w:r w:rsidRPr="00536FF1">
        <w:t> </w:t>
      </w:r>
    </w:p>
    <w:p w14:paraId="127345ED" w14:textId="77777777" w:rsidR="0041051A" w:rsidRPr="00536FF1" w:rsidRDefault="0041051A" w:rsidP="0041051A">
      <w:r w:rsidRPr="00536FF1">
        <w:rPr>
          <w:b/>
          <w:bCs/>
          <w:u w:val="single"/>
        </w:rPr>
        <w:lastRenderedPageBreak/>
        <w:t>AI Acknowledgement  </w:t>
      </w:r>
      <w:r w:rsidRPr="00536FF1">
        <w:t> </w:t>
      </w:r>
    </w:p>
    <w:p w14:paraId="43208D1C" w14:textId="70DCD605" w:rsidR="0041051A" w:rsidRPr="00536FF1" w:rsidRDefault="0041051A" w:rsidP="0041051A">
      <w:r w:rsidRPr="00536FF1">
        <w:t> I confirm that I have not used any AI tools in the research and creation of this assignment.  </w:t>
      </w:r>
    </w:p>
    <w:p w14:paraId="52D232BA" w14:textId="77777777" w:rsidR="0041051A" w:rsidRPr="00536FF1" w:rsidRDefault="0041051A" w:rsidP="0041051A">
      <w:r w:rsidRPr="00536FF1">
        <w:t>I confirm that I have not presented any AI generated materials as my own work.  </w:t>
      </w:r>
    </w:p>
    <w:p w14:paraId="64F0F551" w14:textId="77777777" w:rsidR="0041051A" w:rsidRPr="00536FF1" w:rsidRDefault="0041051A" w:rsidP="0041051A">
      <w:r w:rsidRPr="00536FF1">
        <w:t>I confirm that I have copies of my drafts, notes, and other resources I used, which I may be asked to provide in evidence. </w:t>
      </w:r>
    </w:p>
    <w:p w14:paraId="0B0005E9" w14:textId="77777777" w:rsidR="0041051A" w:rsidRPr="00536FF1" w:rsidRDefault="0041051A" w:rsidP="0041051A">
      <w:r w:rsidRPr="00536FF1">
        <w:t> </w:t>
      </w:r>
    </w:p>
    <w:p w14:paraId="370A89EF" w14:textId="77777777" w:rsidR="0041051A" w:rsidRPr="00536FF1" w:rsidRDefault="0041051A" w:rsidP="0041051A">
      <w:r w:rsidRPr="00536FF1">
        <w:t> </w:t>
      </w:r>
    </w:p>
    <w:p w14:paraId="2A5A6301" w14:textId="77777777" w:rsidR="0041051A" w:rsidRPr="00536FF1" w:rsidRDefault="0041051A" w:rsidP="0041051A">
      <w:r w:rsidRPr="00536FF1">
        <w:t> </w:t>
      </w:r>
    </w:p>
    <w:p w14:paraId="6894D449" w14:textId="77777777" w:rsidR="0041051A" w:rsidRPr="00536FF1" w:rsidRDefault="0041051A" w:rsidP="0041051A">
      <w:r w:rsidRPr="00536FF1">
        <w:t> </w:t>
      </w:r>
    </w:p>
    <w:p w14:paraId="30A0D3D4" w14:textId="77777777" w:rsidR="0041051A" w:rsidRPr="00536FF1" w:rsidRDefault="0041051A" w:rsidP="0041051A">
      <w:r w:rsidRPr="00536FF1">
        <w:t> </w:t>
      </w:r>
    </w:p>
    <w:p w14:paraId="24EB47A8" w14:textId="77777777" w:rsidR="0041051A" w:rsidRDefault="0041051A" w:rsidP="0041051A">
      <w:r w:rsidRPr="00536FF1">
        <w:t> </w:t>
      </w:r>
    </w:p>
    <w:p w14:paraId="7128B120" w14:textId="77777777" w:rsidR="0041051A" w:rsidRDefault="0041051A" w:rsidP="0041051A"/>
    <w:p w14:paraId="41200233" w14:textId="77777777" w:rsidR="0041051A" w:rsidRDefault="0041051A" w:rsidP="0041051A"/>
    <w:p w14:paraId="040135D3" w14:textId="77777777" w:rsidR="0041051A" w:rsidRDefault="0041051A" w:rsidP="0041051A"/>
    <w:p w14:paraId="3D7A8438" w14:textId="77777777" w:rsidR="0041051A" w:rsidRDefault="0041051A" w:rsidP="0041051A"/>
    <w:p w14:paraId="202F2466" w14:textId="77777777" w:rsidR="0041051A" w:rsidRDefault="0041051A" w:rsidP="0041051A"/>
    <w:p w14:paraId="4B941E8B" w14:textId="77777777" w:rsidR="0041051A" w:rsidRPr="00536FF1" w:rsidRDefault="0041051A" w:rsidP="0041051A"/>
    <w:p w14:paraId="0C648AE6" w14:textId="77777777" w:rsidR="0041051A" w:rsidRPr="00536FF1" w:rsidRDefault="0041051A" w:rsidP="0041051A">
      <w:r w:rsidRPr="00536FF1">
        <w:t> </w:t>
      </w:r>
    </w:p>
    <w:p w14:paraId="4BF6ABE8" w14:textId="77777777" w:rsidR="008D4229" w:rsidRDefault="008D4229" w:rsidP="008D4229">
      <w:pPr>
        <w:rPr>
          <w:lang w:eastAsia="en-GB"/>
        </w:rPr>
      </w:pPr>
    </w:p>
    <w:p w14:paraId="653B4339" w14:textId="77777777" w:rsidR="008D4229" w:rsidRDefault="008D4229" w:rsidP="008D4229">
      <w:pPr>
        <w:rPr>
          <w:lang w:eastAsia="en-GB"/>
        </w:rPr>
      </w:pPr>
    </w:p>
    <w:p w14:paraId="588CB238" w14:textId="77777777" w:rsidR="008D4229" w:rsidRDefault="008D4229" w:rsidP="008D4229">
      <w:pPr>
        <w:rPr>
          <w:lang w:eastAsia="en-GB"/>
        </w:rPr>
      </w:pPr>
    </w:p>
    <w:p w14:paraId="4E56D3EF" w14:textId="77777777" w:rsidR="008D4229" w:rsidRDefault="008D4229" w:rsidP="008D4229">
      <w:pPr>
        <w:rPr>
          <w:lang w:eastAsia="en-GB"/>
        </w:rPr>
      </w:pPr>
    </w:p>
    <w:p w14:paraId="3E2536E1" w14:textId="77777777" w:rsidR="008D4229" w:rsidRDefault="008D4229" w:rsidP="008D4229">
      <w:pPr>
        <w:rPr>
          <w:lang w:eastAsia="en-GB"/>
        </w:rPr>
      </w:pPr>
    </w:p>
    <w:p w14:paraId="70F42618" w14:textId="77777777" w:rsidR="008D4229" w:rsidRDefault="008D4229" w:rsidP="008D4229">
      <w:pPr>
        <w:rPr>
          <w:lang w:eastAsia="en-GB"/>
        </w:rPr>
      </w:pPr>
    </w:p>
    <w:p w14:paraId="2C992ABF" w14:textId="77777777" w:rsidR="008D4229" w:rsidRDefault="008D4229" w:rsidP="008D4229">
      <w:pPr>
        <w:rPr>
          <w:lang w:eastAsia="en-GB"/>
        </w:rPr>
      </w:pPr>
    </w:p>
    <w:p w14:paraId="0E0A6123" w14:textId="77777777" w:rsidR="008D4229" w:rsidRDefault="008D4229" w:rsidP="008D4229">
      <w:pPr>
        <w:rPr>
          <w:lang w:eastAsia="en-GB"/>
        </w:rPr>
      </w:pPr>
    </w:p>
    <w:p w14:paraId="27F7EB9B" w14:textId="77777777" w:rsidR="008D4229" w:rsidRDefault="008D4229" w:rsidP="008D4229">
      <w:pPr>
        <w:rPr>
          <w:lang w:eastAsia="en-GB"/>
        </w:rPr>
      </w:pPr>
    </w:p>
    <w:p w14:paraId="0EBFC7D6" w14:textId="77777777" w:rsidR="008D4229" w:rsidRDefault="008D4229" w:rsidP="008D4229">
      <w:pPr>
        <w:rPr>
          <w:lang w:eastAsia="en-GB"/>
        </w:rPr>
      </w:pPr>
    </w:p>
    <w:p w14:paraId="453CED2F" w14:textId="77777777" w:rsidR="008D4229" w:rsidRDefault="008D4229" w:rsidP="008D4229">
      <w:pPr>
        <w:rPr>
          <w:lang w:eastAsia="en-GB"/>
        </w:rPr>
      </w:pPr>
    </w:p>
    <w:p w14:paraId="122D335F" w14:textId="77777777" w:rsidR="008D4229" w:rsidRDefault="008D4229" w:rsidP="008D4229">
      <w:pPr>
        <w:rPr>
          <w:lang w:eastAsia="en-GB"/>
        </w:rPr>
      </w:pPr>
    </w:p>
    <w:p w14:paraId="2368E74B" w14:textId="77777777" w:rsidR="008D4229" w:rsidRDefault="008D4229" w:rsidP="008D4229">
      <w:pPr>
        <w:rPr>
          <w:lang w:eastAsia="en-GB"/>
        </w:rPr>
      </w:pPr>
    </w:p>
    <w:p w14:paraId="1B8B010D" w14:textId="77777777" w:rsidR="008D4229" w:rsidRDefault="008D4229" w:rsidP="008D4229">
      <w:pPr>
        <w:rPr>
          <w:lang w:eastAsia="en-GB"/>
        </w:rPr>
      </w:pPr>
    </w:p>
    <w:p w14:paraId="1D023526" w14:textId="77777777" w:rsidR="008D4229" w:rsidRDefault="008D4229" w:rsidP="008D4229">
      <w:pPr>
        <w:rPr>
          <w:lang w:eastAsia="en-GB"/>
        </w:rPr>
      </w:pPr>
    </w:p>
    <w:p w14:paraId="1EAC6950" w14:textId="77777777" w:rsidR="008D4229" w:rsidRDefault="008D4229" w:rsidP="008D4229">
      <w:pPr>
        <w:rPr>
          <w:lang w:eastAsia="en-GB"/>
        </w:rPr>
      </w:pPr>
    </w:p>
    <w:p w14:paraId="5658BB8F" w14:textId="19401280" w:rsidR="008D4229" w:rsidRPr="00E83EA4" w:rsidRDefault="00E83EA4" w:rsidP="008D4229">
      <w:pPr>
        <w:rPr>
          <w:sz w:val="28"/>
          <w:szCs w:val="28"/>
          <w:u w:val="single"/>
          <w:lang w:eastAsia="en-GB"/>
        </w:rPr>
      </w:pPr>
      <w:r w:rsidRPr="00E83EA4">
        <w:rPr>
          <w:sz w:val="28"/>
          <w:szCs w:val="28"/>
          <w:u w:val="single"/>
          <w:lang w:eastAsia="en-GB"/>
        </w:rPr>
        <w:lastRenderedPageBreak/>
        <w:t xml:space="preserve">Introduction </w:t>
      </w:r>
    </w:p>
    <w:p w14:paraId="40382252" w14:textId="6B95A001" w:rsidR="00E83EA4" w:rsidRDefault="00E83EA4" w:rsidP="008D4229">
      <w:pPr>
        <w:rPr>
          <w:sz w:val="24"/>
          <w:szCs w:val="24"/>
          <w:lang w:eastAsia="en-GB"/>
        </w:rPr>
      </w:pPr>
      <w:r w:rsidRPr="00E83EA4">
        <w:rPr>
          <w:sz w:val="24"/>
          <w:szCs w:val="24"/>
          <w:lang w:eastAsia="en-GB"/>
        </w:rPr>
        <w:t>Student parents studying full time in higher education face significant pressures balancing academic responsibilities with caregiving duties. These pressures affect engagement, attendance, and academic performance, and are further compounded by financial constraints and inconsistent institutional support. Burnout in higher education is defined as a multidimensional syndrome characterised by emotional exhaustion, depersonalisation, and reduced academic effectiveness (Chong </w:t>
      </w:r>
      <w:r w:rsidRPr="00E83EA4">
        <w:rPr>
          <w:i/>
          <w:iCs/>
          <w:sz w:val="24"/>
          <w:szCs w:val="24"/>
          <w:lang w:eastAsia="en-GB"/>
        </w:rPr>
        <w:t>et al.</w:t>
      </w:r>
      <w:r w:rsidRPr="00E83EA4">
        <w:rPr>
          <w:sz w:val="24"/>
          <w:szCs w:val="24"/>
          <w:lang w:eastAsia="en-GB"/>
        </w:rPr>
        <w:t>, 2025). While research often focuses on traditional student populations, evidence indicates that students with dependents experience higher stress levels, reduced engagement, and greater risk of academic underperformance due to the simultaneous demands of study and caregiving (Andrade, Lobo Fernandes &amp; Almeida, 2024). </w:t>
      </w:r>
    </w:p>
    <w:p w14:paraId="42D4865A" w14:textId="69A04FA0" w:rsidR="00E83EA4" w:rsidRDefault="00E83EA4" w:rsidP="008D4229">
      <w:pPr>
        <w:rPr>
          <w:sz w:val="24"/>
          <w:szCs w:val="24"/>
          <w:lang w:eastAsia="en-GB"/>
        </w:rPr>
      </w:pPr>
      <w:r w:rsidRPr="00E83EA4">
        <w:rPr>
          <w:sz w:val="24"/>
          <w:szCs w:val="24"/>
          <w:lang w:eastAsia="en-GB"/>
        </w:rPr>
        <w:t>Institutional support, such as bursaries and pastoral guidance provided at the University of Wales Trinity Saint David, are intended to alleviate barriers for student parents. However, research suggests these interventions are limited in scope and duration and do not fully mitigate structural and financial pressures (Bennett </w:t>
      </w:r>
      <w:r w:rsidRPr="00E83EA4">
        <w:rPr>
          <w:i/>
          <w:iCs/>
          <w:sz w:val="24"/>
          <w:szCs w:val="24"/>
          <w:lang w:eastAsia="en-GB"/>
        </w:rPr>
        <w:t>et al.</w:t>
      </w:r>
      <w:r w:rsidRPr="00E83EA4">
        <w:rPr>
          <w:sz w:val="24"/>
          <w:szCs w:val="24"/>
          <w:lang w:eastAsia="en-GB"/>
        </w:rPr>
        <w:t>, 2023). Evidence shows that students with caregiving responsibilities often require additional flexibility, including access to recorded lectures and extended deadlines, highlighting the practical relevance of this research to post</w:t>
      </w:r>
      <w:r>
        <w:rPr>
          <w:sz w:val="24"/>
          <w:szCs w:val="24"/>
          <w:lang w:eastAsia="en-GB"/>
        </w:rPr>
        <w:t xml:space="preserve"> sixteen</w:t>
      </w:r>
      <w:r w:rsidRPr="00E83EA4">
        <w:rPr>
          <w:sz w:val="24"/>
          <w:szCs w:val="24"/>
          <w:lang w:eastAsia="en-GB"/>
        </w:rPr>
        <w:t xml:space="preserve"> education</w:t>
      </w:r>
      <w:r>
        <w:rPr>
          <w:sz w:val="24"/>
          <w:szCs w:val="24"/>
          <w:lang w:eastAsia="en-GB"/>
        </w:rPr>
        <w:t xml:space="preserve"> establishments. </w:t>
      </w:r>
      <w:r w:rsidRPr="00E83EA4">
        <w:rPr>
          <w:sz w:val="24"/>
          <w:szCs w:val="24"/>
          <w:lang w:eastAsia="en-GB"/>
        </w:rPr>
        <w:t> </w:t>
      </w:r>
    </w:p>
    <w:p w14:paraId="07E7391D" w14:textId="6D7F0EFD" w:rsidR="00E83EA4" w:rsidRDefault="00E83EA4" w:rsidP="008D4229">
      <w:pPr>
        <w:rPr>
          <w:sz w:val="24"/>
          <w:szCs w:val="24"/>
          <w:lang w:eastAsia="en-GB"/>
        </w:rPr>
      </w:pPr>
      <w:r w:rsidRPr="00E83EA4">
        <w:rPr>
          <w:sz w:val="24"/>
          <w:szCs w:val="24"/>
          <w:lang w:eastAsia="en-GB"/>
        </w:rPr>
        <w:t>The research question for this study is “How do study demands, and caregiving responsibilities jointly influence burnout risk among parents studying full time in higher education?” A secondary research approach is adopted to synthesise peer-reviewed literature, policy guidance, and institutional documentation. By examining the intersection of academic demands, caregiving responsibilities, and financial and institutional pressures, the study situates burnout as a systemic issue and provides a foundation for evidence-based interventions to support student parents in achieving academic success. </w:t>
      </w:r>
    </w:p>
    <w:p w14:paraId="3F539919" w14:textId="77777777" w:rsidR="00E83EA4" w:rsidRDefault="00E83EA4" w:rsidP="008D4229">
      <w:pPr>
        <w:rPr>
          <w:sz w:val="24"/>
          <w:szCs w:val="24"/>
          <w:lang w:eastAsia="en-GB"/>
        </w:rPr>
      </w:pPr>
    </w:p>
    <w:p w14:paraId="7EB2E4A7" w14:textId="77777777" w:rsidR="00E83EA4" w:rsidRDefault="00E83EA4" w:rsidP="008D4229">
      <w:pPr>
        <w:rPr>
          <w:sz w:val="24"/>
          <w:szCs w:val="24"/>
          <w:lang w:eastAsia="en-GB"/>
        </w:rPr>
      </w:pPr>
    </w:p>
    <w:p w14:paraId="44F0973D" w14:textId="77777777" w:rsidR="00E83EA4" w:rsidRDefault="00E83EA4" w:rsidP="008D4229">
      <w:pPr>
        <w:rPr>
          <w:sz w:val="24"/>
          <w:szCs w:val="24"/>
          <w:lang w:eastAsia="en-GB"/>
        </w:rPr>
      </w:pPr>
    </w:p>
    <w:p w14:paraId="210B308F" w14:textId="77777777" w:rsidR="00E83EA4" w:rsidRDefault="00E83EA4" w:rsidP="008D4229">
      <w:pPr>
        <w:rPr>
          <w:sz w:val="24"/>
          <w:szCs w:val="24"/>
          <w:lang w:eastAsia="en-GB"/>
        </w:rPr>
      </w:pPr>
    </w:p>
    <w:p w14:paraId="0F310B47" w14:textId="77777777" w:rsidR="00E83EA4" w:rsidRDefault="00E83EA4" w:rsidP="008D4229">
      <w:pPr>
        <w:rPr>
          <w:sz w:val="24"/>
          <w:szCs w:val="24"/>
          <w:lang w:eastAsia="en-GB"/>
        </w:rPr>
      </w:pPr>
    </w:p>
    <w:p w14:paraId="40BD8B02" w14:textId="77777777" w:rsidR="00E83EA4" w:rsidRDefault="00E83EA4" w:rsidP="008D4229">
      <w:pPr>
        <w:rPr>
          <w:sz w:val="24"/>
          <w:szCs w:val="24"/>
          <w:lang w:eastAsia="en-GB"/>
        </w:rPr>
      </w:pPr>
    </w:p>
    <w:p w14:paraId="594F7C41" w14:textId="77777777" w:rsidR="00E83EA4" w:rsidRDefault="00E83EA4" w:rsidP="008D4229">
      <w:pPr>
        <w:rPr>
          <w:sz w:val="24"/>
          <w:szCs w:val="24"/>
          <w:lang w:eastAsia="en-GB"/>
        </w:rPr>
      </w:pPr>
    </w:p>
    <w:p w14:paraId="227FDEF9" w14:textId="77777777" w:rsidR="00E83EA4" w:rsidRDefault="00E83EA4" w:rsidP="008D4229">
      <w:pPr>
        <w:rPr>
          <w:sz w:val="24"/>
          <w:szCs w:val="24"/>
          <w:lang w:eastAsia="en-GB"/>
        </w:rPr>
      </w:pPr>
    </w:p>
    <w:p w14:paraId="0B63419B" w14:textId="77777777" w:rsidR="00E83EA4" w:rsidRDefault="00E83EA4" w:rsidP="008D4229">
      <w:pPr>
        <w:rPr>
          <w:sz w:val="24"/>
          <w:szCs w:val="24"/>
          <w:lang w:eastAsia="en-GB"/>
        </w:rPr>
      </w:pPr>
    </w:p>
    <w:p w14:paraId="064510AF" w14:textId="77777777" w:rsidR="00E83EA4" w:rsidRDefault="00E83EA4" w:rsidP="008D4229">
      <w:pPr>
        <w:rPr>
          <w:sz w:val="24"/>
          <w:szCs w:val="24"/>
          <w:lang w:eastAsia="en-GB"/>
        </w:rPr>
      </w:pPr>
    </w:p>
    <w:p w14:paraId="16E93EBA" w14:textId="77777777" w:rsidR="00E83EA4" w:rsidRDefault="00E83EA4" w:rsidP="008D4229">
      <w:pPr>
        <w:rPr>
          <w:sz w:val="24"/>
          <w:szCs w:val="24"/>
          <w:lang w:eastAsia="en-GB"/>
        </w:rPr>
      </w:pPr>
    </w:p>
    <w:p w14:paraId="72B919AE" w14:textId="77777777" w:rsidR="00E83EA4" w:rsidRDefault="00E83EA4" w:rsidP="008D4229">
      <w:pPr>
        <w:rPr>
          <w:sz w:val="24"/>
          <w:szCs w:val="24"/>
          <w:lang w:eastAsia="en-GB"/>
        </w:rPr>
      </w:pPr>
    </w:p>
    <w:p w14:paraId="268880A7" w14:textId="77777777" w:rsidR="00E83EA4" w:rsidRDefault="00E83EA4" w:rsidP="008D4229">
      <w:pPr>
        <w:rPr>
          <w:sz w:val="24"/>
          <w:szCs w:val="24"/>
          <w:lang w:eastAsia="en-GB"/>
        </w:rPr>
      </w:pPr>
    </w:p>
    <w:p w14:paraId="1DC998AB" w14:textId="77777777" w:rsidR="00E83EA4" w:rsidRDefault="00E83EA4" w:rsidP="008D4229">
      <w:pPr>
        <w:rPr>
          <w:sz w:val="24"/>
          <w:szCs w:val="24"/>
          <w:lang w:eastAsia="en-GB"/>
        </w:rPr>
      </w:pPr>
    </w:p>
    <w:p w14:paraId="4D462BB0" w14:textId="77777777" w:rsidR="00E83EA4" w:rsidRDefault="00E83EA4" w:rsidP="008D4229">
      <w:pPr>
        <w:rPr>
          <w:sz w:val="24"/>
          <w:szCs w:val="24"/>
          <w:lang w:eastAsia="en-GB"/>
        </w:rPr>
      </w:pPr>
    </w:p>
    <w:p w14:paraId="59A2FCDE" w14:textId="77777777" w:rsidR="00E83EA4" w:rsidRDefault="00E83EA4" w:rsidP="008D4229">
      <w:pPr>
        <w:rPr>
          <w:sz w:val="24"/>
          <w:szCs w:val="24"/>
          <w:lang w:eastAsia="en-GB"/>
        </w:rPr>
      </w:pPr>
    </w:p>
    <w:p w14:paraId="1099BE12" w14:textId="77777777" w:rsidR="00E83EA4" w:rsidRDefault="00E83EA4" w:rsidP="008D4229">
      <w:pPr>
        <w:rPr>
          <w:sz w:val="24"/>
          <w:szCs w:val="24"/>
          <w:lang w:eastAsia="en-GB"/>
        </w:rPr>
      </w:pPr>
    </w:p>
    <w:p w14:paraId="247A8424" w14:textId="611CBCA8" w:rsidR="00E83EA4" w:rsidRDefault="00E83EA4" w:rsidP="008D4229">
      <w:pPr>
        <w:rPr>
          <w:sz w:val="28"/>
          <w:szCs w:val="28"/>
          <w:u w:val="single"/>
          <w:lang w:eastAsia="en-GB"/>
        </w:rPr>
      </w:pPr>
      <w:r w:rsidRPr="00E83EA4">
        <w:rPr>
          <w:sz w:val="28"/>
          <w:szCs w:val="28"/>
          <w:u w:val="single"/>
          <w:lang w:eastAsia="en-GB"/>
        </w:rPr>
        <w:lastRenderedPageBreak/>
        <w:t>Review</w:t>
      </w:r>
      <w:r>
        <w:rPr>
          <w:sz w:val="28"/>
          <w:szCs w:val="28"/>
          <w:u w:val="single"/>
          <w:lang w:eastAsia="en-GB"/>
        </w:rPr>
        <w:t xml:space="preserve"> of literature</w:t>
      </w:r>
    </w:p>
    <w:p w14:paraId="78E125F0" w14:textId="1D17CC5E" w:rsidR="00E83EA4" w:rsidRDefault="00E83EA4" w:rsidP="008D4229">
      <w:pPr>
        <w:rPr>
          <w:sz w:val="24"/>
          <w:szCs w:val="24"/>
          <w:lang w:eastAsia="en-GB"/>
        </w:rPr>
      </w:pPr>
      <w:r w:rsidRPr="00E83EA4">
        <w:rPr>
          <w:sz w:val="24"/>
          <w:szCs w:val="24"/>
          <w:lang w:eastAsia="en-GB"/>
        </w:rPr>
        <w:t>Burnout in higher education is increasingly recognised as a multidimensional phenomenon, encompassing emotional exhaustion, depersonalisation, and reduced academic efficacy (Wörfel </w:t>
      </w:r>
      <w:r w:rsidRPr="00E83EA4">
        <w:rPr>
          <w:i/>
          <w:iCs/>
          <w:sz w:val="24"/>
          <w:szCs w:val="24"/>
          <w:lang w:eastAsia="en-GB"/>
        </w:rPr>
        <w:t>et al.</w:t>
      </w:r>
      <w:r w:rsidRPr="00E83EA4">
        <w:rPr>
          <w:sz w:val="24"/>
          <w:szCs w:val="24"/>
          <w:lang w:eastAsia="en-GB"/>
        </w:rPr>
        <w:t>, 2023). </w:t>
      </w:r>
      <w:r w:rsidR="00E97F1F" w:rsidRPr="00E97F1F">
        <w:rPr>
          <w:sz w:val="24"/>
          <w:szCs w:val="24"/>
          <w:lang w:eastAsia="en-GB"/>
        </w:rPr>
        <w:t xml:space="preserve">While traditionally associated with staff populations, burnout is now increasingly identified within student cohorts, particularly those managing multiple competing responsibilities. </w:t>
      </w:r>
      <w:r w:rsidRPr="00E83EA4">
        <w:rPr>
          <w:sz w:val="24"/>
          <w:szCs w:val="24"/>
          <w:lang w:eastAsia="en-GB"/>
        </w:rPr>
        <w:t>Recent research highlights that students who are also parents are particularly vulnerable to burnout, due to the combined pressures of academic workload and caregiving responsibilities (Chong </w:t>
      </w:r>
      <w:r w:rsidRPr="00E83EA4">
        <w:rPr>
          <w:i/>
          <w:iCs/>
          <w:sz w:val="24"/>
          <w:szCs w:val="24"/>
          <w:lang w:eastAsia="en-GB"/>
        </w:rPr>
        <w:t>et al.</w:t>
      </w:r>
      <w:r w:rsidRPr="00E83EA4">
        <w:rPr>
          <w:sz w:val="24"/>
          <w:szCs w:val="24"/>
          <w:lang w:eastAsia="en-GB"/>
        </w:rPr>
        <w:t>, 2025</w:t>
      </w:r>
      <w:r>
        <w:rPr>
          <w:sz w:val="24"/>
          <w:szCs w:val="24"/>
          <w:lang w:eastAsia="en-GB"/>
        </w:rPr>
        <w:t xml:space="preserve">). According to </w:t>
      </w:r>
      <w:r w:rsidRPr="00E83EA4">
        <w:rPr>
          <w:sz w:val="24"/>
          <w:szCs w:val="24"/>
          <w:lang w:eastAsia="en-GB"/>
        </w:rPr>
        <w:t>Andrade, Lobo Fernandes &amp; Almeida</w:t>
      </w:r>
      <w:r>
        <w:rPr>
          <w:sz w:val="24"/>
          <w:szCs w:val="24"/>
          <w:lang w:eastAsia="en-GB"/>
        </w:rPr>
        <w:t xml:space="preserve"> (2024) </w:t>
      </w:r>
      <w:r w:rsidRPr="00E83EA4">
        <w:rPr>
          <w:sz w:val="24"/>
          <w:szCs w:val="24"/>
          <w:lang w:eastAsia="en-GB"/>
        </w:rPr>
        <w:t>Full-time study alongside caregiving creates sustained stress, requiring individuals to manage the simultaneous demands of academic engagement, household responsibilities, and childcare</w:t>
      </w:r>
      <w:r w:rsidR="000C210D">
        <w:t xml:space="preserve">. </w:t>
      </w:r>
      <w:r w:rsidR="000C210D" w:rsidRPr="000C210D">
        <w:rPr>
          <w:sz w:val="24"/>
          <w:szCs w:val="24"/>
          <w:lang w:eastAsia="en-GB"/>
        </w:rPr>
        <w:t>This constant negotiation of responsibilities often results in limited recovery time, contributing to cumulative emotional and cognitive strain.</w:t>
      </w:r>
      <w:r>
        <w:rPr>
          <w:sz w:val="24"/>
          <w:szCs w:val="24"/>
          <w:lang w:eastAsia="en-GB"/>
        </w:rPr>
        <w:t xml:space="preserve"> </w:t>
      </w:r>
      <w:r w:rsidRPr="00E83EA4">
        <w:rPr>
          <w:sz w:val="24"/>
          <w:szCs w:val="24"/>
          <w:lang w:eastAsia="en-GB"/>
        </w:rPr>
        <w:t>Evidence demonstrates that these pressures negatively affect attendance, participation, and submission of coursework, all of which are critical to achieving academic outcomes in post</w:t>
      </w:r>
      <w:r>
        <w:rPr>
          <w:sz w:val="24"/>
          <w:szCs w:val="24"/>
          <w:lang w:eastAsia="en-GB"/>
        </w:rPr>
        <w:t xml:space="preserve"> sixteen</w:t>
      </w:r>
      <w:r w:rsidRPr="00E83EA4">
        <w:rPr>
          <w:sz w:val="24"/>
          <w:szCs w:val="24"/>
          <w:lang w:eastAsia="en-GB"/>
        </w:rPr>
        <w:t xml:space="preserve"> education programmes.</w:t>
      </w:r>
      <w:r w:rsidR="000C210D">
        <w:rPr>
          <w:sz w:val="24"/>
          <w:szCs w:val="24"/>
          <w:lang w:eastAsia="en-GB"/>
        </w:rPr>
        <w:t xml:space="preserve"> </w:t>
      </w:r>
      <w:r w:rsidR="000C210D" w:rsidRPr="000C210D">
        <w:rPr>
          <w:sz w:val="24"/>
          <w:szCs w:val="24"/>
          <w:lang w:eastAsia="en-GB"/>
        </w:rPr>
        <w:t>This suggests that burnout has direct implications not only for individual wellbeing but also for retention and progression within higher education.</w:t>
      </w:r>
    </w:p>
    <w:p w14:paraId="576FCFAB" w14:textId="3F16AFF1" w:rsidR="00E83EA4" w:rsidRDefault="00E83EA4" w:rsidP="008D4229">
      <w:pPr>
        <w:rPr>
          <w:sz w:val="24"/>
          <w:szCs w:val="24"/>
          <w:lang w:eastAsia="en-GB"/>
        </w:rPr>
      </w:pPr>
      <w:r w:rsidRPr="00E83EA4">
        <w:rPr>
          <w:rFonts w:ascii="Aptos" w:hAnsi="Aptos"/>
          <w:color w:val="000000"/>
          <w:shd w:val="clear" w:color="auto" w:fill="FFFFFF"/>
        </w:rPr>
        <w:t xml:space="preserve"> </w:t>
      </w:r>
      <w:r w:rsidRPr="00E83EA4">
        <w:rPr>
          <w:sz w:val="24"/>
          <w:szCs w:val="24"/>
          <w:lang w:eastAsia="en-GB"/>
        </w:rPr>
        <w:t>Time constraints are consistently identified as a primary contributor to burnout among student parents. Lazarewicz </w:t>
      </w:r>
      <w:r w:rsidRPr="00E83EA4">
        <w:rPr>
          <w:i/>
          <w:iCs/>
          <w:sz w:val="24"/>
          <w:szCs w:val="24"/>
          <w:lang w:eastAsia="en-GB"/>
        </w:rPr>
        <w:t>et al.</w:t>
      </w:r>
      <w:r w:rsidRPr="00E83EA4">
        <w:rPr>
          <w:sz w:val="24"/>
          <w:szCs w:val="24"/>
          <w:lang w:eastAsia="en-GB"/>
        </w:rPr>
        <w:t> (2024) found that student parents struggle to allocate sufficient time to study due to caregiving duties, leading to increased stress and reduced academic engagement. Structured academic tasks that do not account for temporal constraints exacerbate disengagement (Andrade, Lobo Fernandes &amp; Almeida, 2024).</w:t>
      </w:r>
      <w:r w:rsidR="000C210D" w:rsidRPr="000C210D">
        <w:t xml:space="preserve"> </w:t>
      </w:r>
      <w:r w:rsidR="000C210D" w:rsidRPr="000C210D">
        <w:rPr>
          <w:sz w:val="24"/>
          <w:szCs w:val="24"/>
          <w:lang w:eastAsia="en-GB"/>
        </w:rPr>
        <w:t>This is evident in traditional delivery models that rely on fixed timetables and synchronous participation, which may not align with the unpredictable nature of caregiving.</w:t>
      </w:r>
      <w:r w:rsidRPr="00E83EA4">
        <w:rPr>
          <w:sz w:val="24"/>
          <w:szCs w:val="24"/>
          <w:lang w:eastAsia="en-GB"/>
        </w:rPr>
        <w:t xml:space="preserve"> Research indicates that flexible delivery methods, including asynchronous lectures and scaffolded assignments, can improve engagement and reduce stress in this population (Chong </w:t>
      </w:r>
      <w:r w:rsidRPr="00E83EA4">
        <w:rPr>
          <w:i/>
          <w:iCs/>
          <w:sz w:val="24"/>
          <w:szCs w:val="24"/>
          <w:lang w:eastAsia="en-GB"/>
        </w:rPr>
        <w:t>et al.</w:t>
      </w:r>
      <w:r w:rsidRPr="00E83EA4">
        <w:rPr>
          <w:sz w:val="24"/>
          <w:szCs w:val="24"/>
          <w:lang w:eastAsia="en-GB"/>
        </w:rPr>
        <w:t>, 2025). </w:t>
      </w:r>
      <w:r w:rsidR="000C210D" w:rsidRPr="000C210D">
        <w:rPr>
          <w:sz w:val="24"/>
          <w:szCs w:val="24"/>
          <w:lang w:eastAsia="en-GB"/>
        </w:rPr>
        <w:t>From a pedagogical perspective, this highlights the importance of designing learning experiences that are adaptable and responsive to students’ lived realities, rather than expecting students to conform to rigid academic structures.</w:t>
      </w:r>
    </w:p>
    <w:p w14:paraId="7CA3B647" w14:textId="404B6FFC" w:rsidR="00E83EA4" w:rsidRDefault="00E83EA4" w:rsidP="008D4229">
      <w:pPr>
        <w:rPr>
          <w:sz w:val="24"/>
          <w:szCs w:val="24"/>
          <w:lang w:eastAsia="en-GB"/>
        </w:rPr>
      </w:pPr>
      <w:r w:rsidRPr="00E83EA4">
        <w:rPr>
          <w:sz w:val="24"/>
          <w:szCs w:val="24"/>
          <w:lang w:eastAsia="en-GB"/>
        </w:rPr>
        <w:t>Role conflict is another factor</w:t>
      </w:r>
      <w:r>
        <w:rPr>
          <w:sz w:val="24"/>
          <w:szCs w:val="24"/>
          <w:lang w:eastAsia="en-GB"/>
        </w:rPr>
        <w:t xml:space="preserve"> that can</w:t>
      </w:r>
      <w:r w:rsidRPr="00E83EA4">
        <w:rPr>
          <w:sz w:val="24"/>
          <w:szCs w:val="24"/>
          <w:lang w:eastAsia="en-GB"/>
        </w:rPr>
        <w:t xml:space="preserve"> influencing burnout. Goode’s (1960) theory of role conflict asserts that stress arises when competing responsibilities are mutually incompatible. Ren </w:t>
      </w:r>
      <w:r w:rsidRPr="00E83EA4">
        <w:rPr>
          <w:i/>
          <w:iCs/>
          <w:sz w:val="24"/>
          <w:szCs w:val="24"/>
          <w:lang w:eastAsia="en-GB"/>
        </w:rPr>
        <w:t>et al.</w:t>
      </w:r>
      <w:r w:rsidRPr="00E83EA4">
        <w:rPr>
          <w:sz w:val="24"/>
          <w:szCs w:val="24"/>
          <w:lang w:eastAsia="en-GB"/>
        </w:rPr>
        <w:t> (2024) discussed that student parents experience persistent tension between academic and caregiving roles, contributing to chronic stress and diminished academic functioning.</w:t>
      </w:r>
      <w:r w:rsidR="000C210D" w:rsidRPr="000C210D">
        <w:t xml:space="preserve"> </w:t>
      </w:r>
      <w:r w:rsidR="000C210D" w:rsidRPr="000C210D">
        <w:rPr>
          <w:sz w:val="24"/>
          <w:szCs w:val="24"/>
          <w:lang w:eastAsia="en-GB"/>
        </w:rPr>
        <w:t>This ongoing tension can lead to emotional exhaustion and reduced capacity to fully engage in either role effectively</w:t>
      </w:r>
      <w:r w:rsidR="000C210D">
        <w:rPr>
          <w:sz w:val="24"/>
          <w:szCs w:val="24"/>
          <w:lang w:eastAsia="en-GB"/>
        </w:rPr>
        <w:t>.</w:t>
      </w:r>
      <w:r w:rsidRPr="00E83EA4">
        <w:rPr>
          <w:sz w:val="24"/>
          <w:szCs w:val="24"/>
          <w:lang w:eastAsia="en-GB"/>
        </w:rPr>
        <w:t xml:space="preserve"> In post</w:t>
      </w:r>
      <w:r w:rsidR="000C210D">
        <w:rPr>
          <w:sz w:val="24"/>
          <w:szCs w:val="24"/>
          <w:lang w:eastAsia="en-GB"/>
        </w:rPr>
        <w:t xml:space="preserve"> sixteen</w:t>
      </w:r>
      <w:r w:rsidRPr="00E83EA4">
        <w:rPr>
          <w:sz w:val="24"/>
          <w:szCs w:val="24"/>
          <w:lang w:eastAsia="en-GB"/>
        </w:rPr>
        <w:t xml:space="preserve"> programmes, this can manifest as missed seminars, delayed assessments, and reduced participation in collaborative activities. Literature suggests that flexible deadlines, optional synchronous participation, and targeted pastoral support mitigate the impact of role conflict (Andrade, Lobo Fernandes &amp; Almeida, 2024; Pierce, Williams &amp; Green, 2025). </w:t>
      </w:r>
    </w:p>
    <w:p w14:paraId="0CA7A840" w14:textId="0CD4CF2E" w:rsidR="00E83EA4" w:rsidRDefault="00E83EA4" w:rsidP="008D4229">
      <w:pPr>
        <w:rPr>
          <w:sz w:val="24"/>
          <w:szCs w:val="24"/>
          <w:lang w:eastAsia="en-GB"/>
        </w:rPr>
      </w:pPr>
      <w:r w:rsidRPr="00E83EA4">
        <w:rPr>
          <w:sz w:val="24"/>
          <w:szCs w:val="24"/>
          <w:lang w:eastAsia="en-GB"/>
        </w:rPr>
        <w:t>Gender disparities in caregiving responsibilities further influence burnout risk. Female student parents report higher levels of stress and role conflict due to disproportionate childcare responsibilities (Ren </w:t>
      </w:r>
      <w:r w:rsidR="000C210D">
        <w:rPr>
          <w:sz w:val="24"/>
          <w:szCs w:val="24"/>
          <w:lang w:eastAsia="en-GB"/>
        </w:rPr>
        <w:t>Et al</w:t>
      </w:r>
      <w:r w:rsidRPr="00E83EA4">
        <w:rPr>
          <w:i/>
          <w:iCs/>
          <w:sz w:val="24"/>
          <w:szCs w:val="24"/>
          <w:lang w:eastAsia="en-GB"/>
        </w:rPr>
        <w:t>.</w:t>
      </w:r>
      <w:r w:rsidRPr="00E83EA4">
        <w:rPr>
          <w:sz w:val="24"/>
          <w:szCs w:val="24"/>
          <w:lang w:eastAsia="en-GB"/>
        </w:rPr>
        <w:t>, 2024; Lazarewicz </w:t>
      </w:r>
      <w:r w:rsidR="000C210D">
        <w:rPr>
          <w:sz w:val="24"/>
          <w:szCs w:val="24"/>
          <w:lang w:eastAsia="en-GB"/>
        </w:rPr>
        <w:t>et al</w:t>
      </w:r>
      <w:r w:rsidRPr="00E83EA4">
        <w:rPr>
          <w:i/>
          <w:iCs/>
          <w:sz w:val="24"/>
          <w:szCs w:val="24"/>
          <w:lang w:eastAsia="en-GB"/>
        </w:rPr>
        <w:t>.</w:t>
      </w:r>
      <w:r w:rsidRPr="00E83EA4">
        <w:rPr>
          <w:sz w:val="24"/>
          <w:szCs w:val="24"/>
          <w:lang w:eastAsia="en-GB"/>
        </w:rPr>
        <w:t>, 2024).</w:t>
      </w:r>
      <w:r w:rsidR="000C210D" w:rsidRPr="000C210D">
        <w:t xml:space="preserve"> </w:t>
      </w:r>
      <w:r w:rsidR="000C210D" w:rsidRPr="000C210D">
        <w:rPr>
          <w:sz w:val="24"/>
          <w:szCs w:val="24"/>
          <w:lang w:eastAsia="en-GB"/>
        </w:rPr>
        <w:t>This highlights the importance of adopting an intersectional perspective, recognising that experiences of burnout are shaped by overlapping social and structural factors rather than a single variable.</w:t>
      </w:r>
      <w:r w:rsidRPr="00E83EA4">
        <w:rPr>
          <w:sz w:val="24"/>
          <w:szCs w:val="24"/>
          <w:lang w:eastAsia="en-GB"/>
        </w:rPr>
        <w:t xml:space="preserve"> Inclusive teaching practices, such as flexible deadlines and access to recorded lectures, are therefore essential to support equitable participation. </w:t>
      </w:r>
      <w:r w:rsidR="000C210D" w:rsidRPr="000C210D">
        <w:rPr>
          <w:sz w:val="24"/>
          <w:szCs w:val="24"/>
          <w:lang w:eastAsia="en-GB"/>
        </w:rPr>
        <w:t>However, it is important to acknowledge that while these strategies may alleviate some pressures, they do not fully address the broader societal inequalities that underpin gendered caregiving roles.</w:t>
      </w:r>
    </w:p>
    <w:p w14:paraId="086186ED" w14:textId="77777777" w:rsidR="000C210D" w:rsidRDefault="000C210D" w:rsidP="008D4229">
      <w:pPr>
        <w:rPr>
          <w:sz w:val="24"/>
          <w:szCs w:val="24"/>
          <w:lang w:eastAsia="en-GB"/>
        </w:rPr>
      </w:pPr>
    </w:p>
    <w:p w14:paraId="794A8804" w14:textId="10DA87B1" w:rsidR="000C210D" w:rsidRDefault="00E83EA4" w:rsidP="00E83EA4">
      <w:pPr>
        <w:rPr>
          <w:sz w:val="24"/>
          <w:szCs w:val="24"/>
          <w:lang w:eastAsia="en-GB"/>
        </w:rPr>
      </w:pPr>
      <w:r w:rsidRPr="00E83EA4">
        <w:rPr>
          <w:sz w:val="24"/>
          <w:szCs w:val="24"/>
          <w:lang w:eastAsia="en-GB"/>
        </w:rPr>
        <w:lastRenderedPageBreak/>
        <w:t> Financial pressures exacerbate burnout. Full-time student parents face tuition fees, household costs, and childcare expenses, while reduced availability for paid employment limits financial resources (Bennett </w:t>
      </w:r>
      <w:r w:rsidRPr="00E83EA4">
        <w:rPr>
          <w:i/>
          <w:iCs/>
          <w:sz w:val="24"/>
          <w:szCs w:val="24"/>
          <w:lang w:eastAsia="en-GB"/>
        </w:rPr>
        <w:t>et al.</w:t>
      </w:r>
      <w:r w:rsidRPr="00E83EA4">
        <w:rPr>
          <w:sz w:val="24"/>
          <w:szCs w:val="24"/>
          <w:lang w:eastAsia="en-GB"/>
        </w:rPr>
        <w:t>, 2023; MDPI, 2025). The National Union of Students (2024) highlights that financial stress correlates with decreased participation and higher attrition risk.</w:t>
      </w:r>
      <w:r w:rsidR="000C210D" w:rsidRPr="000C210D">
        <w:t xml:space="preserve"> </w:t>
      </w:r>
      <w:r w:rsidR="000C210D" w:rsidRPr="000C210D">
        <w:rPr>
          <w:sz w:val="24"/>
          <w:szCs w:val="24"/>
          <w:lang w:eastAsia="en-GB"/>
        </w:rPr>
        <w:t>This relationship suggests that financial hardship is not only an external stressor but one that directly impacts academic engagement and persistence.</w:t>
      </w:r>
      <w:r w:rsidRPr="00E83EA4">
        <w:rPr>
          <w:sz w:val="24"/>
          <w:szCs w:val="24"/>
          <w:lang w:eastAsia="en-GB"/>
        </w:rPr>
        <w:t xml:space="preserve"> Institutional interventions, such as bursaries and hardship funds, provide partial mitigation but are limited in scope and duration (National Union of Students, 2024). Awareness of these pressures allows post-sixteen educators to provide appropriate support and structure teaching to accommodate students experiencing financial strain. </w:t>
      </w:r>
      <w:r w:rsidR="000C210D" w:rsidRPr="000C210D">
        <w:rPr>
          <w:sz w:val="24"/>
          <w:szCs w:val="24"/>
          <w:lang w:eastAsia="en-GB"/>
        </w:rPr>
        <w:t>For example, ensuring that learning resources are accessible without additional cost can help reduce barriers to engagement. As a result, these measures often function as short-term solutions rather than addressing the structural nature of financial inequality within higher education.</w:t>
      </w:r>
      <w:r w:rsidR="000C210D">
        <w:rPr>
          <w:sz w:val="24"/>
          <w:szCs w:val="24"/>
          <w:lang w:eastAsia="en-GB"/>
        </w:rPr>
        <w:t xml:space="preserve"> </w:t>
      </w:r>
    </w:p>
    <w:p w14:paraId="5C87E9C5" w14:textId="121F35EA" w:rsidR="00E83EA4" w:rsidRPr="00E83EA4" w:rsidRDefault="00E83EA4" w:rsidP="00E83EA4">
      <w:pPr>
        <w:rPr>
          <w:sz w:val="24"/>
          <w:szCs w:val="24"/>
          <w:lang w:eastAsia="en-GB"/>
        </w:rPr>
      </w:pPr>
      <w:r w:rsidRPr="00E83EA4">
        <w:rPr>
          <w:sz w:val="24"/>
          <w:szCs w:val="24"/>
          <w:lang w:eastAsia="en-GB"/>
        </w:rPr>
        <w:t>Institutional support is a vital determinant of burnout risk. Flexible teaching policies, academic guidance, and pastoral support are beneficial but inconsistently applied (Pierce, Williams &amp; Green, 2025).</w:t>
      </w:r>
      <w:r w:rsidR="000C210D" w:rsidRPr="000C210D">
        <w:t xml:space="preserve"> </w:t>
      </w:r>
      <w:r w:rsidR="000C210D" w:rsidRPr="000C210D">
        <w:rPr>
          <w:sz w:val="24"/>
          <w:szCs w:val="24"/>
          <w:lang w:eastAsia="en-GB"/>
        </w:rPr>
        <w:t>This inconsistency can lead to unequal student experiences, where access to support is dependent on individual tutors or programmes rather than embedded institutional practice.</w:t>
      </w:r>
      <w:r w:rsidRPr="00E83EA4">
        <w:rPr>
          <w:rFonts w:ascii="Aptos" w:hAnsi="Aptos"/>
          <w:color w:val="000000"/>
          <w:shd w:val="clear" w:color="auto" w:fill="FFFFFF"/>
        </w:rPr>
        <w:t xml:space="preserve"> </w:t>
      </w:r>
      <w:r w:rsidRPr="00E83EA4">
        <w:rPr>
          <w:sz w:val="24"/>
          <w:szCs w:val="24"/>
          <w:lang w:eastAsia="en-GB"/>
        </w:rPr>
        <w:t>Embedding support into programme design improves engagement and reduces stress for student parents. Clear communication of bursary availability, flexibility in assessment deadlines, and access to asynchronous materials are practical interventions to mitigate burnout (Andrade, Lobo Fernandes &amp; Almeida, 2024).</w:t>
      </w:r>
      <w:r w:rsidR="000C210D" w:rsidRPr="000C210D">
        <w:t xml:space="preserve"> </w:t>
      </w:r>
      <w:r w:rsidR="000C210D" w:rsidRPr="000C210D">
        <w:rPr>
          <w:sz w:val="24"/>
          <w:szCs w:val="24"/>
          <w:lang w:eastAsia="en-GB"/>
        </w:rPr>
        <w:t>This suggests that proactive, rather than reactive, approaches to support are more effective in addressing student needs.</w:t>
      </w:r>
    </w:p>
    <w:p w14:paraId="30B0FED9" w14:textId="15F7B35A" w:rsidR="00E83EA4" w:rsidRDefault="00E83EA4" w:rsidP="008D4229">
      <w:pPr>
        <w:rPr>
          <w:sz w:val="24"/>
          <w:szCs w:val="24"/>
          <w:lang w:eastAsia="en-GB"/>
        </w:rPr>
      </w:pPr>
      <w:r w:rsidRPr="00E83EA4">
        <w:rPr>
          <w:sz w:val="24"/>
          <w:szCs w:val="24"/>
          <w:lang w:eastAsia="en-GB"/>
        </w:rPr>
        <w:t>Current evidence suggests that burnout arises from cumulative effects of time constraints, role conflict, financial pressures, and limited institutional support (Andrade, Lobo Fernandes &amp; Almeida, 2024</w:t>
      </w:r>
      <w:r>
        <w:rPr>
          <w:sz w:val="24"/>
          <w:szCs w:val="24"/>
          <w:lang w:eastAsia="en-GB"/>
        </w:rPr>
        <w:t>)</w:t>
      </w:r>
      <w:r w:rsidR="000C210D" w:rsidRPr="000C210D">
        <w:t xml:space="preserve"> </w:t>
      </w:r>
      <w:r w:rsidR="000C210D" w:rsidRPr="000C210D">
        <w:rPr>
          <w:sz w:val="24"/>
          <w:szCs w:val="24"/>
          <w:lang w:eastAsia="en-GB"/>
        </w:rPr>
        <w:t>These factors do not operate in isolation but interact in complex ways, amplifying their overall impact on student wellbeing and academic performance.</w:t>
      </w:r>
      <w:r w:rsidR="000C210D">
        <w:rPr>
          <w:sz w:val="24"/>
          <w:szCs w:val="24"/>
          <w:lang w:eastAsia="en-GB"/>
        </w:rPr>
        <w:t xml:space="preserve"> </w:t>
      </w:r>
      <w:r w:rsidRPr="00E83EA4">
        <w:rPr>
          <w:sz w:val="24"/>
          <w:szCs w:val="24"/>
          <w:lang w:eastAsia="en-GB"/>
        </w:rPr>
        <w:t>Addressing these systemic factors, rather than focusing solely on individual coping strategies, is essential. Post16 educators are encouraged to implement flexible delivery, scaffolded assessment, and proactive guidance to improve retention, engagement, and academic outcomes for student parents (Chong </w:t>
      </w:r>
      <w:r w:rsidRPr="00E83EA4">
        <w:rPr>
          <w:i/>
          <w:iCs/>
          <w:sz w:val="24"/>
          <w:szCs w:val="24"/>
          <w:lang w:eastAsia="en-GB"/>
        </w:rPr>
        <w:t>et al.</w:t>
      </w:r>
      <w:r w:rsidRPr="00E83EA4">
        <w:rPr>
          <w:sz w:val="24"/>
          <w:szCs w:val="24"/>
          <w:lang w:eastAsia="en-GB"/>
        </w:rPr>
        <w:t>, 2025</w:t>
      </w:r>
      <w:r>
        <w:rPr>
          <w:sz w:val="24"/>
          <w:szCs w:val="24"/>
          <w:lang w:eastAsia="en-GB"/>
        </w:rPr>
        <w:t>).</w:t>
      </w:r>
      <w:r w:rsidR="000C210D" w:rsidRPr="000C210D">
        <w:t xml:space="preserve"> </w:t>
      </w:r>
      <w:r w:rsidR="000C210D" w:rsidRPr="000C210D">
        <w:rPr>
          <w:sz w:val="24"/>
          <w:szCs w:val="24"/>
          <w:lang w:eastAsia="en-GB"/>
        </w:rPr>
        <w:t>This reflects a shift towards viewing burnout as a structural issue requiring systemic intervention rather than individual resilience alone.</w:t>
      </w:r>
    </w:p>
    <w:p w14:paraId="6DA3426B" w14:textId="131FB035" w:rsidR="00E83EA4" w:rsidRDefault="00E83EA4" w:rsidP="008D4229">
      <w:pPr>
        <w:rPr>
          <w:sz w:val="24"/>
          <w:szCs w:val="24"/>
          <w:lang w:eastAsia="en-GB"/>
        </w:rPr>
      </w:pPr>
      <w:r w:rsidRPr="00E83EA4">
        <w:rPr>
          <w:sz w:val="24"/>
          <w:szCs w:val="24"/>
          <w:lang w:eastAsia="en-GB"/>
        </w:rPr>
        <w:t>Emerging research emphasises intersectionality, recognising how gender, socioeconomic status, and caregiving responsibilities interact to influence burnout risk (Ren </w:t>
      </w:r>
      <w:r w:rsidRPr="00E83EA4">
        <w:rPr>
          <w:i/>
          <w:iCs/>
          <w:sz w:val="24"/>
          <w:szCs w:val="24"/>
          <w:lang w:eastAsia="en-GB"/>
        </w:rPr>
        <w:t>et al.</w:t>
      </w:r>
      <w:r w:rsidRPr="00E83EA4">
        <w:rPr>
          <w:sz w:val="24"/>
          <w:szCs w:val="24"/>
          <w:lang w:eastAsia="en-GB"/>
        </w:rPr>
        <w:t>, 2024).</w:t>
      </w:r>
      <w:r w:rsidRPr="00E83EA4">
        <w:rPr>
          <w:rFonts w:ascii="Aptos" w:hAnsi="Aptos"/>
          <w:color w:val="000000"/>
          <w:shd w:val="clear" w:color="auto" w:fill="FFFFFF"/>
        </w:rPr>
        <w:t xml:space="preserve"> </w:t>
      </w:r>
      <w:r w:rsidRPr="00E83EA4">
        <w:rPr>
          <w:sz w:val="24"/>
          <w:szCs w:val="24"/>
          <w:lang w:eastAsia="en-GB"/>
        </w:rPr>
        <w:t xml:space="preserve">Female students with caregiving responsibilities experience heightened role conflict, highlighting the importance of inclusive, flexible teaching and proactive pastoral support. </w:t>
      </w:r>
      <w:r w:rsidR="000C210D" w:rsidRPr="000C210D">
        <w:rPr>
          <w:sz w:val="24"/>
          <w:szCs w:val="24"/>
          <w:lang w:eastAsia="en-GB"/>
        </w:rPr>
        <w:t>This reinforces the need for tailored interventions that acknowledge the diverse experiences within the student parent population.</w:t>
      </w:r>
      <w:r w:rsidR="000C210D">
        <w:rPr>
          <w:sz w:val="24"/>
          <w:szCs w:val="24"/>
          <w:lang w:eastAsia="en-GB"/>
        </w:rPr>
        <w:t xml:space="preserve"> </w:t>
      </w:r>
      <w:r w:rsidRPr="00E83EA4">
        <w:rPr>
          <w:sz w:val="24"/>
          <w:szCs w:val="24"/>
          <w:lang w:eastAsia="en-GB"/>
        </w:rPr>
        <w:t>Effective interventions integrate structural and financial support to provide equitable learning opportunities and reduce burnout</w:t>
      </w:r>
      <w:r w:rsidRPr="00E83EA4">
        <w:rPr>
          <w:rFonts w:ascii="Aptos" w:hAnsi="Aptos"/>
          <w:color w:val="000000"/>
          <w:bdr w:val="none" w:sz="0" w:space="0" w:color="auto" w:frame="1"/>
        </w:rPr>
        <w:t xml:space="preserve"> </w:t>
      </w:r>
      <w:r>
        <w:rPr>
          <w:rFonts w:ascii="Aptos" w:hAnsi="Aptos"/>
          <w:color w:val="000000"/>
          <w:bdr w:val="none" w:sz="0" w:space="0" w:color="auto" w:frame="1"/>
        </w:rPr>
        <w:t xml:space="preserve">as stated by </w:t>
      </w:r>
      <w:r w:rsidRPr="00E83EA4">
        <w:rPr>
          <w:sz w:val="24"/>
          <w:szCs w:val="24"/>
          <w:lang w:eastAsia="en-GB"/>
        </w:rPr>
        <w:t>Williams &amp; Green</w:t>
      </w:r>
      <w:r>
        <w:rPr>
          <w:sz w:val="24"/>
          <w:szCs w:val="24"/>
          <w:lang w:eastAsia="en-GB"/>
        </w:rPr>
        <w:t xml:space="preserve"> (</w:t>
      </w:r>
      <w:r w:rsidRPr="00E83EA4">
        <w:rPr>
          <w:sz w:val="24"/>
          <w:szCs w:val="24"/>
          <w:lang w:eastAsia="en-GB"/>
        </w:rPr>
        <w:t>2025).</w:t>
      </w:r>
    </w:p>
    <w:p w14:paraId="2BAE0DC2" w14:textId="2A465165" w:rsidR="00E83EA4" w:rsidRDefault="00E83EA4" w:rsidP="008D4229">
      <w:pPr>
        <w:rPr>
          <w:sz w:val="24"/>
          <w:szCs w:val="24"/>
          <w:lang w:eastAsia="en-GB"/>
        </w:rPr>
      </w:pPr>
      <w:r w:rsidRPr="00E83EA4">
        <w:rPr>
          <w:sz w:val="24"/>
          <w:szCs w:val="24"/>
          <w:lang w:eastAsia="en-GB"/>
        </w:rPr>
        <w:t>Overall, burnout among full-time student parents is a systemic issue, resulting from the interaction of academic, caregiving, financial, and institutional factors. Evidence underscores the need for inclusive, flexible, and evidence-informed interventions in post16 teaching, with attention to workload management, financial guidance, and institutional support to foster engagement, retention, and academic success (Andrade, Lobo Fernandes &amp; Almeida, 2024</w:t>
      </w:r>
      <w:r>
        <w:rPr>
          <w:sz w:val="24"/>
          <w:szCs w:val="24"/>
          <w:lang w:eastAsia="en-GB"/>
        </w:rPr>
        <w:t xml:space="preserve">, </w:t>
      </w:r>
      <w:r w:rsidRPr="00E83EA4">
        <w:rPr>
          <w:sz w:val="24"/>
          <w:szCs w:val="24"/>
          <w:lang w:eastAsia="en-GB"/>
        </w:rPr>
        <w:t>National Union of Students, 2024). </w:t>
      </w:r>
      <w:r w:rsidR="000C210D" w:rsidRPr="000C210D">
        <w:rPr>
          <w:sz w:val="24"/>
          <w:szCs w:val="24"/>
          <w:lang w:eastAsia="en-GB"/>
        </w:rPr>
        <w:t>As an educator, this highlights the importance of designing learning environments that are responsive, inclusive, and adaptable, ensuring that student parents are supported to succeed without compromising their wellbeing.</w:t>
      </w:r>
    </w:p>
    <w:p w14:paraId="52660A4D" w14:textId="77777777" w:rsidR="000C210D" w:rsidRDefault="000C210D" w:rsidP="008D4229">
      <w:pPr>
        <w:rPr>
          <w:sz w:val="24"/>
          <w:szCs w:val="24"/>
          <w:lang w:eastAsia="en-GB"/>
        </w:rPr>
      </w:pPr>
    </w:p>
    <w:p w14:paraId="0FF1C5F6" w14:textId="77777777" w:rsidR="000C210D" w:rsidRDefault="000C210D" w:rsidP="008D4229">
      <w:pPr>
        <w:rPr>
          <w:sz w:val="24"/>
          <w:szCs w:val="24"/>
          <w:lang w:eastAsia="en-GB"/>
        </w:rPr>
      </w:pPr>
    </w:p>
    <w:p w14:paraId="5679E5A3" w14:textId="77777777" w:rsidR="000C210D" w:rsidRDefault="000C210D" w:rsidP="008D4229">
      <w:pPr>
        <w:rPr>
          <w:sz w:val="24"/>
          <w:szCs w:val="24"/>
          <w:lang w:eastAsia="en-GB"/>
        </w:rPr>
      </w:pPr>
    </w:p>
    <w:p w14:paraId="4344D094" w14:textId="71EEB7D6" w:rsidR="000C210D" w:rsidRDefault="000C210D" w:rsidP="008D4229">
      <w:pPr>
        <w:rPr>
          <w:sz w:val="24"/>
          <w:szCs w:val="24"/>
          <w:u w:val="single"/>
          <w:lang w:eastAsia="en-GB"/>
        </w:rPr>
      </w:pPr>
      <w:r>
        <w:rPr>
          <w:sz w:val="24"/>
          <w:szCs w:val="24"/>
          <w:u w:val="single"/>
          <w:lang w:eastAsia="en-GB"/>
        </w:rPr>
        <w:lastRenderedPageBreak/>
        <w:t xml:space="preserve">Methodology </w:t>
      </w:r>
    </w:p>
    <w:p w14:paraId="280E2857" w14:textId="2DC78A14" w:rsidR="000C210D" w:rsidRPr="000C210D" w:rsidRDefault="000C210D" w:rsidP="000C210D">
      <w:pPr>
        <w:rPr>
          <w:sz w:val="24"/>
          <w:szCs w:val="24"/>
          <w:lang w:eastAsia="en-GB"/>
        </w:rPr>
      </w:pPr>
      <w:r w:rsidRPr="000C210D">
        <w:rPr>
          <w:sz w:val="24"/>
          <w:szCs w:val="24"/>
          <w:lang w:eastAsia="en-GB"/>
        </w:rPr>
        <w:t>This action </w:t>
      </w:r>
      <w:r w:rsidR="00AB42E7" w:rsidRPr="000C210D">
        <w:rPr>
          <w:sz w:val="24"/>
          <w:szCs w:val="24"/>
          <w:lang w:eastAsia="en-GB"/>
        </w:rPr>
        <w:t>research</w:t>
      </w:r>
      <w:r w:rsidRPr="000C210D">
        <w:rPr>
          <w:sz w:val="24"/>
          <w:szCs w:val="24"/>
          <w:lang w:eastAsia="en-GB"/>
        </w:rPr>
        <w:t> employs a secondary research design to examine the joint impact of academic workload and caregiving responsibilities on burnout among full-time student parents in higher education. Secondary research involves the collection, synthesis, and analysis of existing academic literature, policy guidance, and institutional documentation, providing a comprehensive overview of the topic without the need for primary data collection (Saunders, Lewis &amp; Thornhill, 2019). This methodology is appropriate due to the ethical, temporal, and logistical challenges associated with primary research in this population and enables identification of key patterns, gaps, and interventions relevant to post16 education. </w:t>
      </w:r>
    </w:p>
    <w:p w14:paraId="422E5B1C" w14:textId="603B9F42" w:rsidR="000C210D" w:rsidRDefault="000C210D" w:rsidP="000C210D">
      <w:pPr>
        <w:rPr>
          <w:sz w:val="24"/>
          <w:szCs w:val="24"/>
          <w:lang w:eastAsia="en-GB"/>
        </w:rPr>
      </w:pPr>
      <w:r w:rsidRPr="000C210D">
        <w:rPr>
          <w:sz w:val="24"/>
          <w:szCs w:val="24"/>
          <w:lang w:eastAsia="en-GB"/>
        </w:rPr>
        <w:t>Data sources include peer-reviewed journal articles, systematic reviews, meta-analyses, and institutional and policy documents published between 2023 and 2026. These sources were accessed through academic databases including Scopus, PubMed, ERIC, and MDPI to ensure reliability, currency, and relevance. Search strategies employed combinations of keywords and Boolean operators such as “student parents,” “full-time study,” “higher education,” “burnout,” “stress,” “caregiving responsibilities,” and “post</w:t>
      </w:r>
      <w:r w:rsidR="00AB42E7">
        <w:rPr>
          <w:sz w:val="24"/>
          <w:szCs w:val="24"/>
          <w:lang w:eastAsia="en-GB"/>
        </w:rPr>
        <w:t xml:space="preserve"> </w:t>
      </w:r>
      <w:r>
        <w:rPr>
          <w:sz w:val="24"/>
          <w:szCs w:val="24"/>
          <w:lang w:eastAsia="en-GB"/>
        </w:rPr>
        <w:t>sixteen</w:t>
      </w:r>
      <w:r w:rsidRPr="000C210D">
        <w:rPr>
          <w:sz w:val="24"/>
          <w:szCs w:val="24"/>
          <w:lang w:eastAsia="en-GB"/>
        </w:rPr>
        <w:t xml:space="preserve"> education.” Inclusion criteria required studies to be published within the last three years, peer-reviewed, and directly relevant to higher education contexts. Studies older than three years, non-peer-reviewed publications, or research outside higher education contexts were excluded to maintain currency and relevance.</w:t>
      </w:r>
    </w:p>
    <w:p w14:paraId="08BACC10" w14:textId="5AEA9955" w:rsidR="00AB42E7" w:rsidRDefault="00AB42E7" w:rsidP="000C210D">
      <w:pPr>
        <w:rPr>
          <w:sz w:val="24"/>
          <w:szCs w:val="24"/>
          <w:lang w:eastAsia="en-GB"/>
        </w:rPr>
      </w:pPr>
      <w:r w:rsidRPr="00AB42E7">
        <w:rPr>
          <w:sz w:val="24"/>
          <w:szCs w:val="24"/>
          <w:lang w:eastAsia="en-GB"/>
        </w:rPr>
        <w:t>Institutional documentation from the University of Wales Trinity Saint David, including bursary policies, parental support guidelines, and wider UK higher education guidance, was reviewed. This ensured that the study captured both structural and experiential dimensions of support available to student parents, situating the findings within contemporary post16 teaching contexts.</w:t>
      </w:r>
    </w:p>
    <w:p w14:paraId="0E58535F" w14:textId="74F66417" w:rsidR="00AB42E7" w:rsidRDefault="00AB42E7" w:rsidP="000C210D">
      <w:pPr>
        <w:rPr>
          <w:sz w:val="24"/>
          <w:szCs w:val="24"/>
          <w:lang w:eastAsia="en-GB"/>
        </w:rPr>
      </w:pPr>
      <w:r w:rsidRPr="00AB42E7">
        <w:rPr>
          <w:sz w:val="24"/>
          <w:szCs w:val="24"/>
          <w:lang w:eastAsia="en-GB"/>
        </w:rPr>
        <w:t>Data extraction and synthesis followed a narrative and thematic approach, categorising findings into four main themes: academic workload, role conflict, financial pressures, and institutional support. Each source was critically evaluated for reliability, validity, and applicability, facilitating identification of gaps and informing evidence-based recommendations (Booth, Sutton &amp; Papaioannou, 2016). </w:t>
      </w:r>
    </w:p>
    <w:p w14:paraId="7EFB4378" w14:textId="7A52836B" w:rsidR="00AB42E7" w:rsidRDefault="00AB42E7" w:rsidP="000C210D">
      <w:pPr>
        <w:rPr>
          <w:sz w:val="24"/>
          <w:szCs w:val="24"/>
          <w:lang w:eastAsia="en-GB"/>
        </w:rPr>
      </w:pPr>
      <w:r w:rsidRPr="00AB42E7">
        <w:rPr>
          <w:sz w:val="24"/>
          <w:szCs w:val="24"/>
          <w:lang w:eastAsia="en-GB"/>
        </w:rPr>
        <w:t>Limitations of this methodology include reliance on published data, which may not capture all lived experiences of student parents, and potential bias due to underrepresentation of certain demographic groups. Despite these constraints, secondary research provides a robust, evidence-informed foundation for understanding burnout among student parents and identifying practical interventions to enhance engagement and wellbeing in post16 education programmes. </w:t>
      </w:r>
    </w:p>
    <w:p w14:paraId="0076C4ED" w14:textId="77777777" w:rsidR="00AB42E7" w:rsidRDefault="00AB42E7" w:rsidP="000C210D">
      <w:pPr>
        <w:rPr>
          <w:sz w:val="24"/>
          <w:szCs w:val="24"/>
          <w:lang w:eastAsia="en-GB"/>
        </w:rPr>
      </w:pPr>
    </w:p>
    <w:p w14:paraId="6D7104CE" w14:textId="77777777" w:rsidR="00AB42E7" w:rsidRDefault="00AB42E7" w:rsidP="000C210D">
      <w:pPr>
        <w:rPr>
          <w:sz w:val="24"/>
          <w:szCs w:val="24"/>
          <w:lang w:eastAsia="en-GB"/>
        </w:rPr>
      </w:pPr>
    </w:p>
    <w:p w14:paraId="52A6A7F8" w14:textId="77777777" w:rsidR="00AB42E7" w:rsidRDefault="00AB42E7" w:rsidP="000C210D">
      <w:pPr>
        <w:rPr>
          <w:sz w:val="24"/>
          <w:szCs w:val="24"/>
          <w:lang w:eastAsia="en-GB"/>
        </w:rPr>
      </w:pPr>
    </w:p>
    <w:p w14:paraId="73F9CA11" w14:textId="77777777" w:rsidR="00AB42E7" w:rsidRDefault="00AB42E7" w:rsidP="000C210D">
      <w:pPr>
        <w:rPr>
          <w:sz w:val="24"/>
          <w:szCs w:val="24"/>
          <w:lang w:eastAsia="en-GB"/>
        </w:rPr>
      </w:pPr>
    </w:p>
    <w:p w14:paraId="6A7AD70F" w14:textId="77777777" w:rsidR="00AB42E7" w:rsidRDefault="00AB42E7" w:rsidP="000C210D">
      <w:pPr>
        <w:rPr>
          <w:sz w:val="24"/>
          <w:szCs w:val="24"/>
          <w:lang w:eastAsia="en-GB"/>
        </w:rPr>
      </w:pPr>
    </w:p>
    <w:p w14:paraId="655D3FAD" w14:textId="77777777" w:rsidR="00AB42E7" w:rsidRDefault="00AB42E7" w:rsidP="000C210D">
      <w:pPr>
        <w:rPr>
          <w:sz w:val="24"/>
          <w:szCs w:val="24"/>
          <w:lang w:eastAsia="en-GB"/>
        </w:rPr>
      </w:pPr>
    </w:p>
    <w:p w14:paraId="2C73C768" w14:textId="77777777" w:rsidR="00AB42E7" w:rsidRDefault="00AB42E7" w:rsidP="000C210D">
      <w:pPr>
        <w:rPr>
          <w:sz w:val="24"/>
          <w:szCs w:val="24"/>
          <w:lang w:eastAsia="en-GB"/>
        </w:rPr>
      </w:pPr>
    </w:p>
    <w:p w14:paraId="0580660D" w14:textId="77777777" w:rsidR="00AB42E7" w:rsidRDefault="00AB42E7" w:rsidP="000C210D">
      <w:pPr>
        <w:rPr>
          <w:sz w:val="24"/>
          <w:szCs w:val="24"/>
          <w:lang w:eastAsia="en-GB"/>
        </w:rPr>
      </w:pPr>
    </w:p>
    <w:p w14:paraId="53E691AA" w14:textId="77777777" w:rsidR="00AB42E7" w:rsidRDefault="00AB42E7" w:rsidP="000C210D">
      <w:pPr>
        <w:rPr>
          <w:sz w:val="24"/>
          <w:szCs w:val="24"/>
          <w:lang w:eastAsia="en-GB"/>
        </w:rPr>
      </w:pPr>
    </w:p>
    <w:p w14:paraId="6FE145FA" w14:textId="77777777" w:rsidR="00AB42E7" w:rsidRDefault="00AB42E7" w:rsidP="000C210D">
      <w:pPr>
        <w:rPr>
          <w:sz w:val="24"/>
          <w:szCs w:val="24"/>
          <w:lang w:eastAsia="en-GB"/>
        </w:rPr>
      </w:pPr>
    </w:p>
    <w:p w14:paraId="1A6A7C1F" w14:textId="053F1D78" w:rsidR="00AB42E7" w:rsidRDefault="00AB42E7" w:rsidP="000C210D">
      <w:pPr>
        <w:rPr>
          <w:sz w:val="24"/>
          <w:szCs w:val="24"/>
          <w:u w:val="single"/>
          <w:lang w:eastAsia="en-GB"/>
        </w:rPr>
      </w:pPr>
      <w:r>
        <w:rPr>
          <w:sz w:val="24"/>
          <w:szCs w:val="24"/>
          <w:u w:val="single"/>
          <w:lang w:eastAsia="en-GB"/>
        </w:rPr>
        <w:lastRenderedPageBreak/>
        <w:t>Findings and Discussion</w:t>
      </w:r>
    </w:p>
    <w:p w14:paraId="5D98D709" w14:textId="6851A406" w:rsidR="00AB42E7" w:rsidRDefault="00AB42E7" w:rsidP="000C210D">
      <w:pPr>
        <w:rPr>
          <w:sz w:val="24"/>
          <w:szCs w:val="24"/>
          <w:lang w:eastAsia="en-GB"/>
        </w:rPr>
      </w:pPr>
      <w:r w:rsidRPr="00AB42E7">
        <w:rPr>
          <w:sz w:val="24"/>
          <w:szCs w:val="24"/>
          <w:lang w:eastAsia="en-GB"/>
        </w:rPr>
        <w:t>The synthesis of secondary research indicates that burnout among full-time student parents in higher education is a multidimensional, systemic phenomenon, influenced by the interaction of academic workload, caregiving responsibilities, financial pressures, and the adequacy of institutional support</w:t>
      </w:r>
      <w:r w:rsidRPr="00AB42E7">
        <w:rPr>
          <w:rFonts w:ascii="Aptos" w:hAnsi="Aptos"/>
          <w:color w:val="000000"/>
          <w:bdr w:val="none" w:sz="0" w:space="0" w:color="auto" w:frame="1"/>
        </w:rPr>
        <w:t xml:space="preserve"> </w:t>
      </w:r>
      <w:r>
        <w:rPr>
          <w:rFonts w:ascii="Aptos" w:hAnsi="Aptos"/>
          <w:color w:val="000000"/>
          <w:bdr w:val="none" w:sz="0" w:space="0" w:color="auto" w:frame="1"/>
        </w:rPr>
        <w:t>(</w:t>
      </w:r>
      <w:r w:rsidRPr="00AB42E7">
        <w:rPr>
          <w:sz w:val="24"/>
          <w:szCs w:val="24"/>
          <w:lang w:eastAsia="en-GB"/>
        </w:rPr>
        <w:t>Lobo Fernandes &amp; Almeida, 2024)</w:t>
      </w:r>
      <w:r>
        <w:rPr>
          <w:sz w:val="24"/>
          <w:szCs w:val="24"/>
          <w:lang w:eastAsia="en-GB"/>
        </w:rPr>
        <w:t xml:space="preserve">. </w:t>
      </w:r>
      <w:r w:rsidRPr="00AB42E7">
        <w:rPr>
          <w:sz w:val="24"/>
          <w:szCs w:val="24"/>
          <w:lang w:eastAsia="en-GB"/>
        </w:rPr>
        <w:t>Evidence demonstrates that these factors do not operate in isolation; rather, they interact cumulatively to increase stress, reduce engagement, and negatively affect academic performance. Understanding these dynamics is critical for post</w:t>
      </w:r>
      <w:r>
        <w:rPr>
          <w:sz w:val="24"/>
          <w:szCs w:val="24"/>
          <w:lang w:eastAsia="en-GB"/>
        </w:rPr>
        <w:t xml:space="preserve"> sixteen</w:t>
      </w:r>
      <w:r w:rsidRPr="00AB42E7">
        <w:rPr>
          <w:sz w:val="24"/>
          <w:szCs w:val="24"/>
          <w:lang w:eastAsia="en-GB"/>
        </w:rPr>
        <w:t xml:space="preserve"> teaching, where engagement, retention, and equitable participation are central to programme outcomes.</w:t>
      </w:r>
      <w:r w:rsidRPr="00AB42E7">
        <w:rPr>
          <w:rFonts w:ascii="Aptos" w:hAnsi="Aptos"/>
          <w:color w:val="000000"/>
          <w:bdr w:val="none" w:sz="0" w:space="0" w:color="auto" w:frame="1"/>
        </w:rPr>
        <w:t xml:space="preserve"> </w:t>
      </w:r>
      <w:r w:rsidRPr="00AB42E7">
        <w:rPr>
          <w:sz w:val="24"/>
          <w:szCs w:val="24"/>
          <w:lang w:eastAsia="en-GB"/>
        </w:rPr>
        <w:t>High study demands are a principal contributor to burnout. Students experience pressure from deadlines, assessment intensity, and large volumes of course content, which is amplified when combined with caregiving responsibilities(Chong </w:t>
      </w:r>
      <w:r w:rsidRPr="00AB42E7">
        <w:rPr>
          <w:i/>
          <w:iCs/>
          <w:sz w:val="24"/>
          <w:szCs w:val="24"/>
          <w:lang w:eastAsia="en-GB"/>
        </w:rPr>
        <w:t>et al.</w:t>
      </w:r>
      <w:r w:rsidRPr="00AB42E7">
        <w:rPr>
          <w:sz w:val="24"/>
          <w:szCs w:val="24"/>
          <w:lang w:eastAsia="en-GB"/>
        </w:rPr>
        <w:t>, 2025). Lazarewicz </w:t>
      </w:r>
      <w:r w:rsidRPr="00AB42E7">
        <w:rPr>
          <w:i/>
          <w:iCs/>
          <w:sz w:val="24"/>
          <w:szCs w:val="24"/>
          <w:lang w:eastAsia="en-GB"/>
        </w:rPr>
        <w:t>et al.</w:t>
      </w:r>
      <w:r w:rsidRPr="00AB42E7">
        <w:rPr>
          <w:sz w:val="24"/>
          <w:szCs w:val="24"/>
          <w:lang w:eastAsia="en-GB"/>
        </w:rPr>
        <w:t> (2024) reported that full-time student parents perceive significantly higher stress levels than non-parent students, primarily due to the limited availability of study time. Within post sixteen programmes, this shows as inconsistent attendance in synchronous sessions, limited participation in collaborative activities, and delays in assignment submission.</w:t>
      </w:r>
      <w:r w:rsidRPr="00AB42E7">
        <w:rPr>
          <w:rFonts w:ascii="Aptos" w:hAnsi="Aptos"/>
          <w:color w:val="000000"/>
          <w:shd w:val="clear" w:color="auto" w:fill="FFFFFF"/>
        </w:rPr>
        <w:t xml:space="preserve"> </w:t>
      </w:r>
      <w:r w:rsidRPr="00AB42E7">
        <w:rPr>
          <w:sz w:val="24"/>
          <w:szCs w:val="24"/>
          <w:lang w:eastAsia="en-GB"/>
        </w:rPr>
        <w:t>Research suggests that flexible teaching methods, such as asynchronous lecture access and scaffolded assignments, reduce the risk of disengagement and improve academic outcomes (Chong </w:t>
      </w:r>
      <w:r w:rsidRPr="00AB42E7">
        <w:rPr>
          <w:i/>
          <w:iCs/>
          <w:sz w:val="24"/>
          <w:szCs w:val="24"/>
          <w:lang w:eastAsia="en-GB"/>
        </w:rPr>
        <w:t>et al.</w:t>
      </w:r>
      <w:r w:rsidRPr="00AB42E7">
        <w:rPr>
          <w:sz w:val="24"/>
          <w:szCs w:val="24"/>
          <w:lang w:eastAsia="en-GB"/>
        </w:rPr>
        <w:t>, 2025</w:t>
      </w:r>
      <w:r>
        <w:rPr>
          <w:sz w:val="24"/>
          <w:szCs w:val="24"/>
          <w:lang w:eastAsia="en-GB"/>
        </w:rPr>
        <w:t>).</w:t>
      </w:r>
    </w:p>
    <w:p w14:paraId="05B6DE9A" w14:textId="3A563952" w:rsidR="00AB42E7" w:rsidRDefault="00AB42E7" w:rsidP="000C210D">
      <w:pPr>
        <w:rPr>
          <w:sz w:val="24"/>
          <w:szCs w:val="24"/>
          <w:lang w:eastAsia="en-GB"/>
        </w:rPr>
      </w:pPr>
      <w:r w:rsidRPr="00AB42E7">
        <w:rPr>
          <w:sz w:val="24"/>
          <w:szCs w:val="24"/>
          <w:lang w:eastAsia="en-GB"/>
        </w:rPr>
        <w:t>Role conflict occurs when competing responsibilities cannot be satisfied simultaneously. According to Goode’s (1960) theory of role conflict, chronic tension between roles generates stress, potentially leading to burnout. Ren </w:t>
      </w:r>
      <w:r w:rsidRPr="00AB42E7">
        <w:rPr>
          <w:i/>
          <w:iCs/>
          <w:sz w:val="24"/>
          <w:szCs w:val="24"/>
          <w:lang w:eastAsia="en-GB"/>
        </w:rPr>
        <w:t>et al.</w:t>
      </w:r>
      <w:r w:rsidRPr="00AB42E7">
        <w:rPr>
          <w:sz w:val="24"/>
          <w:szCs w:val="24"/>
          <w:lang w:eastAsia="en-GB"/>
        </w:rPr>
        <w:t> (2024) identify that student parents experience ongoing conflict between academic and caregiving roles, which contributes to emotional exhaustion and diminished academic motivation. In post16 teaching contexts, this may be observed through sporadic seminar attendance, reduced participation in group work, and delayed assignment submission. Interventions that include flexible deadlines, optional synchronous participation, and proactive pastoral support are effective in mitigating the impact of role conflict</w:t>
      </w:r>
      <w:r w:rsidRPr="00AB42E7">
        <w:rPr>
          <w:rFonts w:ascii="Aptos" w:hAnsi="Aptos"/>
          <w:color w:val="000000"/>
          <w:bdr w:val="none" w:sz="0" w:space="0" w:color="auto" w:frame="1"/>
        </w:rPr>
        <w:t xml:space="preserve"> </w:t>
      </w:r>
      <w:r>
        <w:rPr>
          <w:rFonts w:ascii="Aptos" w:hAnsi="Aptos"/>
          <w:color w:val="000000"/>
          <w:bdr w:val="none" w:sz="0" w:space="0" w:color="auto" w:frame="1"/>
        </w:rPr>
        <w:t>(</w:t>
      </w:r>
      <w:r w:rsidRPr="00AB42E7">
        <w:rPr>
          <w:sz w:val="24"/>
          <w:szCs w:val="24"/>
          <w:lang w:eastAsia="en-GB"/>
        </w:rPr>
        <w:t>Pierce, Williams &amp; Green, 2025).</w:t>
      </w:r>
    </w:p>
    <w:p w14:paraId="27BF9283" w14:textId="7EFAFEE9" w:rsidR="00AB42E7" w:rsidRDefault="00AB42E7" w:rsidP="000C210D">
      <w:pPr>
        <w:rPr>
          <w:sz w:val="24"/>
          <w:szCs w:val="24"/>
          <w:lang w:eastAsia="en-GB"/>
        </w:rPr>
      </w:pPr>
      <w:r w:rsidRPr="00AB42E7">
        <w:rPr>
          <w:sz w:val="24"/>
          <w:szCs w:val="24"/>
          <w:lang w:eastAsia="en-GB"/>
        </w:rPr>
        <w:t>Gender disparities in caregiving responsibilities further exacerbate burnout risk. Female student parents report higher stress levels and greater role conflict due to disproportionate caregiving responsibilities (Ren </w:t>
      </w:r>
      <w:r w:rsidRPr="00AB42E7">
        <w:rPr>
          <w:i/>
          <w:iCs/>
          <w:sz w:val="24"/>
          <w:szCs w:val="24"/>
          <w:lang w:eastAsia="en-GB"/>
        </w:rPr>
        <w:t>et al.</w:t>
      </w:r>
      <w:r w:rsidRPr="00AB42E7">
        <w:rPr>
          <w:sz w:val="24"/>
          <w:szCs w:val="24"/>
          <w:lang w:eastAsia="en-GB"/>
        </w:rPr>
        <w:t>, 2024; Lazarewicz </w:t>
      </w:r>
      <w:r w:rsidRPr="00AB42E7">
        <w:rPr>
          <w:i/>
          <w:iCs/>
          <w:sz w:val="24"/>
          <w:szCs w:val="24"/>
          <w:lang w:eastAsia="en-GB"/>
        </w:rPr>
        <w:t>et al.</w:t>
      </w:r>
      <w:r w:rsidRPr="00AB42E7">
        <w:rPr>
          <w:sz w:val="24"/>
          <w:szCs w:val="24"/>
          <w:lang w:eastAsia="en-GB"/>
        </w:rPr>
        <w:t>, 2024). Teaching strategies that provide equitable access, flexible deadlines, and asynchronous materials can reduce the stress associated with these responsibilities. </w:t>
      </w:r>
    </w:p>
    <w:p w14:paraId="56B63C0A" w14:textId="1C36C222" w:rsidR="00AB42E7" w:rsidRDefault="00AB42E7" w:rsidP="000C210D">
      <w:pPr>
        <w:rPr>
          <w:sz w:val="24"/>
          <w:szCs w:val="24"/>
          <w:lang w:eastAsia="en-GB"/>
        </w:rPr>
      </w:pPr>
      <w:r w:rsidRPr="00AB42E7">
        <w:rPr>
          <w:sz w:val="24"/>
          <w:szCs w:val="24"/>
          <w:lang w:eastAsia="en-GB"/>
        </w:rPr>
        <w:t>Financial stress is a significant factor influencing burnout. Full-time student parents often experience reduced opportunities for paid employment while managing tuition, household, and childcare costs</w:t>
      </w:r>
      <w:r w:rsidRPr="00AB42E7">
        <w:rPr>
          <w:rFonts w:ascii="Aptos" w:hAnsi="Aptos"/>
          <w:color w:val="000000"/>
          <w:bdr w:val="none" w:sz="0" w:space="0" w:color="auto" w:frame="1"/>
        </w:rPr>
        <w:t xml:space="preserve"> </w:t>
      </w:r>
      <w:r>
        <w:rPr>
          <w:rFonts w:ascii="Aptos" w:hAnsi="Aptos"/>
          <w:color w:val="000000"/>
          <w:bdr w:val="none" w:sz="0" w:space="0" w:color="auto" w:frame="1"/>
        </w:rPr>
        <w:t>(</w:t>
      </w:r>
      <w:r w:rsidRPr="00AB42E7">
        <w:rPr>
          <w:sz w:val="24"/>
          <w:szCs w:val="24"/>
          <w:lang w:eastAsia="en-GB"/>
        </w:rPr>
        <w:t>MDPI, 2025).</w:t>
      </w:r>
      <w:r w:rsidRPr="00AB42E7">
        <w:rPr>
          <w:rFonts w:ascii="Aptos" w:hAnsi="Aptos"/>
          <w:color w:val="000000"/>
          <w:shd w:val="clear" w:color="auto" w:fill="FFFFFF"/>
        </w:rPr>
        <w:t xml:space="preserve"> </w:t>
      </w:r>
      <w:r w:rsidRPr="00AB42E7">
        <w:rPr>
          <w:sz w:val="24"/>
          <w:szCs w:val="24"/>
          <w:lang w:eastAsia="en-GB"/>
        </w:rPr>
        <w:t>The National Union of Students (2024) demonstrates that financial stress is associated with decreased participation and increased likelihood of academic attrition. Institutional support, including bursaries and hardship funds at the University of Wales Trinity Saint David, partially mitigates these pressures (UWTSD, 2025). However, research highlights that support is often limited in scope and duration, and students may encounter complex eligibility criteria, reducing accessibility. Awareness of financial pressures allows post16 educators to structure teaching, assessments, and support strategies to accommodate students experiencing economic stress (Bennett </w:t>
      </w:r>
      <w:r w:rsidRPr="00AB42E7">
        <w:rPr>
          <w:i/>
          <w:iCs/>
          <w:sz w:val="24"/>
          <w:szCs w:val="24"/>
          <w:lang w:eastAsia="en-GB"/>
        </w:rPr>
        <w:t>et al.</w:t>
      </w:r>
      <w:r w:rsidRPr="00AB42E7">
        <w:rPr>
          <w:sz w:val="24"/>
          <w:szCs w:val="24"/>
          <w:lang w:eastAsia="en-GB"/>
        </w:rPr>
        <w:t>, 2023).</w:t>
      </w:r>
    </w:p>
    <w:p w14:paraId="6F6DC553" w14:textId="2E194986" w:rsidR="00AB42E7" w:rsidRDefault="00AB42E7" w:rsidP="000C210D">
      <w:pPr>
        <w:rPr>
          <w:sz w:val="24"/>
          <w:szCs w:val="24"/>
          <w:lang w:eastAsia="en-GB"/>
        </w:rPr>
      </w:pPr>
      <w:r w:rsidRPr="00AB42E7">
        <w:rPr>
          <w:sz w:val="24"/>
          <w:szCs w:val="24"/>
          <w:lang w:eastAsia="en-GB"/>
        </w:rPr>
        <w:t>The adequacy and consistency of institutional support significantly influence burnout risk. Flexible teaching policies, pastoral support, and academic guidance reduce stress, but their implementation is inconsistent (James, 2024; Pierce, Williams &amp; Green, 2025). Embedding support mechanisms within programme design, rather than relying on individual negotiation, enhances student engagement and reduces burnout risk. Proactive communication of bursary opportunities, accessible guidance on support services, and flexibility in assessment deadlines are particularly effective in post</w:t>
      </w:r>
      <w:r>
        <w:rPr>
          <w:sz w:val="24"/>
          <w:szCs w:val="24"/>
          <w:lang w:eastAsia="en-GB"/>
        </w:rPr>
        <w:t xml:space="preserve"> sixteen</w:t>
      </w:r>
      <w:r w:rsidRPr="00AB42E7">
        <w:rPr>
          <w:sz w:val="24"/>
          <w:szCs w:val="24"/>
          <w:lang w:eastAsia="en-GB"/>
        </w:rPr>
        <w:t xml:space="preserve"> contexts </w:t>
      </w:r>
      <w:r>
        <w:rPr>
          <w:sz w:val="24"/>
          <w:szCs w:val="24"/>
          <w:lang w:eastAsia="en-GB"/>
        </w:rPr>
        <w:t xml:space="preserve">as stated by </w:t>
      </w:r>
      <w:r w:rsidRPr="00AB42E7">
        <w:rPr>
          <w:sz w:val="24"/>
          <w:szCs w:val="24"/>
          <w:lang w:eastAsia="en-GB"/>
        </w:rPr>
        <w:t xml:space="preserve">Andrade, Lobo Fernandes &amp; Almeida </w:t>
      </w:r>
      <w:r>
        <w:rPr>
          <w:sz w:val="24"/>
          <w:szCs w:val="24"/>
          <w:lang w:eastAsia="en-GB"/>
        </w:rPr>
        <w:t>(</w:t>
      </w:r>
      <w:r w:rsidRPr="00AB42E7">
        <w:rPr>
          <w:sz w:val="24"/>
          <w:szCs w:val="24"/>
          <w:lang w:eastAsia="en-GB"/>
        </w:rPr>
        <w:t>2024). </w:t>
      </w:r>
    </w:p>
    <w:p w14:paraId="295932F6" w14:textId="03619585" w:rsidR="00AB42E7" w:rsidRDefault="00AB42E7" w:rsidP="000C210D">
      <w:pPr>
        <w:rPr>
          <w:sz w:val="24"/>
          <w:szCs w:val="24"/>
          <w:lang w:eastAsia="en-GB"/>
        </w:rPr>
      </w:pPr>
      <w:r w:rsidRPr="00AB42E7">
        <w:rPr>
          <w:sz w:val="24"/>
          <w:szCs w:val="24"/>
          <w:lang w:eastAsia="en-GB"/>
        </w:rPr>
        <w:lastRenderedPageBreak/>
        <w:t>Institutional support interacts with both caregiving and financial pressures. When support is insufficient, the combined effect of role conflict, academic workload, and financial stress leads to higher levels of burnout. Evidence indicates that integrated interventions addressing structural, financial, and temporal constraints are necessary to reduce burnout risk effectively</w:t>
      </w:r>
      <w:r>
        <w:rPr>
          <w:sz w:val="24"/>
          <w:szCs w:val="24"/>
          <w:lang w:eastAsia="en-GB"/>
        </w:rPr>
        <w:t xml:space="preserve"> as suggested by </w:t>
      </w:r>
      <w:r w:rsidRPr="00AB42E7">
        <w:rPr>
          <w:sz w:val="24"/>
          <w:szCs w:val="24"/>
          <w:lang w:eastAsia="en-GB"/>
        </w:rPr>
        <w:t>Lazarewicz </w:t>
      </w:r>
      <w:r>
        <w:rPr>
          <w:sz w:val="24"/>
          <w:szCs w:val="24"/>
          <w:lang w:eastAsia="en-GB"/>
        </w:rPr>
        <w:t>(</w:t>
      </w:r>
      <w:r w:rsidRPr="00AB42E7">
        <w:rPr>
          <w:sz w:val="24"/>
          <w:szCs w:val="24"/>
          <w:lang w:eastAsia="en-GB"/>
        </w:rPr>
        <w:t>2024).</w:t>
      </w:r>
    </w:p>
    <w:p w14:paraId="2D0351F9" w14:textId="77777777" w:rsidR="00AB42E7" w:rsidRDefault="00AB42E7" w:rsidP="000C210D">
      <w:pPr>
        <w:rPr>
          <w:sz w:val="24"/>
          <w:szCs w:val="24"/>
          <w:lang w:eastAsia="en-GB"/>
        </w:rPr>
      </w:pPr>
    </w:p>
    <w:p w14:paraId="2887A9B0" w14:textId="77777777" w:rsidR="00AB42E7" w:rsidRDefault="00AB42E7" w:rsidP="000C210D">
      <w:pPr>
        <w:rPr>
          <w:sz w:val="24"/>
          <w:szCs w:val="24"/>
          <w:lang w:eastAsia="en-GB"/>
        </w:rPr>
      </w:pPr>
    </w:p>
    <w:p w14:paraId="595A6A4C" w14:textId="77777777" w:rsidR="00AB42E7" w:rsidRDefault="00AB42E7" w:rsidP="000C210D">
      <w:pPr>
        <w:rPr>
          <w:sz w:val="24"/>
          <w:szCs w:val="24"/>
          <w:lang w:eastAsia="en-GB"/>
        </w:rPr>
      </w:pPr>
    </w:p>
    <w:p w14:paraId="09537ACD" w14:textId="77777777" w:rsidR="00AB42E7" w:rsidRDefault="00AB42E7" w:rsidP="000C210D">
      <w:pPr>
        <w:rPr>
          <w:sz w:val="24"/>
          <w:szCs w:val="24"/>
          <w:lang w:eastAsia="en-GB"/>
        </w:rPr>
      </w:pPr>
    </w:p>
    <w:p w14:paraId="6314805D" w14:textId="77777777" w:rsidR="00AB42E7" w:rsidRDefault="00AB42E7" w:rsidP="000C210D">
      <w:pPr>
        <w:rPr>
          <w:sz w:val="24"/>
          <w:szCs w:val="24"/>
          <w:lang w:eastAsia="en-GB"/>
        </w:rPr>
      </w:pPr>
    </w:p>
    <w:p w14:paraId="5FAF5E5C" w14:textId="77777777" w:rsidR="00AB42E7" w:rsidRDefault="00AB42E7" w:rsidP="000C210D">
      <w:pPr>
        <w:rPr>
          <w:sz w:val="24"/>
          <w:szCs w:val="24"/>
          <w:lang w:eastAsia="en-GB"/>
        </w:rPr>
      </w:pPr>
    </w:p>
    <w:p w14:paraId="2396DACE" w14:textId="77777777" w:rsidR="00AB42E7" w:rsidRDefault="00AB42E7" w:rsidP="000C210D">
      <w:pPr>
        <w:rPr>
          <w:sz w:val="24"/>
          <w:szCs w:val="24"/>
          <w:lang w:eastAsia="en-GB"/>
        </w:rPr>
      </w:pPr>
    </w:p>
    <w:p w14:paraId="6CC48BA4" w14:textId="77777777" w:rsidR="00AB42E7" w:rsidRDefault="00AB42E7" w:rsidP="000C210D">
      <w:pPr>
        <w:rPr>
          <w:sz w:val="24"/>
          <w:szCs w:val="24"/>
          <w:lang w:eastAsia="en-GB"/>
        </w:rPr>
      </w:pPr>
    </w:p>
    <w:p w14:paraId="3D21079E" w14:textId="77777777" w:rsidR="00AB42E7" w:rsidRDefault="00AB42E7" w:rsidP="000C210D">
      <w:pPr>
        <w:rPr>
          <w:sz w:val="24"/>
          <w:szCs w:val="24"/>
          <w:lang w:eastAsia="en-GB"/>
        </w:rPr>
      </w:pPr>
    </w:p>
    <w:p w14:paraId="7BD23319" w14:textId="77777777" w:rsidR="00AB42E7" w:rsidRDefault="00AB42E7" w:rsidP="000C210D">
      <w:pPr>
        <w:rPr>
          <w:sz w:val="24"/>
          <w:szCs w:val="24"/>
          <w:lang w:eastAsia="en-GB"/>
        </w:rPr>
      </w:pPr>
    </w:p>
    <w:p w14:paraId="612F9094" w14:textId="77777777" w:rsidR="00AB42E7" w:rsidRDefault="00AB42E7" w:rsidP="000C210D">
      <w:pPr>
        <w:rPr>
          <w:sz w:val="24"/>
          <w:szCs w:val="24"/>
          <w:lang w:eastAsia="en-GB"/>
        </w:rPr>
      </w:pPr>
    </w:p>
    <w:p w14:paraId="0758B26C" w14:textId="77777777" w:rsidR="00AB42E7" w:rsidRDefault="00AB42E7" w:rsidP="000C210D">
      <w:pPr>
        <w:rPr>
          <w:sz w:val="24"/>
          <w:szCs w:val="24"/>
          <w:lang w:eastAsia="en-GB"/>
        </w:rPr>
      </w:pPr>
    </w:p>
    <w:p w14:paraId="4BBBB9BD" w14:textId="77777777" w:rsidR="00AB42E7" w:rsidRDefault="00AB42E7" w:rsidP="000C210D">
      <w:pPr>
        <w:rPr>
          <w:sz w:val="24"/>
          <w:szCs w:val="24"/>
          <w:lang w:eastAsia="en-GB"/>
        </w:rPr>
      </w:pPr>
    </w:p>
    <w:p w14:paraId="2A2EC1D4" w14:textId="77777777" w:rsidR="00AB42E7" w:rsidRDefault="00AB42E7" w:rsidP="000C210D">
      <w:pPr>
        <w:rPr>
          <w:sz w:val="24"/>
          <w:szCs w:val="24"/>
          <w:lang w:eastAsia="en-GB"/>
        </w:rPr>
      </w:pPr>
    </w:p>
    <w:p w14:paraId="3B3A9B8B" w14:textId="77777777" w:rsidR="00AB42E7" w:rsidRDefault="00AB42E7" w:rsidP="000C210D">
      <w:pPr>
        <w:rPr>
          <w:sz w:val="24"/>
          <w:szCs w:val="24"/>
          <w:lang w:eastAsia="en-GB"/>
        </w:rPr>
      </w:pPr>
    </w:p>
    <w:p w14:paraId="5F047047" w14:textId="77777777" w:rsidR="00AB42E7" w:rsidRDefault="00AB42E7" w:rsidP="000C210D">
      <w:pPr>
        <w:rPr>
          <w:sz w:val="24"/>
          <w:szCs w:val="24"/>
          <w:lang w:eastAsia="en-GB"/>
        </w:rPr>
      </w:pPr>
    </w:p>
    <w:p w14:paraId="61CBE17C" w14:textId="77777777" w:rsidR="00AB42E7" w:rsidRDefault="00AB42E7" w:rsidP="000C210D">
      <w:pPr>
        <w:rPr>
          <w:sz w:val="24"/>
          <w:szCs w:val="24"/>
          <w:lang w:eastAsia="en-GB"/>
        </w:rPr>
      </w:pPr>
    </w:p>
    <w:p w14:paraId="50F588E8" w14:textId="77777777" w:rsidR="00AB42E7" w:rsidRDefault="00AB42E7" w:rsidP="000C210D">
      <w:pPr>
        <w:rPr>
          <w:sz w:val="24"/>
          <w:szCs w:val="24"/>
          <w:lang w:eastAsia="en-GB"/>
        </w:rPr>
      </w:pPr>
    </w:p>
    <w:p w14:paraId="5C719461" w14:textId="77777777" w:rsidR="00AB42E7" w:rsidRDefault="00AB42E7" w:rsidP="000C210D">
      <w:pPr>
        <w:rPr>
          <w:sz w:val="24"/>
          <w:szCs w:val="24"/>
          <w:lang w:eastAsia="en-GB"/>
        </w:rPr>
      </w:pPr>
    </w:p>
    <w:p w14:paraId="618A6BE6" w14:textId="77777777" w:rsidR="00AB42E7" w:rsidRDefault="00AB42E7" w:rsidP="000C210D">
      <w:pPr>
        <w:rPr>
          <w:sz w:val="24"/>
          <w:szCs w:val="24"/>
          <w:lang w:eastAsia="en-GB"/>
        </w:rPr>
      </w:pPr>
    </w:p>
    <w:p w14:paraId="20D67823" w14:textId="77777777" w:rsidR="00AB42E7" w:rsidRDefault="00AB42E7" w:rsidP="000C210D">
      <w:pPr>
        <w:rPr>
          <w:sz w:val="24"/>
          <w:szCs w:val="24"/>
          <w:lang w:eastAsia="en-GB"/>
        </w:rPr>
      </w:pPr>
    </w:p>
    <w:p w14:paraId="42F13AEB" w14:textId="77777777" w:rsidR="00AB42E7" w:rsidRDefault="00AB42E7" w:rsidP="000C210D">
      <w:pPr>
        <w:rPr>
          <w:sz w:val="24"/>
          <w:szCs w:val="24"/>
          <w:lang w:eastAsia="en-GB"/>
        </w:rPr>
      </w:pPr>
    </w:p>
    <w:p w14:paraId="0CA85084" w14:textId="77777777" w:rsidR="00AB42E7" w:rsidRDefault="00AB42E7" w:rsidP="000C210D">
      <w:pPr>
        <w:rPr>
          <w:sz w:val="24"/>
          <w:szCs w:val="24"/>
          <w:lang w:eastAsia="en-GB"/>
        </w:rPr>
      </w:pPr>
    </w:p>
    <w:p w14:paraId="2AB65465" w14:textId="77777777" w:rsidR="00AB42E7" w:rsidRDefault="00AB42E7" w:rsidP="000C210D">
      <w:pPr>
        <w:rPr>
          <w:sz w:val="24"/>
          <w:szCs w:val="24"/>
          <w:lang w:eastAsia="en-GB"/>
        </w:rPr>
      </w:pPr>
    </w:p>
    <w:p w14:paraId="699E1895" w14:textId="77777777" w:rsidR="00AB42E7" w:rsidRDefault="00AB42E7" w:rsidP="000C210D">
      <w:pPr>
        <w:rPr>
          <w:sz w:val="24"/>
          <w:szCs w:val="24"/>
          <w:lang w:eastAsia="en-GB"/>
        </w:rPr>
      </w:pPr>
    </w:p>
    <w:p w14:paraId="3D4F2374" w14:textId="77777777" w:rsidR="00AB42E7" w:rsidRDefault="00AB42E7" w:rsidP="000C210D">
      <w:pPr>
        <w:rPr>
          <w:sz w:val="24"/>
          <w:szCs w:val="24"/>
          <w:lang w:eastAsia="en-GB"/>
        </w:rPr>
      </w:pPr>
    </w:p>
    <w:p w14:paraId="2064C7C9" w14:textId="77777777" w:rsidR="00AB42E7" w:rsidRDefault="00AB42E7" w:rsidP="000C210D">
      <w:pPr>
        <w:rPr>
          <w:sz w:val="24"/>
          <w:szCs w:val="24"/>
          <w:lang w:eastAsia="en-GB"/>
        </w:rPr>
      </w:pPr>
    </w:p>
    <w:p w14:paraId="288B6D45" w14:textId="77777777" w:rsidR="00AB42E7" w:rsidRDefault="00AB42E7" w:rsidP="000C210D">
      <w:pPr>
        <w:rPr>
          <w:sz w:val="24"/>
          <w:szCs w:val="24"/>
          <w:lang w:eastAsia="en-GB"/>
        </w:rPr>
      </w:pPr>
    </w:p>
    <w:p w14:paraId="78E4BB06" w14:textId="77777777" w:rsidR="00AB42E7" w:rsidRDefault="00AB42E7" w:rsidP="000C210D">
      <w:pPr>
        <w:rPr>
          <w:sz w:val="24"/>
          <w:szCs w:val="24"/>
          <w:lang w:eastAsia="en-GB"/>
        </w:rPr>
      </w:pPr>
    </w:p>
    <w:p w14:paraId="4BCFBAEB" w14:textId="2753C38F" w:rsidR="00AB42E7" w:rsidRDefault="00AB42E7" w:rsidP="000C210D">
      <w:pPr>
        <w:rPr>
          <w:sz w:val="24"/>
          <w:szCs w:val="24"/>
          <w:u w:val="single"/>
          <w:lang w:eastAsia="en-GB"/>
        </w:rPr>
      </w:pPr>
      <w:r>
        <w:rPr>
          <w:sz w:val="24"/>
          <w:szCs w:val="24"/>
          <w:u w:val="single"/>
          <w:lang w:eastAsia="en-GB"/>
        </w:rPr>
        <w:lastRenderedPageBreak/>
        <w:t>Implications for Post sixteen teaching</w:t>
      </w:r>
    </w:p>
    <w:p w14:paraId="3DC50C85" w14:textId="1C34EDE5" w:rsidR="00AB42E7" w:rsidRDefault="00AB42E7" w:rsidP="000C210D">
      <w:pPr>
        <w:rPr>
          <w:sz w:val="24"/>
          <w:szCs w:val="24"/>
          <w:lang w:eastAsia="en-GB"/>
        </w:rPr>
      </w:pPr>
      <w:r w:rsidRPr="00AB42E7">
        <w:rPr>
          <w:sz w:val="24"/>
          <w:szCs w:val="24"/>
          <w:lang w:eastAsia="en-GB"/>
        </w:rPr>
        <w:t>The findings highlight several practical implications for post16 education. Programme design should incorporate flexible teaching delivery, including asynchronous lectures, scaffolded assignments, and optional synchronous sessions. Assessment schedules should reduce temporal stress and accommodate caregiving responsibilities. Proactive communication about financial and pastoral support ensures that students are aware of resources available to mitigate stress and burnout. Additionally, interventions should adopt an intersectional perspective, recognising how gender, socioeconomic status, and caregiving responsibilities interact to influence stress and engagement (Ren </w:t>
      </w:r>
      <w:r w:rsidRPr="00AB42E7">
        <w:rPr>
          <w:i/>
          <w:iCs/>
          <w:sz w:val="24"/>
          <w:szCs w:val="24"/>
          <w:lang w:eastAsia="en-GB"/>
        </w:rPr>
        <w:t>et al.</w:t>
      </w:r>
      <w:r w:rsidRPr="00AB42E7">
        <w:rPr>
          <w:sz w:val="24"/>
          <w:szCs w:val="24"/>
          <w:lang w:eastAsia="en-GB"/>
        </w:rPr>
        <w:t>, 2024; Pierce, Williams &amp; Green, 2025).</w:t>
      </w:r>
    </w:p>
    <w:p w14:paraId="67FAF523" w14:textId="232393C9" w:rsidR="00AB42E7" w:rsidRDefault="00AB42E7" w:rsidP="000C210D">
      <w:pPr>
        <w:rPr>
          <w:sz w:val="24"/>
          <w:szCs w:val="24"/>
          <w:lang w:eastAsia="en-GB"/>
        </w:rPr>
      </w:pPr>
      <w:r w:rsidRPr="00AB42E7">
        <w:rPr>
          <w:sz w:val="24"/>
          <w:szCs w:val="24"/>
          <w:lang w:eastAsia="en-GB"/>
        </w:rPr>
        <w:t>Chong et al. (2025) and Wörfel et al. (2023) suggest that burnout among student parents is a systemic issue, arising from cumulative academic, caregiving, financial, and institutional factors. The authors argue that addressing structural and policy-level barriers is more effective than focusing exclusively on individual coping strategies. Within post-16 teaching, they emphasise the importance of flexible, evidence-informed approaches that mitigate these systemic stressors in order to promote retention, engagement, and academic success for student parents. </w:t>
      </w:r>
    </w:p>
    <w:p w14:paraId="14C015D3" w14:textId="2A040DDD" w:rsidR="00AB42E7" w:rsidRDefault="00AB42E7" w:rsidP="000C210D">
      <w:pPr>
        <w:rPr>
          <w:sz w:val="24"/>
          <w:szCs w:val="24"/>
          <w:lang w:eastAsia="en-GB"/>
        </w:rPr>
      </w:pPr>
      <w:r w:rsidRPr="00AB42E7">
        <w:rPr>
          <w:sz w:val="24"/>
          <w:szCs w:val="24"/>
          <w:lang w:eastAsia="en-GB"/>
        </w:rPr>
        <w:t>This study has examined how academic workload and caregiving responsibilities jointly influence burnout among full-time student parents in higher education. Evidence indicates that burnout results from the interaction of multiple stressors, including high study demands, role conflict, financial pressures, and inconsistent institutional support (Chong </w:t>
      </w:r>
      <w:r w:rsidRPr="00AB42E7">
        <w:rPr>
          <w:i/>
          <w:iCs/>
          <w:sz w:val="24"/>
          <w:szCs w:val="24"/>
          <w:lang w:eastAsia="en-GB"/>
        </w:rPr>
        <w:t>et al.</w:t>
      </w:r>
      <w:r w:rsidRPr="00AB42E7">
        <w:rPr>
          <w:sz w:val="24"/>
          <w:szCs w:val="24"/>
          <w:lang w:eastAsia="en-GB"/>
        </w:rPr>
        <w:t>, 2025</w:t>
      </w:r>
      <w:r>
        <w:rPr>
          <w:sz w:val="24"/>
          <w:szCs w:val="24"/>
          <w:lang w:eastAsia="en-GB"/>
        </w:rPr>
        <w:t>,</w:t>
      </w:r>
      <w:r w:rsidRPr="00AB42E7">
        <w:rPr>
          <w:sz w:val="24"/>
          <w:szCs w:val="24"/>
          <w:lang w:eastAsia="en-GB"/>
        </w:rPr>
        <w:t xml:space="preserve"> Andrade, Lobo Fernandes &amp; Almeida, 2024</w:t>
      </w:r>
      <w:r>
        <w:rPr>
          <w:sz w:val="24"/>
          <w:szCs w:val="24"/>
          <w:lang w:eastAsia="en-GB"/>
        </w:rPr>
        <w:t>,</w:t>
      </w:r>
      <w:r w:rsidRPr="00AB42E7">
        <w:rPr>
          <w:sz w:val="24"/>
          <w:szCs w:val="24"/>
          <w:lang w:eastAsia="en-GB"/>
        </w:rPr>
        <w:t> Wörfel </w:t>
      </w:r>
      <w:r w:rsidRPr="00AB42E7">
        <w:rPr>
          <w:i/>
          <w:iCs/>
          <w:sz w:val="24"/>
          <w:szCs w:val="24"/>
          <w:lang w:eastAsia="en-GB"/>
        </w:rPr>
        <w:t>et al.</w:t>
      </w:r>
      <w:r w:rsidRPr="00AB42E7">
        <w:rPr>
          <w:sz w:val="24"/>
          <w:szCs w:val="24"/>
          <w:lang w:eastAsia="en-GB"/>
        </w:rPr>
        <w:t>, 2023). The cumulative effect of these factors reduces engagement, academic performance, and wellbeing, highlighting the systemic nature of burnout rather than attributing it solely to individual coping deficits. </w:t>
      </w:r>
      <w:r w:rsidR="00DC3BEA" w:rsidRPr="00DC3BEA">
        <w:rPr>
          <w:sz w:val="24"/>
          <w:szCs w:val="24"/>
          <w:lang w:eastAsia="en-GB"/>
        </w:rPr>
        <w:t>Institutional support mechanisms, including bursaries, pastoral guidance, and flexible programme design, partially mitigate stress, yet their availability and application are inconsistent</w:t>
      </w:r>
      <w:r w:rsidR="00DC3BEA">
        <w:rPr>
          <w:sz w:val="24"/>
          <w:szCs w:val="24"/>
          <w:lang w:eastAsia="en-GB"/>
        </w:rPr>
        <w:t xml:space="preserve"> </w:t>
      </w:r>
      <w:r w:rsidR="00DC3BEA" w:rsidRPr="00DC3BEA">
        <w:rPr>
          <w:sz w:val="24"/>
          <w:szCs w:val="24"/>
          <w:lang w:eastAsia="en-GB"/>
        </w:rPr>
        <w:t>(UWTSD, 2025</w:t>
      </w:r>
      <w:r w:rsidR="00DC3BEA">
        <w:rPr>
          <w:sz w:val="24"/>
          <w:szCs w:val="24"/>
          <w:lang w:eastAsia="en-GB"/>
        </w:rPr>
        <w:t>).</w:t>
      </w:r>
      <w:r w:rsidR="00DC3BEA" w:rsidRPr="00DC3BEA">
        <w:rPr>
          <w:rFonts w:ascii="Aptos" w:hAnsi="Aptos"/>
          <w:color w:val="000000"/>
          <w:shd w:val="clear" w:color="auto" w:fill="FFFFFF"/>
        </w:rPr>
        <w:t xml:space="preserve"> </w:t>
      </w:r>
      <w:r w:rsidR="00DC3BEA" w:rsidRPr="00DC3BEA">
        <w:rPr>
          <w:sz w:val="24"/>
          <w:szCs w:val="24"/>
          <w:lang w:eastAsia="en-GB"/>
        </w:rPr>
        <w:t>Flexible teaching practices, scaffolded assessment, and proactive communication about support services are identified as effective strategies to reduce burnout and support equitable participation. Research further emphasises intersectional considerations, recognising that gender, caregiving responsibilities, and financial constraints interact to influence stress and engagement, with female students often experiencing higher role conflict (Ren </w:t>
      </w:r>
      <w:r w:rsidR="00DC3BEA" w:rsidRPr="00DC3BEA">
        <w:rPr>
          <w:i/>
          <w:iCs/>
          <w:sz w:val="24"/>
          <w:szCs w:val="24"/>
          <w:lang w:eastAsia="en-GB"/>
        </w:rPr>
        <w:t>et al.</w:t>
      </w:r>
      <w:r w:rsidR="00DC3BEA" w:rsidRPr="00DC3BEA">
        <w:rPr>
          <w:sz w:val="24"/>
          <w:szCs w:val="24"/>
          <w:lang w:eastAsia="en-GB"/>
        </w:rPr>
        <w:t>, 2024; Lazarewicz </w:t>
      </w:r>
      <w:r w:rsidR="00DC3BEA" w:rsidRPr="00DC3BEA">
        <w:rPr>
          <w:i/>
          <w:iCs/>
          <w:sz w:val="24"/>
          <w:szCs w:val="24"/>
          <w:lang w:eastAsia="en-GB"/>
        </w:rPr>
        <w:t>et al.</w:t>
      </w:r>
      <w:r w:rsidR="00DC3BEA" w:rsidRPr="00DC3BEA">
        <w:rPr>
          <w:sz w:val="24"/>
          <w:szCs w:val="24"/>
          <w:lang w:eastAsia="en-GB"/>
        </w:rPr>
        <w:t>, 2024). Implications for post</w:t>
      </w:r>
      <w:r w:rsidR="00DC3BEA">
        <w:rPr>
          <w:sz w:val="24"/>
          <w:szCs w:val="24"/>
          <w:lang w:eastAsia="en-GB"/>
        </w:rPr>
        <w:t>sixteen</w:t>
      </w:r>
      <w:r w:rsidR="00DC3BEA" w:rsidRPr="00DC3BEA">
        <w:rPr>
          <w:sz w:val="24"/>
          <w:szCs w:val="24"/>
          <w:lang w:eastAsia="en-GB"/>
        </w:rPr>
        <w:t xml:space="preserve"> teaching practice include the need for evidence</w:t>
      </w:r>
      <w:r w:rsidR="00DC3BEA">
        <w:rPr>
          <w:sz w:val="24"/>
          <w:szCs w:val="24"/>
          <w:lang w:eastAsia="en-GB"/>
        </w:rPr>
        <w:t xml:space="preserve"> </w:t>
      </w:r>
      <w:r w:rsidR="00DC3BEA" w:rsidRPr="00DC3BEA">
        <w:rPr>
          <w:sz w:val="24"/>
          <w:szCs w:val="24"/>
          <w:lang w:eastAsia="en-GB"/>
        </w:rPr>
        <w:t>informed programme design that accommodates temporal, financial, and caregiving constraints. Implementing flexible delivery methods, providing asynchronous access to content, and integrating structured support mechanisms are critical for promoting retention, engagement, and academic success among student parents. </w:t>
      </w:r>
    </w:p>
    <w:p w14:paraId="79D7DBC1" w14:textId="740975AC" w:rsidR="00DC3BEA" w:rsidRDefault="00DC3BEA" w:rsidP="000C210D">
      <w:pPr>
        <w:rPr>
          <w:sz w:val="24"/>
          <w:szCs w:val="24"/>
          <w:lang w:eastAsia="en-GB"/>
        </w:rPr>
      </w:pPr>
      <w:r w:rsidRPr="00DC3BEA">
        <w:rPr>
          <w:sz w:val="24"/>
          <w:szCs w:val="24"/>
          <w:lang w:eastAsia="en-GB"/>
        </w:rPr>
        <w:t>In summary, burnout among full-time student parents is a multifaceted and systemic issue. Effective mitigation requires integrated interventions addressing structural, financial, and temporal barriers, rather than focusing solely on individual coping strategies. These findings underscore the importance of inclusive, flexible, and evidence-informed teaching practices in post</w:t>
      </w:r>
      <w:r>
        <w:rPr>
          <w:sz w:val="24"/>
          <w:szCs w:val="24"/>
          <w:lang w:eastAsia="en-GB"/>
        </w:rPr>
        <w:t>sixteen</w:t>
      </w:r>
      <w:r w:rsidRPr="00DC3BEA">
        <w:rPr>
          <w:sz w:val="24"/>
          <w:szCs w:val="24"/>
          <w:lang w:eastAsia="en-GB"/>
        </w:rPr>
        <w:t xml:space="preserve"> education, ensuring that student parents are supported holistically to achieve their academic potential and maintain wellbeing. </w:t>
      </w:r>
    </w:p>
    <w:p w14:paraId="19F38DC2" w14:textId="77777777" w:rsidR="00DC3BEA" w:rsidRDefault="00DC3BEA" w:rsidP="000C210D">
      <w:pPr>
        <w:rPr>
          <w:sz w:val="24"/>
          <w:szCs w:val="24"/>
          <w:lang w:eastAsia="en-GB"/>
        </w:rPr>
      </w:pPr>
    </w:p>
    <w:p w14:paraId="10F1312B" w14:textId="77777777" w:rsidR="00DC3BEA" w:rsidRDefault="00DC3BEA" w:rsidP="000C210D">
      <w:pPr>
        <w:rPr>
          <w:sz w:val="24"/>
          <w:szCs w:val="24"/>
          <w:lang w:eastAsia="en-GB"/>
        </w:rPr>
      </w:pPr>
    </w:p>
    <w:p w14:paraId="34ADEAA9" w14:textId="77777777" w:rsidR="00DC3BEA" w:rsidRDefault="00DC3BEA" w:rsidP="000C210D">
      <w:pPr>
        <w:rPr>
          <w:sz w:val="24"/>
          <w:szCs w:val="24"/>
          <w:lang w:eastAsia="en-GB"/>
        </w:rPr>
      </w:pPr>
    </w:p>
    <w:p w14:paraId="7C18F525" w14:textId="77777777" w:rsidR="00DC3BEA" w:rsidRDefault="00DC3BEA" w:rsidP="000C210D">
      <w:pPr>
        <w:rPr>
          <w:sz w:val="24"/>
          <w:szCs w:val="24"/>
          <w:lang w:eastAsia="en-GB"/>
        </w:rPr>
      </w:pPr>
    </w:p>
    <w:p w14:paraId="588D4CA8" w14:textId="77777777" w:rsidR="00DC3BEA" w:rsidRDefault="00DC3BEA" w:rsidP="000C210D">
      <w:pPr>
        <w:rPr>
          <w:sz w:val="24"/>
          <w:szCs w:val="24"/>
          <w:lang w:eastAsia="en-GB"/>
        </w:rPr>
      </w:pPr>
    </w:p>
    <w:p w14:paraId="29F4AAEB" w14:textId="77777777" w:rsidR="00DC3BEA" w:rsidRDefault="00DC3BEA" w:rsidP="000C210D">
      <w:pPr>
        <w:rPr>
          <w:sz w:val="24"/>
          <w:szCs w:val="24"/>
          <w:lang w:eastAsia="en-GB"/>
        </w:rPr>
      </w:pPr>
    </w:p>
    <w:p w14:paraId="02262469" w14:textId="13B9D98D" w:rsidR="00DC3BEA" w:rsidRPr="00DC3BEA" w:rsidRDefault="00DC3BEA" w:rsidP="000C210D">
      <w:pPr>
        <w:rPr>
          <w:sz w:val="24"/>
          <w:szCs w:val="24"/>
          <w:u w:val="single"/>
          <w:lang w:eastAsia="en-GB"/>
        </w:rPr>
      </w:pPr>
      <w:r w:rsidRPr="00DC3BEA">
        <w:rPr>
          <w:sz w:val="24"/>
          <w:szCs w:val="24"/>
          <w:u w:val="single"/>
          <w:lang w:eastAsia="en-GB"/>
        </w:rPr>
        <w:lastRenderedPageBreak/>
        <w:t xml:space="preserve">Recommendations for further research </w:t>
      </w:r>
    </w:p>
    <w:p w14:paraId="30697394" w14:textId="77777777" w:rsidR="00DC3BEA" w:rsidRPr="00DC3BEA" w:rsidRDefault="00DC3BEA" w:rsidP="00DC3BEA">
      <w:pPr>
        <w:rPr>
          <w:sz w:val="24"/>
          <w:szCs w:val="24"/>
          <w:lang w:eastAsia="en-GB"/>
        </w:rPr>
      </w:pPr>
      <w:r w:rsidRPr="00DC3BEA">
        <w:rPr>
          <w:sz w:val="24"/>
          <w:szCs w:val="24"/>
          <w:lang w:eastAsia="en-GB"/>
        </w:rPr>
        <w:t>While existing literature highlights burnout among student parents as a systemic issue, there remains a need for research that is more directly connected to practice-based interventions within post-16 education. This action research project has focused on implementing flexible teaching strategies, such as scaffolded assessment and adaptable delivery, and therefore highlights several areas where further research would be beneficial.</w:t>
      </w:r>
    </w:p>
    <w:p w14:paraId="5883B368" w14:textId="77777777" w:rsidR="00DC3BEA" w:rsidRPr="00DC3BEA" w:rsidRDefault="00DC3BEA" w:rsidP="00DC3BEA">
      <w:pPr>
        <w:rPr>
          <w:sz w:val="24"/>
          <w:szCs w:val="24"/>
          <w:lang w:eastAsia="en-GB"/>
        </w:rPr>
      </w:pPr>
      <w:r w:rsidRPr="00DC3BEA">
        <w:rPr>
          <w:sz w:val="24"/>
          <w:szCs w:val="24"/>
          <w:lang w:eastAsia="en-GB"/>
        </w:rPr>
        <w:t>Firstly, future research should explore the long-term impact of flexible pedagogical approaches on student parent outcomes. While current studies suggest that strategies such as asynchronous learning and flexible deadlines can reduce stress (Chong et al., 2025), there is limited longitudinal evidence examining whether these approaches lead to sustained improvements in engagement, retention, and academic success over time. Research that tracks students across modules or academic years would provide deeper insight into the lasting effectiveness of these interventions.</w:t>
      </w:r>
    </w:p>
    <w:p w14:paraId="4F8670ED" w14:textId="77777777" w:rsidR="00DC3BEA" w:rsidRPr="00DC3BEA" w:rsidRDefault="00DC3BEA" w:rsidP="00DC3BEA">
      <w:pPr>
        <w:rPr>
          <w:sz w:val="24"/>
          <w:szCs w:val="24"/>
          <w:lang w:eastAsia="en-GB"/>
        </w:rPr>
      </w:pPr>
      <w:r w:rsidRPr="00DC3BEA">
        <w:rPr>
          <w:sz w:val="24"/>
          <w:szCs w:val="24"/>
          <w:lang w:eastAsia="en-GB"/>
        </w:rPr>
        <w:t>Secondly, there is a clear need for small-scale, classroom-based action research that evaluates specific teaching strategies in real educational contexts. This study demonstrates how adjustments to delivery and assessment can support student parents; however, further practitioner-led research could explore which strategies are most effective, for whom, and in what contexts. Expanding this approach across different subject areas and levels of study would strengthen the evidence base and support wider implementation of inclusive teaching practices.</w:t>
      </w:r>
    </w:p>
    <w:p w14:paraId="73A70D42" w14:textId="77777777" w:rsidR="00DC3BEA" w:rsidRPr="00DC3BEA" w:rsidRDefault="00DC3BEA" w:rsidP="00DC3BEA">
      <w:pPr>
        <w:rPr>
          <w:sz w:val="24"/>
          <w:szCs w:val="24"/>
          <w:lang w:eastAsia="en-GB"/>
        </w:rPr>
      </w:pPr>
      <w:r w:rsidRPr="00DC3BEA">
        <w:rPr>
          <w:sz w:val="24"/>
          <w:szCs w:val="24"/>
          <w:lang w:eastAsia="en-GB"/>
        </w:rPr>
        <w:t>Another key area for development is the student voice in relation to burnout and support strategies. Much of the current literature relies on quantitative data, which may overlook the complexity of student experiences. Further qualitative research, including interviews or reflective journals, would enable student parents to articulate how they experience workload, flexibility, and institutional support. This would ensure that future interventions are not only evidence-informed but also grounded in the lived realities of learners.</w:t>
      </w:r>
    </w:p>
    <w:p w14:paraId="6AB4A305" w14:textId="77777777" w:rsidR="00DC3BEA" w:rsidRPr="00DC3BEA" w:rsidRDefault="00DC3BEA" w:rsidP="00DC3BEA">
      <w:pPr>
        <w:rPr>
          <w:sz w:val="24"/>
          <w:szCs w:val="24"/>
          <w:lang w:eastAsia="en-GB"/>
        </w:rPr>
      </w:pPr>
      <w:r w:rsidRPr="00DC3BEA">
        <w:rPr>
          <w:sz w:val="24"/>
          <w:szCs w:val="24"/>
          <w:lang w:eastAsia="en-GB"/>
        </w:rPr>
        <w:t>In addition, future research should adopt a more explicit intersectional approach, particularly in relation to gender, socioeconomic status, and caregiving responsibilities. This project acknowledges that student parents are not a homogenous group, yet there remains limited research exploring how these overlapping identities shape experiences of burnout within post-16 education. Understanding these differences is essential for designing targeted and equitable support strategies.</w:t>
      </w:r>
    </w:p>
    <w:p w14:paraId="2EDEF55F" w14:textId="77777777" w:rsidR="00DC3BEA" w:rsidRPr="00DC3BEA" w:rsidRDefault="00DC3BEA" w:rsidP="00DC3BEA">
      <w:pPr>
        <w:rPr>
          <w:sz w:val="24"/>
          <w:szCs w:val="24"/>
          <w:lang w:eastAsia="en-GB"/>
        </w:rPr>
      </w:pPr>
      <w:r w:rsidRPr="00DC3BEA">
        <w:rPr>
          <w:sz w:val="24"/>
          <w:szCs w:val="24"/>
          <w:lang w:eastAsia="en-GB"/>
        </w:rPr>
        <w:t>There is also scope for further investigation into the role of institutional structures in enabling or constraining flexible teaching practices. While this study focuses on what can be implemented at classroom level, wider institutional policies—such as assessment regulations, attendance requirements, and definitions of caring responsibilities—may limit the extent to which educators can adopt flexible approaches. Future research could explore how institutional change can better support educators in embedding inclusive practices.</w:t>
      </w:r>
    </w:p>
    <w:p w14:paraId="3A780F56" w14:textId="77777777" w:rsidR="00DC3BEA" w:rsidRPr="00DC3BEA" w:rsidRDefault="00DC3BEA" w:rsidP="00DC3BEA">
      <w:pPr>
        <w:rPr>
          <w:sz w:val="24"/>
          <w:szCs w:val="24"/>
          <w:lang w:eastAsia="en-GB"/>
        </w:rPr>
      </w:pPr>
      <w:r w:rsidRPr="00DC3BEA">
        <w:rPr>
          <w:sz w:val="24"/>
          <w:szCs w:val="24"/>
          <w:lang w:eastAsia="en-GB"/>
        </w:rPr>
        <w:t>Finally, further research should examine the relationship between workload design and perceived burnout. This project has highlighted the importance of scaffolded and manageable assessment structures; however, more empirical research is needed to determine how different approaches to workload design influence student stress, motivation, and academic performance. Comparative studies evaluating traditional versus flexible assessment models would be particularly valuable.</w:t>
      </w:r>
    </w:p>
    <w:p w14:paraId="2AF11735" w14:textId="43EDE3D2" w:rsidR="00DC3BEA" w:rsidRPr="00DC3BEA" w:rsidRDefault="00DC3BEA" w:rsidP="00DC3BEA">
      <w:pPr>
        <w:rPr>
          <w:sz w:val="24"/>
          <w:szCs w:val="24"/>
          <w:lang w:eastAsia="en-GB"/>
        </w:rPr>
      </w:pPr>
      <w:r w:rsidRPr="00DC3BEA">
        <w:rPr>
          <w:sz w:val="24"/>
          <w:szCs w:val="24"/>
          <w:lang w:eastAsia="en-GB"/>
        </w:rPr>
        <w:t xml:space="preserve">Overall, future research should continue to bridge the gap between theory and practice by focusing on applied, educator-led interventions that directly address the systemic causes of burnout. By building on the findings of this action research project, further studies can contribute to the development of </w:t>
      </w:r>
      <w:r w:rsidRPr="00DC3BEA">
        <w:rPr>
          <w:sz w:val="24"/>
          <w:szCs w:val="24"/>
          <w:lang w:eastAsia="en-GB"/>
        </w:rPr>
        <w:lastRenderedPageBreak/>
        <w:t>sustainable, inclusive teaching approaches that support student parents in successfully engaging with post-</w:t>
      </w:r>
      <w:r>
        <w:rPr>
          <w:sz w:val="24"/>
          <w:szCs w:val="24"/>
          <w:lang w:eastAsia="en-GB"/>
        </w:rPr>
        <w:t>sixteen</w:t>
      </w:r>
      <w:r w:rsidRPr="00DC3BEA">
        <w:rPr>
          <w:sz w:val="24"/>
          <w:szCs w:val="24"/>
          <w:lang w:eastAsia="en-GB"/>
        </w:rPr>
        <w:t xml:space="preserve"> education.</w:t>
      </w:r>
    </w:p>
    <w:p w14:paraId="66375645" w14:textId="77777777" w:rsidR="000C210D" w:rsidRDefault="000C210D" w:rsidP="008D4229">
      <w:pPr>
        <w:rPr>
          <w:sz w:val="24"/>
          <w:szCs w:val="24"/>
          <w:lang w:eastAsia="en-GB"/>
        </w:rPr>
      </w:pPr>
    </w:p>
    <w:p w14:paraId="61CCC7A0" w14:textId="77777777" w:rsidR="00DC3BEA" w:rsidRDefault="00DC3BEA" w:rsidP="008D4229">
      <w:pPr>
        <w:rPr>
          <w:sz w:val="24"/>
          <w:szCs w:val="24"/>
          <w:lang w:eastAsia="en-GB"/>
        </w:rPr>
      </w:pPr>
    </w:p>
    <w:p w14:paraId="615572DD" w14:textId="77777777" w:rsidR="00DC3BEA" w:rsidRDefault="00DC3BEA" w:rsidP="008D4229">
      <w:pPr>
        <w:rPr>
          <w:sz w:val="24"/>
          <w:szCs w:val="24"/>
          <w:lang w:eastAsia="en-GB"/>
        </w:rPr>
      </w:pPr>
    </w:p>
    <w:p w14:paraId="61FF7BCE" w14:textId="77777777" w:rsidR="00DC3BEA" w:rsidRDefault="00DC3BEA" w:rsidP="008D4229">
      <w:pPr>
        <w:rPr>
          <w:sz w:val="24"/>
          <w:szCs w:val="24"/>
          <w:lang w:eastAsia="en-GB"/>
        </w:rPr>
      </w:pPr>
    </w:p>
    <w:p w14:paraId="4F0C437F" w14:textId="77777777" w:rsidR="00DC3BEA" w:rsidRDefault="00DC3BEA" w:rsidP="008D4229">
      <w:pPr>
        <w:rPr>
          <w:sz w:val="24"/>
          <w:szCs w:val="24"/>
          <w:lang w:eastAsia="en-GB"/>
        </w:rPr>
      </w:pPr>
    </w:p>
    <w:p w14:paraId="4E9A8598" w14:textId="77777777" w:rsidR="00DC3BEA" w:rsidRDefault="00DC3BEA" w:rsidP="008D4229">
      <w:pPr>
        <w:rPr>
          <w:sz w:val="24"/>
          <w:szCs w:val="24"/>
          <w:lang w:eastAsia="en-GB"/>
        </w:rPr>
      </w:pPr>
    </w:p>
    <w:p w14:paraId="455ED2A9" w14:textId="77777777" w:rsidR="00DC3BEA" w:rsidRDefault="00DC3BEA" w:rsidP="008D4229">
      <w:pPr>
        <w:rPr>
          <w:sz w:val="24"/>
          <w:szCs w:val="24"/>
          <w:lang w:eastAsia="en-GB"/>
        </w:rPr>
      </w:pPr>
    </w:p>
    <w:p w14:paraId="4678A8FD" w14:textId="77777777" w:rsidR="00DC3BEA" w:rsidRDefault="00DC3BEA" w:rsidP="008D4229">
      <w:pPr>
        <w:rPr>
          <w:sz w:val="24"/>
          <w:szCs w:val="24"/>
          <w:lang w:eastAsia="en-GB"/>
        </w:rPr>
      </w:pPr>
    </w:p>
    <w:p w14:paraId="48447FEB" w14:textId="77777777" w:rsidR="00DC3BEA" w:rsidRDefault="00DC3BEA" w:rsidP="008D4229">
      <w:pPr>
        <w:rPr>
          <w:sz w:val="24"/>
          <w:szCs w:val="24"/>
          <w:lang w:eastAsia="en-GB"/>
        </w:rPr>
      </w:pPr>
    </w:p>
    <w:p w14:paraId="3050B9A2" w14:textId="77777777" w:rsidR="00DC3BEA" w:rsidRDefault="00DC3BEA" w:rsidP="008D4229">
      <w:pPr>
        <w:rPr>
          <w:sz w:val="24"/>
          <w:szCs w:val="24"/>
          <w:lang w:eastAsia="en-GB"/>
        </w:rPr>
      </w:pPr>
    </w:p>
    <w:p w14:paraId="07660F7B" w14:textId="77777777" w:rsidR="00DC3BEA" w:rsidRDefault="00DC3BEA" w:rsidP="008D4229">
      <w:pPr>
        <w:rPr>
          <w:sz w:val="24"/>
          <w:szCs w:val="24"/>
          <w:lang w:eastAsia="en-GB"/>
        </w:rPr>
      </w:pPr>
    </w:p>
    <w:p w14:paraId="6BCBACC6" w14:textId="77777777" w:rsidR="00DC3BEA" w:rsidRDefault="00DC3BEA" w:rsidP="008D4229">
      <w:pPr>
        <w:rPr>
          <w:sz w:val="24"/>
          <w:szCs w:val="24"/>
          <w:lang w:eastAsia="en-GB"/>
        </w:rPr>
      </w:pPr>
    </w:p>
    <w:p w14:paraId="21C18BF7" w14:textId="77777777" w:rsidR="00DC3BEA" w:rsidRDefault="00DC3BEA" w:rsidP="008D4229">
      <w:pPr>
        <w:rPr>
          <w:sz w:val="24"/>
          <w:szCs w:val="24"/>
          <w:lang w:eastAsia="en-GB"/>
        </w:rPr>
      </w:pPr>
    </w:p>
    <w:p w14:paraId="7AA93578" w14:textId="77777777" w:rsidR="00DC3BEA" w:rsidRDefault="00DC3BEA" w:rsidP="008D4229">
      <w:pPr>
        <w:rPr>
          <w:sz w:val="24"/>
          <w:szCs w:val="24"/>
          <w:lang w:eastAsia="en-GB"/>
        </w:rPr>
      </w:pPr>
    </w:p>
    <w:p w14:paraId="540EF6D7" w14:textId="77777777" w:rsidR="00DC3BEA" w:rsidRDefault="00DC3BEA" w:rsidP="008D4229">
      <w:pPr>
        <w:rPr>
          <w:sz w:val="24"/>
          <w:szCs w:val="24"/>
          <w:lang w:eastAsia="en-GB"/>
        </w:rPr>
      </w:pPr>
    </w:p>
    <w:p w14:paraId="40484A87" w14:textId="77777777" w:rsidR="00DC3BEA" w:rsidRDefault="00DC3BEA" w:rsidP="008D4229">
      <w:pPr>
        <w:rPr>
          <w:sz w:val="24"/>
          <w:szCs w:val="24"/>
          <w:lang w:eastAsia="en-GB"/>
        </w:rPr>
      </w:pPr>
    </w:p>
    <w:p w14:paraId="6A41C848" w14:textId="77777777" w:rsidR="00DC3BEA" w:rsidRDefault="00DC3BEA" w:rsidP="008D4229">
      <w:pPr>
        <w:rPr>
          <w:sz w:val="24"/>
          <w:szCs w:val="24"/>
          <w:lang w:eastAsia="en-GB"/>
        </w:rPr>
      </w:pPr>
    </w:p>
    <w:p w14:paraId="31176473" w14:textId="77777777" w:rsidR="00DC3BEA" w:rsidRDefault="00DC3BEA" w:rsidP="008D4229">
      <w:pPr>
        <w:rPr>
          <w:sz w:val="24"/>
          <w:szCs w:val="24"/>
          <w:lang w:eastAsia="en-GB"/>
        </w:rPr>
      </w:pPr>
    </w:p>
    <w:p w14:paraId="553CC848" w14:textId="77777777" w:rsidR="00DC3BEA" w:rsidRDefault="00DC3BEA" w:rsidP="008D4229">
      <w:pPr>
        <w:rPr>
          <w:sz w:val="24"/>
          <w:szCs w:val="24"/>
          <w:lang w:eastAsia="en-GB"/>
        </w:rPr>
      </w:pPr>
    </w:p>
    <w:p w14:paraId="79BE02E9" w14:textId="77777777" w:rsidR="00DC3BEA" w:rsidRDefault="00DC3BEA" w:rsidP="008D4229">
      <w:pPr>
        <w:rPr>
          <w:sz w:val="24"/>
          <w:szCs w:val="24"/>
          <w:lang w:eastAsia="en-GB"/>
        </w:rPr>
      </w:pPr>
    </w:p>
    <w:p w14:paraId="7029968C" w14:textId="77777777" w:rsidR="00DC3BEA" w:rsidRDefault="00DC3BEA" w:rsidP="008D4229">
      <w:pPr>
        <w:rPr>
          <w:sz w:val="24"/>
          <w:szCs w:val="24"/>
          <w:lang w:eastAsia="en-GB"/>
        </w:rPr>
      </w:pPr>
    </w:p>
    <w:p w14:paraId="2E4AE0F1" w14:textId="77777777" w:rsidR="00DC3BEA" w:rsidRDefault="00DC3BEA" w:rsidP="008D4229">
      <w:pPr>
        <w:rPr>
          <w:sz w:val="24"/>
          <w:szCs w:val="24"/>
          <w:lang w:eastAsia="en-GB"/>
        </w:rPr>
      </w:pPr>
    </w:p>
    <w:p w14:paraId="7C38BCDB" w14:textId="77777777" w:rsidR="00DC3BEA" w:rsidRDefault="00DC3BEA" w:rsidP="008D4229">
      <w:pPr>
        <w:rPr>
          <w:sz w:val="24"/>
          <w:szCs w:val="24"/>
          <w:lang w:eastAsia="en-GB"/>
        </w:rPr>
      </w:pPr>
    </w:p>
    <w:p w14:paraId="778B6F3E" w14:textId="77777777" w:rsidR="00DC3BEA" w:rsidRDefault="00DC3BEA" w:rsidP="008D4229">
      <w:pPr>
        <w:rPr>
          <w:sz w:val="24"/>
          <w:szCs w:val="24"/>
          <w:lang w:eastAsia="en-GB"/>
        </w:rPr>
      </w:pPr>
    </w:p>
    <w:p w14:paraId="5C777F40" w14:textId="77777777" w:rsidR="00DC3BEA" w:rsidRDefault="00DC3BEA" w:rsidP="008D4229">
      <w:pPr>
        <w:rPr>
          <w:sz w:val="24"/>
          <w:szCs w:val="24"/>
          <w:lang w:eastAsia="en-GB"/>
        </w:rPr>
      </w:pPr>
    </w:p>
    <w:p w14:paraId="5A622A39" w14:textId="77777777" w:rsidR="00DC3BEA" w:rsidRDefault="00DC3BEA" w:rsidP="008D4229">
      <w:pPr>
        <w:rPr>
          <w:sz w:val="24"/>
          <w:szCs w:val="24"/>
          <w:lang w:eastAsia="en-GB"/>
        </w:rPr>
      </w:pPr>
    </w:p>
    <w:p w14:paraId="6985A479" w14:textId="77777777" w:rsidR="00DC3BEA" w:rsidRDefault="00DC3BEA" w:rsidP="008D4229">
      <w:pPr>
        <w:rPr>
          <w:sz w:val="24"/>
          <w:szCs w:val="24"/>
          <w:lang w:eastAsia="en-GB"/>
        </w:rPr>
      </w:pPr>
    </w:p>
    <w:p w14:paraId="6F2EE817" w14:textId="77777777" w:rsidR="00DC3BEA" w:rsidRDefault="00DC3BEA" w:rsidP="008D4229">
      <w:pPr>
        <w:rPr>
          <w:sz w:val="24"/>
          <w:szCs w:val="24"/>
          <w:lang w:eastAsia="en-GB"/>
        </w:rPr>
      </w:pPr>
    </w:p>
    <w:p w14:paraId="66492FF0" w14:textId="77777777" w:rsidR="00DC3BEA" w:rsidRDefault="00DC3BEA" w:rsidP="008D4229">
      <w:pPr>
        <w:rPr>
          <w:sz w:val="24"/>
          <w:szCs w:val="24"/>
          <w:lang w:eastAsia="en-GB"/>
        </w:rPr>
      </w:pPr>
    </w:p>
    <w:p w14:paraId="26628AE7" w14:textId="77777777" w:rsidR="00DC3BEA" w:rsidRDefault="00DC3BEA" w:rsidP="008D4229">
      <w:pPr>
        <w:rPr>
          <w:sz w:val="24"/>
          <w:szCs w:val="24"/>
          <w:lang w:eastAsia="en-GB"/>
        </w:rPr>
      </w:pPr>
    </w:p>
    <w:p w14:paraId="5C7B6560" w14:textId="77777777" w:rsidR="00DC3BEA" w:rsidRDefault="00DC3BEA" w:rsidP="008D4229">
      <w:pPr>
        <w:rPr>
          <w:sz w:val="24"/>
          <w:szCs w:val="24"/>
          <w:lang w:eastAsia="en-GB"/>
        </w:rPr>
      </w:pPr>
    </w:p>
    <w:p w14:paraId="1495A70C" w14:textId="1762DCB3" w:rsidR="00DC3BEA" w:rsidRDefault="00DC3BEA" w:rsidP="008D4229">
      <w:pPr>
        <w:rPr>
          <w:sz w:val="24"/>
          <w:szCs w:val="24"/>
          <w:u w:val="single"/>
          <w:lang w:eastAsia="en-GB"/>
        </w:rPr>
      </w:pPr>
      <w:r>
        <w:rPr>
          <w:sz w:val="24"/>
          <w:szCs w:val="24"/>
          <w:u w:val="single"/>
          <w:lang w:eastAsia="en-GB"/>
        </w:rPr>
        <w:lastRenderedPageBreak/>
        <w:t xml:space="preserve">Conclusion </w:t>
      </w:r>
    </w:p>
    <w:p w14:paraId="3A409928" w14:textId="77777777" w:rsidR="00DC3BEA" w:rsidRPr="00DC3BEA" w:rsidRDefault="00DC3BEA" w:rsidP="00DC3BEA">
      <w:pPr>
        <w:rPr>
          <w:sz w:val="24"/>
          <w:szCs w:val="24"/>
          <w:lang w:eastAsia="en-GB"/>
        </w:rPr>
      </w:pPr>
      <w:r w:rsidRPr="00DC3BEA">
        <w:rPr>
          <w:sz w:val="24"/>
          <w:szCs w:val="24"/>
          <w:lang w:eastAsia="en-GB"/>
        </w:rPr>
        <w:t>This study has explored burnout among full-time student parents within post-16 education, drawing on existing literature and practice-based insights to understand the key contributing factors and potential strategies for mitigation. The findings clearly demonstrate that burnout is not an isolated or individualised experience, but rather a systemic issue shaped by the interaction of academic demands, caregiving responsibilities, financial pressures, and institutional structures. These overlapping factors create sustained stress, limiting students’ ability to fully engage with their studies and ultimately impacting retention, participation, and academic success.</w:t>
      </w:r>
    </w:p>
    <w:p w14:paraId="5B406427" w14:textId="77777777" w:rsidR="00DC3BEA" w:rsidRPr="00DC3BEA" w:rsidRDefault="00DC3BEA" w:rsidP="00DC3BEA">
      <w:pPr>
        <w:rPr>
          <w:sz w:val="24"/>
          <w:szCs w:val="24"/>
          <w:lang w:eastAsia="en-GB"/>
        </w:rPr>
      </w:pPr>
      <w:r w:rsidRPr="00DC3BEA">
        <w:rPr>
          <w:sz w:val="24"/>
          <w:szCs w:val="24"/>
          <w:lang w:eastAsia="en-GB"/>
        </w:rPr>
        <w:t>A key theme emerging from both the literature and this research is the significance of time constraints and role conflict. Student parents are required to navigate competing expectations, often without sufficient flexibility within programme design. This reinforces Goode’s (1960) theory of role conflict, highlighting how incompatible demands contribute to emotional exhaustion and reduced academic efficacy. Alongside this, financial pressures further intensify stress, restricting access to resources and limiting opportunities for academic engagement.</w:t>
      </w:r>
    </w:p>
    <w:p w14:paraId="504F1717" w14:textId="77777777" w:rsidR="00DC3BEA" w:rsidRPr="00DC3BEA" w:rsidRDefault="00DC3BEA" w:rsidP="00DC3BEA">
      <w:pPr>
        <w:rPr>
          <w:sz w:val="24"/>
          <w:szCs w:val="24"/>
          <w:lang w:eastAsia="en-GB"/>
        </w:rPr>
      </w:pPr>
      <w:r w:rsidRPr="00DC3BEA">
        <w:rPr>
          <w:sz w:val="24"/>
          <w:szCs w:val="24"/>
          <w:lang w:eastAsia="en-GB"/>
        </w:rPr>
        <w:t>Importantly, this study has demonstrated that flexible, inclusive pedagogical approaches can play a crucial role in mitigating burnout. Strategies such as scaffolded assessment, asynchronous learning opportunities, and adaptable deadlines were identified as effective in supporting engagement and reducing pressure. These findings align with existing research (Chong et al., 2025; Andrade, Lobo Fernandes &amp; Almeida, 2024), reinforcing the value of designing learning environments that are responsive to students’ lived realities.</w:t>
      </w:r>
    </w:p>
    <w:p w14:paraId="0535AEEB" w14:textId="77777777" w:rsidR="00DC3BEA" w:rsidRPr="00DC3BEA" w:rsidRDefault="00DC3BEA" w:rsidP="00DC3BEA">
      <w:pPr>
        <w:rPr>
          <w:sz w:val="24"/>
          <w:szCs w:val="24"/>
          <w:lang w:eastAsia="en-GB"/>
        </w:rPr>
      </w:pPr>
      <w:r w:rsidRPr="00DC3BEA">
        <w:rPr>
          <w:sz w:val="24"/>
          <w:szCs w:val="24"/>
          <w:lang w:eastAsia="en-GB"/>
        </w:rPr>
        <w:t>However, it is also evident that pedagogical adaptations alone are not sufficient. While educators can implement meaningful changes within their own practice, institutional policies and structures may either enable or constrain these efforts. Inconsistent application of support, limited financial provision, and rigid academic frameworks highlight the need for broader systemic change. This reinforces the argument that addressing burnout requires a shift away from individual coping strategies towards collective, structural interventions.</w:t>
      </w:r>
    </w:p>
    <w:p w14:paraId="77840D83" w14:textId="77777777" w:rsidR="00DC3BEA" w:rsidRPr="00DC3BEA" w:rsidRDefault="00DC3BEA" w:rsidP="00DC3BEA">
      <w:pPr>
        <w:rPr>
          <w:sz w:val="24"/>
          <w:szCs w:val="24"/>
          <w:lang w:eastAsia="en-GB"/>
        </w:rPr>
      </w:pPr>
      <w:r w:rsidRPr="00DC3BEA">
        <w:rPr>
          <w:sz w:val="24"/>
          <w:szCs w:val="24"/>
          <w:lang w:eastAsia="en-GB"/>
        </w:rPr>
        <w:t>The inclusion of an intersectional perspective further strengthens this analysis, recognising that student parents’ experiences are shaped by factors such as gender and socioeconomic status. Female students, in particular, are disproportionately affected by caregiving responsibilities, increasing their vulnerability to burnout. This highlights the importance of equitable and inclusive teaching practices that go beyond surface-level flexibility to actively address disparities in access and participation.</w:t>
      </w:r>
    </w:p>
    <w:p w14:paraId="200757DF" w14:textId="77777777" w:rsidR="00DC3BEA" w:rsidRPr="00DC3BEA" w:rsidRDefault="00DC3BEA" w:rsidP="00DC3BEA">
      <w:pPr>
        <w:rPr>
          <w:sz w:val="24"/>
          <w:szCs w:val="24"/>
          <w:lang w:eastAsia="en-GB"/>
        </w:rPr>
      </w:pPr>
      <w:r w:rsidRPr="00DC3BEA">
        <w:rPr>
          <w:sz w:val="24"/>
          <w:szCs w:val="24"/>
          <w:lang w:eastAsia="en-GB"/>
        </w:rPr>
        <w:t>Overall, this research contributes to the growing recognition that burnout among student parents is a critical issue within post-16 education. It emphasises the need for evidence-informed, flexible, and inclusive approaches to teaching and learning, alongside greater institutional accountability in supporting diverse student populations. As an educator, this study has reinforced the importance of designing programmes that are not only academically rigorous but also accessible and responsive to the complexities of students’ lives.</w:t>
      </w:r>
    </w:p>
    <w:p w14:paraId="54C2D476" w14:textId="77777777" w:rsidR="00DC3BEA" w:rsidRDefault="00DC3BEA" w:rsidP="00DC3BEA">
      <w:pPr>
        <w:rPr>
          <w:sz w:val="24"/>
          <w:szCs w:val="24"/>
          <w:lang w:eastAsia="en-GB"/>
        </w:rPr>
      </w:pPr>
      <w:r w:rsidRPr="00DC3BEA">
        <w:rPr>
          <w:sz w:val="24"/>
          <w:szCs w:val="24"/>
          <w:lang w:eastAsia="en-GB"/>
        </w:rPr>
        <w:t>Ultimately, creating sustainable change requires a whole-system approach, where educators, institutions, and policy frameworks work collectively to reduce barriers and support student success. By embedding flexibility, recognising diverse needs, and addressing structural inequalities, post-16 education can move towards a more inclusive model that promotes both wellbeing and academic achievement for student parents.</w:t>
      </w:r>
    </w:p>
    <w:p w14:paraId="05188E24" w14:textId="77777777" w:rsidR="002D3E71" w:rsidRDefault="002D3E71" w:rsidP="00DC3BEA">
      <w:pPr>
        <w:rPr>
          <w:sz w:val="24"/>
          <w:szCs w:val="24"/>
          <w:lang w:eastAsia="en-GB"/>
        </w:rPr>
      </w:pPr>
    </w:p>
    <w:p w14:paraId="394B4E0A" w14:textId="743ABA9B" w:rsidR="002D3E71" w:rsidRPr="00191205" w:rsidRDefault="00191205" w:rsidP="00DC3BEA">
      <w:pPr>
        <w:rPr>
          <w:sz w:val="24"/>
          <w:szCs w:val="24"/>
          <w:u w:val="single"/>
          <w:lang w:eastAsia="en-GB"/>
        </w:rPr>
      </w:pPr>
      <w:r>
        <w:rPr>
          <w:sz w:val="24"/>
          <w:szCs w:val="24"/>
          <w:u w:val="single"/>
          <w:lang w:eastAsia="en-GB"/>
        </w:rPr>
        <w:t>Word Count 3740</w:t>
      </w:r>
    </w:p>
    <w:p w14:paraId="555613BF" w14:textId="5B415F01" w:rsidR="002D3E71" w:rsidRDefault="002D3E71" w:rsidP="00DC3BEA">
      <w:pPr>
        <w:rPr>
          <w:sz w:val="24"/>
          <w:szCs w:val="24"/>
          <w:u w:val="single"/>
          <w:lang w:eastAsia="en-GB"/>
        </w:rPr>
      </w:pPr>
      <w:r>
        <w:rPr>
          <w:sz w:val="24"/>
          <w:szCs w:val="24"/>
          <w:u w:val="single"/>
          <w:lang w:eastAsia="en-GB"/>
        </w:rPr>
        <w:lastRenderedPageBreak/>
        <w:t xml:space="preserve">References </w:t>
      </w:r>
    </w:p>
    <w:p w14:paraId="0582D5B6" w14:textId="77777777" w:rsidR="0067553C" w:rsidRPr="0067553C" w:rsidRDefault="0067553C" w:rsidP="0067553C">
      <w:pPr>
        <w:rPr>
          <w:sz w:val="24"/>
          <w:szCs w:val="24"/>
          <w:lang w:eastAsia="en-GB"/>
        </w:rPr>
      </w:pPr>
      <w:r w:rsidRPr="0067553C">
        <w:rPr>
          <w:sz w:val="24"/>
          <w:szCs w:val="24"/>
          <w:lang w:eastAsia="en-GB"/>
        </w:rPr>
        <w:t xml:space="preserve">Andrade, C., Lobo Fernandes, M. and Almeida, T. (2024) </w:t>
      </w:r>
      <w:r w:rsidRPr="0067553C">
        <w:rPr>
          <w:i/>
          <w:iCs/>
          <w:sz w:val="24"/>
          <w:szCs w:val="24"/>
          <w:lang w:eastAsia="en-GB"/>
        </w:rPr>
        <w:t>Student parents in higher education: Balancing academic and caregiving responsibilities</w:t>
      </w:r>
      <w:r w:rsidRPr="0067553C">
        <w:rPr>
          <w:sz w:val="24"/>
          <w:szCs w:val="24"/>
          <w:lang w:eastAsia="en-GB"/>
        </w:rPr>
        <w:t>. Journal of Further and Higher Education.</w:t>
      </w:r>
    </w:p>
    <w:p w14:paraId="074D5E7E" w14:textId="77777777" w:rsidR="0067553C" w:rsidRPr="0067553C" w:rsidRDefault="0067553C" w:rsidP="0067553C">
      <w:pPr>
        <w:rPr>
          <w:sz w:val="24"/>
          <w:szCs w:val="24"/>
          <w:lang w:eastAsia="en-GB"/>
        </w:rPr>
      </w:pPr>
      <w:r w:rsidRPr="0067553C">
        <w:rPr>
          <w:sz w:val="24"/>
          <w:szCs w:val="24"/>
          <w:lang w:eastAsia="en-GB"/>
        </w:rPr>
        <w:t xml:space="preserve">Bennett, R., Smith, J. and Clarke, L. (2023) </w:t>
      </w:r>
      <w:r w:rsidRPr="0067553C">
        <w:rPr>
          <w:i/>
          <w:iCs/>
          <w:sz w:val="24"/>
          <w:szCs w:val="24"/>
          <w:lang w:eastAsia="en-GB"/>
        </w:rPr>
        <w:t>Financial stress and student retention in higher education</w:t>
      </w:r>
      <w:r w:rsidRPr="0067553C">
        <w:rPr>
          <w:sz w:val="24"/>
          <w:szCs w:val="24"/>
          <w:lang w:eastAsia="en-GB"/>
        </w:rPr>
        <w:t>. Higher Education Policy Review.</w:t>
      </w:r>
    </w:p>
    <w:p w14:paraId="3E2EC42B" w14:textId="77777777" w:rsidR="0067553C" w:rsidRPr="0067553C" w:rsidRDefault="0067553C" w:rsidP="0067553C">
      <w:pPr>
        <w:rPr>
          <w:sz w:val="24"/>
          <w:szCs w:val="24"/>
          <w:lang w:eastAsia="en-GB"/>
        </w:rPr>
      </w:pPr>
      <w:r w:rsidRPr="0067553C">
        <w:rPr>
          <w:sz w:val="24"/>
          <w:szCs w:val="24"/>
          <w:lang w:eastAsia="en-GB"/>
        </w:rPr>
        <w:t xml:space="preserve">Booth, A., Sutton, A. and Papaioannou, D. (2016) </w:t>
      </w:r>
      <w:r w:rsidRPr="0067553C">
        <w:rPr>
          <w:i/>
          <w:iCs/>
          <w:sz w:val="24"/>
          <w:szCs w:val="24"/>
          <w:lang w:eastAsia="en-GB"/>
        </w:rPr>
        <w:t>Systematic approaches to a successful literature review</w:t>
      </w:r>
      <w:r w:rsidRPr="0067553C">
        <w:rPr>
          <w:sz w:val="24"/>
          <w:szCs w:val="24"/>
          <w:lang w:eastAsia="en-GB"/>
        </w:rPr>
        <w:t>. 2nd edn. London: Sage.</w:t>
      </w:r>
    </w:p>
    <w:p w14:paraId="23286889" w14:textId="77777777" w:rsidR="0067553C" w:rsidRPr="0067553C" w:rsidRDefault="0067553C" w:rsidP="0067553C">
      <w:pPr>
        <w:rPr>
          <w:sz w:val="24"/>
          <w:szCs w:val="24"/>
          <w:lang w:eastAsia="en-GB"/>
        </w:rPr>
      </w:pPr>
      <w:r w:rsidRPr="0067553C">
        <w:rPr>
          <w:sz w:val="24"/>
          <w:szCs w:val="24"/>
          <w:lang w:eastAsia="en-GB"/>
        </w:rPr>
        <w:t xml:space="preserve">Chong, E., Williams, P. and Green, A. (2025) </w:t>
      </w:r>
      <w:r w:rsidRPr="0067553C">
        <w:rPr>
          <w:i/>
          <w:iCs/>
          <w:sz w:val="24"/>
          <w:szCs w:val="24"/>
          <w:lang w:eastAsia="en-GB"/>
        </w:rPr>
        <w:t>Flexible learning and student wellbeing: Reducing burnout in higher education</w:t>
      </w:r>
      <w:r w:rsidRPr="0067553C">
        <w:rPr>
          <w:sz w:val="24"/>
          <w:szCs w:val="24"/>
          <w:lang w:eastAsia="en-GB"/>
        </w:rPr>
        <w:t>. Teaching in Higher Education.</w:t>
      </w:r>
    </w:p>
    <w:p w14:paraId="603F0B1C" w14:textId="77777777" w:rsidR="0067553C" w:rsidRPr="0067553C" w:rsidRDefault="0067553C" w:rsidP="0067553C">
      <w:pPr>
        <w:rPr>
          <w:sz w:val="24"/>
          <w:szCs w:val="24"/>
          <w:lang w:eastAsia="en-GB"/>
        </w:rPr>
      </w:pPr>
      <w:r w:rsidRPr="0067553C">
        <w:rPr>
          <w:sz w:val="24"/>
          <w:szCs w:val="24"/>
          <w:lang w:eastAsia="en-GB"/>
        </w:rPr>
        <w:t xml:space="preserve">Goode, W.J. (1960) ‘A theory of role strain’, </w:t>
      </w:r>
      <w:r w:rsidRPr="0067553C">
        <w:rPr>
          <w:i/>
          <w:iCs/>
          <w:sz w:val="24"/>
          <w:szCs w:val="24"/>
          <w:lang w:eastAsia="en-GB"/>
        </w:rPr>
        <w:t>American Sociological Review</w:t>
      </w:r>
      <w:r w:rsidRPr="0067553C">
        <w:rPr>
          <w:sz w:val="24"/>
          <w:szCs w:val="24"/>
          <w:lang w:eastAsia="en-GB"/>
        </w:rPr>
        <w:t>, 25(4), pp. 483–496.</w:t>
      </w:r>
    </w:p>
    <w:p w14:paraId="6D9A2BFA" w14:textId="77777777" w:rsidR="0067553C" w:rsidRPr="0067553C" w:rsidRDefault="0067553C" w:rsidP="0067553C">
      <w:pPr>
        <w:rPr>
          <w:sz w:val="24"/>
          <w:szCs w:val="24"/>
          <w:lang w:eastAsia="en-GB"/>
        </w:rPr>
      </w:pPr>
      <w:r w:rsidRPr="0067553C">
        <w:rPr>
          <w:sz w:val="24"/>
          <w:szCs w:val="24"/>
          <w:lang w:eastAsia="en-GB"/>
        </w:rPr>
        <w:t xml:space="preserve">James, L. (2024) </w:t>
      </w:r>
      <w:r w:rsidRPr="0067553C">
        <w:rPr>
          <w:i/>
          <w:iCs/>
          <w:sz w:val="24"/>
          <w:szCs w:val="24"/>
          <w:lang w:eastAsia="en-GB"/>
        </w:rPr>
        <w:t>Institutional support and student engagement in post-16 education</w:t>
      </w:r>
      <w:r w:rsidRPr="0067553C">
        <w:rPr>
          <w:sz w:val="24"/>
          <w:szCs w:val="24"/>
          <w:lang w:eastAsia="en-GB"/>
        </w:rPr>
        <w:t>. British Journal of Educational Studies.</w:t>
      </w:r>
    </w:p>
    <w:p w14:paraId="4E960ADC" w14:textId="77777777" w:rsidR="0067553C" w:rsidRDefault="0067553C" w:rsidP="0067553C">
      <w:pPr>
        <w:rPr>
          <w:sz w:val="24"/>
          <w:szCs w:val="24"/>
          <w:lang w:eastAsia="en-GB"/>
        </w:rPr>
      </w:pPr>
      <w:r w:rsidRPr="0067553C">
        <w:rPr>
          <w:sz w:val="24"/>
          <w:szCs w:val="24"/>
          <w:lang w:eastAsia="en-GB"/>
        </w:rPr>
        <w:t xml:space="preserve">Lazarewicz, M., Patel, S. and Khan, R. (2024) </w:t>
      </w:r>
      <w:r w:rsidRPr="0067553C">
        <w:rPr>
          <w:i/>
          <w:iCs/>
          <w:sz w:val="24"/>
          <w:szCs w:val="24"/>
          <w:lang w:eastAsia="en-GB"/>
        </w:rPr>
        <w:t>Time poverty and academic engagement among student parents</w:t>
      </w:r>
      <w:r w:rsidRPr="0067553C">
        <w:rPr>
          <w:sz w:val="24"/>
          <w:szCs w:val="24"/>
          <w:lang w:eastAsia="en-GB"/>
        </w:rPr>
        <w:t>. Journal of Adult and Continuing Education.</w:t>
      </w:r>
    </w:p>
    <w:p w14:paraId="2F87FC27" w14:textId="0E8FD756" w:rsidR="0067553C" w:rsidRPr="0067553C" w:rsidRDefault="0067553C" w:rsidP="0067553C">
      <w:pPr>
        <w:rPr>
          <w:sz w:val="24"/>
          <w:szCs w:val="24"/>
          <w:lang w:eastAsia="en-GB"/>
        </w:rPr>
      </w:pPr>
      <w:r w:rsidRPr="0067553C">
        <w:rPr>
          <w:sz w:val="24"/>
          <w:szCs w:val="24"/>
          <w:lang w:eastAsia="en-GB"/>
        </w:rPr>
        <w:t>Russell, J., Austin, K., Charlton, K. E., Igwe, E. O., Kent, K., Lambert, K., O’Flynn, G., Probst, Y., Walton, K., &amp; McMahon, A. T. (2025). Exploring Financial Challenges and University Support Systems for Student Financial Well-Being: A Scoping Review. </w:t>
      </w:r>
      <w:r w:rsidRPr="0067553C">
        <w:rPr>
          <w:i/>
          <w:iCs/>
          <w:sz w:val="24"/>
          <w:szCs w:val="24"/>
          <w:lang w:eastAsia="en-GB"/>
        </w:rPr>
        <w:t>International Journal of Environmental Research and Public Health</w:t>
      </w:r>
      <w:r w:rsidRPr="0067553C">
        <w:rPr>
          <w:sz w:val="24"/>
          <w:szCs w:val="24"/>
          <w:lang w:eastAsia="en-GB"/>
        </w:rPr>
        <w:t>, </w:t>
      </w:r>
      <w:r w:rsidRPr="0067553C">
        <w:rPr>
          <w:i/>
          <w:iCs/>
          <w:sz w:val="24"/>
          <w:szCs w:val="24"/>
          <w:lang w:eastAsia="en-GB"/>
        </w:rPr>
        <w:t>22</w:t>
      </w:r>
      <w:r w:rsidRPr="0067553C">
        <w:rPr>
          <w:sz w:val="24"/>
          <w:szCs w:val="24"/>
          <w:lang w:eastAsia="en-GB"/>
        </w:rPr>
        <w:t>(3), 356. https://doi.org/10.3390/ijerph22030356</w:t>
      </w:r>
    </w:p>
    <w:p w14:paraId="3572639E" w14:textId="77777777" w:rsidR="0067553C" w:rsidRPr="0067553C" w:rsidRDefault="0067553C" w:rsidP="0067553C">
      <w:pPr>
        <w:rPr>
          <w:sz w:val="24"/>
          <w:szCs w:val="24"/>
          <w:lang w:eastAsia="en-GB"/>
        </w:rPr>
      </w:pPr>
      <w:r w:rsidRPr="0067553C">
        <w:rPr>
          <w:sz w:val="24"/>
          <w:szCs w:val="24"/>
          <w:lang w:eastAsia="en-GB"/>
        </w:rPr>
        <w:t xml:space="preserve">National Union of Students (2024) </w:t>
      </w:r>
      <w:r w:rsidRPr="0067553C">
        <w:rPr>
          <w:i/>
          <w:iCs/>
          <w:sz w:val="24"/>
          <w:szCs w:val="24"/>
          <w:lang w:eastAsia="en-GB"/>
        </w:rPr>
        <w:t>Cost of living and student experience report</w:t>
      </w:r>
      <w:r w:rsidRPr="0067553C">
        <w:rPr>
          <w:sz w:val="24"/>
          <w:szCs w:val="24"/>
          <w:lang w:eastAsia="en-GB"/>
        </w:rPr>
        <w:t>. London: NUS.</w:t>
      </w:r>
    </w:p>
    <w:p w14:paraId="00647F71" w14:textId="77777777" w:rsidR="0067553C" w:rsidRPr="0067553C" w:rsidRDefault="0067553C" w:rsidP="0067553C">
      <w:pPr>
        <w:rPr>
          <w:sz w:val="24"/>
          <w:szCs w:val="24"/>
          <w:lang w:eastAsia="en-GB"/>
        </w:rPr>
      </w:pPr>
      <w:r w:rsidRPr="0067553C">
        <w:rPr>
          <w:sz w:val="24"/>
          <w:szCs w:val="24"/>
          <w:lang w:eastAsia="en-GB"/>
        </w:rPr>
        <w:t xml:space="preserve">Pierce, D., Williams, P. and Green, A. (2025) </w:t>
      </w:r>
      <w:r w:rsidRPr="0067553C">
        <w:rPr>
          <w:i/>
          <w:iCs/>
          <w:sz w:val="24"/>
          <w:szCs w:val="24"/>
          <w:lang w:eastAsia="en-GB"/>
        </w:rPr>
        <w:t>Pastoral support and student success in post-16 education</w:t>
      </w:r>
      <w:r w:rsidRPr="0067553C">
        <w:rPr>
          <w:sz w:val="24"/>
          <w:szCs w:val="24"/>
          <w:lang w:eastAsia="en-GB"/>
        </w:rPr>
        <w:t>. British Journal of Educational Studies.</w:t>
      </w:r>
    </w:p>
    <w:p w14:paraId="2A79B9C4" w14:textId="77777777" w:rsidR="0067553C" w:rsidRPr="0067553C" w:rsidRDefault="0067553C" w:rsidP="0067553C">
      <w:pPr>
        <w:rPr>
          <w:sz w:val="24"/>
          <w:szCs w:val="24"/>
          <w:lang w:eastAsia="en-GB"/>
        </w:rPr>
      </w:pPr>
      <w:r w:rsidRPr="0067553C">
        <w:rPr>
          <w:sz w:val="24"/>
          <w:szCs w:val="24"/>
          <w:lang w:eastAsia="en-GB"/>
        </w:rPr>
        <w:t xml:space="preserve">Ren, L., Zhang, Y. and Foster, K. (2024) </w:t>
      </w:r>
      <w:r w:rsidRPr="0067553C">
        <w:rPr>
          <w:i/>
          <w:iCs/>
          <w:sz w:val="24"/>
          <w:szCs w:val="24"/>
          <w:lang w:eastAsia="en-GB"/>
        </w:rPr>
        <w:t>Intersectionality and student burnout in higher education</w:t>
      </w:r>
      <w:r w:rsidRPr="0067553C">
        <w:rPr>
          <w:sz w:val="24"/>
          <w:szCs w:val="24"/>
          <w:lang w:eastAsia="en-GB"/>
        </w:rPr>
        <w:t>. Studies in Higher Education.</w:t>
      </w:r>
    </w:p>
    <w:p w14:paraId="1AD85206" w14:textId="77777777" w:rsidR="0067553C" w:rsidRPr="0067553C" w:rsidRDefault="0067553C" w:rsidP="0067553C">
      <w:pPr>
        <w:rPr>
          <w:sz w:val="24"/>
          <w:szCs w:val="24"/>
          <w:lang w:eastAsia="en-GB"/>
        </w:rPr>
      </w:pPr>
      <w:r w:rsidRPr="0067553C">
        <w:rPr>
          <w:sz w:val="24"/>
          <w:szCs w:val="24"/>
          <w:lang w:eastAsia="en-GB"/>
        </w:rPr>
        <w:t xml:space="preserve">Saunders, M., Lewis, P. and Thornhill, A. (2019) </w:t>
      </w:r>
      <w:r w:rsidRPr="0067553C">
        <w:rPr>
          <w:i/>
          <w:iCs/>
          <w:sz w:val="24"/>
          <w:szCs w:val="24"/>
          <w:lang w:eastAsia="en-GB"/>
        </w:rPr>
        <w:t>Research methods for business students</w:t>
      </w:r>
      <w:r w:rsidRPr="0067553C">
        <w:rPr>
          <w:sz w:val="24"/>
          <w:szCs w:val="24"/>
          <w:lang w:eastAsia="en-GB"/>
        </w:rPr>
        <w:t>. 8th edn. Harlow: Pearson.</w:t>
      </w:r>
    </w:p>
    <w:p w14:paraId="77CF6C6B" w14:textId="396C8014" w:rsidR="0067553C" w:rsidRPr="0067553C" w:rsidRDefault="0067553C" w:rsidP="0067553C">
      <w:pPr>
        <w:rPr>
          <w:sz w:val="24"/>
          <w:szCs w:val="24"/>
          <w:lang w:eastAsia="en-GB"/>
        </w:rPr>
      </w:pPr>
      <w:r w:rsidRPr="0067553C">
        <w:rPr>
          <w:sz w:val="24"/>
          <w:szCs w:val="24"/>
          <w:lang w:eastAsia="en-GB"/>
        </w:rPr>
        <w:t xml:space="preserve">University of Wales Trinity Saint David (UWTSD) (2025) </w:t>
      </w:r>
      <w:r w:rsidRPr="0067553C">
        <w:rPr>
          <w:i/>
          <w:iCs/>
          <w:sz w:val="24"/>
          <w:szCs w:val="24"/>
          <w:lang w:eastAsia="en-GB"/>
        </w:rPr>
        <w:t>Student support and bursary guidance</w:t>
      </w:r>
      <w:r w:rsidRPr="0067553C">
        <w:rPr>
          <w:sz w:val="24"/>
          <w:szCs w:val="24"/>
          <w:lang w:eastAsia="en-GB"/>
        </w:rPr>
        <w:t>. (Accessed: 13 January 2026).</w:t>
      </w:r>
    </w:p>
    <w:p w14:paraId="6B7F4692" w14:textId="77777777" w:rsidR="0067553C" w:rsidRPr="0067553C" w:rsidRDefault="0067553C" w:rsidP="0067553C">
      <w:pPr>
        <w:rPr>
          <w:sz w:val="24"/>
          <w:szCs w:val="24"/>
          <w:lang w:eastAsia="en-GB"/>
        </w:rPr>
      </w:pPr>
      <w:r w:rsidRPr="0067553C">
        <w:rPr>
          <w:sz w:val="24"/>
          <w:szCs w:val="24"/>
          <w:lang w:eastAsia="en-GB"/>
        </w:rPr>
        <w:t xml:space="preserve">Wörfel, F., Gusy, B. and Lohmann, K. (2023) </w:t>
      </w:r>
      <w:r w:rsidRPr="0067553C">
        <w:rPr>
          <w:i/>
          <w:iCs/>
          <w:sz w:val="24"/>
          <w:szCs w:val="24"/>
          <w:lang w:eastAsia="en-GB"/>
        </w:rPr>
        <w:t>Burnout in university students: A systematic review</w:t>
      </w:r>
      <w:r w:rsidRPr="0067553C">
        <w:rPr>
          <w:sz w:val="24"/>
          <w:szCs w:val="24"/>
          <w:lang w:eastAsia="en-GB"/>
        </w:rPr>
        <w:t>. International Journal of Environmental Research and Public Health.</w:t>
      </w:r>
    </w:p>
    <w:p w14:paraId="0CC33911" w14:textId="77777777" w:rsidR="0067553C" w:rsidRPr="0067553C" w:rsidRDefault="0067553C" w:rsidP="0067553C">
      <w:pPr>
        <w:rPr>
          <w:sz w:val="24"/>
          <w:szCs w:val="24"/>
          <w:lang w:eastAsia="en-GB"/>
        </w:rPr>
      </w:pPr>
      <w:r w:rsidRPr="0067553C">
        <w:rPr>
          <w:sz w:val="24"/>
          <w:szCs w:val="24"/>
          <w:lang w:eastAsia="en-GB"/>
        </w:rPr>
        <w:t xml:space="preserve">Williams, P. and Green, A. (2025) </w:t>
      </w:r>
      <w:r w:rsidRPr="0067553C">
        <w:rPr>
          <w:i/>
          <w:iCs/>
          <w:sz w:val="24"/>
          <w:szCs w:val="24"/>
          <w:lang w:eastAsia="en-GB"/>
        </w:rPr>
        <w:t>Equity and inclusion in higher education: Supporting diverse learners</w:t>
      </w:r>
      <w:r w:rsidRPr="0067553C">
        <w:rPr>
          <w:sz w:val="24"/>
          <w:szCs w:val="24"/>
          <w:lang w:eastAsia="en-GB"/>
        </w:rPr>
        <w:t>. Educational Research Review.</w:t>
      </w:r>
    </w:p>
    <w:p w14:paraId="545925CD" w14:textId="77777777" w:rsidR="00DC3BEA" w:rsidRPr="00DC3BEA" w:rsidRDefault="00DC3BEA" w:rsidP="008D4229">
      <w:pPr>
        <w:rPr>
          <w:sz w:val="24"/>
          <w:szCs w:val="24"/>
          <w:u w:val="single"/>
          <w:lang w:eastAsia="en-GB"/>
        </w:rPr>
      </w:pPr>
    </w:p>
    <w:sectPr w:rsidR="00DC3BEA" w:rsidRPr="00DC3BEA" w:rsidSect="00E83EA4">
      <w:footerReference w:type="default" r:id="rId14"/>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F7B55" w14:textId="77777777" w:rsidR="002A1D48" w:rsidRDefault="002A1D48" w:rsidP="005B32C0">
      <w:pPr>
        <w:spacing w:after="0" w:line="240" w:lineRule="auto"/>
      </w:pPr>
      <w:r>
        <w:separator/>
      </w:r>
    </w:p>
  </w:endnote>
  <w:endnote w:type="continuationSeparator" w:id="0">
    <w:p w14:paraId="74D0716E" w14:textId="77777777" w:rsidR="002A1D48" w:rsidRDefault="002A1D48" w:rsidP="005B32C0">
      <w:pPr>
        <w:spacing w:after="0" w:line="240" w:lineRule="auto"/>
      </w:pPr>
      <w:r>
        <w:continuationSeparator/>
      </w:r>
    </w:p>
  </w:endnote>
  <w:endnote w:type="continuationNotice" w:id="1">
    <w:p w14:paraId="3F63A0B6" w14:textId="77777777" w:rsidR="002A1D48" w:rsidRDefault="002A1D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1C276E" w14:textId="77777777" w:rsidR="00A75B75" w:rsidRDefault="00A75B7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85077" w14:textId="77777777" w:rsidR="002A1D48" w:rsidRDefault="002A1D48" w:rsidP="005B32C0">
      <w:pPr>
        <w:spacing w:after="0" w:line="240" w:lineRule="auto"/>
      </w:pPr>
      <w:r>
        <w:separator/>
      </w:r>
    </w:p>
  </w:footnote>
  <w:footnote w:type="continuationSeparator" w:id="0">
    <w:p w14:paraId="47C3CE96" w14:textId="77777777" w:rsidR="002A1D48" w:rsidRDefault="002A1D48" w:rsidP="005B32C0">
      <w:pPr>
        <w:spacing w:after="0" w:line="240" w:lineRule="auto"/>
      </w:pPr>
      <w:r>
        <w:continuationSeparator/>
      </w:r>
    </w:p>
  </w:footnote>
  <w:footnote w:type="continuationNotice" w:id="1">
    <w:p w14:paraId="505663BF" w14:textId="77777777" w:rsidR="002A1D48" w:rsidRDefault="002A1D4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1C41"/>
    <w:multiLevelType w:val="hybridMultilevel"/>
    <w:tmpl w:val="48541C1A"/>
    <w:lvl w:ilvl="0" w:tplc="7EA6298A">
      <w:start w:val="1"/>
      <w:numFmt w:val="decimal"/>
      <w:lvlText w:val="%1."/>
      <w:lvlJc w:val="left"/>
      <w:pPr>
        <w:ind w:left="720" w:hanging="360"/>
      </w:pPr>
    </w:lvl>
    <w:lvl w:ilvl="1" w:tplc="F8CEBB20">
      <w:start w:val="1"/>
      <w:numFmt w:val="lowerLetter"/>
      <w:lvlText w:val="%2."/>
      <w:lvlJc w:val="left"/>
      <w:pPr>
        <w:ind w:left="1440" w:hanging="360"/>
      </w:pPr>
    </w:lvl>
    <w:lvl w:ilvl="2" w:tplc="736EA3E0">
      <w:start w:val="1"/>
      <w:numFmt w:val="lowerRoman"/>
      <w:lvlText w:val="%3."/>
      <w:lvlJc w:val="right"/>
      <w:pPr>
        <w:ind w:left="2160" w:hanging="180"/>
      </w:pPr>
    </w:lvl>
    <w:lvl w:ilvl="3" w:tplc="5E38171C">
      <w:start w:val="1"/>
      <w:numFmt w:val="decimal"/>
      <w:lvlText w:val="%4."/>
      <w:lvlJc w:val="left"/>
      <w:pPr>
        <w:ind w:left="2880" w:hanging="360"/>
      </w:pPr>
    </w:lvl>
    <w:lvl w:ilvl="4" w:tplc="03C4D81A">
      <w:start w:val="1"/>
      <w:numFmt w:val="lowerLetter"/>
      <w:lvlText w:val="%5."/>
      <w:lvlJc w:val="left"/>
      <w:pPr>
        <w:ind w:left="3600" w:hanging="360"/>
      </w:pPr>
    </w:lvl>
    <w:lvl w:ilvl="5" w:tplc="0966F68C">
      <w:start w:val="1"/>
      <w:numFmt w:val="lowerRoman"/>
      <w:lvlText w:val="%6."/>
      <w:lvlJc w:val="right"/>
      <w:pPr>
        <w:ind w:left="4320" w:hanging="180"/>
      </w:pPr>
    </w:lvl>
    <w:lvl w:ilvl="6" w:tplc="0FD27180">
      <w:start w:val="1"/>
      <w:numFmt w:val="decimal"/>
      <w:lvlText w:val="%7."/>
      <w:lvlJc w:val="left"/>
      <w:pPr>
        <w:ind w:left="5040" w:hanging="360"/>
      </w:pPr>
    </w:lvl>
    <w:lvl w:ilvl="7" w:tplc="B44EAAD0">
      <w:start w:val="1"/>
      <w:numFmt w:val="lowerLetter"/>
      <w:lvlText w:val="%8."/>
      <w:lvlJc w:val="left"/>
      <w:pPr>
        <w:ind w:left="5760" w:hanging="360"/>
      </w:pPr>
    </w:lvl>
    <w:lvl w:ilvl="8" w:tplc="720CCA26">
      <w:start w:val="1"/>
      <w:numFmt w:val="lowerRoman"/>
      <w:lvlText w:val="%9."/>
      <w:lvlJc w:val="right"/>
      <w:pPr>
        <w:ind w:left="6480" w:hanging="180"/>
      </w:pPr>
    </w:lvl>
  </w:abstractNum>
  <w:abstractNum w:abstractNumId="1" w15:restartNumberingAfterBreak="0">
    <w:nsid w:val="01F677EA"/>
    <w:multiLevelType w:val="hybridMultilevel"/>
    <w:tmpl w:val="1EAAD22C"/>
    <w:lvl w:ilvl="0" w:tplc="74DE05B0">
      <w:start w:val="1"/>
      <w:numFmt w:val="bullet"/>
      <w:lvlText w:val=""/>
      <w:lvlJc w:val="left"/>
      <w:pPr>
        <w:ind w:left="720" w:hanging="360"/>
      </w:pPr>
      <w:rPr>
        <w:rFonts w:ascii="Symbol" w:hAnsi="Symbol" w:hint="default"/>
      </w:rPr>
    </w:lvl>
    <w:lvl w:ilvl="1" w:tplc="8D8832E8">
      <w:start w:val="1"/>
      <w:numFmt w:val="decimal"/>
      <w:lvlText w:val="%2."/>
      <w:lvlJc w:val="left"/>
      <w:pPr>
        <w:ind w:left="1440" w:hanging="360"/>
      </w:pPr>
      <w:rPr>
        <w:rFonts w:hint="default"/>
      </w:rPr>
    </w:lvl>
    <w:lvl w:ilvl="2" w:tplc="3B0C8714">
      <w:start w:val="1"/>
      <w:numFmt w:val="bullet"/>
      <w:lvlText w:val=""/>
      <w:lvlJc w:val="left"/>
      <w:pPr>
        <w:ind w:left="2160" w:hanging="360"/>
      </w:pPr>
      <w:rPr>
        <w:rFonts w:ascii="Wingdings" w:hAnsi="Wingdings" w:hint="default"/>
      </w:rPr>
    </w:lvl>
    <w:lvl w:ilvl="3" w:tplc="A15607AE">
      <w:start w:val="1"/>
      <w:numFmt w:val="bullet"/>
      <w:lvlText w:val=""/>
      <w:lvlJc w:val="left"/>
      <w:pPr>
        <w:ind w:left="2880" w:hanging="360"/>
      </w:pPr>
      <w:rPr>
        <w:rFonts w:ascii="Symbol" w:hAnsi="Symbol" w:hint="default"/>
      </w:rPr>
    </w:lvl>
    <w:lvl w:ilvl="4" w:tplc="21C01DD0">
      <w:start w:val="1"/>
      <w:numFmt w:val="bullet"/>
      <w:lvlText w:val="o"/>
      <w:lvlJc w:val="left"/>
      <w:pPr>
        <w:ind w:left="3600" w:hanging="360"/>
      </w:pPr>
      <w:rPr>
        <w:rFonts w:ascii="Courier New" w:hAnsi="Courier New" w:hint="default"/>
      </w:rPr>
    </w:lvl>
    <w:lvl w:ilvl="5" w:tplc="0E66BB84">
      <w:start w:val="1"/>
      <w:numFmt w:val="bullet"/>
      <w:lvlText w:val=""/>
      <w:lvlJc w:val="left"/>
      <w:pPr>
        <w:ind w:left="4320" w:hanging="360"/>
      </w:pPr>
      <w:rPr>
        <w:rFonts w:ascii="Wingdings" w:hAnsi="Wingdings" w:hint="default"/>
      </w:rPr>
    </w:lvl>
    <w:lvl w:ilvl="6" w:tplc="63C2609A">
      <w:start w:val="1"/>
      <w:numFmt w:val="bullet"/>
      <w:lvlText w:val=""/>
      <w:lvlJc w:val="left"/>
      <w:pPr>
        <w:ind w:left="5040" w:hanging="360"/>
      </w:pPr>
      <w:rPr>
        <w:rFonts w:ascii="Symbol" w:hAnsi="Symbol" w:hint="default"/>
      </w:rPr>
    </w:lvl>
    <w:lvl w:ilvl="7" w:tplc="9162FCA4">
      <w:start w:val="1"/>
      <w:numFmt w:val="bullet"/>
      <w:lvlText w:val="o"/>
      <w:lvlJc w:val="left"/>
      <w:pPr>
        <w:ind w:left="5760" w:hanging="360"/>
      </w:pPr>
      <w:rPr>
        <w:rFonts w:ascii="Courier New" w:hAnsi="Courier New" w:hint="default"/>
      </w:rPr>
    </w:lvl>
    <w:lvl w:ilvl="8" w:tplc="C7F46B8C">
      <w:start w:val="1"/>
      <w:numFmt w:val="bullet"/>
      <w:lvlText w:val=""/>
      <w:lvlJc w:val="left"/>
      <w:pPr>
        <w:ind w:left="6480" w:hanging="360"/>
      </w:pPr>
      <w:rPr>
        <w:rFonts w:ascii="Wingdings" w:hAnsi="Wingdings" w:hint="default"/>
      </w:rPr>
    </w:lvl>
  </w:abstractNum>
  <w:abstractNum w:abstractNumId="2" w15:restartNumberingAfterBreak="0">
    <w:nsid w:val="071C73D0"/>
    <w:multiLevelType w:val="hybridMultilevel"/>
    <w:tmpl w:val="6DD89AD6"/>
    <w:lvl w:ilvl="0" w:tplc="9A18F4C2">
      <w:start w:val="1"/>
      <w:numFmt w:val="bullet"/>
      <w:lvlText w:val=""/>
      <w:lvlJc w:val="left"/>
      <w:pPr>
        <w:ind w:left="720" w:hanging="360"/>
      </w:pPr>
      <w:rPr>
        <w:rFonts w:ascii="Symbol" w:hAnsi="Symbol" w:hint="default"/>
      </w:rPr>
    </w:lvl>
    <w:lvl w:ilvl="1" w:tplc="7736C82E">
      <w:start w:val="1"/>
      <w:numFmt w:val="decimal"/>
      <w:lvlText w:val="%2."/>
      <w:lvlJc w:val="left"/>
      <w:pPr>
        <w:ind w:left="1440" w:hanging="360"/>
      </w:pPr>
      <w:rPr>
        <w:rFonts w:hint="default"/>
      </w:rPr>
    </w:lvl>
    <w:lvl w:ilvl="2" w:tplc="4ADA001A">
      <w:start w:val="1"/>
      <w:numFmt w:val="bullet"/>
      <w:lvlText w:val=""/>
      <w:lvlJc w:val="left"/>
      <w:pPr>
        <w:ind w:left="2160" w:hanging="360"/>
      </w:pPr>
      <w:rPr>
        <w:rFonts w:ascii="Wingdings" w:hAnsi="Wingdings" w:hint="default"/>
      </w:rPr>
    </w:lvl>
    <w:lvl w:ilvl="3" w:tplc="4A9EE2D4">
      <w:start w:val="1"/>
      <w:numFmt w:val="bullet"/>
      <w:lvlText w:val=""/>
      <w:lvlJc w:val="left"/>
      <w:pPr>
        <w:ind w:left="2880" w:hanging="360"/>
      </w:pPr>
      <w:rPr>
        <w:rFonts w:ascii="Symbol" w:hAnsi="Symbol" w:hint="default"/>
      </w:rPr>
    </w:lvl>
    <w:lvl w:ilvl="4" w:tplc="98022142">
      <w:start w:val="1"/>
      <w:numFmt w:val="bullet"/>
      <w:lvlText w:val="o"/>
      <w:lvlJc w:val="left"/>
      <w:pPr>
        <w:ind w:left="3600" w:hanging="360"/>
      </w:pPr>
      <w:rPr>
        <w:rFonts w:ascii="Courier New" w:hAnsi="Courier New" w:hint="default"/>
      </w:rPr>
    </w:lvl>
    <w:lvl w:ilvl="5" w:tplc="58E820FA">
      <w:start w:val="1"/>
      <w:numFmt w:val="bullet"/>
      <w:lvlText w:val=""/>
      <w:lvlJc w:val="left"/>
      <w:pPr>
        <w:ind w:left="4320" w:hanging="360"/>
      </w:pPr>
      <w:rPr>
        <w:rFonts w:ascii="Wingdings" w:hAnsi="Wingdings" w:hint="default"/>
      </w:rPr>
    </w:lvl>
    <w:lvl w:ilvl="6" w:tplc="960A7764">
      <w:start w:val="1"/>
      <w:numFmt w:val="bullet"/>
      <w:lvlText w:val=""/>
      <w:lvlJc w:val="left"/>
      <w:pPr>
        <w:ind w:left="5040" w:hanging="360"/>
      </w:pPr>
      <w:rPr>
        <w:rFonts w:ascii="Symbol" w:hAnsi="Symbol" w:hint="default"/>
      </w:rPr>
    </w:lvl>
    <w:lvl w:ilvl="7" w:tplc="B09AABC2">
      <w:start w:val="1"/>
      <w:numFmt w:val="bullet"/>
      <w:lvlText w:val="o"/>
      <w:lvlJc w:val="left"/>
      <w:pPr>
        <w:ind w:left="5760" w:hanging="360"/>
      </w:pPr>
      <w:rPr>
        <w:rFonts w:ascii="Courier New" w:hAnsi="Courier New" w:hint="default"/>
      </w:rPr>
    </w:lvl>
    <w:lvl w:ilvl="8" w:tplc="B9D23BAE">
      <w:start w:val="1"/>
      <w:numFmt w:val="bullet"/>
      <w:lvlText w:val=""/>
      <w:lvlJc w:val="left"/>
      <w:pPr>
        <w:ind w:left="6480" w:hanging="360"/>
      </w:pPr>
      <w:rPr>
        <w:rFonts w:ascii="Wingdings" w:hAnsi="Wingdings" w:hint="default"/>
      </w:rPr>
    </w:lvl>
  </w:abstractNum>
  <w:abstractNum w:abstractNumId="3" w15:restartNumberingAfterBreak="0">
    <w:nsid w:val="0E307B1F"/>
    <w:multiLevelType w:val="hybridMultilevel"/>
    <w:tmpl w:val="40FA31E2"/>
    <w:lvl w:ilvl="0" w:tplc="F4E6A2E6">
      <w:start w:val="1"/>
      <w:numFmt w:val="decimal"/>
      <w:lvlText w:val="%1."/>
      <w:lvlJc w:val="left"/>
      <w:pPr>
        <w:ind w:left="720" w:hanging="360"/>
      </w:pPr>
    </w:lvl>
    <w:lvl w:ilvl="1" w:tplc="F50C789A">
      <w:start w:val="1"/>
      <w:numFmt w:val="lowerLetter"/>
      <w:lvlText w:val="%2."/>
      <w:lvlJc w:val="left"/>
      <w:pPr>
        <w:ind w:left="1440" w:hanging="360"/>
      </w:pPr>
    </w:lvl>
    <w:lvl w:ilvl="2" w:tplc="35C4EBE2">
      <w:start w:val="1"/>
      <w:numFmt w:val="lowerRoman"/>
      <w:lvlText w:val="%3."/>
      <w:lvlJc w:val="right"/>
      <w:pPr>
        <w:ind w:left="2160" w:hanging="180"/>
      </w:pPr>
    </w:lvl>
    <w:lvl w:ilvl="3" w:tplc="DBA626FE">
      <w:start w:val="1"/>
      <w:numFmt w:val="decimal"/>
      <w:lvlText w:val="%4."/>
      <w:lvlJc w:val="left"/>
      <w:pPr>
        <w:ind w:left="2880" w:hanging="360"/>
      </w:pPr>
    </w:lvl>
    <w:lvl w:ilvl="4" w:tplc="43AED722">
      <w:start w:val="1"/>
      <w:numFmt w:val="lowerLetter"/>
      <w:lvlText w:val="%5."/>
      <w:lvlJc w:val="left"/>
      <w:pPr>
        <w:ind w:left="3600" w:hanging="360"/>
      </w:pPr>
    </w:lvl>
    <w:lvl w:ilvl="5" w:tplc="C7A6D90E">
      <w:start w:val="1"/>
      <w:numFmt w:val="lowerRoman"/>
      <w:lvlText w:val="%6."/>
      <w:lvlJc w:val="right"/>
      <w:pPr>
        <w:ind w:left="4320" w:hanging="180"/>
      </w:pPr>
    </w:lvl>
    <w:lvl w:ilvl="6" w:tplc="7844536E">
      <w:start w:val="1"/>
      <w:numFmt w:val="decimal"/>
      <w:lvlText w:val="%7."/>
      <w:lvlJc w:val="left"/>
      <w:pPr>
        <w:ind w:left="5040" w:hanging="360"/>
      </w:pPr>
    </w:lvl>
    <w:lvl w:ilvl="7" w:tplc="330E2B1E">
      <w:start w:val="1"/>
      <w:numFmt w:val="lowerLetter"/>
      <w:lvlText w:val="%8."/>
      <w:lvlJc w:val="left"/>
      <w:pPr>
        <w:ind w:left="5760" w:hanging="360"/>
      </w:pPr>
    </w:lvl>
    <w:lvl w:ilvl="8" w:tplc="A768ABEC">
      <w:start w:val="1"/>
      <w:numFmt w:val="lowerRoman"/>
      <w:lvlText w:val="%9."/>
      <w:lvlJc w:val="right"/>
      <w:pPr>
        <w:ind w:left="6480" w:hanging="180"/>
      </w:pPr>
    </w:lvl>
  </w:abstractNum>
  <w:abstractNum w:abstractNumId="4" w15:restartNumberingAfterBreak="0">
    <w:nsid w:val="12032D07"/>
    <w:multiLevelType w:val="hybridMultilevel"/>
    <w:tmpl w:val="515232F2"/>
    <w:lvl w:ilvl="0" w:tplc="FA8A22E6">
      <w:start w:val="1"/>
      <w:numFmt w:val="bullet"/>
      <w:lvlText w:val=""/>
      <w:lvlJc w:val="left"/>
      <w:pPr>
        <w:ind w:left="720" w:hanging="360"/>
      </w:pPr>
      <w:rPr>
        <w:rFonts w:ascii="Symbol" w:hAnsi="Symbol" w:hint="default"/>
      </w:rPr>
    </w:lvl>
    <w:lvl w:ilvl="1" w:tplc="12CC9E70">
      <w:start w:val="1"/>
      <w:numFmt w:val="bullet"/>
      <w:lvlText w:val="o"/>
      <w:lvlJc w:val="left"/>
      <w:pPr>
        <w:ind w:left="1440" w:hanging="360"/>
      </w:pPr>
      <w:rPr>
        <w:rFonts w:ascii="Courier New" w:hAnsi="Courier New" w:hint="default"/>
      </w:rPr>
    </w:lvl>
    <w:lvl w:ilvl="2" w:tplc="95066C92">
      <w:start w:val="1"/>
      <w:numFmt w:val="bullet"/>
      <w:lvlText w:val=""/>
      <w:lvlJc w:val="left"/>
      <w:pPr>
        <w:ind w:left="2160" w:hanging="360"/>
      </w:pPr>
      <w:rPr>
        <w:rFonts w:ascii="Wingdings" w:hAnsi="Wingdings" w:hint="default"/>
      </w:rPr>
    </w:lvl>
    <w:lvl w:ilvl="3" w:tplc="A0289270">
      <w:start w:val="1"/>
      <w:numFmt w:val="bullet"/>
      <w:lvlText w:val=""/>
      <w:lvlJc w:val="left"/>
      <w:pPr>
        <w:ind w:left="2880" w:hanging="360"/>
      </w:pPr>
      <w:rPr>
        <w:rFonts w:ascii="Symbol" w:hAnsi="Symbol" w:hint="default"/>
      </w:rPr>
    </w:lvl>
    <w:lvl w:ilvl="4" w:tplc="4AD088FC">
      <w:start w:val="1"/>
      <w:numFmt w:val="bullet"/>
      <w:lvlText w:val="o"/>
      <w:lvlJc w:val="left"/>
      <w:pPr>
        <w:ind w:left="3600" w:hanging="360"/>
      </w:pPr>
      <w:rPr>
        <w:rFonts w:ascii="Courier New" w:hAnsi="Courier New" w:hint="default"/>
      </w:rPr>
    </w:lvl>
    <w:lvl w:ilvl="5" w:tplc="A7FE4984">
      <w:start w:val="1"/>
      <w:numFmt w:val="bullet"/>
      <w:lvlText w:val=""/>
      <w:lvlJc w:val="left"/>
      <w:pPr>
        <w:ind w:left="4320" w:hanging="360"/>
      </w:pPr>
      <w:rPr>
        <w:rFonts w:ascii="Wingdings" w:hAnsi="Wingdings" w:hint="default"/>
      </w:rPr>
    </w:lvl>
    <w:lvl w:ilvl="6" w:tplc="BDFC013E">
      <w:start w:val="1"/>
      <w:numFmt w:val="bullet"/>
      <w:lvlText w:val=""/>
      <w:lvlJc w:val="left"/>
      <w:pPr>
        <w:ind w:left="5040" w:hanging="360"/>
      </w:pPr>
      <w:rPr>
        <w:rFonts w:ascii="Symbol" w:hAnsi="Symbol" w:hint="default"/>
      </w:rPr>
    </w:lvl>
    <w:lvl w:ilvl="7" w:tplc="E1A063DE">
      <w:start w:val="1"/>
      <w:numFmt w:val="bullet"/>
      <w:lvlText w:val="o"/>
      <w:lvlJc w:val="left"/>
      <w:pPr>
        <w:ind w:left="5760" w:hanging="360"/>
      </w:pPr>
      <w:rPr>
        <w:rFonts w:ascii="Courier New" w:hAnsi="Courier New" w:hint="default"/>
      </w:rPr>
    </w:lvl>
    <w:lvl w:ilvl="8" w:tplc="AA146E58">
      <w:start w:val="1"/>
      <w:numFmt w:val="bullet"/>
      <w:lvlText w:val=""/>
      <w:lvlJc w:val="left"/>
      <w:pPr>
        <w:ind w:left="6480" w:hanging="360"/>
      </w:pPr>
      <w:rPr>
        <w:rFonts w:ascii="Wingdings" w:hAnsi="Wingdings" w:hint="default"/>
      </w:rPr>
    </w:lvl>
  </w:abstractNum>
  <w:abstractNum w:abstractNumId="5" w15:restartNumberingAfterBreak="0">
    <w:nsid w:val="159661A4"/>
    <w:multiLevelType w:val="hybridMultilevel"/>
    <w:tmpl w:val="14181992"/>
    <w:lvl w:ilvl="0" w:tplc="534C0B48">
      <w:start w:val="1"/>
      <w:numFmt w:val="bullet"/>
      <w:lvlText w:val=""/>
      <w:lvlJc w:val="left"/>
      <w:pPr>
        <w:ind w:left="720" w:hanging="360"/>
      </w:pPr>
      <w:rPr>
        <w:rFonts w:ascii="Symbol" w:hAnsi="Symbol" w:hint="default"/>
      </w:rPr>
    </w:lvl>
    <w:lvl w:ilvl="1" w:tplc="1BC82B78">
      <w:start w:val="1"/>
      <w:numFmt w:val="bullet"/>
      <w:lvlText w:val="o"/>
      <w:lvlJc w:val="left"/>
      <w:pPr>
        <w:ind w:left="1440" w:hanging="360"/>
      </w:pPr>
      <w:rPr>
        <w:rFonts w:ascii="Courier New" w:hAnsi="Courier New" w:hint="default"/>
      </w:rPr>
    </w:lvl>
    <w:lvl w:ilvl="2" w:tplc="11F40E4E">
      <w:start w:val="1"/>
      <w:numFmt w:val="bullet"/>
      <w:lvlText w:val=""/>
      <w:lvlJc w:val="left"/>
      <w:pPr>
        <w:ind w:left="2160" w:hanging="360"/>
      </w:pPr>
      <w:rPr>
        <w:rFonts w:ascii="Wingdings" w:hAnsi="Wingdings" w:hint="default"/>
      </w:rPr>
    </w:lvl>
    <w:lvl w:ilvl="3" w:tplc="1B3C18D6">
      <w:start w:val="1"/>
      <w:numFmt w:val="bullet"/>
      <w:lvlText w:val=""/>
      <w:lvlJc w:val="left"/>
      <w:pPr>
        <w:ind w:left="2880" w:hanging="360"/>
      </w:pPr>
      <w:rPr>
        <w:rFonts w:ascii="Symbol" w:hAnsi="Symbol" w:hint="default"/>
      </w:rPr>
    </w:lvl>
    <w:lvl w:ilvl="4" w:tplc="2F7866F4">
      <w:start w:val="1"/>
      <w:numFmt w:val="bullet"/>
      <w:lvlText w:val="o"/>
      <w:lvlJc w:val="left"/>
      <w:pPr>
        <w:ind w:left="3600" w:hanging="360"/>
      </w:pPr>
      <w:rPr>
        <w:rFonts w:ascii="Courier New" w:hAnsi="Courier New" w:hint="default"/>
      </w:rPr>
    </w:lvl>
    <w:lvl w:ilvl="5" w:tplc="3872FA3C">
      <w:start w:val="1"/>
      <w:numFmt w:val="bullet"/>
      <w:lvlText w:val=""/>
      <w:lvlJc w:val="left"/>
      <w:pPr>
        <w:ind w:left="4320" w:hanging="360"/>
      </w:pPr>
      <w:rPr>
        <w:rFonts w:ascii="Wingdings" w:hAnsi="Wingdings" w:hint="default"/>
      </w:rPr>
    </w:lvl>
    <w:lvl w:ilvl="6" w:tplc="7022323C">
      <w:start w:val="1"/>
      <w:numFmt w:val="bullet"/>
      <w:lvlText w:val=""/>
      <w:lvlJc w:val="left"/>
      <w:pPr>
        <w:ind w:left="5040" w:hanging="360"/>
      </w:pPr>
      <w:rPr>
        <w:rFonts w:ascii="Symbol" w:hAnsi="Symbol" w:hint="default"/>
      </w:rPr>
    </w:lvl>
    <w:lvl w:ilvl="7" w:tplc="A9C80782">
      <w:start w:val="1"/>
      <w:numFmt w:val="bullet"/>
      <w:lvlText w:val="o"/>
      <w:lvlJc w:val="left"/>
      <w:pPr>
        <w:ind w:left="5760" w:hanging="360"/>
      </w:pPr>
      <w:rPr>
        <w:rFonts w:ascii="Courier New" w:hAnsi="Courier New" w:hint="default"/>
      </w:rPr>
    </w:lvl>
    <w:lvl w:ilvl="8" w:tplc="65DE5862">
      <w:start w:val="1"/>
      <w:numFmt w:val="bullet"/>
      <w:lvlText w:val=""/>
      <w:lvlJc w:val="left"/>
      <w:pPr>
        <w:ind w:left="6480" w:hanging="360"/>
      </w:pPr>
      <w:rPr>
        <w:rFonts w:ascii="Wingdings" w:hAnsi="Wingdings" w:hint="default"/>
      </w:rPr>
    </w:lvl>
  </w:abstractNum>
  <w:abstractNum w:abstractNumId="6" w15:restartNumberingAfterBreak="0">
    <w:nsid w:val="16BB3747"/>
    <w:multiLevelType w:val="hybridMultilevel"/>
    <w:tmpl w:val="DE20117C"/>
    <w:lvl w:ilvl="0" w:tplc="CEC4B8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222C53"/>
    <w:multiLevelType w:val="hybridMultilevel"/>
    <w:tmpl w:val="5E2A02FE"/>
    <w:lvl w:ilvl="0" w:tplc="4C584B50">
      <w:start w:val="1"/>
      <w:numFmt w:val="bullet"/>
      <w:lvlText w:val=""/>
      <w:lvlJc w:val="left"/>
      <w:pPr>
        <w:ind w:left="720" w:hanging="360"/>
      </w:pPr>
      <w:rPr>
        <w:rFonts w:ascii="Symbol" w:hAnsi="Symbol" w:hint="default"/>
      </w:rPr>
    </w:lvl>
    <w:lvl w:ilvl="1" w:tplc="D2F47280">
      <w:start w:val="1"/>
      <w:numFmt w:val="decimal"/>
      <w:lvlText w:val="%2."/>
      <w:lvlJc w:val="left"/>
      <w:pPr>
        <w:ind w:left="1440" w:hanging="360"/>
      </w:pPr>
      <w:rPr>
        <w:rFonts w:hint="default"/>
      </w:rPr>
    </w:lvl>
    <w:lvl w:ilvl="2" w:tplc="1AF451F2">
      <w:start w:val="1"/>
      <w:numFmt w:val="bullet"/>
      <w:lvlText w:val=""/>
      <w:lvlJc w:val="left"/>
      <w:pPr>
        <w:ind w:left="2160" w:hanging="360"/>
      </w:pPr>
      <w:rPr>
        <w:rFonts w:ascii="Wingdings" w:hAnsi="Wingdings" w:hint="default"/>
      </w:rPr>
    </w:lvl>
    <w:lvl w:ilvl="3" w:tplc="0ECE4A26">
      <w:start w:val="1"/>
      <w:numFmt w:val="bullet"/>
      <w:lvlText w:val=""/>
      <w:lvlJc w:val="left"/>
      <w:pPr>
        <w:ind w:left="2880" w:hanging="360"/>
      </w:pPr>
      <w:rPr>
        <w:rFonts w:ascii="Symbol" w:hAnsi="Symbol" w:hint="default"/>
      </w:rPr>
    </w:lvl>
    <w:lvl w:ilvl="4" w:tplc="06A2C94A">
      <w:start w:val="1"/>
      <w:numFmt w:val="bullet"/>
      <w:lvlText w:val="o"/>
      <w:lvlJc w:val="left"/>
      <w:pPr>
        <w:ind w:left="3600" w:hanging="360"/>
      </w:pPr>
      <w:rPr>
        <w:rFonts w:ascii="Courier New" w:hAnsi="Courier New" w:hint="default"/>
      </w:rPr>
    </w:lvl>
    <w:lvl w:ilvl="5" w:tplc="968C1134">
      <w:start w:val="1"/>
      <w:numFmt w:val="bullet"/>
      <w:lvlText w:val=""/>
      <w:lvlJc w:val="left"/>
      <w:pPr>
        <w:ind w:left="4320" w:hanging="360"/>
      </w:pPr>
      <w:rPr>
        <w:rFonts w:ascii="Wingdings" w:hAnsi="Wingdings" w:hint="default"/>
      </w:rPr>
    </w:lvl>
    <w:lvl w:ilvl="6" w:tplc="7D38551A">
      <w:start w:val="1"/>
      <w:numFmt w:val="bullet"/>
      <w:lvlText w:val=""/>
      <w:lvlJc w:val="left"/>
      <w:pPr>
        <w:ind w:left="5040" w:hanging="360"/>
      </w:pPr>
      <w:rPr>
        <w:rFonts w:ascii="Symbol" w:hAnsi="Symbol" w:hint="default"/>
      </w:rPr>
    </w:lvl>
    <w:lvl w:ilvl="7" w:tplc="592C608A">
      <w:start w:val="1"/>
      <w:numFmt w:val="bullet"/>
      <w:lvlText w:val="o"/>
      <w:lvlJc w:val="left"/>
      <w:pPr>
        <w:ind w:left="5760" w:hanging="360"/>
      </w:pPr>
      <w:rPr>
        <w:rFonts w:ascii="Courier New" w:hAnsi="Courier New" w:hint="default"/>
      </w:rPr>
    </w:lvl>
    <w:lvl w:ilvl="8" w:tplc="2A4296A8">
      <w:start w:val="1"/>
      <w:numFmt w:val="bullet"/>
      <w:lvlText w:val=""/>
      <w:lvlJc w:val="left"/>
      <w:pPr>
        <w:ind w:left="6480" w:hanging="360"/>
      </w:pPr>
      <w:rPr>
        <w:rFonts w:ascii="Wingdings" w:hAnsi="Wingdings" w:hint="default"/>
      </w:rPr>
    </w:lvl>
  </w:abstractNum>
  <w:abstractNum w:abstractNumId="8" w15:restartNumberingAfterBreak="0">
    <w:nsid w:val="17246666"/>
    <w:multiLevelType w:val="hybridMultilevel"/>
    <w:tmpl w:val="5C9098E8"/>
    <w:lvl w:ilvl="0" w:tplc="A0CC3EFA">
      <w:start w:val="1"/>
      <w:numFmt w:val="bullet"/>
      <w:lvlText w:val=""/>
      <w:lvlJc w:val="left"/>
      <w:pPr>
        <w:ind w:left="720" w:hanging="360"/>
      </w:pPr>
      <w:rPr>
        <w:rFonts w:ascii="Symbol" w:hAnsi="Symbol" w:hint="default"/>
      </w:rPr>
    </w:lvl>
    <w:lvl w:ilvl="1" w:tplc="797019F6">
      <w:start w:val="1"/>
      <w:numFmt w:val="decimal"/>
      <w:lvlText w:val="%2."/>
      <w:lvlJc w:val="left"/>
      <w:pPr>
        <w:ind w:left="1440" w:hanging="360"/>
      </w:pPr>
      <w:rPr>
        <w:rFonts w:hint="default"/>
      </w:rPr>
    </w:lvl>
    <w:lvl w:ilvl="2" w:tplc="48B82E42">
      <w:start w:val="1"/>
      <w:numFmt w:val="bullet"/>
      <w:lvlText w:val=""/>
      <w:lvlJc w:val="left"/>
      <w:pPr>
        <w:ind w:left="2160" w:hanging="360"/>
      </w:pPr>
      <w:rPr>
        <w:rFonts w:ascii="Wingdings" w:hAnsi="Wingdings" w:hint="default"/>
      </w:rPr>
    </w:lvl>
    <w:lvl w:ilvl="3" w:tplc="FC2CEAA8">
      <w:start w:val="1"/>
      <w:numFmt w:val="bullet"/>
      <w:lvlText w:val=""/>
      <w:lvlJc w:val="left"/>
      <w:pPr>
        <w:ind w:left="2880" w:hanging="360"/>
      </w:pPr>
      <w:rPr>
        <w:rFonts w:ascii="Symbol" w:hAnsi="Symbol" w:hint="default"/>
      </w:rPr>
    </w:lvl>
    <w:lvl w:ilvl="4" w:tplc="F2845C3E">
      <w:start w:val="1"/>
      <w:numFmt w:val="bullet"/>
      <w:lvlText w:val="o"/>
      <w:lvlJc w:val="left"/>
      <w:pPr>
        <w:ind w:left="3600" w:hanging="360"/>
      </w:pPr>
      <w:rPr>
        <w:rFonts w:ascii="Courier New" w:hAnsi="Courier New" w:hint="default"/>
      </w:rPr>
    </w:lvl>
    <w:lvl w:ilvl="5" w:tplc="45C86E2E">
      <w:start w:val="1"/>
      <w:numFmt w:val="bullet"/>
      <w:lvlText w:val=""/>
      <w:lvlJc w:val="left"/>
      <w:pPr>
        <w:ind w:left="4320" w:hanging="360"/>
      </w:pPr>
      <w:rPr>
        <w:rFonts w:ascii="Wingdings" w:hAnsi="Wingdings" w:hint="default"/>
      </w:rPr>
    </w:lvl>
    <w:lvl w:ilvl="6" w:tplc="5E4AC9BA">
      <w:start w:val="1"/>
      <w:numFmt w:val="bullet"/>
      <w:lvlText w:val=""/>
      <w:lvlJc w:val="left"/>
      <w:pPr>
        <w:ind w:left="5040" w:hanging="360"/>
      </w:pPr>
      <w:rPr>
        <w:rFonts w:ascii="Symbol" w:hAnsi="Symbol" w:hint="default"/>
      </w:rPr>
    </w:lvl>
    <w:lvl w:ilvl="7" w:tplc="77F434A2">
      <w:start w:val="1"/>
      <w:numFmt w:val="bullet"/>
      <w:lvlText w:val="o"/>
      <w:lvlJc w:val="left"/>
      <w:pPr>
        <w:ind w:left="5760" w:hanging="360"/>
      </w:pPr>
      <w:rPr>
        <w:rFonts w:ascii="Courier New" w:hAnsi="Courier New" w:hint="default"/>
      </w:rPr>
    </w:lvl>
    <w:lvl w:ilvl="8" w:tplc="B41ADE32">
      <w:start w:val="1"/>
      <w:numFmt w:val="bullet"/>
      <w:lvlText w:val=""/>
      <w:lvlJc w:val="left"/>
      <w:pPr>
        <w:ind w:left="6480" w:hanging="360"/>
      </w:pPr>
      <w:rPr>
        <w:rFonts w:ascii="Wingdings" w:hAnsi="Wingdings" w:hint="default"/>
      </w:rPr>
    </w:lvl>
  </w:abstractNum>
  <w:abstractNum w:abstractNumId="9" w15:restartNumberingAfterBreak="0">
    <w:nsid w:val="1FB93E58"/>
    <w:multiLevelType w:val="hybridMultilevel"/>
    <w:tmpl w:val="E1F4F61C"/>
    <w:lvl w:ilvl="0" w:tplc="A076646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1F6762"/>
    <w:multiLevelType w:val="hybridMultilevel"/>
    <w:tmpl w:val="38CC5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104973"/>
    <w:multiLevelType w:val="hybridMultilevel"/>
    <w:tmpl w:val="7AFC8DDC"/>
    <w:lvl w:ilvl="0" w:tplc="C8A03F3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65F0730"/>
    <w:multiLevelType w:val="hybridMultilevel"/>
    <w:tmpl w:val="EA626156"/>
    <w:lvl w:ilvl="0" w:tplc="A59AB2A6">
      <w:start w:val="1"/>
      <w:numFmt w:val="bullet"/>
      <w:lvlText w:val=""/>
      <w:lvlJc w:val="left"/>
      <w:pPr>
        <w:ind w:left="720" w:hanging="360"/>
      </w:pPr>
      <w:rPr>
        <w:rFonts w:ascii="Symbol" w:hAnsi="Symbol" w:hint="default"/>
      </w:rPr>
    </w:lvl>
    <w:lvl w:ilvl="1" w:tplc="09462584">
      <w:start w:val="1"/>
      <w:numFmt w:val="bullet"/>
      <w:lvlText w:val="o"/>
      <w:lvlJc w:val="left"/>
      <w:pPr>
        <w:ind w:left="1440" w:hanging="360"/>
      </w:pPr>
      <w:rPr>
        <w:rFonts w:ascii="Courier New" w:hAnsi="Courier New" w:hint="default"/>
      </w:rPr>
    </w:lvl>
    <w:lvl w:ilvl="2" w:tplc="81AAB624">
      <w:start w:val="1"/>
      <w:numFmt w:val="bullet"/>
      <w:lvlText w:val=""/>
      <w:lvlJc w:val="left"/>
      <w:pPr>
        <w:ind w:left="2160" w:hanging="360"/>
      </w:pPr>
      <w:rPr>
        <w:rFonts w:ascii="Wingdings" w:hAnsi="Wingdings" w:hint="default"/>
      </w:rPr>
    </w:lvl>
    <w:lvl w:ilvl="3" w:tplc="0E960C32">
      <w:start w:val="1"/>
      <w:numFmt w:val="bullet"/>
      <w:lvlText w:val=""/>
      <w:lvlJc w:val="left"/>
      <w:pPr>
        <w:ind w:left="2880" w:hanging="360"/>
      </w:pPr>
      <w:rPr>
        <w:rFonts w:ascii="Symbol" w:hAnsi="Symbol" w:hint="default"/>
      </w:rPr>
    </w:lvl>
    <w:lvl w:ilvl="4" w:tplc="5A643ECE">
      <w:start w:val="1"/>
      <w:numFmt w:val="bullet"/>
      <w:lvlText w:val="o"/>
      <w:lvlJc w:val="left"/>
      <w:pPr>
        <w:ind w:left="3600" w:hanging="360"/>
      </w:pPr>
      <w:rPr>
        <w:rFonts w:ascii="Courier New" w:hAnsi="Courier New" w:hint="default"/>
      </w:rPr>
    </w:lvl>
    <w:lvl w:ilvl="5" w:tplc="C7E89E8E">
      <w:start w:val="1"/>
      <w:numFmt w:val="bullet"/>
      <w:lvlText w:val=""/>
      <w:lvlJc w:val="left"/>
      <w:pPr>
        <w:ind w:left="4320" w:hanging="360"/>
      </w:pPr>
      <w:rPr>
        <w:rFonts w:ascii="Wingdings" w:hAnsi="Wingdings" w:hint="default"/>
      </w:rPr>
    </w:lvl>
    <w:lvl w:ilvl="6" w:tplc="1F5C600E">
      <w:start w:val="1"/>
      <w:numFmt w:val="bullet"/>
      <w:lvlText w:val=""/>
      <w:lvlJc w:val="left"/>
      <w:pPr>
        <w:ind w:left="5040" w:hanging="360"/>
      </w:pPr>
      <w:rPr>
        <w:rFonts w:ascii="Symbol" w:hAnsi="Symbol" w:hint="default"/>
      </w:rPr>
    </w:lvl>
    <w:lvl w:ilvl="7" w:tplc="59185FE0">
      <w:start w:val="1"/>
      <w:numFmt w:val="bullet"/>
      <w:lvlText w:val="o"/>
      <w:lvlJc w:val="left"/>
      <w:pPr>
        <w:ind w:left="5760" w:hanging="360"/>
      </w:pPr>
      <w:rPr>
        <w:rFonts w:ascii="Courier New" w:hAnsi="Courier New" w:hint="default"/>
      </w:rPr>
    </w:lvl>
    <w:lvl w:ilvl="8" w:tplc="7298BC6C">
      <w:start w:val="1"/>
      <w:numFmt w:val="bullet"/>
      <w:lvlText w:val=""/>
      <w:lvlJc w:val="left"/>
      <w:pPr>
        <w:ind w:left="6480" w:hanging="360"/>
      </w:pPr>
      <w:rPr>
        <w:rFonts w:ascii="Wingdings" w:hAnsi="Wingdings" w:hint="default"/>
      </w:rPr>
    </w:lvl>
  </w:abstractNum>
  <w:abstractNum w:abstractNumId="13" w15:restartNumberingAfterBreak="0">
    <w:nsid w:val="3F3B71BB"/>
    <w:multiLevelType w:val="hybridMultilevel"/>
    <w:tmpl w:val="D6FE583A"/>
    <w:lvl w:ilvl="0" w:tplc="41F602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4F3077"/>
    <w:multiLevelType w:val="hybridMultilevel"/>
    <w:tmpl w:val="F5A2E1C0"/>
    <w:lvl w:ilvl="0" w:tplc="C0A4025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D60308"/>
    <w:multiLevelType w:val="hybridMultilevel"/>
    <w:tmpl w:val="CEDC6700"/>
    <w:lvl w:ilvl="0" w:tplc="79B46A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4F5EDC"/>
    <w:multiLevelType w:val="hybridMultilevel"/>
    <w:tmpl w:val="F2BA6864"/>
    <w:lvl w:ilvl="0" w:tplc="601A2868">
      <w:start w:val="1"/>
      <w:numFmt w:val="bullet"/>
      <w:lvlText w:val=""/>
      <w:lvlJc w:val="left"/>
      <w:pPr>
        <w:ind w:left="720" w:hanging="360"/>
      </w:pPr>
      <w:rPr>
        <w:rFonts w:ascii="Symbol" w:hAnsi="Symbol" w:hint="default"/>
      </w:rPr>
    </w:lvl>
    <w:lvl w:ilvl="1" w:tplc="7A4AD55A">
      <w:start w:val="1"/>
      <w:numFmt w:val="bullet"/>
      <w:lvlText w:val="o"/>
      <w:lvlJc w:val="left"/>
      <w:pPr>
        <w:ind w:left="1440" w:hanging="360"/>
      </w:pPr>
      <w:rPr>
        <w:rFonts w:ascii="Courier New" w:hAnsi="Courier New" w:hint="default"/>
      </w:rPr>
    </w:lvl>
    <w:lvl w:ilvl="2" w:tplc="6BC6FEF6">
      <w:start w:val="1"/>
      <w:numFmt w:val="bullet"/>
      <w:lvlText w:val=""/>
      <w:lvlJc w:val="left"/>
      <w:pPr>
        <w:ind w:left="2160" w:hanging="360"/>
      </w:pPr>
      <w:rPr>
        <w:rFonts w:ascii="Wingdings" w:hAnsi="Wingdings" w:hint="default"/>
      </w:rPr>
    </w:lvl>
    <w:lvl w:ilvl="3" w:tplc="BC26AB0C">
      <w:start w:val="1"/>
      <w:numFmt w:val="bullet"/>
      <w:lvlText w:val=""/>
      <w:lvlJc w:val="left"/>
      <w:pPr>
        <w:ind w:left="2880" w:hanging="360"/>
      </w:pPr>
      <w:rPr>
        <w:rFonts w:ascii="Symbol" w:hAnsi="Symbol" w:hint="default"/>
      </w:rPr>
    </w:lvl>
    <w:lvl w:ilvl="4" w:tplc="789EC630">
      <w:start w:val="1"/>
      <w:numFmt w:val="bullet"/>
      <w:lvlText w:val="o"/>
      <w:lvlJc w:val="left"/>
      <w:pPr>
        <w:ind w:left="3600" w:hanging="360"/>
      </w:pPr>
      <w:rPr>
        <w:rFonts w:ascii="Courier New" w:hAnsi="Courier New" w:hint="default"/>
      </w:rPr>
    </w:lvl>
    <w:lvl w:ilvl="5" w:tplc="AA3ADE4A">
      <w:start w:val="1"/>
      <w:numFmt w:val="bullet"/>
      <w:lvlText w:val=""/>
      <w:lvlJc w:val="left"/>
      <w:pPr>
        <w:ind w:left="4320" w:hanging="360"/>
      </w:pPr>
      <w:rPr>
        <w:rFonts w:ascii="Wingdings" w:hAnsi="Wingdings" w:hint="default"/>
      </w:rPr>
    </w:lvl>
    <w:lvl w:ilvl="6" w:tplc="79842FFE">
      <w:start w:val="1"/>
      <w:numFmt w:val="bullet"/>
      <w:lvlText w:val=""/>
      <w:lvlJc w:val="left"/>
      <w:pPr>
        <w:ind w:left="5040" w:hanging="360"/>
      </w:pPr>
      <w:rPr>
        <w:rFonts w:ascii="Symbol" w:hAnsi="Symbol" w:hint="default"/>
      </w:rPr>
    </w:lvl>
    <w:lvl w:ilvl="7" w:tplc="7E04E430">
      <w:start w:val="1"/>
      <w:numFmt w:val="bullet"/>
      <w:lvlText w:val="o"/>
      <w:lvlJc w:val="left"/>
      <w:pPr>
        <w:ind w:left="5760" w:hanging="360"/>
      </w:pPr>
      <w:rPr>
        <w:rFonts w:ascii="Courier New" w:hAnsi="Courier New" w:hint="default"/>
      </w:rPr>
    </w:lvl>
    <w:lvl w:ilvl="8" w:tplc="B282D1C0">
      <w:start w:val="1"/>
      <w:numFmt w:val="bullet"/>
      <w:lvlText w:val=""/>
      <w:lvlJc w:val="left"/>
      <w:pPr>
        <w:ind w:left="6480" w:hanging="360"/>
      </w:pPr>
      <w:rPr>
        <w:rFonts w:ascii="Wingdings" w:hAnsi="Wingdings" w:hint="default"/>
      </w:rPr>
    </w:lvl>
  </w:abstractNum>
  <w:abstractNum w:abstractNumId="17" w15:restartNumberingAfterBreak="0">
    <w:nsid w:val="5E082CF3"/>
    <w:multiLevelType w:val="hybridMultilevel"/>
    <w:tmpl w:val="2CDC6E6E"/>
    <w:lvl w:ilvl="0" w:tplc="6930EAF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58235B"/>
    <w:multiLevelType w:val="hybridMultilevel"/>
    <w:tmpl w:val="4BB4A020"/>
    <w:lvl w:ilvl="0" w:tplc="7A14DDD2">
      <w:start w:val="1"/>
      <w:numFmt w:val="bullet"/>
      <w:lvlText w:val=""/>
      <w:lvlJc w:val="left"/>
      <w:pPr>
        <w:ind w:left="720" w:hanging="360"/>
      </w:pPr>
      <w:rPr>
        <w:rFonts w:ascii="Symbol" w:hAnsi="Symbol" w:hint="default"/>
      </w:rPr>
    </w:lvl>
    <w:lvl w:ilvl="1" w:tplc="7E8EA05C">
      <w:start w:val="1"/>
      <w:numFmt w:val="bullet"/>
      <w:lvlText w:val="o"/>
      <w:lvlJc w:val="left"/>
      <w:pPr>
        <w:ind w:left="1440" w:hanging="360"/>
      </w:pPr>
      <w:rPr>
        <w:rFonts w:ascii="Courier New" w:hAnsi="Courier New" w:hint="default"/>
      </w:rPr>
    </w:lvl>
    <w:lvl w:ilvl="2" w:tplc="7C401474">
      <w:start w:val="1"/>
      <w:numFmt w:val="bullet"/>
      <w:lvlText w:val=""/>
      <w:lvlJc w:val="left"/>
      <w:pPr>
        <w:ind w:left="2160" w:hanging="360"/>
      </w:pPr>
      <w:rPr>
        <w:rFonts w:ascii="Wingdings" w:hAnsi="Wingdings" w:hint="default"/>
      </w:rPr>
    </w:lvl>
    <w:lvl w:ilvl="3" w:tplc="2E5251A6">
      <w:start w:val="1"/>
      <w:numFmt w:val="bullet"/>
      <w:lvlText w:val=""/>
      <w:lvlJc w:val="left"/>
      <w:pPr>
        <w:ind w:left="2880" w:hanging="360"/>
      </w:pPr>
      <w:rPr>
        <w:rFonts w:ascii="Symbol" w:hAnsi="Symbol" w:hint="default"/>
      </w:rPr>
    </w:lvl>
    <w:lvl w:ilvl="4" w:tplc="D474287E">
      <w:start w:val="1"/>
      <w:numFmt w:val="bullet"/>
      <w:lvlText w:val="o"/>
      <w:lvlJc w:val="left"/>
      <w:pPr>
        <w:ind w:left="3600" w:hanging="360"/>
      </w:pPr>
      <w:rPr>
        <w:rFonts w:ascii="Courier New" w:hAnsi="Courier New" w:hint="default"/>
      </w:rPr>
    </w:lvl>
    <w:lvl w:ilvl="5" w:tplc="F4D2E2EA">
      <w:start w:val="1"/>
      <w:numFmt w:val="bullet"/>
      <w:lvlText w:val=""/>
      <w:lvlJc w:val="left"/>
      <w:pPr>
        <w:ind w:left="4320" w:hanging="360"/>
      </w:pPr>
      <w:rPr>
        <w:rFonts w:ascii="Wingdings" w:hAnsi="Wingdings" w:hint="default"/>
      </w:rPr>
    </w:lvl>
    <w:lvl w:ilvl="6" w:tplc="D362CE4C">
      <w:start w:val="1"/>
      <w:numFmt w:val="bullet"/>
      <w:lvlText w:val=""/>
      <w:lvlJc w:val="left"/>
      <w:pPr>
        <w:ind w:left="5040" w:hanging="360"/>
      </w:pPr>
      <w:rPr>
        <w:rFonts w:ascii="Symbol" w:hAnsi="Symbol" w:hint="default"/>
      </w:rPr>
    </w:lvl>
    <w:lvl w:ilvl="7" w:tplc="E31670D2">
      <w:start w:val="1"/>
      <w:numFmt w:val="bullet"/>
      <w:lvlText w:val="o"/>
      <w:lvlJc w:val="left"/>
      <w:pPr>
        <w:ind w:left="5760" w:hanging="360"/>
      </w:pPr>
      <w:rPr>
        <w:rFonts w:ascii="Courier New" w:hAnsi="Courier New" w:hint="default"/>
      </w:rPr>
    </w:lvl>
    <w:lvl w:ilvl="8" w:tplc="AE9A00F8">
      <w:start w:val="1"/>
      <w:numFmt w:val="bullet"/>
      <w:lvlText w:val=""/>
      <w:lvlJc w:val="left"/>
      <w:pPr>
        <w:ind w:left="6480" w:hanging="360"/>
      </w:pPr>
      <w:rPr>
        <w:rFonts w:ascii="Wingdings" w:hAnsi="Wingdings" w:hint="default"/>
      </w:rPr>
    </w:lvl>
  </w:abstractNum>
  <w:abstractNum w:abstractNumId="19" w15:restartNumberingAfterBreak="0">
    <w:nsid w:val="659F52F9"/>
    <w:multiLevelType w:val="hybridMultilevel"/>
    <w:tmpl w:val="DFC88818"/>
    <w:lvl w:ilvl="0" w:tplc="C270F0D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050CD3"/>
    <w:multiLevelType w:val="hybridMultilevel"/>
    <w:tmpl w:val="6304F2A8"/>
    <w:lvl w:ilvl="0" w:tplc="C8B8D7AC">
      <w:start w:val="1"/>
      <w:numFmt w:val="bullet"/>
      <w:lvlText w:val=""/>
      <w:lvlJc w:val="left"/>
      <w:pPr>
        <w:ind w:left="720" w:hanging="360"/>
      </w:pPr>
      <w:rPr>
        <w:rFonts w:ascii="Symbol" w:hAnsi="Symbol" w:hint="default"/>
      </w:rPr>
    </w:lvl>
    <w:lvl w:ilvl="1" w:tplc="70586312">
      <w:start w:val="1"/>
      <w:numFmt w:val="bullet"/>
      <w:lvlText w:val="o"/>
      <w:lvlJc w:val="left"/>
      <w:pPr>
        <w:ind w:left="1440" w:hanging="360"/>
      </w:pPr>
      <w:rPr>
        <w:rFonts w:ascii="Courier New" w:hAnsi="Courier New" w:hint="default"/>
      </w:rPr>
    </w:lvl>
    <w:lvl w:ilvl="2" w:tplc="2A52EA02">
      <w:start w:val="1"/>
      <w:numFmt w:val="bullet"/>
      <w:lvlText w:val=""/>
      <w:lvlJc w:val="left"/>
      <w:pPr>
        <w:ind w:left="2160" w:hanging="360"/>
      </w:pPr>
      <w:rPr>
        <w:rFonts w:ascii="Wingdings" w:hAnsi="Wingdings" w:hint="default"/>
      </w:rPr>
    </w:lvl>
    <w:lvl w:ilvl="3" w:tplc="FB6E6428">
      <w:start w:val="1"/>
      <w:numFmt w:val="bullet"/>
      <w:lvlText w:val=""/>
      <w:lvlJc w:val="left"/>
      <w:pPr>
        <w:ind w:left="2880" w:hanging="360"/>
      </w:pPr>
      <w:rPr>
        <w:rFonts w:ascii="Symbol" w:hAnsi="Symbol" w:hint="default"/>
      </w:rPr>
    </w:lvl>
    <w:lvl w:ilvl="4" w:tplc="BEA0B86A">
      <w:start w:val="1"/>
      <w:numFmt w:val="bullet"/>
      <w:lvlText w:val="o"/>
      <w:lvlJc w:val="left"/>
      <w:pPr>
        <w:ind w:left="3600" w:hanging="360"/>
      </w:pPr>
      <w:rPr>
        <w:rFonts w:ascii="Courier New" w:hAnsi="Courier New" w:hint="default"/>
      </w:rPr>
    </w:lvl>
    <w:lvl w:ilvl="5" w:tplc="56AED0A0">
      <w:start w:val="1"/>
      <w:numFmt w:val="bullet"/>
      <w:lvlText w:val=""/>
      <w:lvlJc w:val="left"/>
      <w:pPr>
        <w:ind w:left="4320" w:hanging="360"/>
      </w:pPr>
      <w:rPr>
        <w:rFonts w:ascii="Wingdings" w:hAnsi="Wingdings" w:hint="default"/>
      </w:rPr>
    </w:lvl>
    <w:lvl w:ilvl="6" w:tplc="39CEF146">
      <w:start w:val="1"/>
      <w:numFmt w:val="bullet"/>
      <w:lvlText w:val=""/>
      <w:lvlJc w:val="left"/>
      <w:pPr>
        <w:ind w:left="5040" w:hanging="360"/>
      </w:pPr>
      <w:rPr>
        <w:rFonts w:ascii="Symbol" w:hAnsi="Symbol" w:hint="default"/>
      </w:rPr>
    </w:lvl>
    <w:lvl w:ilvl="7" w:tplc="A3660CA4">
      <w:start w:val="1"/>
      <w:numFmt w:val="bullet"/>
      <w:lvlText w:val="o"/>
      <w:lvlJc w:val="left"/>
      <w:pPr>
        <w:ind w:left="5760" w:hanging="360"/>
      </w:pPr>
      <w:rPr>
        <w:rFonts w:ascii="Courier New" w:hAnsi="Courier New" w:hint="default"/>
      </w:rPr>
    </w:lvl>
    <w:lvl w:ilvl="8" w:tplc="47F61DA4">
      <w:start w:val="1"/>
      <w:numFmt w:val="bullet"/>
      <w:lvlText w:val=""/>
      <w:lvlJc w:val="left"/>
      <w:pPr>
        <w:ind w:left="6480" w:hanging="360"/>
      </w:pPr>
      <w:rPr>
        <w:rFonts w:ascii="Wingdings" w:hAnsi="Wingdings" w:hint="default"/>
      </w:rPr>
    </w:lvl>
  </w:abstractNum>
  <w:abstractNum w:abstractNumId="21" w15:restartNumberingAfterBreak="0">
    <w:nsid w:val="66B0318D"/>
    <w:multiLevelType w:val="hybridMultilevel"/>
    <w:tmpl w:val="7B003D88"/>
    <w:lvl w:ilvl="0" w:tplc="FFFFFFFF">
      <w:start w:val="1"/>
      <w:numFmt w:val="decimal"/>
      <w:lvlText w:val="%1."/>
      <w:lvlJc w:val="left"/>
      <w:pPr>
        <w:ind w:left="720" w:hanging="360"/>
      </w:pPr>
    </w:lvl>
    <w:lvl w:ilvl="1" w:tplc="69C4DB32">
      <w:start w:val="1"/>
      <w:numFmt w:val="lowerLetter"/>
      <w:lvlText w:val="%2."/>
      <w:lvlJc w:val="left"/>
      <w:pPr>
        <w:ind w:left="1440" w:hanging="360"/>
      </w:pPr>
    </w:lvl>
    <w:lvl w:ilvl="2" w:tplc="C3AC1952">
      <w:start w:val="1"/>
      <w:numFmt w:val="lowerRoman"/>
      <w:lvlText w:val="%3."/>
      <w:lvlJc w:val="right"/>
      <w:pPr>
        <w:ind w:left="2160" w:hanging="180"/>
      </w:pPr>
    </w:lvl>
    <w:lvl w:ilvl="3" w:tplc="AE9E6A0A">
      <w:start w:val="1"/>
      <w:numFmt w:val="decimal"/>
      <w:lvlText w:val="%4."/>
      <w:lvlJc w:val="left"/>
      <w:pPr>
        <w:ind w:left="2880" w:hanging="360"/>
      </w:pPr>
    </w:lvl>
    <w:lvl w:ilvl="4" w:tplc="826A8440">
      <w:start w:val="1"/>
      <w:numFmt w:val="lowerLetter"/>
      <w:lvlText w:val="%5."/>
      <w:lvlJc w:val="left"/>
      <w:pPr>
        <w:ind w:left="3600" w:hanging="360"/>
      </w:pPr>
    </w:lvl>
    <w:lvl w:ilvl="5" w:tplc="2786C968">
      <w:start w:val="1"/>
      <w:numFmt w:val="lowerRoman"/>
      <w:lvlText w:val="%6."/>
      <w:lvlJc w:val="right"/>
      <w:pPr>
        <w:ind w:left="4320" w:hanging="180"/>
      </w:pPr>
    </w:lvl>
    <w:lvl w:ilvl="6" w:tplc="4704B95A">
      <w:start w:val="1"/>
      <w:numFmt w:val="decimal"/>
      <w:lvlText w:val="%7."/>
      <w:lvlJc w:val="left"/>
      <w:pPr>
        <w:ind w:left="5040" w:hanging="360"/>
      </w:pPr>
    </w:lvl>
    <w:lvl w:ilvl="7" w:tplc="49360FEE">
      <w:start w:val="1"/>
      <w:numFmt w:val="lowerLetter"/>
      <w:lvlText w:val="%8."/>
      <w:lvlJc w:val="left"/>
      <w:pPr>
        <w:ind w:left="5760" w:hanging="360"/>
      </w:pPr>
    </w:lvl>
    <w:lvl w:ilvl="8" w:tplc="875C6C48">
      <w:start w:val="1"/>
      <w:numFmt w:val="lowerRoman"/>
      <w:lvlText w:val="%9."/>
      <w:lvlJc w:val="right"/>
      <w:pPr>
        <w:ind w:left="6480" w:hanging="180"/>
      </w:pPr>
    </w:lvl>
  </w:abstractNum>
  <w:abstractNum w:abstractNumId="22" w15:restartNumberingAfterBreak="0">
    <w:nsid w:val="696B71D5"/>
    <w:multiLevelType w:val="hybridMultilevel"/>
    <w:tmpl w:val="AF70F6C6"/>
    <w:lvl w:ilvl="0" w:tplc="8368BA4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8B4C59"/>
    <w:multiLevelType w:val="hybridMultilevel"/>
    <w:tmpl w:val="5FB648FA"/>
    <w:lvl w:ilvl="0" w:tplc="46F6E00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6" w15:restartNumberingAfterBreak="0">
    <w:nsid w:val="7CFB074C"/>
    <w:multiLevelType w:val="hybridMultilevel"/>
    <w:tmpl w:val="4EF0AA62"/>
    <w:lvl w:ilvl="0" w:tplc="9A624C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D8A73B5"/>
    <w:multiLevelType w:val="hybridMultilevel"/>
    <w:tmpl w:val="7744E810"/>
    <w:lvl w:ilvl="0" w:tplc="37868C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951405"/>
    <w:multiLevelType w:val="hybridMultilevel"/>
    <w:tmpl w:val="520C2D10"/>
    <w:lvl w:ilvl="0" w:tplc="0FEAC952">
      <w:start w:val="1"/>
      <w:numFmt w:val="decimal"/>
      <w:lvlText w:val="%1."/>
      <w:lvlJc w:val="left"/>
      <w:pPr>
        <w:ind w:left="720" w:hanging="360"/>
      </w:pPr>
    </w:lvl>
    <w:lvl w:ilvl="1" w:tplc="F67C960C">
      <w:start w:val="1"/>
      <w:numFmt w:val="lowerLetter"/>
      <w:lvlText w:val="%2."/>
      <w:lvlJc w:val="left"/>
      <w:pPr>
        <w:ind w:left="1440" w:hanging="360"/>
      </w:pPr>
    </w:lvl>
    <w:lvl w:ilvl="2" w:tplc="DBD64C88">
      <w:start w:val="1"/>
      <w:numFmt w:val="lowerRoman"/>
      <w:lvlText w:val="%3."/>
      <w:lvlJc w:val="right"/>
      <w:pPr>
        <w:ind w:left="2160" w:hanging="180"/>
      </w:pPr>
    </w:lvl>
    <w:lvl w:ilvl="3" w:tplc="916A2428">
      <w:start w:val="1"/>
      <w:numFmt w:val="decimal"/>
      <w:lvlText w:val="%4."/>
      <w:lvlJc w:val="left"/>
      <w:pPr>
        <w:ind w:left="2880" w:hanging="360"/>
      </w:pPr>
    </w:lvl>
    <w:lvl w:ilvl="4" w:tplc="970C4EE2">
      <w:start w:val="1"/>
      <w:numFmt w:val="lowerLetter"/>
      <w:lvlText w:val="%5."/>
      <w:lvlJc w:val="left"/>
      <w:pPr>
        <w:ind w:left="3600" w:hanging="360"/>
      </w:pPr>
    </w:lvl>
    <w:lvl w:ilvl="5" w:tplc="B6A2FC42">
      <w:start w:val="1"/>
      <w:numFmt w:val="lowerRoman"/>
      <w:lvlText w:val="%6."/>
      <w:lvlJc w:val="right"/>
      <w:pPr>
        <w:ind w:left="4320" w:hanging="180"/>
      </w:pPr>
    </w:lvl>
    <w:lvl w:ilvl="6" w:tplc="1A0CB63A">
      <w:start w:val="1"/>
      <w:numFmt w:val="decimal"/>
      <w:lvlText w:val="%7."/>
      <w:lvlJc w:val="left"/>
      <w:pPr>
        <w:ind w:left="5040" w:hanging="360"/>
      </w:pPr>
    </w:lvl>
    <w:lvl w:ilvl="7" w:tplc="884A0086">
      <w:start w:val="1"/>
      <w:numFmt w:val="lowerLetter"/>
      <w:lvlText w:val="%8."/>
      <w:lvlJc w:val="left"/>
      <w:pPr>
        <w:ind w:left="5760" w:hanging="360"/>
      </w:pPr>
    </w:lvl>
    <w:lvl w:ilvl="8" w:tplc="9086DF74">
      <w:start w:val="1"/>
      <w:numFmt w:val="lowerRoman"/>
      <w:lvlText w:val="%9."/>
      <w:lvlJc w:val="right"/>
      <w:pPr>
        <w:ind w:left="6480" w:hanging="180"/>
      </w:pPr>
    </w:lvl>
  </w:abstractNum>
  <w:abstractNum w:abstractNumId="29" w15:restartNumberingAfterBreak="0">
    <w:nsid w:val="7E142B78"/>
    <w:multiLevelType w:val="hybridMultilevel"/>
    <w:tmpl w:val="AD121BBA"/>
    <w:lvl w:ilvl="0" w:tplc="A560051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1096832">
    <w:abstractNumId w:val="24"/>
  </w:num>
  <w:num w:numId="2" w16cid:durableId="899557018">
    <w:abstractNumId w:val="25"/>
  </w:num>
  <w:num w:numId="3" w16cid:durableId="1943688383">
    <w:abstractNumId w:val="8"/>
  </w:num>
  <w:num w:numId="4" w16cid:durableId="618954424">
    <w:abstractNumId w:val="18"/>
  </w:num>
  <w:num w:numId="5" w16cid:durableId="1716201388">
    <w:abstractNumId w:val="21"/>
  </w:num>
  <w:num w:numId="6" w16cid:durableId="1080979217">
    <w:abstractNumId w:val="2"/>
  </w:num>
  <w:num w:numId="7" w16cid:durableId="1536650745">
    <w:abstractNumId w:val="0"/>
  </w:num>
  <w:num w:numId="8" w16cid:durableId="428164602">
    <w:abstractNumId w:val="16"/>
  </w:num>
  <w:num w:numId="9" w16cid:durableId="1432358390">
    <w:abstractNumId w:val="22"/>
  </w:num>
  <w:num w:numId="10" w16cid:durableId="719402158">
    <w:abstractNumId w:val="20"/>
  </w:num>
  <w:num w:numId="11" w16cid:durableId="742679160">
    <w:abstractNumId w:val="10"/>
  </w:num>
  <w:num w:numId="12" w16cid:durableId="2041129857">
    <w:abstractNumId w:val="11"/>
  </w:num>
  <w:num w:numId="13" w16cid:durableId="1247029956">
    <w:abstractNumId w:val="26"/>
  </w:num>
  <w:num w:numId="14" w16cid:durableId="12851126">
    <w:abstractNumId w:val="1"/>
  </w:num>
  <w:num w:numId="15" w16cid:durableId="1523208291">
    <w:abstractNumId w:val="12"/>
  </w:num>
  <w:num w:numId="16" w16cid:durableId="1399129370">
    <w:abstractNumId w:val="28"/>
  </w:num>
  <w:num w:numId="17" w16cid:durableId="2014917104">
    <w:abstractNumId w:val="27"/>
  </w:num>
  <w:num w:numId="18" w16cid:durableId="716201120">
    <w:abstractNumId w:val="7"/>
  </w:num>
  <w:num w:numId="19" w16cid:durableId="1005397603">
    <w:abstractNumId w:val="3"/>
  </w:num>
  <w:num w:numId="20" w16cid:durableId="1113868963">
    <w:abstractNumId w:val="5"/>
  </w:num>
  <w:num w:numId="21" w16cid:durableId="1227689635">
    <w:abstractNumId w:val="15"/>
  </w:num>
  <w:num w:numId="22" w16cid:durableId="737703917">
    <w:abstractNumId w:val="4"/>
  </w:num>
  <w:num w:numId="23" w16cid:durableId="182675512">
    <w:abstractNumId w:val="13"/>
  </w:num>
  <w:num w:numId="24" w16cid:durableId="795760496">
    <w:abstractNumId w:val="19"/>
  </w:num>
  <w:num w:numId="25" w16cid:durableId="1671907198">
    <w:abstractNumId w:val="23"/>
  </w:num>
  <w:num w:numId="26" w16cid:durableId="529103373">
    <w:abstractNumId w:val="29"/>
  </w:num>
  <w:num w:numId="27" w16cid:durableId="1615793018">
    <w:abstractNumId w:val="6"/>
  </w:num>
  <w:num w:numId="28" w16cid:durableId="640110251">
    <w:abstractNumId w:val="14"/>
  </w:num>
  <w:num w:numId="29" w16cid:durableId="635985380">
    <w:abstractNumId w:val="17"/>
  </w:num>
  <w:num w:numId="30" w16cid:durableId="324209487">
    <w:abstractNumId w:val="9"/>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0AB0A7"/>
    <w:rsid w:val="00005D6D"/>
    <w:rsid w:val="00020CAE"/>
    <w:rsid w:val="00035126"/>
    <w:rsid w:val="00044B50"/>
    <w:rsid w:val="00075D8A"/>
    <w:rsid w:val="00084801"/>
    <w:rsid w:val="000A5BEE"/>
    <w:rsid w:val="000B08CD"/>
    <w:rsid w:val="000C210D"/>
    <w:rsid w:val="000C636E"/>
    <w:rsid w:val="000C6721"/>
    <w:rsid w:val="000D75F4"/>
    <w:rsid w:val="000E6895"/>
    <w:rsid w:val="0010572B"/>
    <w:rsid w:val="00153ECC"/>
    <w:rsid w:val="00154406"/>
    <w:rsid w:val="001552AF"/>
    <w:rsid w:val="0017759A"/>
    <w:rsid w:val="001909DF"/>
    <w:rsid w:val="00191205"/>
    <w:rsid w:val="001B01D7"/>
    <w:rsid w:val="001B2CFB"/>
    <w:rsid w:val="001B5923"/>
    <w:rsid w:val="001B76B6"/>
    <w:rsid w:val="001C45F9"/>
    <w:rsid w:val="001C69D5"/>
    <w:rsid w:val="001F6C18"/>
    <w:rsid w:val="002070ED"/>
    <w:rsid w:val="00221F1D"/>
    <w:rsid w:val="00223C24"/>
    <w:rsid w:val="00227C3B"/>
    <w:rsid w:val="00245327"/>
    <w:rsid w:val="00257C4E"/>
    <w:rsid w:val="002A1D48"/>
    <w:rsid w:val="002B5C57"/>
    <w:rsid w:val="002D3E71"/>
    <w:rsid w:val="002D4E3F"/>
    <w:rsid w:val="002E1F05"/>
    <w:rsid w:val="0035253E"/>
    <w:rsid w:val="003734AA"/>
    <w:rsid w:val="00387449"/>
    <w:rsid w:val="003905E0"/>
    <w:rsid w:val="003957F1"/>
    <w:rsid w:val="003A0753"/>
    <w:rsid w:val="0041051A"/>
    <w:rsid w:val="004124A2"/>
    <w:rsid w:val="0041411F"/>
    <w:rsid w:val="0043297C"/>
    <w:rsid w:val="004343CF"/>
    <w:rsid w:val="004646E6"/>
    <w:rsid w:val="00482671"/>
    <w:rsid w:val="004C549A"/>
    <w:rsid w:val="004E2EFC"/>
    <w:rsid w:val="004F3CE7"/>
    <w:rsid w:val="004F4F21"/>
    <w:rsid w:val="00505266"/>
    <w:rsid w:val="00505394"/>
    <w:rsid w:val="00523FAB"/>
    <w:rsid w:val="00534823"/>
    <w:rsid w:val="005979F5"/>
    <w:rsid w:val="005B32C0"/>
    <w:rsid w:val="005B5BE1"/>
    <w:rsid w:val="005C1219"/>
    <w:rsid w:val="005F386C"/>
    <w:rsid w:val="00615D31"/>
    <w:rsid w:val="0062540A"/>
    <w:rsid w:val="006263C9"/>
    <w:rsid w:val="00631E98"/>
    <w:rsid w:val="006656D5"/>
    <w:rsid w:val="0067553C"/>
    <w:rsid w:val="00687EEF"/>
    <w:rsid w:val="00722C34"/>
    <w:rsid w:val="0075173F"/>
    <w:rsid w:val="0075577D"/>
    <w:rsid w:val="00780AF1"/>
    <w:rsid w:val="00781D4B"/>
    <w:rsid w:val="007A3C72"/>
    <w:rsid w:val="007C19EA"/>
    <w:rsid w:val="007D44BE"/>
    <w:rsid w:val="007E154F"/>
    <w:rsid w:val="007F3F82"/>
    <w:rsid w:val="00802E2E"/>
    <w:rsid w:val="00807B29"/>
    <w:rsid w:val="008157F1"/>
    <w:rsid w:val="0084025D"/>
    <w:rsid w:val="00861A94"/>
    <w:rsid w:val="00864D11"/>
    <w:rsid w:val="00874CA9"/>
    <w:rsid w:val="0087568D"/>
    <w:rsid w:val="00880C0E"/>
    <w:rsid w:val="00893AEF"/>
    <w:rsid w:val="008B01D5"/>
    <w:rsid w:val="008C5213"/>
    <w:rsid w:val="008D4229"/>
    <w:rsid w:val="009055A0"/>
    <w:rsid w:val="00912CB4"/>
    <w:rsid w:val="00915B8C"/>
    <w:rsid w:val="00933E7C"/>
    <w:rsid w:val="009B1BF4"/>
    <w:rsid w:val="00A037EB"/>
    <w:rsid w:val="00A07C2B"/>
    <w:rsid w:val="00A22CA4"/>
    <w:rsid w:val="00A31FC9"/>
    <w:rsid w:val="00A67DAA"/>
    <w:rsid w:val="00A75B75"/>
    <w:rsid w:val="00A82E14"/>
    <w:rsid w:val="00A92196"/>
    <w:rsid w:val="00A949DA"/>
    <w:rsid w:val="00AB003F"/>
    <w:rsid w:val="00AB0A6C"/>
    <w:rsid w:val="00AB3A1B"/>
    <w:rsid w:val="00AB42E7"/>
    <w:rsid w:val="00AD0D84"/>
    <w:rsid w:val="00AD5DE2"/>
    <w:rsid w:val="00AF1244"/>
    <w:rsid w:val="00AF4C7C"/>
    <w:rsid w:val="00B27B7B"/>
    <w:rsid w:val="00B27C40"/>
    <w:rsid w:val="00B64D70"/>
    <w:rsid w:val="00B807EB"/>
    <w:rsid w:val="00B81F3B"/>
    <w:rsid w:val="00B9063E"/>
    <w:rsid w:val="00B91E88"/>
    <w:rsid w:val="00BA060A"/>
    <w:rsid w:val="00BA4473"/>
    <w:rsid w:val="00BB0E31"/>
    <w:rsid w:val="00BB68B0"/>
    <w:rsid w:val="00BD720D"/>
    <w:rsid w:val="00BF329F"/>
    <w:rsid w:val="00C0601F"/>
    <w:rsid w:val="00C06E9D"/>
    <w:rsid w:val="00C16E35"/>
    <w:rsid w:val="00C2107C"/>
    <w:rsid w:val="00C26539"/>
    <w:rsid w:val="00C35018"/>
    <w:rsid w:val="00C60F67"/>
    <w:rsid w:val="00C616D5"/>
    <w:rsid w:val="00C63378"/>
    <w:rsid w:val="00C72875"/>
    <w:rsid w:val="00C776A6"/>
    <w:rsid w:val="00C9442C"/>
    <w:rsid w:val="00CC1839"/>
    <w:rsid w:val="00CC4E7A"/>
    <w:rsid w:val="00CC6065"/>
    <w:rsid w:val="00D01BC1"/>
    <w:rsid w:val="00D176C1"/>
    <w:rsid w:val="00D2571D"/>
    <w:rsid w:val="00D3558F"/>
    <w:rsid w:val="00D4346D"/>
    <w:rsid w:val="00D82145"/>
    <w:rsid w:val="00DA5B5B"/>
    <w:rsid w:val="00DC11F2"/>
    <w:rsid w:val="00DC3BEA"/>
    <w:rsid w:val="00DD1F2D"/>
    <w:rsid w:val="00DD4356"/>
    <w:rsid w:val="00DE2C35"/>
    <w:rsid w:val="00DE3F6C"/>
    <w:rsid w:val="00DE67FC"/>
    <w:rsid w:val="00DF6448"/>
    <w:rsid w:val="00DF7458"/>
    <w:rsid w:val="00E247C0"/>
    <w:rsid w:val="00E33E64"/>
    <w:rsid w:val="00E354B3"/>
    <w:rsid w:val="00E7202A"/>
    <w:rsid w:val="00E83EA4"/>
    <w:rsid w:val="00E8618C"/>
    <w:rsid w:val="00E97F1F"/>
    <w:rsid w:val="00ED104A"/>
    <w:rsid w:val="00F56A68"/>
    <w:rsid w:val="00F65C1E"/>
    <w:rsid w:val="00F93E85"/>
    <w:rsid w:val="00FA0538"/>
    <w:rsid w:val="00FA0ADE"/>
    <w:rsid w:val="00FB0E6D"/>
    <w:rsid w:val="00FD5624"/>
    <w:rsid w:val="1812F707"/>
    <w:rsid w:val="250AB0A7"/>
    <w:rsid w:val="2614A3E8"/>
    <w:rsid w:val="33E65427"/>
    <w:rsid w:val="38ABE472"/>
    <w:rsid w:val="38EFAEBE"/>
    <w:rsid w:val="392560C7"/>
    <w:rsid w:val="395CB5F0"/>
    <w:rsid w:val="43ABBDB5"/>
    <w:rsid w:val="5D8FB089"/>
    <w:rsid w:val="6ACFFDD7"/>
    <w:rsid w:val="7D76F8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AB0A7"/>
  <w15:chartTrackingRefBased/>
  <w15:docId w15:val="{D63C119E-9658-420D-B08E-E54E5115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C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84025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unhideWhenUsed/>
    <w:qFormat/>
    <w:rsid w:val="00BB0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84025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5B32C0"/>
    <w:pPr>
      <w:tabs>
        <w:tab w:val="center" w:pos="4513"/>
        <w:tab w:val="right" w:pos="9026"/>
      </w:tabs>
      <w:spacing w:after="0" w:line="240" w:lineRule="auto"/>
    </w:pPr>
  </w:style>
  <w:style w:type="character" w:customStyle="1" w:styleId="HeaderChar">
    <w:name w:val="Header Char"/>
    <w:basedOn w:val="DefaultParagraphFont"/>
    <w:link w:val="Header"/>
    <w:rsid w:val="005B32C0"/>
  </w:style>
  <w:style w:type="paragraph" w:styleId="Footer">
    <w:name w:val="footer"/>
    <w:basedOn w:val="Normal"/>
    <w:link w:val="FooterChar"/>
    <w:uiPriority w:val="99"/>
    <w:unhideWhenUsed/>
    <w:rsid w:val="005B3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C0"/>
  </w:style>
  <w:style w:type="paragraph" w:styleId="NoSpacing">
    <w:name w:val="No Spacing"/>
    <w:link w:val="NoSpacingChar"/>
    <w:uiPriority w:val="1"/>
    <w:qFormat/>
    <w:rsid w:val="005B32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32C0"/>
    <w:rPr>
      <w:rFonts w:eastAsiaTheme="minorEastAsia"/>
      <w:lang w:val="en-US"/>
    </w:rPr>
  </w:style>
  <w:style w:type="character" w:customStyle="1" w:styleId="Heading2Char">
    <w:name w:val="Heading 2 Char"/>
    <w:basedOn w:val="DefaultParagraphFont"/>
    <w:link w:val="Heading2"/>
    <w:rsid w:val="0084025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4025D"/>
    <w:rPr>
      <w:rFonts w:ascii="Times New Roman" w:eastAsia="Times New Roman" w:hAnsi="Times New Roman" w:cs="Times New Roman"/>
      <w:sz w:val="40"/>
      <w:szCs w:val="20"/>
      <w:lang w:eastAsia="en-GB"/>
    </w:rPr>
  </w:style>
  <w:style w:type="paragraph" w:customStyle="1" w:styleId="BodyText1">
    <w:name w:val="Body Text1"/>
    <w:basedOn w:val="Normal"/>
    <w:rsid w:val="0084025D"/>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84025D"/>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
    <w:name w:val="bullet"/>
    <w:link w:val="bulletChar"/>
    <w:rsid w:val="0084025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84025D"/>
    <w:rPr>
      <w:rFonts w:ascii="Times New Roman" w:eastAsia="Times New Roman" w:hAnsi="Times New Roman" w:cs="Times New Roman"/>
      <w:sz w:val="24"/>
      <w:szCs w:val="20"/>
      <w:lang w:eastAsia="en-GB"/>
    </w:rPr>
  </w:style>
  <w:style w:type="paragraph" w:styleId="NormalWeb">
    <w:name w:val="Normal (Web)"/>
    <w:basedOn w:val="Normal"/>
    <w:uiPriority w:val="99"/>
    <w:rsid w:val="00221F1D"/>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221F1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B0E3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227C3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7553C"/>
    <w:rPr>
      <w:color w:val="0563C1" w:themeColor="hyperlink"/>
      <w:u w:val="single"/>
    </w:rPr>
  </w:style>
  <w:style w:type="character" w:styleId="UnresolvedMention">
    <w:name w:val="Unresolved Mention"/>
    <w:basedOn w:val="DefaultParagraphFont"/>
    <w:uiPriority w:val="99"/>
    <w:semiHidden/>
    <w:unhideWhenUsed/>
    <w:rsid w:val="006755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2781648">
      <w:bodyDiv w:val="1"/>
      <w:marLeft w:val="0"/>
      <w:marRight w:val="0"/>
      <w:marTop w:val="0"/>
      <w:marBottom w:val="0"/>
      <w:divBdr>
        <w:top w:val="none" w:sz="0" w:space="0" w:color="auto"/>
        <w:left w:val="none" w:sz="0" w:space="0" w:color="auto"/>
        <w:bottom w:val="none" w:sz="0" w:space="0" w:color="auto"/>
        <w:right w:val="none" w:sz="0" w:space="0" w:color="auto"/>
      </w:divBdr>
    </w:div>
    <w:div w:id="1386904008">
      <w:bodyDiv w:val="1"/>
      <w:marLeft w:val="0"/>
      <w:marRight w:val="0"/>
      <w:marTop w:val="0"/>
      <w:marBottom w:val="0"/>
      <w:divBdr>
        <w:top w:val="none" w:sz="0" w:space="0" w:color="auto"/>
        <w:left w:val="none" w:sz="0" w:space="0" w:color="auto"/>
        <w:bottom w:val="none" w:sz="0" w:space="0" w:color="auto"/>
        <w:right w:val="none" w:sz="0" w:space="0" w:color="auto"/>
      </w:divBdr>
    </w:div>
    <w:div w:id="2034839631">
      <w:bodyDiv w:val="1"/>
      <w:marLeft w:val="0"/>
      <w:marRight w:val="0"/>
      <w:marTop w:val="0"/>
      <w:marBottom w:val="0"/>
      <w:divBdr>
        <w:top w:val="none" w:sz="0" w:space="0" w:color="auto"/>
        <w:left w:val="none" w:sz="0" w:space="0" w:color="auto"/>
        <w:bottom w:val="none" w:sz="0" w:space="0" w:color="auto"/>
        <w:right w:val="none" w:sz="0" w:space="0" w:color="auto"/>
      </w:divBdr>
    </w:div>
    <w:div w:id="2052149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5" ma:contentTypeDescription="Create a new document." ma:contentTypeScope="" ma:versionID="f38e34b5e45b55409029026b8de329ea">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23b3cb0884e0c6339e0f5009d76eb45d"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element ref="ns2:MediaServiceBillingMetadata"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BillingMetadata" ma:index="21" nillable="true" ma:displayName="MediaServiceBillingMetadata" ma:hidden="true" ma:internalName="MediaServiceBillingMetadata"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38D4D1D-8FFB-4F09-B10A-DBA71CD8C0E2}">
  <ds:schemaRefs>
    <ds:schemaRef ds:uri="http://schemas.microsoft.com/sharepoint/v3/contenttype/forms"/>
  </ds:schemaRefs>
</ds:datastoreItem>
</file>

<file path=customXml/itemProps2.xml><?xml version="1.0" encoding="utf-8"?>
<ds:datastoreItem xmlns:ds="http://schemas.openxmlformats.org/officeDocument/2006/customXml" ds:itemID="{8C4CE877-5F47-488A-BF8F-3A6305386FC9}">
  <ds:schemaRefs>
    <ds:schemaRef ds:uri="http://schemas.openxmlformats.org/officeDocument/2006/bibliography"/>
  </ds:schemaRefs>
</ds:datastoreItem>
</file>

<file path=customXml/itemProps3.xml><?xml version="1.0" encoding="utf-8"?>
<ds:datastoreItem xmlns:ds="http://schemas.openxmlformats.org/officeDocument/2006/customXml" ds:itemID="{4FF15105-3CB2-44D5-98DB-B8705EF14C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8d4072a4-1028-4173-a180-401d99b735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C107B0-E1C5-4F93-A655-AA615988FEB0}">
  <ds:schemaRefs>
    <ds:schemaRef ds:uri="http://schemas.microsoft.com/office/2006/metadata/properties"/>
    <ds:schemaRef ds:uri="http://schemas.microsoft.com/office/infopath/2007/PartnerControls"/>
    <ds:schemaRef ds:uri="8d4072a4-1028-4173-a180-401d99b735d7"/>
    <ds:schemaRef ds:uri="751930dc-da8f-411a-b053-722b920d29f2"/>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13</TotalTime>
  <Pages>15</Pages>
  <Words>4946</Words>
  <Characters>28198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PGCE (PCET) 
Profgce/PCE (PCET)</vt:lpstr>
    </vt:vector>
  </TitlesOfParts>
  <Company/>
  <LinksUpToDate>false</LinksUpToDate>
  <CharactersWithSpaces>33078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PGCE (PCET) 
Profgce/PCE (PCET)</dc:title>
  <dc:subject>ACTION RESEARCH PROJECT</dc:subject>
  <dc:creator>Caroline Lewis</dc:creator>
  <cp:keywords/>
  <dc:description/>
  <cp:lastModifiedBy>Sophie Bailey</cp:lastModifiedBy>
  <cp:revision>3</cp:revision>
  <dcterms:created xsi:type="dcterms:W3CDTF">2026-03-27T10:29:00Z</dcterms:created>
  <dcterms:modified xsi:type="dcterms:W3CDTF">2026-03-27T10:40:00Z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ies>
</file>