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F6E4C" w14:textId="7E3CBD7F" w:rsidR="000A00B5" w:rsidRDefault="00711C40" w:rsidP="00DB725E">
      <w:pPr>
        <w:pStyle w:val="TOCHeading"/>
        <w:spacing w:line="360" w:lineRule="auto"/>
        <w:jc w:val="center"/>
        <w:rPr>
          <w:rFonts w:ascii="Times New Roman" w:eastAsia="Arial" w:hAnsi="Times New Roman" w:cs="Times New Roman"/>
          <w:color w:val="000000"/>
          <w:kern w:val="2"/>
          <w:sz w:val="48"/>
          <w:szCs w:val="48"/>
          <w:lang w:val="es-ES" w:eastAsia="en-GB"/>
          <w14:ligatures w14:val="standardContextual"/>
        </w:rPr>
      </w:pPr>
      <w:r w:rsidRPr="00DB725E">
        <w:rPr>
          <w:rFonts w:ascii="Times New Roman" w:eastAsia="Arial" w:hAnsi="Times New Roman" w:cs="Times New Roman"/>
          <w:color w:val="000000"/>
          <w:kern w:val="2"/>
          <w:sz w:val="48"/>
          <w:szCs w:val="48"/>
          <w:lang w:val="es-ES" w:eastAsia="en-GB"/>
          <w14:ligatures w14:val="standardContextual"/>
        </w:rPr>
        <w:t>NAME</w:t>
      </w:r>
      <w:r w:rsidR="000A00B5" w:rsidRPr="00DB725E">
        <w:rPr>
          <w:rFonts w:ascii="Times New Roman" w:eastAsia="Arial" w:hAnsi="Times New Roman" w:cs="Times New Roman"/>
          <w:color w:val="000000"/>
          <w:kern w:val="2"/>
          <w:sz w:val="48"/>
          <w:szCs w:val="48"/>
          <w:lang w:val="es-ES" w:eastAsia="en-GB"/>
          <w14:ligatures w14:val="standardContextual"/>
        </w:rPr>
        <w:t>:</w:t>
      </w:r>
      <w:r w:rsidR="00DB725E">
        <w:rPr>
          <w:rFonts w:ascii="Times New Roman" w:eastAsia="Arial" w:hAnsi="Times New Roman" w:cs="Times New Roman"/>
          <w:color w:val="000000"/>
          <w:kern w:val="2"/>
          <w:sz w:val="48"/>
          <w:szCs w:val="48"/>
          <w:lang w:val="es-ES" w:eastAsia="en-GB"/>
          <w14:ligatures w14:val="standardContextual"/>
        </w:rPr>
        <w:t xml:space="preserve"> </w:t>
      </w:r>
      <w:r w:rsidR="000A00B5" w:rsidRPr="00DB725E">
        <w:rPr>
          <w:rFonts w:ascii="Times New Roman" w:eastAsia="Arial" w:hAnsi="Times New Roman" w:cs="Times New Roman"/>
          <w:color w:val="000000"/>
          <w:kern w:val="2"/>
          <w:sz w:val="48"/>
          <w:szCs w:val="48"/>
          <w:lang w:val="es-ES" w:eastAsia="en-GB"/>
          <w14:ligatures w14:val="standardContextual"/>
        </w:rPr>
        <w:t>Andres Carlos Michel Pina</w:t>
      </w:r>
    </w:p>
    <w:p w14:paraId="025DAA50" w14:textId="77777777" w:rsidR="00DB725E" w:rsidRDefault="00DB725E" w:rsidP="00DB725E">
      <w:pPr>
        <w:jc w:val="center"/>
        <w:rPr>
          <w:lang w:val="es-ES"/>
        </w:rPr>
      </w:pPr>
    </w:p>
    <w:p w14:paraId="76FDB604" w14:textId="77777777" w:rsidR="00DB725E" w:rsidRPr="00DB725E" w:rsidRDefault="00DB725E" w:rsidP="00DB725E">
      <w:pPr>
        <w:jc w:val="center"/>
        <w:rPr>
          <w:lang w:val="es-ES"/>
        </w:rPr>
      </w:pPr>
    </w:p>
    <w:p w14:paraId="6CD2A4A0" w14:textId="40C958FB" w:rsidR="00196690" w:rsidRPr="00DB725E" w:rsidRDefault="00DB725E" w:rsidP="00DB725E">
      <w:pPr>
        <w:jc w:val="center"/>
        <w:rPr>
          <w:rFonts w:ascii="Times New Roman" w:hAnsi="Times New Roman" w:cs="Times New Roman"/>
          <w:sz w:val="56"/>
          <w:szCs w:val="56"/>
        </w:rPr>
      </w:pPr>
      <w:r w:rsidRPr="00DB725E">
        <w:rPr>
          <w:rFonts w:ascii="Times New Roman" w:hAnsi="Times New Roman" w:cs="Times New Roman"/>
          <w:sz w:val="56"/>
          <w:szCs w:val="56"/>
        </w:rPr>
        <w:t>Student</w:t>
      </w:r>
      <w:r w:rsidR="004A469B" w:rsidRPr="00DB725E">
        <w:rPr>
          <w:rFonts w:ascii="Times New Roman" w:hAnsi="Times New Roman" w:cs="Times New Roman"/>
          <w:sz w:val="56"/>
          <w:szCs w:val="56"/>
        </w:rPr>
        <w:t xml:space="preserve"> number:</w:t>
      </w:r>
      <w:r w:rsidRPr="00DB725E">
        <w:rPr>
          <w:rFonts w:ascii="Times New Roman" w:hAnsi="Times New Roman" w:cs="Times New Roman"/>
          <w:sz w:val="56"/>
          <w:szCs w:val="56"/>
        </w:rPr>
        <w:t xml:space="preserve"> </w:t>
      </w:r>
      <w:r w:rsidR="004A469B" w:rsidRPr="00DB725E">
        <w:rPr>
          <w:rFonts w:ascii="Times New Roman" w:hAnsi="Times New Roman" w:cs="Times New Roman"/>
          <w:sz w:val="56"/>
          <w:szCs w:val="56"/>
        </w:rPr>
        <w:t>2442079</w:t>
      </w:r>
    </w:p>
    <w:p w14:paraId="3B6AF619" w14:textId="434AC366" w:rsidR="00711C40" w:rsidRPr="00DB725E" w:rsidRDefault="00097080" w:rsidP="00DB725E">
      <w:pPr>
        <w:jc w:val="center"/>
        <w:rPr>
          <w:rFonts w:ascii="Times New Roman" w:hAnsi="Times New Roman" w:cs="Times New Roman"/>
          <w:sz w:val="56"/>
          <w:szCs w:val="56"/>
        </w:rPr>
      </w:pPr>
      <w:r w:rsidRPr="00DB725E">
        <w:rPr>
          <w:rFonts w:ascii="Times New Roman" w:hAnsi="Times New Roman" w:cs="Times New Roman"/>
          <w:sz w:val="56"/>
          <w:szCs w:val="56"/>
        </w:rPr>
        <w:t>Module code:</w:t>
      </w:r>
      <w:r w:rsidR="002E23B0" w:rsidRPr="00DB725E">
        <w:rPr>
          <w:rFonts w:ascii="Times New Roman" w:hAnsi="Times New Roman" w:cs="Times New Roman"/>
          <w:sz w:val="56"/>
          <w:szCs w:val="56"/>
        </w:rPr>
        <w:t xml:space="preserve"> </w:t>
      </w:r>
      <w:r w:rsidR="001F0118" w:rsidRPr="00DB725E">
        <w:rPr>
          <w:rFonts w:ascii="Times New Roman" w:hAnsi="Times New Roman" w:cs="Times New Roman"/>
          <w:sz w:val="56"/>
          <w:szCs w:val="56"/>
        </w:rPr>
        <w:t>LCHS4</w:t>
      </w:r>
      <w:r w:rsidR="007C08DC" w:rsidRPr="00DB725E">
        <w:rPr>
          <w:rFonts w:ascii="Times New Roman" w:hAnsi="Times New Roman" w:cs="Times New Roman"/>
          <w:sz w:val="56"/>
          <w:szCs w:val="56"/>
        </w:rPr>
        <w:t>003</w:t>
      </w:r>
    </w:p>
    <w:p w14:paraId="0C9D6D39" w14:textId="77777777" w:rsidR="00711C40" w:rsidRPr="00DB725E" w:rsidRDefault="00711C40" w:rsidP="00DB725E">
      <w:pPr>
        <w:pStyle w:val="TOCHeading"/>
        <w:spacing w:line="360" w:lineRule="auto"/>
        <w:jc w:val="center"/>
        <w:rPr>
          <w:rFonts w:ascii="Times New Roman" w:eastAsia="Arial" w:hAnsi="Times New Roman" w:cs="Times New Roman"/>
          <w:color w:val="000000"/>
          <w:kern w:val="2"/>
          <w:sz w:val="56"/>
          <w:szCs w:val="56"/>
          <w:lang w:val="en-GB" w:eastAsia="en-GB"/>
          <w14:ligatures w14:val="standardContextual"/>
        </w:rPr>
      </w:pPr>
    </w:p>
    <w:p w14:paraId="0E468A7B" w14:textId="6BD9CB88" w:rsidR="007C08DC" w:rsidRPr="00DB725E" w:rsidRDefault="00DB725E" w:rsidP="00DB725E">
      <w:pPr>
        <w:jc w:val="center"/>
        <w:rPr>
          <w:rFonts w:ascii="Times New Roman" w:hAnsi="Times New Roman" w:cs="Times New Roman"/>
          <w:sz w:val="56"/>
          <w:szCs w:val="56"/>
        </w:rPr>
      </w:pPr>
      <w:r w:rsidRPr="00DB725E">
        <w:rPr>
          <w:rFonts w:ascii="Times New Roman" w:hAnsi="Times New Roman" w:cs="Times New Roman"/>
          <w:sz w:val="56"/>
          <w:szCs w:val="56"/>
        </w:rPr>
        <w:t>Professor</w:t>
      </w:r>
      <w:r w:rsidR="002E23B0" w:rsidRPr="00DB725E">
        <w:rPr>
          <w:rFonts w:ascii="Times New Roman" w:hAnsi="Times New Roman" w:cs="Times New Roman"/>
          <w:sz w:val="56"/>
          <w:szCs w:val="56"/>
        </w:rPr>
        <w:t>: Brian</w:t>
      </w:r>
      <w:r w:rsidR="00070C08" w:rsidRPr="00DB725E">
        <w:rPr>
          <w:rFonts w:ascii="Times New Roman" w:hAnsi="Times New Roman" w:cs="Times New Roman"/>
          <w:sz w:val="56"/>
          <w:szCs w:val="56"/>
        </w:rPr>
        <w:t xml:space="preserve"> Mashumba</w:t>
      </w:r>
    </w:p>
    <w:p w14:paraId="0C81B0BB" w14:textId="77777777" w:rsidR="002E23B0" w:rsidRPr="00DB725E" w:rsidRDefault="002E23B0" w:rsidP="007C08DC">
      <w:pPr>
        <w:rPr>
          <w:rFonts w:ascii="Times New Roman" w:hAnsi="Times New Roman" w:cs="Times New Roman"/>
          <w:sz w:val="56"/>
          <w:szCs w:val="56"/>
        </w:rPr>
      </w:pPr>
    </w:p>
    <w:p w14:paraId="66C1C010" w14:textId="77777777" w:rsidR="002E23B0" w:rsidRDefault="002E23B0" w:rsidP="007C08DC"/>
    <w:p w14:paraId="2E48000E" w14:textId="77777777" w:rsidR="002E23B0" w:rsidRDefault="002E23B0" w:rsidP="007C08DC"/>
    <w:p w14:paraId="222CCCA6" w14:textId="77777777" w:rsidR="002E23B0" w:rsidRDefault="002E23B0" w:rsidP="007C08DC"/>
    <w:p w14:paraId="28EF6BDF" w14:textId="77777777" w:rsidR="002E23B0" w:rsidRDefault="002E23B0" w:rsidP="007C08DC"/>
    <w:p w14:paraId="111A35E2" w14:textId="77777777" w:rsidR="002E23B0" w:rsidRDefault="002E23B0" w:rsidP="007C08DC"/>
    <w:p w14:paraId="37A9D988" w14:textId="77777777" w:rsidR="002E23B0" w:rsidRDefault="002E23B0" w:rsidP="007C08DC"/>
    <w:p w14:paraId="6430816E" w14:textId="77777777" w:rsidR="002E23B0" w:rsidRDefault="002E23B0" w:rsidP="007C08DC"/>
    <w:p w14:paraId="09BABD84" w14:textId="77777777" w:rsidR="002E23B0" w:rsidRDefault="002E23B0" w:rsidP="007C08DC"/>
    <w:p w14:paraId="4D6A3516" w14:textId="77777777" w:rsidR="002E23B0" w:rsidRDefault="002E23B0" w:rsidP="007C08DC"/>
    <w:p w14:paraId="1551456B" w14:textId="77777777" w:rsidR="002E23B0" w:rsidRDefault="002E23B0" w:rsidP="007C08DC"/>
    <w:p w14:paraId="7465B0A2" w14:textId="77777777" w:rsidR="002E23B0" w:rsidRDefault="002E23B0" w:rsidP="007C08DC"/>
    <w:p w14:paraId="45D6F23F" w14:textId="77777777" w:rsidR="002E23B0" w:rsidRDefault="002E23B0" w:rsidP="007C08DC"/>
    <w:p w14:paraId="5874752B" w14:textId="77777777" w:rsidR="002E23B0" w:rsidRDefault="002E23B0" w:rsidP="007C08DC"/>
    <w:p w14:paraId="09134586" w14:textId="77777777" w:rsidR="002E23B0" w:rsidRDefault="002E23B0" w:rsidP="007C08DC"/>
    <w:p w14:paraId="27FA2E00" w14:textId="77777777" w:rsidR="002E23B0" w:rsidRDefault="002E23B0" w:rsidP="007C08DC"/>
    <w:p w14:paraId="3C616B98" w14:textId="77777777" w:rsidR="002E23B0" w:rsidRDefault="002E23B0" w:rsidP="007C08DC"/>
    <w:p w14:paraId="69AA9965" w14:textId="77777777" w:rsidR="002E23B0" w:rsidRDefault="002E23B0" w:rsidP="007C08DC"/>
    <w:p w14:paraId="3191754E" w14:textId="77777777" w:rsidR="002E23B0" w:rsidRDefault="002E23B0" w:rsidP="007C08DC"/>
    <w:p w14:paraId="2D8337E3" w14:textId="77777777" w:rsidR="002E23B0" w:rsidRDefault="002E23B0" w:rsidP="007C08DC"/>
    <w:p w14:paraId="14529B68" w14:textId="77777777" w:rsidR="002E23B0" w:rsidRDefault="002E23B0" w:rsidP="007C08DC"/>
    <w:p w14:paraId="412CC33B" w14:textId="77777777" w:rsidR="002E23B0" w:rsidRDefault="002E23B0" w:rsidP="007C08DC"/>
    <w:p w14:paraId="5DF08765" w14:textId="77777777" w:rsidR="002E23B0" w:rsidRDefault="002E23B0" w:rsidP="007C08DC"/>
    <w:p w14:paraId="2D3B1B6C" w14:textId="77777777" w:rsidR="002E23B0" w:rsidRDefault="002E23B0" w:rsidP="007C08DC"/>
    <w:p w14:paraId="0AB45758" w14:textId="77777777" w:rsidR="002E23B0" w:rsidRDefault="002E23B0" w:rsidP="007C08DC"/>
    <w:p w14:paraId="3EFC793E" w14:textId="77777777" w:rsidR="002E23B0" w:rsidRDefault="002E23B0" w:rsidP="007C08DC"/>
    <w:p w14:paraId="5C8C50C4" w14:textId="77777777" w:rsidR="002E23B0" w:rsidRDefault="002E23B0" w:rsidP="007C08DC"/>
    <w:p w14:paraId="309CEB15" w14:textId="77777777" w:rsidR="002E23B0" w:rsidRDefault="002E23B0" w:rsidP="007C08DC"/>
    <w:p w14:paraId="25E9DC65" w14:textId="77777777" w:rsidR="002E23B0" w:rsidRDefault="002E23B0" w:rsidP="007C08DC"/>
    <w:p w14:paraId="26D83377" w14:textId="77777777" w:rsidR="002E23B0" w:rsidRDefault="002E23B0" w:rsidP="007C08DC"/>
    <w:p w14:paraId="2C936DDA" w14:textId="77777777" w:rsidR="002E23B0" w:rsidRDefault="002E23B0" w:rsidP="007C08DC"/>
    <w:p w14:paraId="649527B3" w14:textId="77777777" w:rsidR="002E23B0" w:rsidRDefault="002E23B0" w:rsidP="007C08DC"/>
    <w:p w14:paraId="112AB618" w14:textId="77777777" w:rsidR="002E23B0" w:rsidRDefault="002E23B0" w:rsidP="007C08DC"/>
    <w:p w14:paraId="26F85FCE" w14:textId="77777777" w:rsidR="002E23B0" w:rsidRDefault="002E23B0" w:rsidP="007C08DC"/>
    <w:p w14:paraId="4D2288AD" w14:textId="77777777" w:rsidR="002E23B0" w:rsidRPr="007C08DC" w:rsidRDefault="002E23B0" w:rsidP="007C08DC"/>
    <w:p w14:paraId="0F745C55" w14:textId="77777777" w:rsidR="00711C40" w:rsidRPr="001F0118" w:rsidRDefault="00711C40" w:rsidP="00B00CEA">
      <w:pPr>
        <w:pStyle w:val="TOCHeading"/>
        <w:spacing w:line="360" w:lineRule="auto"/>
        <w:jc w:val="center"/>
        <w:rPr>
          <w:rFonts w:ascii="Arial" w:eastAsia="Arial" w:hAnsi="Arial" w:cs="Arial"/>
          <w:color w:val="000000"/>
          <w:kern w:val="2"/>
          <w:sz w:val="22"/>
          <w:szCs w:val="24"/>
          <w:lang w:val="en-GB" w:eastAsia="en-GB"/>
          <w14:ligatures w14:val="standardContextual"/>
        </w:rPr>
      </w:pPr>
    </w:p>
    <w:p w14:paraId="697C9281" w14:textId="77777777" w:rsidR="00711C40" w:rsidRPr="001F0118" w:rsidRDefault="00711C40" w:rsidP="00B00CEA">
      <w:pPr>
        <w:pStyle w:val="TOCHeading"/>
        <w:spacing w:line="360" w:lineRule="auto"/>
        <w:jc w:val="center"/>
        <w:rPr>
          <w:rFonts w:ascii="Arial" w:eastAsia="Arial" w:hAnsi="Arial" w:cs="Arial"/>
          <w:color w:val="000000"/>
          <w:kern w:val="2"/>
          <w:sz w:val="22"/>
          <w:szCs w:val="24"/>
          <w:lang w:val="en-GB" w:eastAsia="en-GB"/>
          <w14:ligatures w14:val="standardContextual"/>
        </w:rPr>
      </w:pPr>
    </w:p>
    <w:p w14:paraId="764217AE" w14:textId="77777777" w:rsidR="00711C40" w:rsidRPr="001F0118" w:rsidRDefault="00711C40" w:rsidP="00B00CEA">
      <w:pPr>
        <w:pStyle w:val="TOCHeading"/>
        <w:spacing w:line="360" w:lineRule="auto"/>
        <w:jc w:val="center"/>
        <w:rPr>
          <w:rFonts w:ascii="Arial" w:eastAsia="Arial" w:hAnsi="Arial" w:cs="Arial"/>
          <w:color w:val="000000"/>
          <w:kern w:val="2"/>
          <w:sz w:val="22"/>
          <w:szCs w:val="24"/>
          <w:lang w:val="en-GB" w:eastAsia="en-GB"/>
          <w14:ligatures w14:val="standardContextual"/>
        </w:rPr>
      </w:pPr>
    </w:p>
    <w:sdt>
      <w:sdtPr>
        <w:rPr>
          <w:rFonts w:ascii="Arial" w:eastAsia="Arial" w:hAnsi="Arial" w:cs="Arial"/>
          <w:color w:val="000000"/>
          <w:kern w:val="2"/>
          <w:sz w:val="22"/>
          <w:szCs w:val="24"/>
          <w:lang w:val="en-GB" w:eastAsia="en-GB"/>
          <w14:ligatures w14:val="standardContextual"/>
        </w:rPr>
        <w:id w:val="2014636143"/>
        <w:docPartObj>
          <w:docPartGallery w:val="Table of Contents"/>
          <w:docPartUnique/>
        </w:docPartObj>
      </w:sdtPr>
      <w:sdtEndPr>
        <w:rPr>
          <w:b/>
          <w:bCs/>
          <w:noProof/>
        </w:rPr>
      </w:sdtEndPr>
      <w:sdtContent>
        <w:p w14:paraId="6D73E105" w14:textId="6B0D3F4B" w:rsidR="00B00CEA" w:rsidRPr="00B00CEA" w:rsidRDefault="00B00CEA" w:rsidP="00B00CEA">
          <w:pPr>
            <w:pStyle w:val="TOCHeading"/>
            <w:spacing w:line="360" w:lineRule="auto"/>
            <w:jc w:val="center"/>
            <w:rPr>
              <w:rFonts w:ascii="Arial" w:hAnsi="Arial" w:cs="Arial"/>
              <w:b/>
              <w:bCs/>
              <w:color w:val="000000" w:themeColor="text1"/>
              <w:sz w:val="24"/>
              <w:szCs w:val="24"/>
            </w:rPr>
          </w:pPr>
          <w:r w:rsidRPr="00B00CEA">
            <w:rPr>
              <w:rFonts w:ascii="Arial" w:hAnsi="Arial" w:cs="Arial"/>
              <w:b/>
              <w:bCs/>
              <w:color w:val="000000" w:themeColor="text1"/>
              <w:sz w:val="24"/>
              <w:szCs w:val="24"/>
            </w:rPr>
            <w:t>Table of Contents</w:t>
          </w:r>
        </w:p>
        <w:p w14:paraId="71B25C64" w14:textId="6F8BF355" w:rsidR="00B00CEA" w:rsidRDefault="00B00CEA">
          <w:pPr>
            <w:pStyle w:val="TOC1"/>
            <w:tabs>
              <w:tab w:val="right" w:leader="dot" w:pos="9724"/>
            </w:tabs>
            <w:rPr>
              <w:rFonts w:asciiTheme="minorHAnsi" w:eastAsiaTheme="minorEastAsia" w:hAnsiTheme="minorHAnsi" w:cstheme="minorBidi"/>
              <w:noProof/>
              <w:color w:val="auto"/>
              <w:sz w:val="24"/>
            </w:rPr>
          </w:pPr>
          <w:r>
            <w:fldChar w:fldCharType="begin"/>
          </w:r>
          <w:r>
            <w:instrText xml:space="preserve"> TOC \o "1-3" \h \z \u </w:instrText>
          </w:r>
          <w:r>
            <w:fldChar w:fldCharType="separate"/>
          </w:r>
          <w:hyperlink w:anchor="_Toc214940426" w:history="1">
            <w:r w:rsidRPr="00547693">
              <w:rPr>
                <w:rStyle w:val="Hyperlink"/>
                <w:noProof/>
              </w:rPr>
              <w:t>INTRODUCTION</w:t>
            </w:r>
            <w:r>
              <w:rPr>
                <w:noProof/>
                <w:webHidden/>
              </w:rPr>
              <w:tab/>
            </w:r>
            <w:r>
              <w:rPr>
                <w:noProof/>
                <w:webHidden/>
              </w:rPr>
              <w:fldChar w:fldCharType="begin"/>
            </w:r>
            <w:r>
              <w:rPr>
                <w:noProof/>
                <w:webHidden/>
              </w:rPr>
              <w:instrText xml:space="preserve"> PAGEREF _Toc214940426 \h </w:instrText>
            </w:r>
            <w:r>
              <w:rPr>
                <w:noProof/>
                <w:webHidden/>
              </w:rPr>
            </w:r>
            <w:r>
              <w:rPr>
                <w:noProof/>
                <w:webHidden/>
              </w:rPr>
              <w:fldChar w:fldCharType="separate"/>
            </w:r>
            <w:r>
              <w:rPr>
                <w:noProof/>
                <w:webHidden/>
              </w:rPr>
              <w:t>3</w:t>
            </w:r>
            <w:r>
              <w:rPr>
                <w:noProof/>
                <w:webHidden/>
              </w:rPr>
              <w:fldChar w:fldCharType="end"/>
            </w:r>
          </w:hyperlink>
        </w:p>
        <w:p w14:paraId="628F5F03" w14:textId="790873A6" w:rsidR="00B00CEA" w:rsidRDefault="00B00CEA">
          <w:pPr>
            <w:pStyle w:val="TOC1"/>
            <w:tabs>
              <w:tab w:val="right" w:leader="dot" w:pos="9724"/>
            </w:tabs>
            <w:rPr>
              <w:rFonts w:asciiTheme="minorHAnsi" w:eastAsiaTheme="minorEastAsia" w:hAnsiTheme="minorHAnsi" w:cstheme="minorBidi"/>
              <w:noProof/>
              <w:color w:val="auto"/>
              <w:sz w:val="24"/>
            </w:rPr>
          </w:pPr>
          <w:hyperlink w:anchor="_Toc214940427" w:history="1">
            <w:r w:rsidRPr="00547693">
              <w:rPr>
                <w:rStyle w:val="Hyperlink"/>
                <w:noProof/>
              </w:rPr>
              <w:t>SECTION 1: THE IMPORTANCE OF EFFECTIVE COMMUNICATION</w:t>
            </w:r>
            <w:r>
              <w:rPr>
                <w:noProof/>
                <w:webHidden/>
              </w:rPr>
              <w:tab/>
            </w:r>
            <w:r>
              <w:rPr>
                <w:noProof/>
                <w:webHidden/>
              </w:rPr>
              <w:fldChar w:fldCharType="begin"/>
            </w:r>
            <w:r>
              <w:rPr>
                <w:noProof/>
                <w:webHidden/>
              </w:rPr>
              <w:instrText xml:space="preserve"> PAGEREF _Toc214940427 \h </w:instrText>
            </w:r>
            <w:r>
              <w:rPr>
                <w:noProof/>
                <w:webHidden/>
              </w:rPr>
            </w:r>
            <w:r>
              <w:rPr>
                <w:noProof/>
                <w:webHidden/>
              </w:rPr>
              <w:fldChar w:fldCharType="separate"/>
            </w:r>
            <w:r>
              <w:rPr>
                <w:noProof/>
                <w:webHidden/>
              </w:rPr>
              <w:t>3</w:t>
            </w:r>
            <w:r>
              <w:rPr>
                <w:noProof/>
                <w:webHidden/>
              </w:rPr>
              <w:fldChar w:fldCharType="end"/>
            </w:r>
          </w:hyperlink>
        </w:p>
        <w:p w14:paraId="313CEB81" w14:textId="28EE1513" w:rsidR="00B00CEA" w:rsidRDefault="00B00CEA">
          <w:pPr>
            <w:pStyle w:val="TOC1"/>
            <w:tabs>
              <w:tab w:val="right" w:leader="dot" w:pos="9724"/>
            </w:tabs>
            <w:rPr>
              <w:rFonts w:asciiTheme="minorHAnsi" w:eastAsiaTheme="minorEastAsia" w:hAnsiTheme="minorHAnsi" w:cstheme="minorBidi"/>
              <w:noProof/>
              <w:color w:val="auto"/>
              <w:sz w:val="24"/>
            </w:rPr>
          </w:pPr>
          <w:hyperlink w:anchor="_Toc214940428" w:history="1">
            <w:r w:rsidRPr="00547693">
              <w:rPr>
                <w:rStyle w:val="Hyperlink"/>
                <w:noProof/>
              </w:rPr>
              <w:t>SECTION 2: THE IMPORTANCE OF ADMINISTRATIVE SKILLS AND RECORD KEEPING</w:t>
            </w:r>
            <w:r>
              <w:rPr>
                <w:noProof/>
                <w:webHidden/>
              </w:rPr>
              <w:tab/>
            </w:r>
            <w:r>
              <w:rPr>
                <w:noProof/>
                <w:webHidden/>
              </w:rPr>
              <w:fldChar w:fldCharType="begin"/>
            </w:r>
            <w:r>
              <w:rPr>
                <w:noProof/>
                <w:webHidden/>
              </w:rPr>
              <w:instrText xml:space="preserve"> PAGEREF _Toc214940428 \h </w:instrText>
            </w:r>
            <w:r>
              <w:rPr>
                <w:noProof/>
                <w:webHidden/>
              </w:rPr>
            </w:r>
            <w:r>
              <w:rPr>
                <w:noProof/>
                <w:webHidden/>
              </w:rPr>
              <w:fldChar w:fldCharType="separate"/>
            </w:r>
            <w:r>
              <w:rPr>
                <w:noProof/>
                <w:webHidden/>
              </w:rPr>
              <w:t>4</w:t>
            </w:r>
            <w:r>
              <w:rPr>
                <w:noProof/>
                <w:webHidden/>
              </w:rPr>
              <w:fldChar w:fldCharType="end"/>
            </w:r>
          </w:hyperlink>
        </w:p>
        <w:p w14:paraId="09237F8B" w14:textId="57091995" w:rsidR="00B00CEA" w:rsidRDefault="00B00CEA">
          <w:pPr>
            <w:pStyle w:val="TOC1"/>
            <w:tabs>
              <w:tab w:val="right" w:leader="dot" w:pos="9724"/>
            </w:tabs>
            <w:rPr>
              <w:rFonts w:asciiTheme="minorHAnsi" w:eastAsiaTheme="minorEastAsia" w:hAnsiTheme="minorHAnsi" w:cstheme="minorBidi"/>
              <w:noProof/>
              <w:color w:val="auto"/>
              <w:sz w:val="24"/>
            </w:rPr>
          </w:pPr>
          <w:hyperlink w:anchor="_Toc214940429" w:history="1">
            <w:r w:rsidRPr="00547693">
              <w:rPr>
                <w:rStyle w:val="Hyperlink"/>
                <w:noProof/>
              </w:rPr>
              <w:t>SECTION 3: WORKING COLLABORATIVELY WITH PROFESSIONALS</w:t>
            </w:r>
            <w:r>
              <w:rPr>
                <w:noProof/>
                <w:webHidden/>
              </w:rPr>
              <w:tab/>
            </w:r>
            <w:r>
              <w:rPr>
                <w:noProof/>
                <w:webHidden/>
              </w:rPr>
              <w:fldChar w:fldCharType="begin"/>
            </w:r>
            <w:r>
              <w:rPr>
                <w:noProof/>
                <w:webHidden/>
              </w:rPr>
              <w:instrText xml:space="preserve"> PAGEREF _Toc214940429 \h </w:instrText>
            </w:r>
            <w:r>
              <w:rPr>
                <w:noProof/>
                <w:webHidden/>
              </w:rPr>
            </w:r>
            <w:r>
              <w:rPr>
                <w:noProof/>
                <w:webHidden/>
              </w:rPr>
              <w:fldChar w:fldCharType="separate"/>
            </w:r>
            <w:r>
              <w:rPr>
                <w:noProof/>
                <w:webHidden/>
              </w:rPr>
              <w:t>6</w:t>
            </w:r>
            <w:r>
              <w:rPr>
                <w:noProof/>
                <w:webHidden/>
              </w:rPr>
              <w:fldChar w:fldCharType="end"/>
            </w:r>
          </w:hyperlink>
        </w:p>
        <w:p w14:paraId="31E0BC82" w14:textId="675D31F1" w:rsidR="00B00CEA" w:rsidRDefault="00B00CEA">
          <w:pPr>
            <w:pStyle w:val="TOC1"/>
            <w:tabs>
              <w:tab w:val="right" w:leader="dot" w:pos="9724"/>
            </w:tabs>
            <w:rPr>
              <w:rFonts w:asciiTheme="minorHAnsi" w:eastAsiaTheme="minorEastAsia" w:hAnsiTheme="minorHAnsi" w:cstheme="minorBidi"/>
              <w:noProof/>
              <w:color w:val="auto"/>
              <w:sz w:val="24"/>
            </w:rPr>
          </w:pPr>
          <w:hyperlink w:anchor="_Toc214940430" w:history="1">
            <w:r w:rsidRPr="00547693">
              <w:rPr>
                <w:rStyle w:val="Hyperlink"/>
                <w:noProof/>
              </w:rPr>
              <w:t>CONCLUSION</w:t>
            </w:r>
            <w:r>
              <w:rPr>
                <w:noProof/>
                <w:webHidden/>
              </w:rPr>
              <w:tab/>
            </w:r>
            <w:r>
              <w:rPr>
                <w:noProof/>
                <w:webHidden/>
              </w:rPr>
              <w:fldChar w:fldCharType="begin"/>
            </w:r>
            <w:r>
              <w:rPr>
                <w:noProof/>
                <w:webHidden/>
              </w:rPr>
              <w:instrText xml:space="preserve"> PAGEREF _Toc214940430 \h </w:instrText>
            </w:r>
            <w:r>
              <w:rPr>
                <w:noProof/>
                <w:webHidden/>
              </w:rPr>
            </w:r>
            <w:r>
              <w:rPr>
                <w:noProof/>
                <w:webHidden/>
              </w:rPr>
              <w:fldChar w:fldCharType="separate"/>
            </w:r>
            <w:r>
              <w:rPr>
                <w:noProof/>
                <w:webHidden/>
              </w:rPr>
              <w:t>7</w:t>
            </w:r>
            <w:r>
              <w:rPr>
                <w:noProof/>
                <w:webHidden/>
              </w:rPr>
              <w:fldChar w:fldCharType="end"/>
            </w:r>
          </w:hyperlink>
        </w:p>
        <w:p w14:paraId="15AC85DF" w14:textId="463E129C" w:rsidR="00B00CEA" w:rsidRDefault="00B00CEA">
          <w:pPr>
            <w:pStyle w:val="TOC1"/>
            <w:tabs>
              <w:tab w:val="right" w:leader="dot" w:pos="9724"/>
            </w:tabs>
            <w:rPr>
              <w:rFonts w:asciiTheme="minorHAnsi" w:eastAsiaTheme="minorEastAsia" w:hAnsiTheme="minorHAnsi" w:cstheme="minorBidi"/>
              <w:noProof/>
              <w:color w:val="auto"/>
              <w:sz w:val="24"/>
            </w:rPr>
          </w:pPr>
          <w:hyperlink w:anchor="_Toc214940431" w:history="1">
            <w:r w:rsidRPr="00547693">
              <w:rPr>
                <w:rStyle w:val="Hyperlink"/>
                <w:noProof/>
              </w:rPr>
              <w:t>References</w:t>
            </w:r>
            <w:r>
              <w:rPr>
                <w:noProof/>
                <w:webHidden/>
              </w:rPr>
              <w:tab/>
            </w:r>
            <w:r>
              <w:rPr>
                <w:noProof/>
                <w:webHidden/>
              </w:rPr>
              <w:fldChar w:fldCharType="begin"/>
            </w:r>
            <w:r>
              <w:rPr>
                <w:noProof/>
                <w:webHidden/>
              </w:rPr>
              <w:instrText xml:space="preserve"> PAGEREF _Toc214940431 \h </w:instrText>
            </w:r>
            <w:r>
              <w:rPr>
                <w:noProof/>
                <w:webHidden/>
              </w:rPr>
            </w:r>
            <w:r>
              <w:rPr>
                <w:noProof/>
                <w:webHidden/>
              </w:rPr>
              <w:fldChar w:fldCharType="separate"/>
            </w:r>
            <w:r>
              <w:rPr>
                <w:noProof/>
                <w:webHidden/>
              </w:rPr>
              <w:t>8</w:t>
            </w:r>
            <w:r>
              <w:rPr>
                <w:noProof/>
                <w:webHidden/>
              </w:rPr>
              <w:fldChar w:fldCharType="end"/>
            </w:r>
          </w:hyperlink>
        </w:p>
        <w:p w14:paraId="118C7441" w14:textId="169869CC" w:rsidR="00B00CEA" w:rsidRDefault="00B00CEA" w:rsidP="00B00CEA">
          <w:pPr>
            <w:spacing w:line="360" w:lineRule="auto"/>
          </w:pPr>
          <w:r>
            <w:rPr>
              <w:b/>
              <w:bCs/>
              <w:noProof/>
            </w:rPr>
            <w:fldChar w:fldCharType="end"/>
          </w:r>
        </w:p>
      </w:sdtContent>
    </w:sdt>
    <w:p w14:paraId="4EEFD6EB" w14:textId="6214C997" w:rsidR="00BA366A" w:rsidRDefault="00B00CEA" w:rsidP="00B00CEA">
      <w:pPr>
        <w:spacing w:after="160" w:line="360" w:lineRule="auto"/>
        <w:ind w:left="0" w:right="0" w:firstLine="0"/>
      </w:pPr>
      <w:r>
        <w:br w:type="page"/>
      </w:r>
    </w:p>
    <w:p w14:paraId="46BFC8B3" w14:textId="77777777" w:rsidR="00B00CEA" w:rsidRPr="009B6453" w:rsidRDefault="00B00CEA" w:rsidP="00B00CEA"/>
    <w:p w14:paraId="468366ED" w14:textId="77777777" w:rsidR="00B00CEA" w:rsidRPr="009B6453" w:rsidRDefault="00B00CEA" w:rsidP="00B00CEA">
      <w:pPr>
        <w:pStyle w:val="Heading1"/>
      </w:pPr>
      <w:bookmarkStart w:id="0" w:name="_Toc214940426"/>
      <w:r w:rsidRPr="009B6453">
        <w:t>INTRODUCTION</w:t>
      </w:r>
      <w:bookmarkEnd w:id="0"/>
      <w:r w:rsidRPr="009B6453">
        <w:t xml:space="preserve"> </w:t>
      </w:r>
    </w:p>
    <w:p w14:paraId="3A105B27" w14:textId="56A5DF69" w:rsidR="00B00CEA" w:rsidRDefault="00B00CEA" w:rsidP="00B00CEA">
      <w:pPr>
        <w:spacing w:line="360" w:lineRule="auto"/>
      </w:pPr>
      <w:r w:rsidRPr="009B6453">
        <w:t xml:space="preserve">The UK health and social care system is based on effective communication, proper record keeping, and coordinated multi-agency working as the foundation of a safe and person-centred </w:t>
      </w:r>
      <w:r>
        <w:t>practice</w:t>
      </w:r>
      <w:r w:rsidRPr="009B6453">
        <w:t xml:space="preserve">. The case of Mrs Mann reveals numerous gaps in organisational structure, most notably language barriers and inconsistent documentation that still jeopardise the quality of care throughout the country (Whitaker et al., 2021). These problems represent broader system stressors raised, such as the difficulty of providing equitable care to diverse populations in fragmented service systems. This report is a critical analysis of three interconnected aspects: communication that is scrutinised with the help of the Communication Cycle by Argyle; administrative and documentation </w:t>
      </w:r>
      <w:r>
        <w:t>practice</w:t>
      </w:r>
      <w:r w:rsidRPr="009B6453">
        <w:t xml:space="preserve"> as regulated by the Data Protection Act 2018; and working across professional boundaries. This way</w:t>
      </w:r>
      <w:r>
        <w:t>,</w:t>
      </w:r>
      <w:r w:rsidRPr="009B6453">
        <w:t xml:space="preserve"> it </w:t>
      </w:r>
      <w:r>
        <w:t>tackles explicitly</w:t>
      </w:r>
      <w:r w:rsidRPr="009B6453">
        <w:t xml:space="preserve"> and </w:t>
      </w:r>
      <w:r>
        <w:t>is</w:t>
      </w:r>
      <w:r w:rsidRPr="009B6453">
        <w:t xml:space="preserve"> based on the usage of legislation, scholarly evidence, and case analysis.</w:t>
      </w:r>
    </w:p>
    <w:p w14:paraId="2085C4D5" w14:textId="77777777" w:rsidR="00B00CEA" w:rsidRDefault="00B00CEA" w:rsidP="00B00CEA">
      <w:pPr>
        <w:pStyle w:val="Heading1"/>
      </w:pPr>
      <w:bookmarkStart w:id="1" w:name="_Toc214940427"/>
      <w:r w:rsidRPr="009B6453">
        <w:t>SECTION 1: THE IMPORTANCE OF EFFECTIVE COMMUNICATION</w:t>
      </w:r>
      <w:bookmarkEnd w:id="1"/>
      <w:r w:rsidRPr="009B6453">
        <w:t xml:space="preserve"> </w:t>
      </w:r>
    </w:p>
    <w:p w14:paraId="3FC6E5DA" w14:textId="77777777" w:rsidR="00B00CEA" w:rsidRPr="00B00CEA" w:rsidRDefault="00B00CEA" w:rsidP="00B00CEA"/>
    <w:p w14:paraId="46DCD4CD" w14:textId="77777777" w:rsidR="00B00CEA" w:rsidRPr="009B6453" w:rsidRDefault="00B00CEA" w:rsidP="00B00CEA">
      <w:pPr>
        <w:spacing w:after="160" w:line="360" w:lineRule="auto"/>
        <w:rPr>
          <w:b/>
          <w:bCs/>
        </w:rPr>
      </w:pPr>
      <w:r w:rsidRPr="009B6453">
        <w:rPr>
          <w:b/>
          <w:bCs/>
        </w:rPr>
        <w:t>Effective Communication in Mrs Mann’s Care</w:t>
      </w:r>
    </w:p>
    <w:p w14:paraId="20DCA9DF" w14:textId="7C6F4780" w:rsidR="00B00CEA" w:rsidRDefault="00B00CEA" w:rsidP="00B00CEA">
      <w:pPr>
        <w:spacing w:line="360" w:lineRule="auto"/>
      </w:pPr>
      <w:r w:rsidRPr="009B6453">
        <w:t xml:space="preserve">A failure in communication during postoperative care is a clinical risk, especially when a service user is not able to respond to professional instructions fully. The lack of proficiency in English in Mrs </w:t>
      </w:r>
      <w:r>
        <w:t>Mann's case limits her ability to construct</w:t>
      </w:r>
      <w:r w:rsidRPr="009B6453">
        <w:t xml:space="preserve"> the vital information regarding mobility, pain, medication, and rehabilitation. This not only raises the reliance on the carers and family, but also increases the chances of critical omission</w:t>
      </w:r>
      <w:r>
        <w:t>,</w:t>
      </w:r>
      <w:r w:rsidRPr="009B6453">
        <w:t xml:space="preserve"> like the failure to adjust to her medication. It has been shown that language discordance leads to systematic patient safety dangers and increases the probability of making a mistake, since critical signals are overlooked and information loops are disrupted (Al Shamsi et al., 2020). In the case of an older adult who is recuperating after a hip replacement, such failures may affect the healing process, prevent compliance with physiotherapy instructions, and affect the process of informed decision-making. As witnessed in her case, the failure in communication leads to structural risks in domiciliary care, which is dependent on accurate and shared comprehension by several professionals.</w:t>
      </w:r>
    </w:p>
    <w:p w14:paraId="4C6D8AFB" w14:textId="77777777" w:rsidR="00B00CEA" w:rsidRPr="009B6453" w:rsidRDefault="00B00CEA" w:rsidP="00B00CEA">
      <w:pPr>
        <w:spacing w:after="160" w:line="360" w:lineRule="auto"/>
        <w:rPr>
          <w:b/>
          <w:bCs/>
        </w:rPr>
      </w:pPr>
      <w:r w:rsidRPr="009B6453">
        <w:rPr>
          <w:b/>
          <w:bCs/>
        </w:rPr>
        <w:t>Equality Act 2010 in Communication</w:t>
      </w:r>
    </w:p>
    <w:p w14:paraId="21799727" w14:textId="16E6CC24" w:rsidR="00B00CEA" w:rsidRPr="009B6453" w:rsidRDefault="00B00CEA" w:rsidP="00B00CEA">
      <w:pPr>
        <w:spacing w:after="160" w:line="360" w:lineRule="auto"/>
      </w:pPr>
      <w:r w:rsidRPr="009B6453">
        <w:t>Equality Act 2010 imposes a legal responsibility on those who provide health and social care to ensure that individuals with the characteristics of the law are provided with equal opportunities through reasonable adjustments</w:t>
      </w:r>
      <w:r>
        <w:t>,</w:t>
      </w:r>
      <w:r w:rsidRPr="009B6453">
        <w:t xml:space="preserve"> such as race and language. Practically, it can be considered as the proactive approach of organising the service of a trained interpreter, not using relatives too often, and modifying communication patterns. Otherwise, there is a risk of indirect discrimination because the common ways of communication will </w:t>
      </w:r>
      <w:r w:rsidRPr="009B6453">
        <w:lastRenderedPageBreak/>
        <w:t>fail to favour those who cannot converse in English. The studies indicate that elderly patients have a high probability of communication difficulties, especially patients with sensory, mental, or language impairments, and these issues contribute to the safety and quality of their care (Awad et al., n.d.). The implementation of the Act in the situation of Mrs Mann needs to be thus rather than aided by translation, an engagement that is culturally skilled so that Mrs Mann can agree to interventions on an equal footing.</w:t>
      </w:r>
    </w:p>
    <w:p w14:paraId="50A87015" w14:textId="77777777" w:rsidR="00B00CEA" w:rsidRPr="009B6453" w:rsidRDefault="00B00CEA" w:rsidP="00B00CEA">
      <w:pPr>
        <w:spacing w:after="160" w:line="360" w:lineRule="auto"/>
        <w:rPr>
          <w:b/>
          <w:bCs/>
        </w:rPr>
      </w:pPr>
      <w:r w:rsidRPr="009B6453">
        <w:rPr>
          <w:b/>
          <w:bCs/>
        </w:rPr>
        <w:t>Communication Model: Argyle’s Communication Cycle</w:t>
      </w:r>
    </w:p>
    <w:p w14:paraId="68E0C951" w14:textId="6708AF60" w:rsidR="00B00CEA" w:rsidRPr="009B6453" w:rsidRDefault="00B00CEA" w:rsidP="00B00CEA">
      <w:pPr>
        <w:spacing w:after="160" w:line="360" w:lineRule="auto"/>
      </w:pPr>
      <w:r w:rsidRPr="009B6453">
        <w:t xml:space="preserve">The Communication Cycle created by Argyle offers a systemic prism with the help of which the lapses of the care provided to Mrs Mann can be critically analysed. The framing of information can be simplified or misjudged by the care staff at the encoding stage because of her low English proficiency, whereas decoding is also impaired since she cannot comprehend complicated instructions or medication changes. Feedback, which is a key to the model of Argyle, is compromised by language barriers that do not allow her </w:t>
      </w:r>
      <w:r>
        <w:t>to communicate</w:t>
      </w:r>
      <w:r w:rsidRPr="009B6453">
        <w:t xml:space="preserve"> misunderstanding or discomfort. It has been proven that with the use of structured communication processes and the </w:t>
      </w:r>
      <w:r>
        <w:t>interpreter's</w:t>
      </w:r>
      <w:r w:rsidRPr="009B6453">
        <w:t xml:space="preserve"> involvement, these distortions can be significantly reduced and clinical outcomes can be improved (Liza et al., 2025). Using this model, the systemic quality of the communication failure becomes apparent: the lack of shared meaning causes the propagation of safety-related information among the multidisciplinary team ineffectively.</w:t>
      </w:r>
    </w:p>
    <w:p w14:paraId="129813A7" w14:textId="77777777" w:rsidR="00B00CEA" w:rsidRDefault="00B00CEA" w:rsidP="00B00CEA">
      <w:pPr>
        <w:spacing w:line="360" w:lineRule="auto"/>
        <w:rPr>
          <w:b/>
          <w:bCs/>
        </w:rPr>
      </w:pPr>
      <w:r w:rsidRPr="009B6453">
        <w:rPr>
          <w:b/>
          <w:bCs/>
        </w:rPr>
        <w:t>Improve Communication in Practice</w:t>
      </w:r>
    </w:p>
    <w:p w14:paraId="6F369E5E" w14:textId="2AFD2107" w:rsidR="00B00CEA" w:rsidRDefault="00B00CEA" w:rsidP="00B00CEA">
      <w:pPr>
        <w:spacing w:line="360" w:lineRule="auto"/>
      </w:pPr>
      <w:r w:rsidRPr="009B6453">
        <w:t xml:space="preserve">To enhance mutual understanding, the coordinated use of professional interpreter services, culturally sensitive </w:t>
      </w:r>
      <w:r>
        <w:t>methods, visual prompts, and deliberate non-verbal communication is crucial to good practice</w:t>
      </w:r>
      <w:r w:rsidRPr="009B6453">
        <w:t xml:space="preserve">. On the same note, there should be the intentional development of feedback loops to achieve understanding and not just </w:t>
      </w:r>
      <w:r>
        <w:t>assume</w:t>
      </w:r>
      <w:r w:rsidRPr="009B6453">
        <w:t>. Studies show that once the communication obstacles are overcome with the help of such strategies, older adults show an enhanced level of interest, confidence, and compliance with the rehabilitation plans (</w:t>
      </w:r>
      <w:proofErr w:type="spellStart"/>
      <w:r w:rsidRPr="009B6453">
        <w:t>Albarqi</w:t>
      </w:r>
      <w:proofErr w:type="spellEnd"/>
      <w:r w:rsidRPr="009B6453">
        <w:t>, 2024). In the case of Mrs Mann, these measures are not peripheral but the core of safeguarding, equality and person-centred treatment.</w:t>
      </w:r>
    </w:p>
    <w:p w14:paraId="03C68F78" w14:textId="77777777" w:rsidR="00B00CEA" w:rsidRPr="009B6453" w:rsidRDefault="00B00CEA" w:rsidP="00B00CEA">
      <w:pPr>
        <w:spacing w:line="360" w:lineRule="auto"/>
      </w:pPr>
    </w:p>
    <w:p w14:paraId="1D667EE7" w14:textId="062CEF1A" w:rsidR="00B00CEA" w:rsidRDefault="00B00CEA" w:rsidP="00B00CEA">
      <w:pPr>
        <w:pStyle w:val="Heading1"/>
      </w:pPr>
      <w:bookmarkStart w:id="2" w:name="_Toc214940428"/>
      <w:r w:rsidRPr="009B6453">
        <w:t xml:space="preserve">SECTION 2: THE IMPORTANCE OF ADMINISTRATIVE SKILLS </w:t>
      </w:r>
      <w:r>
        <w:t>AND</w:t>
      </w:r>
      <w:r w:rsidRPr="009B6453">
        <w:t xml:space="preserve"> RECORD KEEPING</w:t>
      </w:r>
      <w:bookmarkEnd w:id="2"/>
      <w:r w:rsidRPr="009B6453">
        <w:t xml:space="preserve"> </w:t>
      </w:r>
    </w:p>
    <w:p w14:paraId="3619BE9D" w14:textId="77777777" w:rsidR="00B00CEA" w:rsidRPr="00B00CEA" w:rsidRDefault="00B00CEA" w:rsidP="00B00CEA"/>
    <w:p w14:paraId="001F160D" w14:textId="77777777" w:rsidR="00B00CEA" w:rsidRPr="009B6453" w:rsidRDefault="00B00CEA" w:rsidP="00B00CEA">
      <w:pPr>
        <w:spacing w:after="160" w:line="360" w:lineRule="auto"/>
        <w:rPr>
          <w:b/>
          <w:bCs/>
        </w:rPr>
      </w:pPr>
      <w:r w:rsidRPr="009B6453">
        <w:rPr>
          <w:b/>
          <w:bCs/>
        </w:rPr>
        <w:t>Why Good Record-Keeping Is Critical in Mrs Mann’s Care</w:t>
      </w:r>
    </w:p>
    <w:p w14:paraId="439D91B1" w14:textId="5FFD84A8" w:rsidR="00B00CEA" w:rsidRPr="009B6453" w:rsidRDefault="00B00CEA" w:rsidP="00B00CEA">
      <w:pPr>
        <w:spacing w:after="160" w:line="360" w:lineRule="auto"/>
      </w:pPr>
      <w:r w:rsidRPr="009B6453">
        <w:t xml:space="preserve">Poor or partial documentation is a </w:t>
      </w:r>
      <w:r>
        <w:t>significant</w:t>
      </w:r>
      <w:r w:rsidRPr="009B6453">
        <w:t xml:space="preserve"> risk to safe and coordinated </w:t>
      </w:r>
      <w:r>
        <w:t>practice,</w:t>
      </w:r>
      <w:r w:rsidRPr="009B6453">
        <w:t xml:space="preserve"> especially with community-based postoperative care. Fragmented records in the case of Mrs Mann were the direct cause of the inability to adjust her medication promptly to avoid </w:t>
      </w:r>
      <w:r w:rsidRPr="009B6453">
        <w:lastRenderedPageBreak/>
        <w:t xml:space="preserve">the failure, which the lack of written communication destabilises multidisciplinary decision-making and risks the clinical situation. In cases where the records fail to provide accurate changes in condition, medication directions, and observations of the professionals, the vital information would not be shared among carers, the GP, and the physiotherapist. This is consistent with the fact that </w:t>
      </w:r>
      <w:r>
        <w:t>inadequate</w:t>
      </w:r>
      <w:r w:rsidRPr="009B6453">
        <w:t xml:space="preserve"> documentation is a significant cause of patient safety events</w:t>
      </w:r>
      <w:r>
        <w:t>,</w:t>
      </w:r>
      <w:r w:rsidRPr="009B6453">
        <w:t xml:space="preserve"> and it breaks continuity in the distributed care setting (Bjerkan et al., 2021). Any inconsistency in the documentation of an older adult dependent on various practitioners is reflected by the prolongation of the interventions, decreased accountability, and increased susceptibility to preventable harm.</w:t>
      </w:r>
    </w:p>
    <w:p w14:paraId="0EEB0A26" w14:textId="77777777" w:rsidR="00B00CEA" w:rsidRPr="009B6453" w:rsidRDefault="00B00CEA" w:rsidP="00B00CEA">
      <w:pPr>
        <w:spacing w:after="160" w:line="360" w:lineRule="auto"/>
        <w:rPr>
          <w:b/>
          <w:bCs/>
        </w:rPr>
      </w:pPr>
      <w:r w:rsidRPr="009B6453">
        <w:rPr>
          <w:b/>
          <w:bCs/>
        </w:rPr>
        <w:t>Data Protection Act 2018 to Health and Social Care Records</w:t>
      </w:r>
    </w:p>
    <w:p w14:paraId="69F1034F" w14:textId="6173DFC8" w:rsidR="00B00CEA" w:rsidRPr="009B6453" w:rsidRDefault="00B00CEA" w:rsidP="00B00CEA">
      <w:pPr>
        <w:spacing w:after="160" w:line="360" w:lineRule="auto"/>
      </w:pPr>
      <w:r w:rsidRPr="009B6453">
        <w:t xml:space="preserve">The Data Protection Act 2018 goes without negotiation on accuracy, confidentiality, legitimate processing, and safe information management. The actual implementation of these principles </w:t>
      </w:r>
      <w:r>
        <w:t>in</w:t>
      </w:r>
      <w:r w:rsidRPr="009B6453">
        <w:t xml:space="preserve"> the case of Mrs Mann reveals </w:t>
      </w:r>
      <w:r>
        <w:t>specific</w:t>
      </w:r>
      <w:r w:rsidRPr="009B6453">
        <w:t xml:space="preserve"> flaws in the system: inaccurate or incomplete notes are against the DPA provisions that data must be accurate and up to date, whereas the lack of entries in a timely manner is a risk to the lawful exchange of information among agencies. Breach of confidentiality can also be achieved due to failures in safe or steady record management</w:t>
      </w:r>
      <w:r>
        <w:t>,</w:t>
      </w:r>
      <w:r w:rsidRPr="009B6453">
        <w:t xml:space="preserve"> especially when various professionals access and update care records. It has been proven that the quality of documentation is directly connected to patient safety outcomes, and </w:t>
      </w:r>
      <w:r>
        <w:t>a lack of compliance with accuracy and completeness</w:t>
      </w:r>
      <w:r w:rsidRPr="009B6453">
        <w:t xml:space="preserve"> impairs clinical decision-making significantly (Adel et al., n.d.). Utilising the DPA is not, therefore, a regulatory expectation but a patient safety mechanism, a core mechanism.</w:t>
      </w:r>
    </w:p>
    <w:p w14:paraId="5E18CDAE" w14:textId="77777777" w:rsidR="00B00CEA" w:rsidRPr="009B6453" w:rsidRDefault="00B00CEA" w:rsidP="00B00CEA">
      <w:pPr>
        <w:spacing w:after="160" w:line="360" w:lineRule="auto"/>
        <w:rPr>
          <w:b/>
          <w:bCs/>
        </w:rPr>
      </w:pPr>
      <w:r w:rsidRPr="009B6453">
        <w:rPr>
          <w:b/>
          <w:bCs/>
        </w:rPr>
        <w:t>Administrative Competence in Professional Practice</w:t>
      </w:r>
    </w:p>
    <w:p w14:paraId="78978032" w14:textId="71AAB095" w:rsidR="00B00CEA" w:rsidRDefault="00B00CEA" w:rsidP="00B00CEA">
      <w:pPr>
        <w:spacing w:line="360" w:lineRule="auto"/>
      </w:pPr>
      <w:r w:rsidRPr="009B6453">
        <w:t xml:space="preserve">The key to successful multidisciplinary working is the administration competence, such as keeping records punctually, factually and objectively. Proper and prompt entries will </w:t>
      </w:r>
      <w:r>
        <w:t>ensure</w:t>
      </w:r>
      <w:r w:rsidRPr="009B6453">
        <w:t xml:space="preserve"> that every professional will be able to take action on the latest assessment and will minimise the repetition, unnecessary delays, and conflicting care plans. This is further reduced by the use of structured handovers and standard documentation formats</w:t>
      </w:r>
      <w:r>
        <w:t>,</w:t>
      </w:r>
      <w:r w:rsidRPr="009B6453">
        <w:t xml:space="preserve"> which reduce ambiguity and variance in reporting. It has been shown that effective documentation </w:t>
      </w:r>
      <w:r>
        <w:t>practices mitigate omissions and common errors in clinical settings and contribute to becoming an essential part of safe practice</w:t>
      </w:r>
      <w:r w:rsidRPr="009B6453">
        <w:t xml:space="preserve"> (Molla et al., 2024). These skills are further required in domiciliary settings where people get to work on their own.</w:t>
      </w:r>
    </w:p>
    <w:p w14:paraId="671E0542" w14:textId="77777777" w:rsidR="00B00CEA" w:rsidRPr="009B6453" w:rsidRDefault="00B00CEA" w:rsidP="00B00CEA">
      <w:pPr>
        <w:spacing w:after="160" w:line="360" w:lineRule="auto"/>
        <w:rPr>
          <w:b/>
          <w:bCs/>
        </w:rPr>
      </w:pPr>
      <w:r w:rsidRPr="009B6453">
        <w:rPr>
          <w:b/>
          <w:bCs/>
        </w:rPr>
        <w:t>Improving Administrative Practice in Mrs Mann’s Case</w:t>
      </w:r>
    </w:p>
    <w:p w14:paraId="05BCA200" w14:textId="5356C6BF" w:rsidR="00B00CEA" w:rsidRDefault="00B00CEA" w:rsidP="00B00CEA">
      <w:pPr>
        <w:spacing w:line="360" w:lineRule="auto"/>
      </w:pPr>
      <w:r w:rsidRPr="009B6453">
        <w:t xml:space="preserve">To improve </w:t>
      </w:r>
      <w:r>
        <w:t>the</w:t>
      </w:r>
      <w:r w:rsidRPr="009B6453">
        <w:t xml:space="preserve"> record-keeping of Mrs Mann, evidence-based strategies, including the use of digital shared records, </w:t>
      </w:r>
      <w:r>
        <w:t>standard</w:t>
      </w:r>
      <w:r w:rsidRPr="009B6453">
        <w:t xml:space="preserve"> templates of daily observations, and specified routes of </w:t>
      </w:r>
      <w:r w:rsidRPr="009B6453">
        <w:lastRenderedPageBreak/>
        <w:t xml:space="preserve">escalation when changing medication, need to be used. These provisions enhance continuity, minimise miscommunication and facilitate compliance with regulations. The issue of constant documentation difficulties is commonly reported in health and social care, posing a problem to the coordinated, high-quality provision (Holding et al., 2019). The use of effective administrative mechanisms is thus part of ensuring </w:t>
      </w:r>
      <w:r>
        <w:t>that the failures that were experienced in her care do not occur again</w:t>
      </w:r>
      <w:r w:rsidRPr="009B6453">
        <w:t>.</w:t>
      </w:r>
    </w:p>
    <w:p w14:paraId="78485F7E" w14:textId="77777777" w:rsidR="00B00CEA" w:rsidRDefault="00B00CEA" w:rsidP="00B00CEA">
      <w:pPr>
        <w:spacing w:line="360" w:lineRule="auto"/>
      </w:pPr>
    </w:p>
    <w:p w14:paraId="309F987E" w14:textId="77777777" w:rsidR="00B00CEA" w:rsidRPr="009B6453" w:rsidRDefault="00B00CEA" w:rsidP="00B00CEA">
      <w:pPr>
        <w:pStyle w:val="Heading1"/>
      </w:pPr>
      <w:bookmarkStart w:id="3" w:name="_Toc214940429"/>
      <w:r w:rsidRPr="009B6453">
        <w:t>SECTION 3: WORKING COLLABORATIVELY WITH PROFESSIONALS</w:t>
      </w:r>
      <w:bookmarkEnd w:id="3"/>
      <w:r w:rsidRPr="009B6453">
        <w:t xml:space="preserve"> </w:t>
      </w:r>
    </w:p>
    <w:p w14:paraId="75A9DFFA" w14:textId="77777777" w:rsidR="00B00CEA" w:rsidRDefault="00B00CEA" w:rsidP="00B00CEA">
      <w:pPr>
        <w:spacing w:line="360" w:lineRule="auto"/>
        <w:rPr>
          <w:b/>
          <w:bCs/>
        </w:rPr>
      </w:pPr>
      <w:r w:rsidRPr="009B6453">
        <w:rPr>
          <w:b/>
          <w:bCs/>
        </w:rPr>
        <w:t>Multi-Agency Working in Mrs Mann’s Rehabilitation</w:t>
      </w:r>
    </w:p>
    <w:p w14:paraId="11028198" w14:textId="75572387" w:rsidR="00B00CEA" w:rsidRPr="009B6453" w:rsidRDefault="00B00CEA" w:rsidP="00B00CEA">
      <w:pPr>
        <w:spacing w:after="160" w:line="360" w:lineRule="auto"/>
      </w:pPr>
      <w:r w:rsidRPr="009B6453">
        <w:t xml:space="preserve">The success of </w:t>
      </w:r>
      <w:r>
        <w:t xml:space="preserve">the </w:t>
      </w:r>
      <w:r w:rsidRPr="009B6453">
        <w:t xml:space="preserve">rehabilitation of Mrs Mann requires communication between the GP, physiotherapist, domiciliary care workers, and her family to be organised and timely. The ability to incorporate mobility guidance, medication, and risk monitoring into the recovery process should be reinforced constantly during postoperative recovery. By children, the professionals working alone or by division of attention leads to </w:t>
      </w:r>
      <w:r>
        <w:t>a lack of clinical reasoning,</w:t>
      </w:r>
      <w:r w:rsidRPr="009B6453">
        <w:t xml:space="preserve"> and in most cases, chances are high that there would be replicated evaluation, conflicting counsel or failure to intervene. There is evidence showing that multidisciplinary collaboration is highly effective and can improve the outcomes and quality of life of older patients, and it is especially effective in cases when the latter needs to be attended to with rehabilitation (</w:t>
      </w:r>
      <w:proofErr w:type="spellStart"/>
      <w:r w:rsidRPr="009B6453">
        <w:t>Albarqi</w:t>
      </w:r>
      <w:proofErr w:type="spellEnd"/>
      <w:r w:rsidRPr="009B6453">
        <w:t>, 2024). The case of Mrs Mann also demonstrates that interagency communication failures can quickly result in preventable harm, and coordinated working is a fundamental safety necessity, not a non-essential improvement.</w:t>
      </w:r>
    </w:p>
    <w:p w14:paraId="28325CCB" w14:textId="77777777" w:rsidR="00B00CEA" w:rsidRPr="009B6453" w:rsidRDefault="00B00CEA" w:rsidP="00B00CEA">
      <w:pPr>
        <w:spacing w:after="160" w:line="360" w:lineRule="auto"/>
        <w:rPr>
          <w:b/>
          <w:bCs/>
        </w:rPr>
      </w:pPr>
      <w:r w:rsidRPr="009B6453">
        <w:rPr>
          <w:b/>
          <w:bCs/>
        </w:rPr>
        <w:t>Foster Effective Collaborative Practice</w:t>
      </w:r>
    </w:p>
    <w:p w14:paraId="2F1E908B" w14:textId="30ACFD77" w:rsidR="00B00CEA" w:rsidRDefault="00B00CEA" w:rsidP="00B00CEA">
      <w:pPr>
        <w:spacing w:line="360" w:lineRule="auto"/>
      </w:pPr>
      <w:r w:rsidRPr="009B6453">
        <w:t xml:space="preserve">These are structured communication tools, including SBAR, joint care planning, interdisciplinary reviews and culturally competent </w:t>
      </w:r>
      <w:r>
        <w:t>practice,</w:t>
      </w:r>
      <w:r w:rsidRPr="009B6453">
        <w:t xml:space="preserve"> which decrease ambiguity and enhance shared understanding. They facilitate uniformity in </w:t>
      </w:r>
      <w:r>
        <w:t>the interpretation of clinical needs and timely escalation across organisational boundaries</w:t>
      </w:r>
      <w:r w:rsidRPr="009B6453">
        <w:t xml:space="preserve">. According to government evidence, cooperation between agencies is a crucial factor in the continuity and safety (Welsh Government, 2023). The use of the </w:t>
      </w:r>
      <w:r>
        <w:t>practices would enhance medication checks</w:t>
      </w:r>
      <w:r w:rsidRPr="009B6453">
        <w:t>, rehabilitation congruity, and team problem-solving.</w:t>
      </w:r>
    </w:p>
    <w:p w14:paraId="429BF232" w14:textId="77777777" w:rsidR="00B00CEA" w:rsidRPr="009B6453" w:rsidRDefault="00B00CEA" w:rsidP="00B00CEA">
      <w:pPr>
        <w:spacing w:after="160" w:line="360" w:lineRule="auto"/>
        <w:rPr>
          <w:b/>
          <w:bCs/>
        </w:rPr>
      </w:pPr>
      <w:r w:rsidRPr="009B6453">
        <w:rPr>
          <w:b/>
          <w:bCs/>
        </w:rPr>
        <w:t xml:space="preserve">Challenges </w:t>
      </w:r>
    </w:p>
    <w:p w14:paraId="73A74FDD" w14:textId="189CB87A" w:rsidR="00B00CEA" w:rsidRDefault="00B00CEA" w:rsidP="00B00CEA">
      <w:pPr>
        <w:spacing w:line="360" w:lineRule="auto"/>
      </w:pPr>
      <w:r w:rsidRPr="009B6453">
        <w:t>Incoherent documentation, lack of clarity of roles, mismatched systems and language barriers all interfere with coordination and develop systemic blind spots. In the absence of definite protocols, agencies may suppose that someone is in charge</w:t>
      </w:r>
      <w:r>
        <w:t>,</w:t>
      </w:r>
      <w:r w:rsidRPr="009B6453">
        <w:t xml:space="preserve"> </w:t>
      </w:r>
      <w:r>
        <w:t>which leads</w:t>
      </w:r>
      <w:r w:rsidRPr="009B6453">
        <w:t xml:space="preserve"> to gaps and delays in monitoring. Divides Structural divides between health, housing and social care are further barriers to continuity (Holding et al., 2019). The solutions involve common </w:t>
      </w:r>
      <w:r w:rsidRPr="009B6453">
        <w:lastRenderedPageBreak/>
        <w:t>information platforms, uniform documentation, set routes of escalation</w:t>
      </w:r>
      <w:r>
        <w:t>,</w:t>
      </w:r>
      <w:r w:rsidRPr="009B6453">
        <w:t xml:space="preserve"> and language needs </w:t>
      </w:r>
      <w:r>
        <w:t>activation</w:t>
      </w:r>
      <w:r w:rsidRPr="009B6453">
        <w:t>.</w:t>
      </w:r>
    </w:p>
    <w:p w14:paraId="74AFBA1B" w14:textId="77777777" w:rsidR="00B00CEA" w:rsidRPr="009B6453" w:rsidRDefault="00B00CEA" w:rsidP="00B00CEA">
      <w:pPr>
        <w:pStyle w:val="Heading1"/>
      </w:pPr>
      <w:bookmarkStart w:id="4" w:name="_Toc214940430"/>
      <w:r w:rsidRPr="009B6453">
        <w:t>CONCLUSION</w:t>
      </w:r>
      <w:bookmarkEnd w:id="4"/>
      <w:r w:rsidRPr="009B6453">
        <w:t xml:space="preserve"> </w:t>
      </w:r>
    </w:p>
    <w:p w14:paraId="1483A282" w14:textId="7FA231C0" w:rsidR="00B00CEA" w:rsidRDefault="00B00CEA" w:rsidP="00B00CEA">
      <w:pPr>
        <w:spacing w:line="360" w:lineRule="auto"/>
      </w:pPr>
      <w:r w:rsidRPr="009B6453">
        <w:t xml:space="preserve">The quality provision of care to people such as Mrs Mann depends on </w:t>
      </w:r>
      <w:r>
        <w:t xml:space="preserve">the </w:t>
      </w:r>
      <w:r w:rsidRPr="009B6453">
        <w:t xml:space="preserve">interdependence of good communication, proper record keeping, and the provision of agency coordination. Professional interpretation can help to solve the language requirements and avoid misunderstandings and all safety risks. Similarly, the accuracy and integrity requirements of the Data Protection Act 2018 still control documentation that is vital in ensuring the </w:t>
      </w:r>
      <w:r>
        <w:t>validity</w:t>
      </w:r>
      <w:r w:rsidRPr="009B6453">
        <w:t xml:space="preserve"> and reliability of clinical decisions. Multi-agency coordination enhances continuity and mitigates its fragmentation</w:t>
      </w:r>
      <w:r>
        <w:t>, which</w:t>
      </w:r>
      <w:r w:rsidRPr="009B6453">
        <w:t xml:space="preserve"> led to the delayed medication adjustment in this scenario. The combination of these factors is </w:t>
      </w:r>
      <w:r>
        <w:t>one</w:t>
      </w:r>
      <w:r w:rsidRPr="009B6453">
        <w:t xml:space="preserve"> of the interconnected pillars of lawful and person-centred practice that strengthens the professional obligation to support a standard of safety, accountability, and fair care.</w:t>
      </w:r>
    </w:p>
    <w:p w14:paraId="2125EB47" w14:textId="37321B33" w:rsidR="00B00CEA" w:rsidRDefault="00B00CEA">
      <w:pPr>
        <w:spacing w:after="160" w:line="278" w:lineRule="auto"/>
        <w:ind w:left="0" w:right="0" w:firstLine="0"/>
        <w:jc w:val="left"/>
      </w:pPr>
      <w:r>
        <w:br w:type="page"/>
      </w:r>
    </w:p>
    <w:p w14:paraId="184A4979" w14:textId="5E3D0D5A" w:rsidR="00B00CEA" w:rsidRPr="00B00CEA" w:rsidRDefault="00B00CEA" w:rsidP="00B00CEA">
      <w:pPr>
        <w:pStyle w:val="Heading1"/>
      </w:pPr>
      <w:bookmarkStart w:id="5" w:name="_Toc214940431"/>
      <w:r w:rsidRPr="00B00CEA">
        <w:lastRenderedPageBreak/>
        <w:t>References</w:t>
      </w:r>
      <w:bookmarkEnd w:id="5"/>
      <w:r w:rsidRPr="00B00CEA">
        <w:t xml:space="preserve"> </w:t>
      </w:r>
    </w:p>
    <w:p w14:paraId="3CC85CAA" w14:textId="57BD0F54"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Adel, E., Tawfik, M., </w:t>
      </w:r>
      <w:proofErr w:type="spellStart"/>
      <w:r w:rsidRPr="009A0262">
        <w:rPr>
          <w:rFonts w:cstheme="minorBidi"/>
        </w:rPr>
        <w:t>Howida</w:t>
      </w:r>
      <w:proofErr w:type="spellEnd"/>
      <w:r w:rsidRPr="009A0262">
        <w:rPr>
          <w:rFonts w:cstheme="minorBidi"/>
        </w:rPr>
        <w:t>, H., El-Sayed Mahfouz and Abdallah, N. (n.d.). Factors Influencing Effective Documentation and its relation to Patients Safety as Perceived by Staff Nurses. </w:t>
      </w:r>
      <w:r w:rsidRPr="009A0262">
        <w:rPr>
          <w:rFonts w:cstheme="minorBidi"/>
          <w:i/>
          <w:iCs/>
        </w:rPr>
        <w:t>Journal of Nursing Science -</w:t>
      </w:r>
      <w:proofErr w:type="spellStart"/>
      <w:r w:rsidRPr="009A0262">
        <w:rPr>
          <w:rFonts w:cstheme="minorBidi"/>
          <w:i/>
          <w:iCs/>
        </w:rPr>
        <w:t>Benha</w:t>
      </w:r>
      <w:proofErr w:type="spellEnd"/>
      <w:r w:rsidRPr="009A0262">
        <w:rPr>
          <w:rFonts w:cstheme="minorBidi"/>
          <w:i/>
          <w:iCs/>
        </w:rPr>
        <w:t xml:space="preserve"> University</w:t>
      </w:r>
      <w:r w:rsidRPr="009A0262">
        <w:rPr>
          <w:rFonts w:cstheme="minorBidi"/>
        </w:rPr>
        <w:t xml:space="preserve">, [online] (5), p.2024. Available at: </w:t>
      </w:r>
      <w:hyperlink r:id="rId8" w:history="1">
        <w:r w:rsidRPr="00363603">
          <w:rPr>
            <w:rStyle w:val="Hyperlink"/>
            <w:rFonts w:cstheme="minorBidi"/>
          </w:rPr>
          <w:t>https://jnsbu.journals.ekb.eg/article_362188_7921ab6eea4c250fef5ead18e518ab05.pdf</w:t>
        </w:r>
      </w:hyperlink>
      <w:r w:rsidRPr="009A0262">
        <w:rPr>
          <w:rFonts w:cstheme="minorBidi"/>
        </w:rPr>
        <w:t>.</w:t>
      </w:r>
      <w:r>
        <w:rPr>
          <w:rFonts w:cstheme="minorBidi"/>
        </w:rPr>
        <w:t xml:space="preserve"> </w:t>
      </w:r>
    </w:p>
    <w:p w14:paraId="6D97B9F0" w14:textId="08C21454" w:rsidR="00B00CEA" w:rsidRPr="009A0262" w:rsidRDefault="00B00CEA" w:rsidP="00B00CEA">
      <w:pPr>
        <w:spacing w:after="160" w:line="360" w:lineRule="auto"/>
        <w:ind w:left="1440" w:hanging="732"/>
        <w:rPr>
          <w:rFonts w:cstheme="minorBidi"/>
        </w:rPr>
      </w:pPr>
      <w:r w:rsidRPr="009A0262">
        <w:t>‌</w:t>
      </w:r>
      <w:proofErr w:type="spellStart"/>
      <w:r w:rsidRPr="009A0262">
        <w:rPr>
          <w:rFonts w:cstheme="minorBidi"/>
        </w:rPr>
        <w:t>Albarqi</w:t>
      </w:r>
      <w:proofErr w:type="spellEnd"/>
      <w:r w:rsidRPr="009A0262">
        <w:rPr>
          <w:rFonts w:cstheme="minorBidi"/>
        </w:rPr>
        <w:t>, M.N. (2024). Assessing the Impact of Multidisciplinary Collaboration on Quality of Life in Older Patients Receiving Primary Care: Cross Sectional Study. </w:t>
      </w:r>
      <w:r w:rsidRPr="009A0262">
        <w:rPr>
          <w:rFonts w:cstheme="minorBidi"/>
          <w:i/>
          <w:iCs/>
        </w:rPr>
        <w:t>Healthcare</w:t>
      </w:r>
      <w:r w:rsidRPr="009A0262">
        <w:rPr>
          <w:rFonts w:cstheme="minorBidi"/>
        </w:rPr>
        <w:t xml:space="preserve">, [online] 12(13), pp.1258–1258. </w:t>
      </w:r>
      <w:proofErr w:type="spellStart"/>
      <w:r w:rsidRPr="009A0262">
        <w:rPr>
          <w:rFonts w:cstheme="minorBidi"/>
        </w:rPr>
        <w:t>doi</w:t>
      </w:r>
      <w:proofErr w:type="spellEnd"/>
      <w:r w:rsidRPr="009A0262">
        <w:rPr>
          <w:rFonts w:cstheme="minorBidi"/>
        </w:rPr>
        <w:t xml:space="preserve">: </w:t>
      </w:r>
      <w:hyperlink r:id="rId9" w:history="1">
        <w:r w:rsidRPr="00363603">
          <w:rPr>
            <w:rStyle w:val="Hyperlink"/>
            <w:rFonts w:cstheme="minorBidi"/>
          </w:rPr>
          <w:t>https://doi.org/10.3390/healthcare12131258</w:t>
        </w:r>
      </w:hyperlink>
      <w:r w:rsidRPr="009A0262">
        <w:rPr>
          <w:rFonts w:cstheme="minorBidi"/>
        </w:rPr>
        <w:t>.</w:t>
      </w:r>
      <w:r>
        <w:rPr>
          <w:rFonts w:cstheme="minorBidi"/>
        </w:rPr>
        <w:t xml:space="preserve"> </w:t>
      </w:r>
    </w:p>
    <w:p w14:paraId="70C51BFA" w14:textId="7D20CE96"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Awad, B., Mohamed Soliman, S. and </w:t>
      </w:r>
      <w:proofErr w:type="spellStart"/>
      <w:r w:rsidRPr="009A0262">
        <w:rPr>
          <w:rFonts w:cstheme="minorBidi"/>
        </w:rPr>
        <w:t>Boughdady</w:t>
      </w:r>
      <w:proofErr w:type="spellEnd"/>
      <w:r w:rsidRPr="009A0262">
        <w:rPr>
          <w:rFonts w:cstheme="minorBidi"/>
        </w:rPr>
        <w:t>, A. (n.d.). </w:t>
      </w:r>
      <w:r w:rsidRPr="009A0262">
        <w:rPr>
          <w:rFonts w:cstheme="minorBidi"/>
          <w:i/>
          <w:iCs/>
        </w:rPr>
        <w:t>Assessment of Communication Barriers between Nurses and Elderly Patients</w:t>
      </w:r>
      <w:r w:rsidRPr="009A0262">
        <w:rPr>
          <w:rFonts w:cstheme="minorBidi"/>
        </w:rPr>
        <w:t>. [online] </w:t>
      </w:r>
      <w:r w:rsidRPr="009A0262">
        <w:rPr>
          <w:rFonts w:cstheme="minorBidi"/>
          <w:i/>
          <w:iCs/>
        </w:rPr>
        <w:t>Mansoura Nursing Journal (MNJ)</w:t>
      </w:r>
      <w:r w:rsidRPr="009A0262">
        <w:rPr>
          <w:rFonts w:cstheme="minorBidi"/>
        </w:rPr>
        <w:t xml:space="preserve">. Available at: </w:t>
      </w:r>
      <w:hyperlink r:id="rId10" w:history="1">
        <w:r w:rsidRPr="00363603">
          <w:rPr>
            <w:rStyle w:val="Hyperlink"/>
            <w:rFonts w:cstheme="minorBidi"/>
          </w:rPr>
          <w:t>https://mnj.journals.ekb.eg/article_320390_5bcbb734d19e379c5466f56aab010230.pdf</w:t>
        </w:r>
      </w:hyperlink>
      <w:r w:rsidRPr="009A0262">
        <w:rPr>
          <w:rFonts w:cstheme="minorBidi"/>
        </w:rPr>
        <w:t>?</w:t>
      </w:r>
      <w:r>
        <w:rPr>
          <w:rFonts w:cstheme="minorBidi"/>
        </w:rPr>
        <w:t xml:space="preserve"> </w:t>
      </w:r>
      <w:r w:rsidRPr="009A0262">
        <w:rPr>
          <w:rFonts w:cstheme="minorBidi"/>
        </w:rPr>
        <w:t>[Accessed 24 Nov. 2025].</w:t>
      </w:r>
    </w:p>
    <w:p w14:paraId="54CF4652" w14:textId="3442B4C8" w:rsidR="00B00CEA" w:rsidRPr="009A0262" w:rsidRDefault="00B00CEA" w:rsidP="00B00CEA">
      <w:pPr>
        <w:spacing w:after="160" w:line="360" w:lineRule="auto"/>
        <w:ind w:left="1440" w:hanging="732"/>
        <w:rPr>
          <w:rFonts w:cstheme="minorBidi"/>
        </w:rPr>
      </w:pPr>
      <w:r w:rsidRPr="009A0262">
        <w:t>‌</w:t>
      </w:r>
      <w:r w:rsidRPr="009A0262">
        <w:rPr>
          <w:rFonts w:cstheme="minorBidi"/>
        </w:rPr>
        <w:t>Holding, E., Blank, L., Crowder, M. and Goyder, E. (2019). Bridging the gap between the home and the hospital: a qualitative study of partnership working across housing, health and social care. </w:t>
      </w:r>
      <w:r w:rsidRPr="009A0262">
        <w:rPr>
          <w:rFonts w:cstheme="minorBidi"/>
          <w:i/>
          <w:iCs/>
        </w:rPr>
        <w:t>Journal of Interprofessional Care</w:t>
      </w:r>
      <w:r w:rsidRPr="009A0262">
        <w:rPr>
          <w:rFonts w:cstheme="minorBidi"/>
        </w:rPr>
        <w:t xml:space="preserve">, [online] 34(4), pp.493–499. </w:t>
      </w:r>
      <w:proofErr w:type="spellStart"/>
      <w:r w:rsidRPr="009A0262">
        <w:rPr>
          <w:rFonts w:cstheme="minorBidi"/>
        </w:rPr>
        <w:t>doi</w:t>
      </w:r>
      <w:proofErr w:type="spellEnd"/>
      <w:r w:rsidRPr="009A0262">
        <w:rPr>
          <w:rFonts w:cstheme="minorBidi"/>
        </w:rPr>
        <w:t xml:space="preserve">: </w:t>
      </w:r>
      <w:hyperlink r:id="rId11" w:history="1">
        <w:r w:rsidRPr="00363603">
          <w:rPr>
            <w:rStyle w:val="Hyperlink"/>
            <w:rFonts w:cstheme="minorBidi"/>
          </w:rPr>
          <w:t>https://doi.org/10.1080/13561820.2019.1694496</w:t>
        </w:r>
      </w:hyperlink>
      <w:r w:rsidRPr="009A0262">
        <w:rPr>
          <w:rFonts w:cstheme="minorBidi"/>
        </w:rPr>
        <w:t>.</w:t>
      </w:r>
      <w:r>
        <w:rPr>
          <w:rFonts w:cstheme="minorBidi"/>
        </w:rPr>
        <w:t xml:space="preserve"> </w:t>
      </w:r>
    </w:p>
    <w:p w14:paraId="2EC9A569" w14:textId="56F68367"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Jorunn Bjerkan, </w:t>
      </w:r>
      <w:proofErr w:type="spellStart"/>
      <w:r w:rsidRPr="009A0262">
        <w:rPr>
          <w:rFonts w:cstheme="minorBidi"/>
        </w:rPr>
        <w:t>Valderaune</w:t>
      </w:r>
      <w:proofErr w:type="spellEnd"/>
      <w:r w:rsidRPr="009A0262">
        <w:rPr>
          <w:rFonts w:cstheme="minorBidi"/>
        </w:rPr>
        <w:t>, V. and Olsen, R.M. (2021). Patient Safety Through Nursing Documentation: Barriers Identified by Healthcare Professionals and Students. </w:t>
      </w:r>
      <w:r w:rsidRPr="009A0262">
        <w:rPr>
          <w:rFonts w:cstheme="minorBidi"/>
          <w:i/>
          <w:iCs/>
        </w:rPr>
        <w:t>Frontiers in Computer Science</w:t>
      </w:r>
      <w:r w:rsidRPr="009A0262">
        <w:rPr>
          <w:rFonts w:cstheme="minorBidi"/>
        </w:rPr>
        <w:t xml:space="preserve">, [online] 3. </w:t>
      </w:r>
      <w:proofErr w:type="spellStart"/>
      <w:r w:rsidRPr="009A0262">
        <w:rPr>
          <w:rFonts w:cstheme="minorBidi"/>
        </w:rPr>
        <w:t>doi</w:t>
      </w:r>
      <w:proofErr w:type="spellEnd"/>
      <w:r w:rsidRPr="009A0262">
        <w:rPr>
          <w:rFonts w:cstheme="minorBidi"/>
        </w:rPr>
        <w:t xml:space="preserve">: </w:t>
      </w:r>
      <w:hyperlink r:id="rId12" w:history="1">
        <w:r w:rsidRPr="00363603">
          <w:rPr>
            <w:rStyle w:val="Hyperlink"/>
            <w:rFonts w:cstheme="minorBidi"/>
          </w:rPr>
          <w:t>https://doi.org/10.3389/fcomp.2021.624555</w:t>
        </w:r>
      </w:hyperlink>
      <w:r w:rsidRPr="009A0262">
        <w:rPr>
          <w:rFonts w:cstheme="minorBidi"/>
        </w:rPr>
        <w:t>.</w:t>
      </w:r>
      <w:r>
        <w:rPr>
          <w:rFonts w:cstheme="minorBidi"/>
        </w:rPr>
        <w:t xml:space="preserve"> </w:t>
      </w:r>
    </w:p>
    <w:p w14:paraId="08DB7D06" w14:textId="724FFC6B"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Liza, Yilmaz, N.G., Goosen, S., Burgers, J., Giani, S., Schouten, B.C. and </w:t>
      </w:r>
      <w:proofErr w:type="spellStart"/>
      <w:r w:rsidRPr="009A0262">
        <w:rPr>
          <w:rFonts w:cstheme="minorBidi"/>
        </w:rPr>
        <w:t>Langendam</w:t>
      </w:r>
      <w:proofErr w:type="spellEnd"/>
      <w:r w:rsidRPr="009A0262">
        <w:rPr>
          <w:rFonts w:cstheme="minorBidi"/>
        </w:rPr>
        <w:t>, M.W. (2025). Effectiveness of interpreters and other strategies for mitigating language barriers: A systematic review. </w:t>
      </w:r>
      <w:r w:rsidRPr="009A0262">
        <w:rPr>
          <w:rFonts w:cstheme="minorBidi"/>
          <w:i/>
          <w:iCs/>
        </w:rPr>
        <w:t xml:space="preserve">Patient Education and </w:t>
      </w:r>
      <w:proofErr w:type="spellStart"/>
      <w:r w:rsidRPr="009A0262">
        <w:rPr>
          <w:rFonts w:cstheme="minorBidi"/>
          <w:i/>
          <w:iCs/>
        </w:rPr>
        <w:t>Counseling</w:t>
      </w:r>
      <w:proofErr w:type="spellEnd"/>
      <w:r w:rsidRPr="009A0262">
        <w:rPr>
          <w:rFonts w:cstheme="minorBidi"/>
        </w:rPr>
        <w:t xml:space="preserve">, [online] 136, pp.108767–108767. </w:t>
      </w:r>
      <w:proofErr w:type="spellStart"/>
      <w:r w:rsidRPr="009A0262">
        <w:rPr>
          <w:rFonts w:cstheme="minorBidi"/>
        </w:rPr>
        <w:t>doi</w:t>
      </w:r>
      <w:proofErr w:type="spellEnd"/>
      <w:r w:rsidRPr="009A0262">
        <w:rPr>
          <w:rFonts w:cstheme="minorBidi"/>
        </w:rPr>
        <w:t xml:space="preserve">: </w:t>
      </w:r>
      <w:hyperlink r:id="rId13" w:history="1">
        <w:r w:rsidRPr="00363603">
          <w:rPr>
            <w:rStyle w:val="Hyperlink"/>
            <w:rFonts w:cstheme="minorBidi"/>
          </w:rPr>
          <w:t>https://doi.org/10.1016/j.pec.2025.108767</w:t>
        </w:r>
      </w:hyperlink>
      <w:r w:rsidRPr="009A0262">
        <w:rPr>
          <w:rFonts w:cstheme="minorBidi"/>
        </w:rPr>
        <w:t>.</w:t>
      </w:r>
      <w:r>
        <w:rPr>
          <w:rFonts w:cstheme="minorBidi"/>
        </w:rPr>
        <w:t xml:space="preserve"> </w:t>
      </w:r>
    </w:p>
    <w:p w14:paraId="6757F46B" w14:textId="6B20B4CA"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Molla, F., Worku </w:t>
      </w:r>
      <w:proofErr w:type="spellStart"/>
      <w:r w:rsidRPr="009A0262">
        <w:rPr>
          <w:rFonts w:cstheme="minorBidi"/>
        </w:rPr>
        <w:t>Animaw</w:t>
      </w:r>
      <w:proofErr w:type="spellEnd"/>
      <w:r w:rsidRPr="009A0262">
        <w:rPr>
          <w:rFonts w:cstheme="minorBidi"/>
        </w:rPr>
        <w:t xml:space="preserve"> Temesgen, </w:t>
      </w:r>
      <w:proofErr w:type="spellStart"/>
      <w:r w:rsidRPr="009A0262">
        <w:rPr>
          <w:rFonts w:cstheme="minorBidi"/>
        </w:rPr>
        <w:t>Sitotaw</w:t>
      </w:r>
      <w:proofErr w:type="spellEnd"/>
      <w:r w:rsidRPr="009A0262">
        <w:rPr>
          <w:rFonts w:cstheme="minorBidi"/>
        </w:rPr>
        <w:t xml:space="preserve"> Kerie and </w:t>
      </w:r>
      <w:proofErr w:type="spellStart"/>
      <w:r w:rsidRPr="009A0262">
        <w:rPr>
          <w:rFonts w:cstheme="minorBidi"/>
        </w:rPr>
        <w:t>Destaw</w:t>
      </w:r>
      <w:proofErr w:type="spellEnd"/>
      <w:r w:rsidRPr="009A0262">
        <w:rPr>
          <w:rFonts w:cstheme="minorBidi"/>
        </w:rPr>
        <w:t xml:space="preserve"> </w:t>
      </w:r>
      <w:proofErr w:type="spellStart"/>
      <w:r w:rsidRPr="009A0262">
        <w:rPr>
          <w:rFonts w:cstheme="minorBidi"/>
        </w:rPr>
        <w:t>Endeshaw</w:t>
      </w:r>
      <w:proofErr w:type="spellEnd"/>
      <w:r w:rsidRPr="009A0262">
        <w:rPr>
          <w:rFonts w:cstheme="minorBidi"/>
        </w:rPr>
        <w:t xml:space="preserve"> (2024). Nurses’ Documentation Practice and Associated Factors in Eight Public Hospitals, Amhara Region, Ethiopia: A Cross-Sectional Study. </w:t>
      </w:r>
      <w:r w:rsidRPr="009A0262">
        <w:rPr>
          <w:rFonts w:cstheme="minorBidi"/>
          <w:i/>
          <w:iCs/>
        </w:rPr>
        <w:t>SAGE Open Nursing</w:t>
      </w:r>
      <w:r w:rsidRPr="009A0262">
        <w:rPr>
          <w:rFonts w:cstheme="minorBidi"/>
        </w:rPr>
        <w:t xml:space="preserve">, [online] 10, p.23779608241227403-23779608241227403. </w:t>
      </w:r>
      <w:proofErr w:type="spellStart"/>
      <w:r w:rsidRPr="009A0262">
        <w:rPr>
          <w:rFonts w:cstheme="minorBidi"/>
        </w:rPr>
        <w:t>doi</w:t>
      </w:r>
      <w:proofErr w:type="spellEnd"/>
      <w:r w:rsidRPr="009A0262">
        <w:rPr>
          <w:rFonts w:cstheme="minorBidi"/>
        </w:rPr>
        <w:t xml:space="preserve">: </w:t>
      </w:r>
      <w:hyperlink r:id="rId14" w:history="1">
        <w:r w:rsidRPr="00363603">
          <w:rPr>
            <w:rStyle w:val="Hyperlink"/>
            <w:rFonts w:cstheme="minorBidi"/>
          </w:rPr>
          <w:t>https://doi.org/10.1177/23779608241227403</w:t>
        </w:r>
      </w:hyperlink>
      <w:r w:rsidRPr="009A0262">
        <w:rPr>
          <w:rFonts w:cstheme="minorBidi"/>
        </w:rPr>
        <w:t>.</w:t>
      </w:r>
      <w:r>
        <w:rPr>
          <w:rFonts w:cstheme="minorBidi"/>
        </w:rPr>
        <w:t xml:space="preserve"> </w:t>
      </w:r>
    </w:p>
    <w:p w14:paraId="34489147" w14:textId="0798173F"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Multi-agency working. (n.d.). Available at: </w:t>
      </w:r>
      <w:hyperlink r:id="rId15" w:history="1">
        <w:r w:rsidRPr="00363603">
          <w:rPr>
            <w:rStyle w:val="Hyperlink"/>
            <w:rFonts w:cstheme="minorBidi"/>
          </w:rPr>
          <w:t>https://www.gov.wales/sites/default/files/statistics-and-research/2023-03/multi-</w:t>
        </w:r>
        <w:r w:rsidRPr="00363603">
          <w:rPr>
            <w:rStyle w:val="Hyperlink"/>
            <w:rFonts w:cstheme="minorBidi"/>
          </w:rPr>
          <w:lastRenderedPageBreak/>
          <w:t>agency-working-research-to-support-the-final-report-of-the-evaluation-of-the-social-services-and-well-being-wales-act-2014.pdf</w:t>
        </w:r>
      </w:hyperlink>
      <w:r w:rsidRPr="009A0262">
        <w:rPr>
          <w:rFonts w:cstheme="minorBidi"/>
        </w:rPr>
        <w:t>?</w:t>
      </w:r>
      <w:r>
        <w:rPr>
          <w:rFonts w:cstheme="minorBidi"/>
        </w:rPr>
        <w:t xml:space="preserve"> </w:t>
      </w:r>
      <w:r w:rsidRPr="009A0262">
        <w:rPr>
          <w:rFonts w:cstheme="minorBidi"/>
        </w:rPr>
        <w:t>[Accessed 24 Nov. 2025].</w:t>
      </w:r>
    </w:p>
    <w:p w14:paraId="5EFA138D" w14:textId="084DAB87" w:rsidR="00B00CEA" w:rsidRPr="009A0262" w:rsidRDefault="00B00CEA" w:rsidP="00B00CEA">
      <w:pPr>
        <w:spacing w:after="160" w:line="360" w:lineRule="auto"/>
        <w:ind w:left="1440" w:hanging="732"/>
      </w:pPr>
      <w:r w:rsidRPr="009A0262">
        <w:t>Shamsi, H.A., Almutairi, A.G., Sulaiman Al Mashrafi and Talib Al Kalbani (2020). Implications of Language Barriers for Healthcare: A Systematic Review. </w:t>
      </w:r>
      <w:r w:rsidRPr="009A0262">
        <w:rPr>
          <w:i/>
          <w:iCs/>
        </w:rPr>
        <w:t>Oman Medical Journal</w:t>
      </w:r>
      <w:r w:rsidRPr="009A0262">
        <w:t xml:space="preserve">, [online] 35(2), </w:t>
      </w:r>
      <w:proofErr w:type="gramStart"/>
      <w:r w:rsidRPr="009A0262">
        <w:t>pp.e</w:t>
      </w:r>
      <w:proofErr w:type="gramEnd"/>
      <w:r w:rsidRPr="009A0262">
        <w:t xml:space="preserve">122–e122. </w:t>
      </w:r>
      <w:proofErr w:type="spellStart"/>
      <w:r w:rsidRPr="009A0262">
        <w:t>doi</w:t>
      </w:r>
      <w:proofErr w:type="spellEnd"/>
      <w:r w:rsidRPr="009A0262">
        <w:t xml:space="preserve">: </w:t>
      </w:r>
      <w:hyperlink r:id="rId16" w:history="1">
        <w:r w:rsidRPr="00363603">
          <w:rPr>
            <w:rStyle w:val="Hyperlink"/>
          </w:rPr>
          <w:t>https://doi.org/10.5001/omj.2020.40</w:t>
        </w:r>
      </w:hyperlink>
      <w:r w:rsidRPr="009A0262">
        <w:t>.</w:t>
      </w:r>
      <w:r>
        <w:t xml:space="preserve"> </w:t>
      </w:r>
    </w:p>
    <w:p w14:paraId="3ACD025B" w14:textId="20B9742C" w:rsidR="00B00CEA" w:rsidRPr="009A0262" w:rsidRDefault="00B00CEA" w:rsidP="00B00CEA">
      <w:pPr>
        <w:spacing w:after="160" w:line="360" w:lineRule="auto"/>
        <w:ind w:left="1440" w:hanging="732"/>
        <w:rPr>
          <w:rFonts w:cstheme="minorBidi"/>
        </w:rPr>
      </w:pPr>
      <w:r w:rsidRPr="009A0262">
        <w:t>‌</w:t>
      </w:r>
      <w:r w:rsidRPr="009A0262">
        <w:rPr>
          <w:rFonts w:cstheme="minorBidi"/>
        </w:rPr>
        <w:t xml:space="preserve">Whitaker, K.L., Demi Krystallidou, Williams, E.D., Black, G., </w:t>
      </w:r>
      <w:proofErr w:type="spellStart"/>
      <w:r w:rsidRPr="009A0262">
        <w:rPr>
          <w:rFonts w:cstheme="minorBidi"/>
        </w:rPr>
        <w:t>Vindrola-Padros</w:t>
      </w:r>
      <w:proofErr w:type="spellEnd"/>
      <w:r w:rsidRPr="009A0262">
        <w:rPr>
          <w:rFonts w:cstheme="minorBidi"/>
        </w:rPr>
        <w:t xml:space="preserve">, C., Braun, S., Gill, P., Whitaker, K.L., Demi Krystallidou, Williams, E.D., Black, G., </w:t>
      </w:r>
      <w:proofErr w:type="spellStart"/>
      <w:r w:rsidRPr="009A0262">
        <w:rPr>
          <w:rFonts w:cstheme="minorBidi"/>
        </w:rPr>
        <w:t>Vindrola-Padros</w:t>
      </w:r>
      <w:proofErr w:type="spellEnd"/>
      <w:r w:rsidRPr="009A0262">
        <w:rPr>
          <w:rFonts w:cstheme="minorBidi"/>
        </w:rPr>
        <w:t>, C., Braun, S. and Gill, P. (2021). Addressing language as a barrier to healthcare access and quality. </w:t>
      </w:r>
      <w:r w:rsidRPr="009A0262">
        <w:rPr>
          <w:rFonts w:cstheme="minorBidi"/>
          <w:i/>
          <w:iCs/>
        </w:rPr>
        <w:t>British Journal of General Practice</w:t>
      </w:r>
      <w:r w:rsidRPr="009A0262">
        <w:rPr>
          <w:rFonts w:cstheme="minorBidi"/>
        </w:rPr>
        <w:t xml:space="preserve">, [online] 72(714), pp.4–5. </w:t>
      </w:r>
      <w:proofErr w:type="spellStart"/>
      <w:r w:rsidRPr="009A0262">
        <w:rPr>
          <w:rFonts w:cstheme="minorBidi"/>
        </w:rPr>
        <w:t>doi</w:t>
      </w:r>
      <w:proofErr w:type="spellEnd"/>
      <w:r w:rsidRPr="009A0262">
        <w:rPr>
          <w:rFonts w:cstheme="minorBidi"/>
        </w:rPr>
        <w:t xml:space="preserve">: </w:t>
      </w:r>
      <w:hyperlink r:id="rId17" w:history="1">
        <w:r w:rsidRPr="00363603">
          <w:rPr>
            <w:rStyle w:val="Hyperlink"/>
            <w:rFonts w:cstheme="minorBidi"/>
          </w:rPr>
          <w:t>https://doi.org/10.3399/bjgp22x718013</w:t>
        </w:r>
      </w:hyperlink>
      <w:r w:rsidRPr="009A0262">
        <w:rPr>
          <w:rFonts w:cstheme="minorBidi"/>
        </w:rPr>
        <w:t>.</w:t>
      </w:r>
      <w:r>
        <w:rPr>
          <w:rFonts w:cstheme="minorBidi"/>
        </w:rPr>
        <w:t xml:space="preserve"> </w:t>
      </w:r>
    </w:p>
    <w:p w14:paraId="7119C979" w14:textId="77777777" w:rsidR="00B00CEA" w:rsidRPr="009A0262" w:rsidRDefault="00B00CEA" w:rsidP="00B00CEA">
      <w:pPr>
        <w:spacing w:after="160" w:line="360" w:lineRule="auto"/>
      </w:pPr>
      <w:r w:rsidRPr="009A0262">
        <w:t>‌</w:t>
      </w:r>
    </w:p>
    <w:p w14:paraId="05530B24" w14:textId="77777777" w:rsidR="00B00CEA" w:rsidRDefault="00B00CEA" w:rsidP="00B00CEA"/>
    <w:p w14:paraId="63D0A013" w14:textId="77777777" w:rsidR="00B00CEA" w:rsidRPr="00B00CEA" w:rsidRDefault="00B00CEA" w:rsidP="00B00CEA"/>
    <w:sectPr w:rsidR="00B00CEA" w:rsidRPr="00B00CEA" w:rsidSect="00B00CEA">
      <w:footerReference w:type="even" r:id="rId18"/>
      <w:footerReference w:type="default" r:id="rId19"/>
      <w:footerReference w:type="first" r:id="rId20"/>
      <w:pgSz w:w="11894" w:h="16834"/>
      <w:pgMar w:top="1440" w:right="1080" w:bottom="1440" w:left="1080" w:header="720" w:footer="4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4164B" w14:textId="77777777" w:rsidR="00B469AB" w:rsidRDefault="00B469AB">
      <w:pPr>
        <w:spacing w:after="0" w:line="240" w:lineRule="auto"/>
      </w:pPr>
      <w:r>
        <w:separator/>
      </w:r>
    </w:p>
  </w:endnote>
  <w:endnote w:type="continuationSeparator" w:id="0">
    <w:p w14:paraId="0ACC750A" w14:textId="77777777" w:rsidR="00B469AB" w:rsidRDefault="00B46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475C5" w14:textId="77777777" w:rsidR="00BA366A" w:rsidRDefault="00BA366A">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46231"/>
      <w:docPartObj>
        <w:docPartGallery w:val="Page Numbers (Bottom of Page)"/>
        <w:docPartUnique/>
      </w:docPartObj>
    </w:sdtPr>
    <w:sdtEndPr>
      <w:rPr>
        <w:noProof/>
      </w:rPr>
    </w:sdtEndPr>
    <w:sdtContent>
      <w:p w14:paraId="67EDD80F" w14:textId="1B6B5052" w:rsidR="00B00CEA" w:rsidRDefault="00B00C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2DBADD" w14:textId="77777777" w:rsidR="00BA366A" w:rsidRDefault="00BA366A">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2CAD9" w14:textId="77777777" w:rsidR="00BA366A" w:rsidRDefault="00BA366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E1E3B" w14:textId="77777777" w:rsidR="00B469AB" w:rsidRDefault="00B469AB">
      <w:pPr>
        <w:spacing w:after="0" w:line="240" w:lineRule="auto"/>
      </w:pPr>
      <w:r>
        <w:separator/>
      </w:r>
    </w:p>
  </w:footnote>
  <w:footnote w:type="continuationSeparator" w:id="0">
    <w:p w14:paraId="7FC0C364" w14:textId="77777777" w:rsidR="00B469AB" w:rsidRDefault="00B46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7170"/>
    <w:multiLevelType w:val="hybridMultilevel"/>
    <w:tmpl w:val="3E4C4010"/>
    <w:lvl w:ilvl="0" w:tplc="259429F4">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CB7E3D2E">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7CB00F56">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B540C946">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202A3A48">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536A63D2">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E84E844C">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66C7422">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D54EBAEA">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20E651AC"/>
    <w:multiLevelType w:val="hybridMultilevel"/>
    <w:tmpl w:val="10E6C3F6"/>
    <w:lvl w:ilvl="0" w:tplc="27D2FFCE">
      <w:start w:val="1"/>
      <w:numFmt w:val="decimal"/>
      <w:lvlText w:val="%1."/>
      <w:lvlJc w:val="left"/>
      <w:pPr>
        <w:ind w:left="16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2C2826">
      <w:start w:val="1"/>
      <w:numFmt w:val="lowerLetter"/>
      <w:lvlText w:val="%2"/>
      <w:lvlJc w:val="left"/>
      <w:pPr>
        <w:ind w:left="2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B65B7C">
      <w:start w:val="1"/>
      <w:numFmt w:val="lowerRoman"/>
      <w:lvlText w:val="%3"/>
      <w:lvlJc w:val="left"/>
      <w:pPr>
        <w:ind w:left="3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EE093B4">
      <w:start w:val="1"/>
      <w:numFmt w:val="decimal"/>
      <w:lvlText w:val="%4"/>
      <w:lvlJc w:val="left"/>
      <w:pPr>
        <w:ind w:left="3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242C20">
      <w:start w:val="1"/>
      <w:numFmt w:val="lowerLetter"/>
      <w:lvlText w:val="%5"/>
      <w:lvlJc w:val="left"/>
      <w:pPr>
        <w:ind w:left="46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5CCC0E">
      <w:start w:val="1"/>
      <w:numFmt w:val="lowerRoman"/>
      <w:lvlText w:val="%6"/>
      <w:lvlJc w:val="left"/>
      <w:pPr>
        <w:ind w:left="5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16E5EC">
      <w:start w:val="1"/>
      <w:numFmt w:val="decimal"/>
      <w:lvlText w:val="%7"/>
      <w:lvlJc w:val="left"/>
      <w:pPr>
        <w:ind w:left="6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FAAAD0">
      <w:start w:val="1"/>
      <w:numFmt w:val="lowerLetter"/>
      <w:lvlText w:val="%8"/>
      <w:lvlJc w:val="left"/>
      <w:pPr>
        <w:ind w:left="6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D1240B0">
      <w:start w:val="1"/>
      <w:numFmt w:val="lowerRoman"/>
      <w:lvlText w:val="%9"/>
      <w:lvlJc w:val="left"/>
      <w:pPr>
        <w:ind w:left="7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5695959"/>
    <w:multiLevelType w:val="hybridMultilevel"/>
    <w:tmpl w:val="D4346798"/>
    <w:lvl w:ilvl="0" w:tplc="C00AFA44">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917CE806">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B6A421C4">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CAF4A0A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3746FBE2">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A2ECB156">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CC02234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14B832E4">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AEBCF078">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32B631E5"/>
    <w:multiLevelType w:val="hybridMultilevel"/>
    <w:tmpl w:val="A516EC72"/>
    <w:lvl w:ilvl="0" w:tplc="6FF206D0">
      <w:start w:val="1"/>
      <w:numFmt w:val="decimal"/>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ECCCD0">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CFEB36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8CC0054">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D28DE68">
      <w:start w:val="1"/>
      <w:numFmt w:val="bullet"/>
      <w:lvlText w:val="o"/>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1ECD58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8C8DCDC">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020B294">
      <w:start w:val="1"/>
      <w:numFmt w:val="bullet"/>
      <w:lvlText w:val="o"/>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2C459D4">
      <w:start w:val="1"/>
      <w:numFmt w:val="bullet"/>
      <w:lvlText w:val="▪"/>
      <w:lvlJc w:val="left"/>
      <w:pPr>
        <w:ind w:left="7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AA66D28"/>
    <w:multiLevelType w:val="hybridMultilevel"/>
    <w:tmpl w:val="CCEE7714"/>
    <w:lvl w:ilvl="0" w:tplc="AEB297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D110FB90">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744E4CF4">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A2DA31F0">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24960D34">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D23617A4">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601C74A8">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E281740">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55EE2734">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622979EF"/>
    <w:multiLevelType w:val="hybridMultilevel"/>
    <w:tmpl w:val="433EFFD4"/>
    <w:lvl w:ilvl="0" w:tplc="349A6804">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FC3E7CD2">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0DBAF2B2">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5B7C10D6">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CEC2D3A">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63EE263E">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8EDCF756">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9F084F2">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E050EE4C">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6" w15:restartNumberingAfterBreak="0">
    <w:nsid w:val="62DC58D7"/>
    <w:multiLevelType w:val="hybridMultilevel"/>
    <w:tmpl w:val="DE506474"/>
    <w:lvl w:ilvl="0" w:tplc="3F38A1F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DCCE5E6A">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698EC81A">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34B2E58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A85433E8">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C22496EA">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1538497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0F30EB5E">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F232E8E6">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num w:numId="1" w16cid:durableId="489297119">
    <w:abstractNumId w:val="3"/>
  </w:num>
  <w:num w:numId="2" w16cid:durableId="741637420">
    <w:abstractNumId w:val="1"/>
  </w:num>
  <w:num w:numId="3" w16cid:durableId="272978379">
    <w:abstractNumId w:val="6"/>
  </w:num>
  <w:num w:numId="4" w16cid:durableId="470439332">
    <w:abstractNumId w:val="5"/>
  </w:num>
  <w:num w:numId="5" w16cid:durableId="327829281">
    <w:abstractNumId w:val="0"/>
  </w:num>
  <w:num w:numId="6" w16cid:durableId="935791600">
    <w:abstractNumId w:val="2"/>
  </w:num>
  <w:num w:numId="7" w16cid:durableId="743181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66A"/>
    <w:rsid w:val="00070C08"/>
    <w:rsid w:val="00097080"/>
    <w:rsid w:val="000A00B5"/>
    <w:rsid w:val="00196690"/>
    <w:rsid w:val="001F0118"/>
    <w:rsid w:val="002967A7"/>
    <w:rsid w:val="002E23B0"/>
    <w:rsid w:val="00316542"/>
    <w:rsid w:val="004A469B"/>
    <w:rsid w:val="006C5649"/>
    <w:rsid w:val="00711C40"/>
    <w:rsid w:val="007C08DC"/>
    <w:rsid w:val="00B00CEA"/>
    <w:rsid w:val="00B338BC"/>
    <w:rsid w:val="00B469AB"/>
    <w:rsid w:val="00BA366A"/>
    <w:rsid w:val="00C76988"/>
    <w:rsid w:val="00D22CCB"/>
    <w:rsid w:val="00D51F07"/>
    <w:rsid w:val="00DB725E"/>
    <w:rsid w:val="00F33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B0C20"/>
  <w15:docId w15:val="{AF247422-7F7C-4C0B-8AD3-85288323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9" w:lineRule="auto"/>
      <w:ind w:left="718" w:right="244" w:hanging="10"/>
      <w:jc w:val="both"/>
    </w:pPr>
    <w:rPr>
      <w:rFonts w:ascii="Arial" w:eastAsia="Arial" w:hAnsi="Arial" w:cs="Arial"/>
      <w:color w:val="000000"/>
      <w:sz w:val="22"/>
    </w:rPr>
  </w:style>
  <w:style w:type="paragraph" w:styleId="Heading1">
    <w:name w:val="heading 1"/>
    <w:next w:val="Normal"/>
    <w:link w:val="Heading1Char"/>
    <w:uiPriority w:val="9"/>
    <w:qFormat/>
    <w:rsid w:val="00B00CEA"/>
    <w:pPr>
      <w:keepNext/>
      <w:keepLines/>
      <w:spacing w:after="3" w:line="259" w:lineRule="auto"/>
      <w:ind w:left="730" w:right="241"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3" w:line="259" w:lineRule="auto"/>
      <w:ind w:left="10" w:right="241"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0CEA"/>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00CEA"/>
    <w:rPr>
      <w:color w:val="0563C1" w:themeColor="hyperlink"/>
      <w:u w:val="single"/>
    </w:rPr>
  </w:style>
  <w:style w:type="character" w:styleId="UnresolvedMention">
    <w:name w:val="Unresolved Mention"/>
    <w:basedOn w:val="DefaultParagraphFont"/>
    <w:uiPriority w:val="99"/>
    <w:semiHidden/>
    <w:unhideWhenUsed/>
    <w:rsid w:val="00B00CEA"/>
    <w:rPr>
      <w:color w:val="605E5C"/>
      <w:shd w:val="clear" w:color="auto" w:fill="E1DFDD"/>
    </w:rPr>
  </w:style>
  <w:style w:type="paragraph" w:styleId="TOCHeading">
    <w:name w:val="TOC Heading"/>
    <w:basedOn w:val="Heading1"/>
    <w:next w:val="Normal"/>
    <w:uiPriority w:val="39"/>
    <w:unhideWhenUsed/>
    <w:qFormat/>
    <w:rsid w:val="00B00CEA"/>
    <w:pPr>
      <w:spacing w:before="240" w:after="0"/>
      <w:ind w:left="0" w:right="0" w:firstLine="0"/>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B00CEA"/>
    <w:pPr>
      <w:spacing w:after="100"/>
      <w:ind w:left="0"/>
    </w:pPr>
  </w:style>
  <w:style w:type="paragraph" w:styleId="Header">
    <w:name w:val="header"/>
    <w:basedOn w:val="Normal"/>
    <w:link w:val="HeaderChar"/>
    <w:uiPriority w:val="99"/>
    <w:unhideWhenUsed/>
    <w:rsid w:val="00B00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CEA"/>
    <w:rPr>
      <w:rFonts w:ascii="Arial" w:eastAsia="Arial" w:hAnsi="Arial" w:cs="Arial"/>
      <w:color w:val="000000"/>
      <w:sz w:val="22"/>
    </w:rPr>
  </w:style>
  <w:style w:type="paragraph" w:styleId="Footer">
    <w:name w:val="footer"/>
    <w:basedOn w:val="Normal"/>
    <w:link w:val="FooterChar"/>
    <w:uiPriority w:val="99"/>
    <w:unhideWhenUsed/>
    <w:rsid w:val="00B00CEA"/>
    <w:pPr>
      <w:tabs>
        <w:tab w:val="center" w:pos="4680"/>
        <w:tab w:val="right" w:pos="9360"/>
      </w:tabs>
      <w:spacing w:after="0" w:line="240" w:lineRule="auto"/>
      <w:ind w:left="0" w:right="0" w:firstLine="0"/>
      <w:jc w:val="left"/>
    </w:pPr>
    <w:rPr>
      <w:rFonts w:asciiTheme="minorHAnsi" w:eastAsiaTheme="minorEastAsia" w:hAnsiTheme="minorHAnsi" w:cs="Times New Roman"/>
      <w:color w:val="auto"/>
      <w:kern w:val="0"/>
      <w:szCs w:val="22"/>
      <w:lang w:val="en-US" w:eastAsia="en-US"/>
      <w14:ligatures w14:val="none"/>
    </w:rPr>
  </w:style>
  <w:style w:type="character" w:customStyle="1" w:styleId="FooterChar">
    <w:name w:val="Footer Char"/>
    <w:basedOn w:val="DefaultParagraphFont"/>
    <w:link w:val="Footer"/>
    <w:uiPriority w:val="99"/>
    <w:rsid w:val="00B00CEA"/>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nsbu.journals.ekb.eg/article_362188_7921ab6eea4c250fef5ead18e518ab05.pdf" TargetMode="External"/><Relationship Id="rId13" Type="http://schemas.openxmlformats.org/officeDocument/2006/relationships/hyperlink" Target="https://doi.org/10.1016/j.pec.2025.10876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89/fcomp.2021.624555" TargetMode="External"/><Relationship Id="rId17" Type="http://schemas.openxmlformats.org/officeDocument/2006/relationships/hyperlink" Target="https://doi.org/10.3399/bjgp22x718013" TargetMode="External"/><Relationship Id="rId2" Type="http://schemas.openxmlformats.org/officeDocument/2006/relationships/numbering" Target="numbering.xml"/><Relationship Id="rId16" Type="http://schemas.openxmlformats.org/officeDocument/2006/relationships/hyperlink" Target="https://doi.org/10.5001/omj.2020.40"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561820.2019.1694496" TargetMode="External"/><Relationship Id="rId5" Type="http://schemas.openxmlformats.org/officeDocument/2006/relationships/webSettings" Target="webSettings.xml"/><Relationship Id="rId15"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10" Type="http://schemas.openxmlformats.org/officeDocument/2006/relationships/hyperlink" Target="https://mnj.journals.ekb.eg/article_320390_5bcbb734d19e379c5466f56aab010230.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3390/healthcare12131258" TargetMode="External"/><Relationship Id="rId14" Type="http://schemas.openxmlformats.org/officeDocument/2006/relationships/hyperlink" Target="https://doi.org/10.1177/2377960824122740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7A803-4B06-4DBD-A72F-AAEB4081E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2487</Words>
  <Characters>14182</Characters>
  <Application>Microsoft Office Word</Application>
  <DocSecurity>0</DocSecurity>
  <Lines>118</Lines>
  <Paragraphs>33</Paragraphs>
  <ScaleCrop>false</ScaleCrop>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michelpina2025@outlook.com</cp:lastModifiedBy>
  <cp:revision>2</cp:revision>
  <dcterms:created xsi:type="dcterms:W3CDTF">2025-11-26T18:34:00Z</dcterms:created>
  <dcterms:modified xsi:type="dcterms:W3CDTF">2025-11-26T18:34:00Z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ba0f70f1-1b19-4bfe-aa1f-75714d29cb19</vt:lpwstr>
  </property>
</Properties>
</file>