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b w:val="1"/>
          <w:sz w:val="24"/>
          <w:szCs w:val="24"/>
        </w:rPr>
      </w:pPr>
      <w:r w:rsidDel="00000000" w:rsidR="00000000" w:rsidRPr="00000000">
        <w:rPr>
          <w:b w:val="1"/>
          <w:sz w:val="24"/>
          <w:szCs w:val="24"/>
          <w:rtl w:val="0"/>
        </w:rPr>
        <w:t xml:space="preserve">Assignment One - Student Number 1902832</w:t>
      </w:r>
    </w:p>
    <w:p w:rsidR="00000000" w:rsidDel="00000000" w:rsidP="00000000" w:rsidRDefault="00000000" w:rsidRPr="00000000" w14:paraId="00000002">
      <w:pPr>
        <w:jc w:val="center"/>
        <w:rPr>
          <w:sz w:val="24"/>
          <w:szCs w:val="24"/>
        </w:rPr>
      </w:pPr>
      <w:r w:rsidDel="00000000" w:rsidR="00000000" w:rsidRPr="00000000">
        <w:rPr>
          <w:rtl w:val="0"/>
        </w:rPr>
      </w:r>
    </w:p>
    <w:p w:rsidR="00000000" w:rsidDel="00000000" w:rsidP="00000000" w:rsidRDefault="00000000" w:rsidRPr="00000000" w14:paraId="00000003">
      <w:pPr>
        <w:rPr>
          <w:sz w:val="24"/>
          <w:szCs w:val="24"/>
        </w:rPr>
      </w:pPr>
      <w:r w:rsidDel="00000000" w:rsidR="00000000" w:rsidRPr="00000000">
        <w:rPr>
          <w:b w:val="1"/>
          <w:sz w:val="24"/>
          <w:szCs w:val="24"/>
          <w:rtl w:val="0"/>
        </w:rPr>
        <w:t xml:space="preserve">Q</w:t>
      </w:r>
      <w:r w:rsidDel="00000000" w:rsidR="00000000" w:rsidRPr="00000000">
        <w:rPr>
          <w:sz w:val="24"/>
          <w:szCs w:val="24"/>
          <w:rtl w:val="0"/>
        </w:rPr>
        <w:t xml:space="preserve">. Analyse and critically evaluate TWO sources, extracts, questions or statements, studied or referred to during the teaching of HPHP 4009 ‘Pathwaths to Evil: Genocide - History, Theory and Denial. </w:t>
      </w:r>
    </w:p>
    <w:p w:rsidR="00000000" w:rsidDel="00000000" w:rsidP="00000000" w:rsidRDefault="00000000" w:rsidRPr="00000000" w14:paraId="00000004">
      <w:pPr>
        <w:rPr>
          <w:sz w:val="24"/>
          <w:szCs w:val="24"/>
        </w:rPr>
      </w:pPr>
      <w:r w:rsidDel="00000000" w:rsidR="00000000" w:rsidRPr="00000000">
        <w:rPr>
          <w:rtl w:val="0"/>
        </w:rPr>
      </w:r>
    </w:p>
    <w:p w:rsidR="00000000" w:rsidDel="00000000" w:rsidP="00000000" w:rsidRDefault="00000000" w:rsidRPr="00000000" w14:paraId="00000005">
      <w:pPr>
        <w:rPr>
          <w:sz w:val="24"/>
          <w:szCs w:val="24"/>
        </w:rPr>
      </w:pPr>
      <w:r w:rsidDel="00000000" w:rsidR="00000000" w:rsidRPr="00000000">
        <w:rPr>
          <w:rtl w:val="0"/>
        </w:rPr>
      </w:r>
    </w:p>
    <w:p w:rsidR="00000000" w:rsidDel="00000000" w:rsidP="00000000" w:rsidRDefault="00000000" w:rsidRPr="00000000" w14:paraId="00000006">
      <w:pPr>
        <w:rPr>
          <w:b w:val="1"/>
          <w:sz w:val="28"/>
          <w:szCs w:val="28"/>
        </w:rPr>
      </w:pPr>
      <w:r w:rsidDel="00000000" w:rsidR="00000000" w:rsidRPr="00000000">
        <w:rPr>
          <w:b w:val="1"/>
          <w:sz w:val="28"/>
          <w:szCs w:val="28"/>
          <w:rtl w:val="0"/>
        </w:rPr>
        <w:t xml:space="preserve">Source One. </w:t>
      </w:r>
    </w:p>
    <w:p w:rsidR="00000000" w:rsidDel="00000000" w:rsidP="00000000" w:rsidRDefault="00000000" w:rsidRPr="00000000" w14:paraId="00000007">
      <w:pPr>
        <w:rPr>
          <w:b w:val="1"/>
          <w:sz w:val="28"/>
          <w:szCs w:val="28"/>
        </w:rPr>
      </w:pPr>
      <w:r w:rsidDel="00000000" w:rsidR="00000000" w:rsidRPr="00000000">
        <w:rPr>
          <w:rtl w:val="0"/>
        </w:rPr>
      </w:r>
    </w:p>
    <w:p w:rsidR="00000000" w:rsidDel="00000000" w:rsidP="00000000" w:rsidRDefault="00000000" w:rsidRPr="00000000" w14:paraId="00000008">
      <w:pPr>
        <w:rPr>
          <w:sz w:val="24"/>
          <w:szCs w:val="24"/>
        </w:rPr>
      </w:pPr>
      <w:r w:rsidDel="00000000" w:rsidR="00000000" w:rsidRPr="00000000">
        <w:rPr>
          <w:sz w:val="24"/>
          <w:szCs w:val="24"/>
          <w:rtl w:val="0"/>
        </w:rPr>
        <w:t xml:space="preserve">Source one is a critical analysis and evaluation of Chapter 6 : The Communist Genocides from Norman M Naimark , </w:t>
      </w:r>
      <w:r w:rsidDel="00000000" w:rsidR="00000000" w:rsidRPr="00000000">
        <w:rPr>
          <w:i w:val="1"/>
          <w:sz w:val="24"/>
          <w:szCs w:val="24"/>
          <w:rtl w:val="0"/>
        </w:rPr>
        <w:t xml:space="preserve">Genocide: A world history of Genocide - </w:t>
      </w:r>
      <w:r w:rsidDel="00000000" w:rsidR="00000000" w:rsidRPr="00000000">
        <w:rPr>
          <w:sz w:val="24"/>
          <w:szCs w:val="24"/>
          <w:rtl w:val="0"/>
        </w:rPr>
        <w:t xml:space="preserve">(Oxford OUP 2017). </w:t>
      </w:r>
    </w:p>
    <w:p w:rsidR="00000000" w:rsidDel="00000000" w:rsidP="00000000" w:rsidRDefault="00000000" w:rsidRPr="00000000" w14:paraId="00000009">
      <w:pPr>
        <w:rPr>
          <w:sz w:val="24"/>
          <w:szCs w:val="24"/>
        </w:rPr>
      </w:pPr>
      <w:r w:rsidDel="00000000" w:rsidR="00000000" w:rsidRPr="00000000">
        <w:rPr>
          <w:rtl w:val="0"/>
        </w:rPr>
      </w:r>
    </w:p>
    <w:p w:rsidR="00000000" w:rsidDel="00000000" w:rsidP="00000000" w:rsidRDefault="00000000" w:rsidRPr="00000000" w14:paraId="0000000A">
      <w:pPr>
        <w:rPr>
          <w:b w:val="1"/>
          <w:sz w:val="24"/>
          <w:szCs w:val="24"/>
        </w:rPr>
      </w:pPr>
      <w:r w:rsidDel="00000000" w:rsidR="00000000" w:rsidRPr="00000000">
        <w:rPr>
          <w:b w:val="1"/>
          <w:sz w:val="24"/>
          <w:szCs w:val="24"/>
          <w:rtl w:val="0"/>
        </w:rPr>
        <w:t xml:space="preserve">What type of Work is it. </w:t>
      </w:r>
    </w:p>
    <w:p w:rsidR="00000000" w:rsidDel="00000000" w:rsidP="00000000" w:rsidRDefault="00000000" w:rsidRPr="00000000" w14:paraId="0000000B">
      <w:pPr>
        <w:rPr>
          <w:sz w:val="24"/>
          <w:szCs w:val="24"/>
        </w:rPr>
      </w:pPr>
      <w:r w:rsidDel="00000000" w:rsidR="00000000" w:rsidRPr="00000000">
        <w:rPr>
          <w:rtl w:val="0"/>
        </w:rPr>
      </w:r>
    </w:p>
    <w:p w:rsidR="00000000" w:rsidDel="00000000" w:rsidP="00000000" w:rsidRDefault="00000000" w:rsidRPr="00000000" w14:paraId="0000000C">
      <w:pPr>
        <w:rPr>
          <w:sz w:val="24"/>
          <w:szCs w:val="24"/>
        </w:rPr>
      </w:pPr>
      <w:r w:rsidDel="00000000" w:rsidR="00000000" w:rsidRPr="00000000">
        <w:rPr>
          <w:sz w:val="24"/>
          <w:szCs w:val="24"/>
          <w:rtl w:val="0"/>
        </w:rPr>
        <w:t xml:space="preserve">Genocide ; </w:t>
      </w:r>
      <w:r w:rsidDel="00000000" w:rsidR="00000000" w:rsidRPr="00000000">
        <w:rPr>
          <w:i w:val="1"/>
          <w:sz w:val="24"/>
          <w:szCs w:val="24"/>
          <w:rtl w:val="0"/>
        </w:rPr>
        <w:t xml:space="preserve">A world History of Genocide</w:t>
      </w:r>
      <w:r w:rsidDel="00000000" w:rsidR="00000000" w:rsidRPr="00000000">
        <w:rPr>
          <w:sz w:val="24"/>
          <w:szCs w:val="24"/>
          <w:rtl w:val="0"/>
        </w:rPr>
        <w:t xml:space="preserve"> is one volume which forms part of the New Oxford World History series that states it seeks to take a “new world historian “ approach to history. The book takes a broad perspective over the history of genocide.</w:t>
      </w:r>
    </w:p>
    <w:p w:rsidR="00000000" w:rsidDel="00000000" w:rsidP="00000000" w:rsidRDefault="00000000" w:rsidRPr="00000000" w14:paraId="0000000D">
      <w:pPr>
        <w:rPr>
          <w:sz w:val="24"/>
          <w:szCs w:val="24"/>
        </w:rPr>
      </w:pPr>
      <w:r w:rsidDel="00000000" w:rsidR="00000000" w:rsidRPr="00000000">
        <w:rPr>
          <w:rtl w:val="0"/>
        </w:rPr>
      </w:r>
    </w:p>
    <w:p w:rsidR="00000000" w:rsidDel="00000000" w:rsidP="00000000" w:rsidRDefault="00000000" w:rsidRPr="00000000" w14:paraId="0000000E">
      <w:pPr>
        <w:rPr>
          <w:sz w:val="24"/>
          <w:szCs w:val="24"/>
        </w:rPr>
      </w:pPr>
      <w:r w:rsidDel="00000000" w:rsidR="00000000" w:rsidRPr="00000000">
        <w:rPr>
          <w:sz w:val="24"/>
          <w:szCs w:val="24"/>
          <w:rtl w:val="0"/>
        </w:rPr>
        <w:t xml:space="preserve">It follows a episodic approach and looks at genocide from the ancient world to the present in eight chapters. </w:t>
      </w:r>
    </w:p>
    <w:p w:rsidR="00000000" w:rsidDel="00000000" w:rsidP="00000000" w:rsidRDefault="00000000" w:rsidRPr="00000000" w14:paraId="0000000F">
      <w:pPr>
        <w:rPr>
          <w:sz w:val="24"/>
          <w:szCs w:val="24"/>
        </w:rPr>
      </w:pPr>
      <w:r w:rsidDel="00000000" w:rsidR="00000000" w:rsidRPr="00000000">
        <w:rPr>
          <w:rtl w:val="0"/>
        </w:rPr>
      </w:r>
    </w:p>
    <w:p w:rsidR="00000000" w:rsidDel="00000000" w:rsidP="00000000" w:rsidRDefault="00000000" w:rsidRPr="00000000" w14:paraId="00000010">
      <w:pPr>
        <w:rPr>
          <w:b w:val="1"/>
          <w:sz w:val="24"/>
          <w:szCs w:val="24"/>
        </w:rPr>
      </w:pPr>
      <w:r w:rsidDel="00000000" w:rsidR="00000000" w:rsidRPr="00000000">
        <w:rPr>
          <w:b w:val="1"/>
          <w:sz w:val="24"/>
          <w:szCs w:val="24"/>
          <w:rtl w:val="0"/>
        </w:rPr>
        <w:t xml:space="preserve">Who is it written for?</w:t>
      </w:r>
    </w:p>
    <w:p w:rsidR="00000000" w:rsidDel="00000000" w:rsidP="00000000" w:rsidRDefault="00000000" w:rsidRPr="00000000" w14:paraId="00000011">
      <w:pPr>
        <w:rPr>
          <w:sz w:val="24"/>
          <w:szCs w:val="24"/>
        </w:rPr>
      </w:pPr>
      <w:r w:rsidDel="00000000" w:rsidR="00000000" w:rsidRPr="00000000">
        <w:rPr>
          <w:rtl w:val="0"/>
        </w:rPr>
      </w:r>
    </w:p>
    <w:p w:rsidR="00000000" w:rsidDel="00000000" w:rsidP="00000000" w:rsidRDefault="00000000" w:rsidRPr="00000000" w14:paraId="00000012">
      <w:pPr>
        <w:rPr>
          <w:sz w:val="24"/>
          <w:szCs w:val="24"/>
        </w:rPr>
      </w:pPr>
      <w:r w:rsidDel="00000000" w:rsidR="00000000" w:rsidRPr="00000000">
        <w:rPr>
          <w:sz w:val="24"/>
          <w:szCs w:val="24"/>
          <w:rtl w:val="0"/>
        </w:rPr>
        <w:t xml:space="preserve">The aim of the book is to give the reader a broad , but learned study of the history of Genocide designed especially for 4UG study. </w:t>
      </w:r>
    </w:p>
    <w:p w:rsidR="00000000" w:rsidDel="00000000" w:rsidP="00000000" w:rsidRDefault="00000000" w:rsidRPr="00000000" w14:paraId="00000013">
      <w:pPr>
        <w:rPr>
          <w:sz w:val="24"/>
          <w:szCs w:val="24"/>
        </w:rPr>
      </w:pPr>
      <w:r w:rsidDel="00000000" w:rsidR="00000000" w:rsidRPr="00000000">
        <w:rPr>
          <w:sz w:val="24"/>
          <w:szCs w:val="24"/>
          <w:rtl w:val="0"/>
        </w:rPr>
        <w:t xml:space="preserve">The book contains  a chronology, notes, further reading and websites chapters which allows the reader to see sources used and use as a guide to further reading which is particularly useful for students of genicide studies and for those who want to gain a greater understanding. The book has a narrative style that makes it accessible to academic and general readers. </w:t>
      </w:r>
    </w:p>
    <w:p w:rsidR="00000000" w:rsidDel="00000000" w:rsidP="00000000" w:rsidRDefault="00000000" w:rsidRPr="00000000" w14:paraId="00000014">
      <w:pPr>
        <w:rPr>
          <w:sz w:val="24"/>
          <w:szCs w:val="24"/>
        </w:rPr>
      </w:pPr>
      <w:r w:rsidDel="00000000" w:rsidR="00000000" w:rsidRPr="00000000">
        <w:rPr>
          <w:rtl w:val="0"/>
        </w:rPr>
      </w:r>
    </w:p>
    <w:p w:rsidR="00000000" w:rsidDel="00000000" w:rsidP="00000000" w:rsidRDefault="00000000" w:rsidRPr="00000000" w14:paraId="00000015">
      <w:pPr>
        <w:rPr>
          <w:b w:val="1"/>
          <w:sz w:val="24"/>
          <w:szCs w:val="24"/>
        </w:rPr>
      </w:pPr>
      <w:r w:rsidDel="00000000" w:rsidR="00000000" w:rsidRPr="00000000">
        <w:rPr>
          <w:b w:val="1"/>
          <w:sz w:val="24"/>
          <w:szCs w:val="24"/>
          <w:rtl w:val="0"/>
        </w:rPr>
        <w:t xml:space="preserve">When was it written?</w:t>
      </w:r>
    </w:p>
    <w:p w:rsidR="00000000" w:rsidDel="00000000" w:rsidP="00000000" w:rsidRDefault="00000000" w:rsidRPr="00000000" w14:paraId="00000016">
      <w:pPr>
        <w:rPr>
          <w:sz w:val="24"/>
          <w:szCs w:val="24"/>
        </w:rPr>
      </w:pPr>
      <w:r w:rsidDel="00000000" w:rsidR="00000000" w:rsidRPr="00000000">
        <w:rPr>
          <w:rtl w:val="0"/>
        </w:rPr>
      </w:r>
    </w:p>
    <w:p w:rsidR="00000000" w:rsidDel="00000000" w:rsidP="00000000" w:rsidRDefault="00000000" w:rsidRPr="00000000" w14:paraId="00000017">
      <w:pPr>
        <w:rPr>
          <w:sz w:val="24"/>
          <w:szCs w:val="24"/>
        </w:rPr>
      </w:pPr>
      <w:r w:rsidDel="00000000" w:rsidR="00000000" w:rsidRPr="00000000">
        <w:rPr>
          <w:sz w:val="24"/>
          <w:szCs w:val="24"/>
          <w:rtl w:val="0"/>
        </w:rPr>
        <w:t xml:space="preserve">The book was published in 2017 and took a fresh approach  and reflects  an increased need with academia to address the subject of Genocide. The aim of the book is to give the reader a broad , but learned study of the history of Genocide designed especially for 4UG study. </w:t>
      </w:r>
    </w:p>
    <w:p w:rsidR="00000000" w:rsidDel="00000000" w:rsidP="00000000" w:rsidRDefault="00000000" w:rsidRPr="00000000" w14:paraId="00000018">
      <w:pPr>
        <w:rPr>
          <w:sz w:val="24"/>
          <w:szCs w:val="24"/>
        </w:rPr>
      </w:pPr>
      <w:r w:rsidDel="00000000" w:rsidR="00000000" w:rsidRPr="00000000">
        <w:rPr>
          <w:rtl w:val="0"/>
        </w:rPr>
      </w:r>
    </w:p>
    <w:p w:rsidR="00000000" w:rsidDel="00000000" w:rsidP="00000000" w:rsidRDefault="00000000" w:rsidRPr="00000000" w14:paraId="00000019">
      <w:pPr>
        <w:rPr>
          <w:sz w:val="24"/>
          <w:szCs w:val="24"/>
        </w:rPr>
      </w:pPr>
      <w:r w:rsidDel="00000000" w:rsidR="00000000" w:rsidRPr="00000000">
        <w:rPr>
          <w:rtl w:val="0"/>
        </w:rPr>
      </w:r>
    </w:p>
    <w:p w:rsidR="00000000" w:rsidDel="00000000" w:rsidP="00000000" w:rsidRDefault="00000000" w:rsidRPr="00000000" w14:paraId="0000001A">
      <w:pPr>
        <w:rPr>
          <w:sz w:val="24"/>
          <w:szCs w:val="24"/>
        </w:rPr>
      </w:pPr>
      <w:r w:rsidDel="00000000" w:rsidR="00000000" w:rsidRPr="00000000">
        <w:rPr>
          <w:rtl w:val="0"/>
        </w:rPr>
      </w:r>
    </w:p>
    <w:p w:rsidR="00000000" w:rsidDel="00000000" w:rsidP="00000000" w:rsidRDefault="00000000" w:rsidRPr="00000000" w14:paraId="0000001B">
      <w:pPr>
        <w:rPr>
          <w:sz w:val="24"/>
          <w:szCs w:val="24"/>
        </w:rPr>
      </w:pPr>
      <w:r w:rsidDel="00000000" w:rsidR="00000000" w:rsidRPr="00000000">
        <w:rPr>
          <w:rtl w:val="0"/>
        </w:rPr>
      </w:r>
    </w:p>
    <w:p w:rsidR="00000000" w:rsidDel="00000000" w:rsidP="00000000" w:rsidRDefault="00000000" w:rsidRPr="00000000" w14:paraId="0000001C">
      <w:pPr>
        <w:rPr>
          <w:sz w:val="24"/>
          <w:szCs w:val="24"/>
        </w:rPr>
      </w:pPr>
      <w:r w:rsidDel="00000000" w:rsidR="00000000" w:rsidRPr="00000000">
        <w:rPr>
          <w:rtl w:val="0"/>
        </w:rPr>
      </w:r>
    </w:p>
    <w:p w:rsidR="00000000" w:rsidDel="00000000" w:rsidP="00000000" w:rsidRDefault="00000000" w:rsidRPr="00000000" w14:paraId="0000001D">
      <w:pPr>
        <w:rPr>
          <w:b w:val="1"/>
          <w:sz w:val="24"/>
          <w:szCs w:val="24"/>
        </w:rPr>
      </w:pPr>
      <w:r w:rsidDel="00000000" w:rsidR="00000000" w:rsidRPr="00000000">
        <w:rPr>
          <w:b w:val="1"/>
          <w:sz w:val="24"/>
          <w:szCs w:val="24"/>
          <w:rtl w:val="0"/>
        </w:rPr>
        <w:t xml:space="preserve">Who is the author?</w:t>
      </w:r>
    </w:p>
    <w:p w:rsidR="00000000" w:rsidDel="00000000" w:rsidP="00000000" w:rsidRDefault="00000000" w:rsidRPr="00000000" w14:paraId="0000001E">
      <w:pPr>
        <w:rPr>
          <w:sz w:val="24"/>
          <w:szCs w:val="24"/>
        </w:rPr>
      </w:pPr>
      <w:r w:rsidDel="00000000" w:rsidR="00000000" w:rsidRPr="00000000">
        <w:rPr>
          <w:rtl w:val="0"/>
        </w:rPr>
      </w:r>
    </w:p>
    <w:p w:rsidR="00000000" w:rsidDel="00000000" w:rsidP="00000000" w:rsidRDefault="00000000" w:rsidRPr="00000000" w14:paraId="0000001F">
      <w:pPr>
        <w:rPr>
          <w:i w:val="1"/>
          <w:sz w:val="24"/>
          <w:szCs w:val="24"/>
        </w:rPr>
      </w:pPr>
      <w:r w:rsidDel="00000000" w:rsidR="00000000" w:rsidRPr="00000000">
        <w:rPr>
          <w:sz w:val="24"/>
          <w:szCs w:val="24"/>
          <w:rtl w:val="0"/>
        </w:rPr>
        <w:t xml:space="preserve">The book is written by Norman M Nairmark who is a Professor of History at Stanford University and a noted academic and has been published on the topic of Genicide and late 20 c history. These include: </w:t>
      </w:r>
      <w:r w:rsidDel="00000000" w:rsidR="00000000" w:rsidRPr="00000000">
        <w:rPr>
          <w:i w:val="1"/>
          <w:sz w:val="24"/>
          <w:szCs w:val="24"/>
          <w:rtl w:val="0"/>
        </w:rPr>
        <w:t xml:space="preserve">Stalins Genocides </w:t>
      </w:r>
      <w:r w:rsidDel="00000000" w:rsidR="00000000" w:rsidRPr="00000000">
        <w:rPr>
          <w:sz w:val="24"/>
          <w:szCs w:val="24"/>
          <w:rtl w:val="0"/>
        </w:rPr>
        <w:t xml:space="preserve">(Princeton: Princeton University Press, 2010): </w:t>
      </w:r>
      <w:r w:rsidDel="00000000" w:rsidR="00000000" w:rsidRPr="00000000">
        <w:rPr>
          <w:i w:val="1"/>
          <w:sz w:val="24"/>
          <w:szCs w:val="24"/>
          <w:rtl w:val="0"/>
        </w:rPr>
        <w:t xml:space="preserve">Fires of Hatred </w:t>
      </w:r>
      <w:r w:rsidDel="00000000" w:rsidR="00000000" w:rsidRPr="00000000">
        <w:rPr>
          <w:sz w:val="24"/>
          <w:szCs w:val="24"/>
          <w:rtl w:val="0"/>
        </w:rPr>
        <w:t xml:space="preserve">(Cambridge Mass: London: Harvard University Press, 2001). He is on the editorial boards of leading journals including </w:t>
      </w:r>
      <w:r w:rsidDel="00000000" w:rsidR="00000000" w:rsidRPr="00000000">
        <w:rPr>
          <w:i w:val="1"/>
          <w:sz w:val="24"/>
          <w:szCs w:val="24"/>
          <w:rtl w:val="0"/>
        </w:rPr>
        <w:t xml:space="preserve">The Journal of Modern European History </w:t>
      </w:r>
      <w:r w:rsidDel="00000000" w:rsidR="00000000" w:rsidRPr="00000000">
        <w:rPr>
          <w:sz w:val="24"/>
          <w:szCs w:val="24"/>
          <w:rtl w:val="0"/>
        </w:rPr>
        <w:t xml:space="preserve">(Sage Publications)</w:t>
      </w:r>
      <w:r w:rsidDel="00000000" w:rsidR="00000000" w:rsidRPr="00000000">
        <w:rPr>
          <w:i w:val="1"/>
          <w:sz w:val="24"/>
          <w:szCs w:val="24"/>
          <w:rtl w:val="0"/>
        </w:rPr>
        <w:t xml:space="preserve">. </w:t>
      </w:r>
    </w:p>
    <w:p w:rsidR="00000000" w:rsidDel="00000000" w:rsidP="00000000" w:rsidRDefault="00000000" w:rsidRPr="00000000" w14:paraId="00000020">
      <w:pPr>
        <w:rPr>
          <w:sz w:val="24"/>
          <w:szCs w:val="24"/>
        </w:rPr>
      </w:pPr>
      <w:r w:rsidDel="00000000" w:rsidR="00000000" w:rsidRPr="00000000">
        <w:rPr>
          <w:rtl w:val="0"/>
        </w:rPr>
      </w:r>
    </w:p>
    <w:p w:rsidR="00000000" w:rsidDel="00000000" w:rsidP="00000000" w:rsidRDefault="00000000" w:rsidRPr="00000000" w14:paraId="00000021">
      <w:pPr>
        <w:rPr>
          <w:sz w:val="24"/>
          <w:szCs w:val="24"/>
        </w:rPr>
      </w:pPr>
      <w:r w:rsidDel="00000000" w:rsidR="00000000" w:rsidRPr="00000000">
        <w:rPr>
          <w:rtl w:val="0"/>
        </w:rPr>
      </w:r>
    </w:p>
    <w:p w:rsidR="00000000" w:rsidDel="00000000" w:rsidP="00000000" w:rsidRDefault="00000000" w:rsidRPr="00000000" w14:paraId="00000022">
      <w:pPr>
        <w:rPr>
          <w:sz w:val="24"/>
          <w:szCs w:val="24"/>
        </w:rPr>
      </w:pPr>
      <w:r w:rsidDel="00000000" w:rsidR="00000000" w:rsidRPr="00000000">
        <w:rPr>
          <w:b w:val="1"/>
          <w:sz w:val="24"/>
          <w:szCs w:val="24"/>
          <w:rtl w:val="0"/>
        </w:rPr>
        <w:t xml:space="preserve">Discuss the subject matter.</w:t>
      </w:r>
      <w:r w:rsidDel="00000000" w:rsidR="00000000" w:rsidRPr="00000000">
        <w:rPr>
          <w:sz w:val="24"/>
          <w:szCs w:val="24"/>
          <w:rtl w:val="0"/>
        </w:rPr>
        <w:t xml:space="preserve"> </w:t>
      </w:r>
    </w:p>
    <w:p w:rsidR="00000000" w:rsidDel="00000000" w:rsidP="00000000" w:rsidRDefault="00000000" w:rsidRPr="00000000" w14:paraId="00000023">
      <w:pPr>
        <w:rPr>
          <w:sz w:val="24"/>
          <w:szCs w:val="24"/>
        </w:rPr>
      </w:pPr>
      <w:r w:rsidDel="00000000" w:rsidR="00000000" w:rsidRPr="00000000">
        <w:rPr>
          <w:rtl w:val="0"/>
        </w:rPr>
      </w:r>
    </w:p>
    <w:p w:rsidR="00000000" w:rsidDel="00000000" w:rsidP="00000000" w:rsidRDefault="00000000" w:rsidRPr="00000000" w14:paraId="00000024">
      <w:pPr>
        <w:rPr>
          <w:sz w:val="24"/>
          <w:szCs w:val="24"/>
        </w:rPr>
      </w:pPr>
      <w:r w:rsidDel="00000000" w:rsidR="00000000" w:rsidRPr="00000000">
        <w:rPr>
          <w:sz w:val="24"/>
          <w:szCs w:val="24"/>
          <w:rtl w:val="0"/>
        </w:rPr>
        <w:t xml:space="preserve">Chapter six is entitled “ Communist Genocides”. Naimark begins with referencing the 1948 UN Convention on the Prevention and Punishment of Genocide which covers national, ethnic religious or racial groups within the convention but ommits social and political groups.</w:t>
      </w:r>
    </w:p>
    <w:p w:rsidR="00000000" w:rsidDel="00000000" w:rsidP="00000000" w:rsidRDefault="00000000" w:rsidRPr="00000000" w14:paraId="00000025">
      <w:pPr>
        <w:rPr>
          <w:sz w:val="24"/>
          <w:szCs w:val="24"/>
        </w:rPr>
      </w:pPr>
      <w:r w:rsidDel="00000000" w:rsidR="00000000" w:rsidRPr="00000000">
        <w:rPr>
          <w:rtl w:val="0"/>
        </w:rPr>
      </w:r>
    </w:p>
    <w:p w:rsidR="00000000" w:rsidDel="00000000" w:rsidP="00000000" w:rsidRDefault="00000000" w:rsidRPr="00000000" w14:paraId="00000026">
      <w:pPr>
        <w:rPr>
          <w:sz w:val="24"/>
          <w:szCs w:val="24"/>
        </w:rPr>
      </w:pPr>
      <w:r w:rsidDel="00000000" w:rsidR="00000000" w:rsidRPr="00000000">
        <w:rPr>
          <w:sz w:val="24"/>
          <w:szCs w:val="24"/>
          <w:rtl w:val="0"/>
        </w:rPr>
        <w:t xml:space="preserve"> He then asks the question what about the Cambodian Genocide: Mao Zedong’s  Great Leap Forward and Stalin's campaigns against the “kulaks” and Ukrainian peasants and “socially harmful people”: and suggests applying the term “communist genocides” to understand these events.</w:t>
      </w:r>
    </w:p>
    <w:p w:rsidR="00000000" w:rsidDel="00000000" w:rsidP="00000000" w:rsidRDefault="00000000" w:rsidRPr="00000000" w14:paraId="00000027">
      <w:pPr>
        <w:rPr>
          <w:sz w:val="24"/>
          <w:szCs w:val="24"/>
        </w:rPr>
      </w:pPr>
      <w:r w:rsidDel="00000000" w:rsidR="00000000" w:rsidRPr="00000000">
        <w:rPr>
          <w:rtl w:val="0"/>
        </w:rPr>
      </w:r>
    </w:p>
    <w:p w:rsidR="00000000" w:rsidDel="00000000" w:rsidP="00000000" w:rsidRDefault="00000000" w:rsidRPr="00000000" w14:paraId="00000028">
      <w:pPr>
        <w:rPr>
          <w:sz w:val="24"/>
          <w:szCs w:val="24"/>
        </w:rPr>
      </w:pPr>
      <w:r w:rsidDel="00000000" w:rsidR="00000000" w:rsidRPr="00000000">
        <w:rPr>
          <w:sz w:val="24"/>
          <w:szCs w:val="24"/>
          <w:rtl w:val="0"/>
        </w:rPr>
        <w:t xml:space="preserve">The chapter goes on to explore these episodes. Throughout Nairmark draws on direct quotations from  primary sources in order to illustrate his commentary of events and points he is making. He explicitly states that the Ukrainian famine was genocide while Stalins the 1939-45 reign of Terror could not be considered a genocide because national, ethnic religious or racial groups were not particularly targeted as such, so fall  outside the UN definition of genocide. Naimark mentions a number of other events of mass killing e.g Checknians in Russian but perhaps leaves open the question of were these genocide ?.</w:t>
      </w:r>
    </w:p>
    <w:p w:rsidR="00000000" w:rsidDel="00000000" w:rsidP="00000000" w:rsidRDefault="00000000" w:rsidRPr="00000000" w14:paraId="00000029">
      <w:pPr>
        <w:rPr>
          <w:sz w:val="24"/>
          <w:szCs w:val="24"/>
        </w:rPr>
      </w:pPr>
      <w:r w:rsidDel="00000000" w:rsidR="00000000" w:rsidRPr="00000000">
        <w:rPr>
          <w:rtl w:val="0"/>
        </w:rPr>
      </w:r>
    </w:p>
    <w:p w:rsidR="00000000" w:rsidDel="00000000" w:rsidP="00000000" w:rsidRDefault="00000000" w:rsidRPr="00000000" w14:paraId="0000002A">
      <w:pPr>
        <w:rPr>
          <w:sz w:val="24"/>
          <w:szCs w:val="24"/>
        </w:rPr>
      </w:pPr>
      <w:r w:rsidDel="00000000" w:rsidR="00000000" w:rsidRPr="00000000">
        <w:rPr>
          <w:sz w:val="24"/>
          <w:szCs w:val="24"/>
          <w:rtl w:val="0"/>
        </w:rPr>
        <w:t xml:space="preserve">The chapter raises a fundamental question - what is genocide and adds to the discourse on the definition of genocide which is a contested area -“there is no consensus on how to define genocide” (Schaller). As a reader it forces us to consider our position on what is genocide.  In the introductory chapter Nairmark deals with the definition and adoption of the term genocide as put forward by Lemkin and adopted by the UN Convention in 1948 . He points out that Lemkin’s  original draft included social and political categories but this was removed from the final agreed convention.</w:t>
      </w:r>
    </w:p>
    <w:p w:rsidR="00000000" w:rsidDel="00000000" w:rsidP="00000000" w:rsidRDefault="00000000" w:rsidRPr="00000000" w14:paraId="0000002B">
      <w:pPr>
        <w:rPr>
          <w:sz w:val="24"/>
          <w:szCs w:val="24"/>
        </w:rPr>
      </w:pPr>
      <w:r w:rsidDel="00000000" w:rsidR="00000000" w:rsidRPr="00000000">
        <w:rPr>
          <w:rtl w:val="0"/>
        </w:rPr>
      </w:r>
    </w:p>
    <w:p w:rsidR="00000000" w:rsidDel="00000000" w:rsidP="00000000" w:rsidRDefault="00000000" w:rsidRPr="00000000" w14:paraId="0000002C">
      <w:pPr>
        <w:rPr>
          <w:sz w:val="24"/>
          <w:szCs w:val="24"/>
        </w:rPr>
      </w:pPr>
      <w:r w:rsidDel="00000000" w:rsidR="00000000" w:rsidRPr="00000000">
        <w:rPr>
          <w:sz w:val="24"/>
          <w:szCs w:val="24"/>
          <w:rtl w:val="0"/>
        </w:rPr>
        <w:t xml:space="preserve">Naimark covers a broad sweep of history in relatively few pages this means that he is not able to go into any great depth and only devotes limited attention over some episodes of  potential mass killings for example the Checknians in Stalin's Russia which leaves open the question as to whether these were ethnic cleansing, mass killings, crimes against humanity or genocide; and as the reader requires you to find out more information. He illustrates and locates the period under discussion  well and draws on many quotations from primary sources throughout his narrative which helps to illustrate his points being made and makes it easy to read. </w:t>
      </w:r>
    </w:p>
    <w:p w:rsidR="00000000" w:rsidDel="00000000" w:rsidP="00000000" w:rsidRDefault="00000000" w:rsidRPr="00000000" w14:paraId="0000002D">
      <w:pPr>
        <w:rPr>
          <w:sz w:val="24"/>
          <w:szCs w:val="24"/>
        </w:rPr>
      </w:pPr>
      <w:r w:rsidDel="00000000" w:rsidR="00000000" w:rsidRPr="00000000">
        <w:rPr>
          <w:rtl w:val="0"/>
        </w:rPr>
      </w:r>
    </w:p>
    <w:p w:rsidR="00000000" w:rsidDel="00000000" w:rsidP="00000000" w:rsidRDefault="00000000" w:rsidRPr="00000000" w14:paraId="0000002E">
      <w:pPr>
        <w:rPr>
          <w:sz w:val="24"/>
          <w:szCs w:val="24"/>
        </w:rPr>
      </w:pPr>
      <w:r w:rsidDel="00000000" w:rsidR="00000000" w:rsidRPr="00000000">
        <w:rPr>
          <w:sz w:val="24"/>
          <w:szCs w:val="24"/>
          <w:rtl w:val="0"/>
        </w:rPr>
        <w:t xml:space="preserve">Quotations and points made are referenced which allows the reader to look at the source’s quoted and there is a Bibliography for further study which helps direct the reader to a range of sources to deepen your understanding and perhaps help you to form your own view. </w:t>
      </w:r>
    </w:p>
    <w:p w:rsidR="00000000" w:rsidDel="00000000" w:rsidP="00000000" w:rsidRDefault="00000000" w:rsidRPr="00000000" w14:paraId="0000002F">
      <w:pPr>
        <w:rPr>
          <w:sz w:val="24"/>
          <w:szCs w:val="24"/>
        </w:rPr>
      </w:pPr>
      <w:r w:rsidDel="00000000" w:rsidR="00000000" w:rsidRPr="00000000">
        <w:rPr>
          <w:sz w:val="24"/>
          <w:szCs w:val="24"/>
          <w:rtl w:val="0"/>
        </w:rPr>
        <w:t xml:space="preserve"> </w:t>
      </w:r>
    </w:p>
    <w:p w:rsidR="00000000" w:rsidDel="00000000" w:rsidP="00000000" w:rsidRDefault="00000000" w:rsidRPr="00000000" w14:paraId="00000030">
      <w:pPr>
        <w:rPr>
          <w:sz w:val="24"/>
          <w:szCs w:val="24"/>
        </w:rPr>
      </w:pPr>
      <w:r w:rsidDel="00000000" w:rsidR="00000000" w:rsidRPr="00000000">
        <w:rPr>
          <w:sz w:val="24"/>
          <w:szCs w:val="24"/>
          <w:rtl w:val="0"/>
        </w:rPr>
        <w:t xml:space="preserve">Naimark also draws links between the three main episodes drawn together; that of Stalin, Mao and Cambodia and draws on the similar ideological basis that underpins their respective political structures and the links and similarities between them that help support grouping these together in a separate chapter. </w:t>
      </w:r>
    </w:p>
    <w:p w:rsidR="00000000" w:rsidDel="00000000" w:rsidP="00000000" w:rsidRDefault="00000000" w:rsidRPr="00000000" w14:paraId="00000031">
      <w:pPr>
        <w:rPr>
          <w:sz w:val="24"/>
          <w:szCs w:val="24"/>
        </w:rPr>
      </w:pPr>
      <w:r w:rsidDel="00000000" w:rsidR="00000000" w:rsidRPr="00000000">
        <w:rPr>
          <w:rtl w:val="0"/>
        </w:rPr>
      </w:r>
    </w:p>
    <w:p w:rsidR="00000000" w:rsidDel="00000000" w:rsidP="00000000" w:rsidRDefault="00000000" w:rsidRPr="00000000" w14:paraId="00000032">
      <w:pPr>
        <w:rPr>
          <w:sz w:val="24"/>
          <w:szCs w:val="24"/>
        </w:rPr>
      </w:pPr>
      <w:r w:rsidDel="00000000" w:rsidR="00000000" w:rsidRPr="00000000">
        <w:rPr>
          <w:sz w:val="24"/>
          <w:szCs w:val="24"/>
          <w:rtl w:val="0"/>
        </w:rPr>
        <w:t xml:space="preserve">The following Chapter is headed: Anti Communist Genocides and provides balance. Both chapters perhaps could have been amalgamated as political ideology underpin both chapters. </w:t>
      </w:r>
    </w:p>
    <w:p w:rsidR="00000000" w:rsidDel="00000000" w:rsidP="00000000" w:rsidRDefault="00000000" w:rsidRPr="00000000" w14:paraId="00000033">
      <w:pPr>
        <w:rPr>
          <w:sz w:val="24"/>
          <w:szCs w:val="24"/>
        </w:rPr>
      </w:pPr>
      <w:r w:rsidDel="00000000" w:rsidR="00000000" w:rsidRPr="00000000">
        <w:rPr>
          <w:rtl w:val="0"/>
        </w:rPr>
      </w:r>
    </w:p>
    <w:p w:rsidR="00000000" w:rsidDel="00000000" w:rsidP="00000000" w:rsidRDefault="00000000" w:rsidRPr="00000000" w14:paraId="00000034">
      <w:pPr>
        <w:rPr>
          <w:sz w:val="24"/>
          <w:szCs w:val="24"/>
        </w:rPr>
      </w:pPr>
      <w:r w:rsidDel="00000000" w:rsidR="00000000" w:rsidRPr="00000000">
        <w:rPr>
          <w:sz w:val="24"/>
          <w:szCs w:val="24"/>
          <w:rtl w:val="0"/>
        </w:rPr>
        <w:t xml:space="preserve">Naimark states in his conclusion to chapter three:  </w:t>
      </w:r>
    </w:p>
    <w:p w:rsidR="00000000" w:rsidDel="00000000" w:rsidP="00000000" w:rsidRDefault="00000000" w:rsidRPr="00000000" w14:paraId="00000035">
      <w:pPr>
        <w:rPr>
          <w:sz w:val="24"/>
          <w:szCs w:val="24"/>
        </w:rPr>
      </w:pPr>
      <w:r w:rsidDel="00000000" w:rsidR="00000000" w:rsidRPr="00000000">
        <w:rPr>
          <w:sz w:val="24"/>
          <w:szCs w:val="24"/>
          <w:rtl w:val="0"/>
        </w:rPr>
        <w:t xml:space="preserve">  </w:t>
      </w:r>
    </w:p>
    <w:p w:rsidR="00000000" w:rsidDel="00000000" w:rsidP="00000000" w:rsidRDefault="00000000" w:rsidRPr="00000000" w14:paraId="00000036">
      <w:pPr>
        <w:rPr>
          <w:sz w:val="24"/>
          <w:szCs w:val="24"/>
        </w:rPr>
      </w:pPr>
      <w:r w:rsidDel="00000000" w:rsidR="00000000" w:rsidRPr="00000000">
        <w:rPr>
          <w:sz w:val="24"/>
          <w:szCs w:val="24"/>
          <w:rtl w:val="0"/>
        </w:rPr>
        <w:t xml:space="preserve">“The arguments about whether the Cham were killed as an ethnicity or as “Islamic Khmer,” which the regime preferred to call them, or whether the Ukrainian peasants were starved to death because they were Ukrainians or peasants, are less relevant to the meaning of genocide than whether the respective regimes targeted and worked to eliminate these categories of human beings”. (p103)</w:t>
      </w:r>
    </w:p>
    <w:p w:rsidR="00000000" w:rsidDel="00000000" w:rsidP="00000000" w:rsidRDefault="00000000" w:rsidRPr="00000000" w14:paraId="00000037">
      <w:pPr>
        <w:rPr>
          <w:sz w:val="24"/>
          <w:szCs w:val="24"/>
        </w:rPr>
      </w:pPr>
      <w:r w:rsidDel="00000000" w:rsidR="00000000" w:rsidRPr="00000000">
        <w:rPr>
          <w:rtl w:val="0"/>
        </w:rPr>
      </w:r>
    </w:p>
    <w:p w:rsidR="00000000" w:rsidDel="00000000" w:rsidP="00000000" w:rsidRDefault="00000000" w:rsidRPr="00000000" w14:paraId="00000038">
      <w:pPr>
        <w:rPr>
          <w:sz w:val="24"/>
          <w:szCs w:val="24"/>
        </w:rPr>
      </w:pPr>
      <w:r w:rsidDel="00000000" w:rsidR="00000000" w:rsidRPr="00000000">
        <w:rPr>
          <w:sz w:val="24"/>
          <w:szCs w:val="24"/>
          <w:rtl w:val="0"/>
        </w:rPr>
        <w:t xml:space="preserve">This brings the reader back to the questions what is genicide, how can it be defined and that genocide is “about the elimination of categories of human beings perhaps rather than definitions” (p103). </w:t>
      </w:r>
    </w:p>
    <w:p w:rsidR="00000000" w:rsidDel="00000000" w:rsidP="00000000" w:rsidRDefault="00000000" w:rsidRPr="00000000" w14:paraId="00000039">
      <w:pPr>
        <w:rPr>
          <w:sz w:val="24"/>
          <w:szCs w:val="24"/>
        </w:rPr>
      </w:pPr>
      <w:r w:rsidDel="00000000" w:rsidR="00000000" w:rsidRPr="00000000">
        <w:rPr>
          <w:rtl w:val="0"/>
        </w:rPr>
      </w:r>
    </w:p>
    <w:p w:rsidR="00000000" w:rsidDel="00000000" w:rsidP="00000000" w:rsidRDefault="00000000" w:rsidRPr="00000000" w14:paraId="0000003A">
      <w:pPr>
        <w:rPr>
          <w:sz w:val="24"/>
          <w:szCs w:val="24"/>
        </w:rPr>
      </w:pPr>
      <w:r w:rsidDel="00000000" w:rsidR="00000000" w:rsidRPr="00000000">
        <w:rPr>
          <w:sz w:val="24"/>
          <w:szCs w:val="24"/>
          <w:rtl w:val="0"/>
        </w:rPr>
        <w:t xml:space="preserve">In looking at its use as an academic aid due to its narrative style, content based on primary sources, references, chronology  and bibliography makes it accessible and ideal for 4UG student:s especially when compared with other publications such as </w:t>
      </w:r>
      <w:r w:rsidDel="00000000" w:rsidR="00000000" w:rsidRPr="00000000">
        <w:rPr>
          <w:i w:val="1"/>
          <w:sz w:val="24"/>
          <w:szCs w:val="24"/>
          <w:rtl w:val="0"/>
        </w:rPr>
        <w:t xml:space="preserve">Blood and Soil: A World History of Genocide and Extermination - from Sparta to Darfu </w:t>
      </w:r>
      <w:r w:rsidDel="00000000" w:rsidR="00000000" w:rsidRPr="00000000">
        <w:rPr>
          <w:sz w:val="24"/>
          <w:szCs w:val="24"/>
          <w:rtl w:val="0"/>
        </w:rPr>
        <w:t xml:space="preserve">(Yale University Press, 2007) which has a different style and in my view not as accessible. </w:t>
      </w:r>
    </w:p>
    <w:p w:rsidR="00000000" w:rsidDel="00000000" w:rsidP="00000000" w:rsidRDefault="00000000" w:rsidRPr="00000000" w14:paraId="0000003B">
      <w:pPr>
        <w:rPr>
          <w:sz w:val="24"/>
          <w:szCs w:val="24"/>
        </w:rPr>
      </w:pPr>
      <w:r w:rsidDel="00000000" w:rsidR="00000000" w:rsidRPr="00000000">
        <w:rPr>
          <w:rtl w:val="0"/>
        </w:rPr>
      </w:r>
    </w:p>
    <w:p w:rsidR="00000000" w:rsidDel="00000000" w:rsidP="00000000" w:rsidRDefault="00000000" w:rsidRPr="00000000" w14:paraId="0000003C">
      <w:pPr>
        <w:rPr>
          <w:sz w:val="24"/>
          <w:szCs w:val="24"/>
        </w:rPr>
      </w:pPr>
      <w:r w:rsidDel="00000000" w:rsidR="00000000" w:rsidRPr="00000000">
        <w:rPr>
          <w:rtl w:val="0"/>
        </w:rPr>
      </w:r>
    </w:p>
    <w:p w:rsidR="00000000" w:rsidDel="00000000" w:rsidP="00000000" w:rsidRDefault="00000000" w:rsidRPr="00000000" w14:paraId="0000003D">
      <w:pPr>
        <w:rPr>
          <w:sz w:val="24"/>
          <w:szCs w:val="24"/>
        </w:rPr>
      </w:pPr>
      <w:r w:rsidDel="00000000" w:rsidR="00000000" w:rsidRPr="00000000">
        <w:rPr>
          <w:rtl w:val="0"/>
        </w:rPr>
      </w:r>
    </w:p>
    <w:p w:rsidR="00000000" w:rsidDel="00000000" w:rsidP="00000000" w:rsidRDefault="00000000" w:rsidRPr="00000000" w14:paraId="0000003E">
      <w:pPr>
        <w:rPr>
          <w:sz w:val="24"/>
          <w:szCs w:val="24"/>
        </w:rPr>
      </w:pPr>
      <w:r w:rsidDel="00000000" w:rsidR="00000000" w:rsidRPr="00000000">
        <w:rPr>
          <w:rtl w:val="0"/>
        </w:rPr>
      </w:r>
    </w:p>
    <w:p w:rsidR="00000000" w:rsidDel="00000000" w:rsidP="00000000" w:rsidRDefault="00000000" w:rsidRPr="00000000" w14:paraId="0000003F">
      <w:pPr>
        <w:rPr>
          <w:sz w:val="24"/>
          <w:szCs w:val="24"/>
        </w:rPr>
      </w:pPr>
      <w:r w:rsidDel="00000000" w:rsidR="00000000" w:rsidRPr="00000000">
        <w:rPr>
          <w:rtl w:val="0"/>
        </w:rPr>
      </w:r>
    </w:p>
    <w:p w:rsidR="00000000" w:rsidDel="00000000" w:rsidP="00000000" w:rsidRDefault="00000000" w:rsidRPr="00000000" w14:paraId="00000040">
      <w:pPr>
        <w:rPr>
          <w:sz w:val="24"/>
          <w:szCs w:val="24"/>
        </w:rPr>
      </w:pPr>
      <w:r w:rsidDel="00000000" w:rsidR="00000000" w:rsidRPr="00000000">
        <w:rPr>
          <w:rtl w:val="0"/>
        </w:rPr>
      </w:r>
    </w:p>
    <w:p w:rsidR="00000000" w:rsidDel="00000000" w:rsidP="00000000" w:rsidRDefault="00000000" w:rsidRPr="00000000" w14:paraId="00000041">
      <w:pPr>
        <w:rPr>
          <w:sz w:val="24"/>
          <w:szCs w:val="24"/>
        </w:rPr>
      </w:pPr>
      <w:r w:rsidDel="00000000" w:rsidR="00000000" w:rsidRPr="00000000">
        <w:rPr>
          <w:rtl w:val="0"/>
        </w:rPr>
      </w:r>
    </w:p>
    <w:p w:rsidR="00000000" w:rsidDel="00000000" w:rsidP="00000000" w:rsidRDefault="00000000" w:rsidRPr="00000000" w14:paraId="00000042">
      <w:pPr>
        <w:rPr>
          <w:sz w:val="24"/>
          <w:szCs w:val="24"/>
        </w:rPr>
      </w:pPr>
      <w:r w:rsidDel="00000000" w:rsidR="00000000" w:rsidRPr="00000000">
        <w:rPr>
          <w:rtl w:val="0"/>
        </w:rPr>
      </w:r>
    </w:p>
    <w:p w:rsidR="00000000" w:rsidDel="00000000" w:rsidP="00000000" w:rsidRDefault="00000000" w:rsidRPr="00000000" w14:paraId="00000043">
      <w:pPr>
        <w:rPr>
          <w:b w:val="1"/>
          <w:sz w:val="24"/>
          <w:szCs w:val="24"/>
        </w:rPr>
      </w:pPr>
      <w:r w:rsidDel="00000000" w:rsidR="00000000" w:rsidRPr="00000000">
        <w:rPr>
          <w:b w:val="1"/>
          <w:sz w:val="24"/>
          <w:szCs w:val="24"/>
          <w:rtl w:val="0"/>
        </w:rPr>
        <w:t xml:space="preserve">Bibliography:</w:t>
      </w:r>
    </w:p>
    <w:p w:rsidR="00000000" w:rsidDel="00000000" w:rsidP="00000000" w:rsidRDefault="00000000" w:rsidRPr="00000000" w14:paraId="00000044">
      <w:pPr>
        <w:rPr>
          <w:sz w:val="24"/>
          <w:szCs w:val="24"/>
        </w:rPr>
      </w:pPr>
      <w:r w:rsidDel="00000000" w:rsidR="00000000" w:rsidRPr="00000000">
        <w:rPr>
          <w:rtl w:val="0"/>
        </w:rPr>
      </w:r>
    </w:p>
    <w:p w:rsidR="00000000" w:rsidDel="00000000" w:rsidP="00000000" w:rsidRDefault="00000000" w:rsidRPr="00000000" w14:paraId="00000045">
      <w:pPr>
        <w:rPr>
          <w:sz w:val="24"/>
          <w:szCs w:val="24"/>
        </w:rPr>
      </w:pPr>
      <w:r w:rsidDel="00000000" w:rsidR="00000000" w:rsidRPr="00000000">
        <w:rPr>
          <w:sz w:val="24"/>
          <w:szCs w:val="24"/>
          <w:rtl w:val="0"/>
        </w:rPr>
        <w:t xml:space="preserve">Norman M Niamark. </w:t>
      </w:r>
      <w:r w:rsidDel="00000000" w:rsidR="00000000" w:rsidRPr="00000000">
        <w:rPr>
          <w:i w:val="1"/>
          <w:sz w:val="24"/>
          <w:szCs w:val="24"/>
          <w:rtl w:val="0"/>
        </w:rPr>
        <w:t xml:space="preserve">Genocide: A World History </w:t>
      </w:r>
      <w:r w:rsidDel="00000000" w:rsidR="00000000" w:rsidRPr="00000000">
        <w:rPr>
          <w:sz w:val="24"/>
          <w:szCs w:val="24"/>
          <w:rtl w:val="0"/>
        </w:rPr>
        <w:t xml:space="preserve">(Oxford. OUP, 2017)</w:t>
      </w:r>
    </w:p>
    <w:p w:rsidR="00000000" w:rsidDel="00000000" w:rsidP="00000000" w:rsidRDefault="00000000" w:rsidRPr="00000000" w14:paraId="00000046">
      <w:pPr>
        <w:rPr>
          <w:sz w:val="24"/>
          <w:szCs w:val="24"/>
        </w:rPr>
      </w:pPr>
      <w:r w:rsidDel="00000000" w:rsidR="00000000" w:rsidRPr="00000000">
        <w:rPr>
          <w:rtl w:val="0"/>
        </w:rPr>
      </w:r>
    </w:p>
    <w:p w:rsidR="00000000" w:rsidDel="00000000" w:rsidP="00000000" w:rsidRDefault="00000000" w:rsidRPr="00000000" w14:paraId="00000047">
      <w:pPr>
        <w:rPr>
          <w:sz w:val="24"/>
          <w:szCs w:val="24"/>
        </w:rPr>
      </w:pPr>
      <w:r w:rsidDel="00000000" w:rsidR="00000000" w:rsidRPr="00000000">
        <w:rPr>
          <w:sz w:val="24"/>
          <w:szCs w:val="24"/>
          <w:rtl w:val="0"/>
        </w:rPr>
        <w:t xml:space="preserve">Norman M Naimark</w:t>
      </w:r>
      <w:r w:rsidDel="00000000" w:rsidR="00000000" w:rsidRPr="00000000">
        <w:rPr>
          <w:i w:val="1"/>
          <w:sz w:val="24"/>
          <w:szCs w:val="24"/>
          <w:rtl w:val="0"/>
        </w:rPr>
        <w:t xml:space="preserve">, Stalins Genocides </w:t>
      </w:r>
      <w:r w:rsidDel="00000000" w:rsidR="00000000" w:rsidRPr="00000000">
        <w:rPr>
          <w:sz w:val="24"/>
          <w:szCs w:val="24"/>
          <w:rtl w:val="0"/>
        </w:rPr>
        <w:t xml:space="preserve">(Princeton: Princeton University Press, 2010): </w:t>
      </w:r>
    </w:p>
    <w:p w:rsidR="00000000" w:rsidDel="00000000" w:rsidP="00000000" w:rsidRDefault="00000000" w:rsidRPr="00000000" w14:paraId="00000048">
      <w:pPr>
        <w:rPr>
          <w:i w:val="1"/>
          <w:sz w:val="24"/>
          <w:szCs w:val="24"/>
        </w:rPr>
      </w:pPr>
      <w:r w:rsidDel="00000000" w:rsidR="00000000" w:rsidRPr="00000000">
        <w:rPr>
          <w:rtl w:val="0"/>
        </w:rPr>
      </w:r>
    </w:p>
    <w:p w:rsidR="00000000" w:rsidDel="00000000" w:rsidP="00000000" w:rsidRDefault="00000000" w:rsidRPr="00000000" w14:paraId="00000049">
      <w:pPr>
        <w:rPr>
          <w:sz w:val="24"/>
          <w:szCs w:val="24"/>
        </w:rPr>
      </w:pPr>
      <w:r w:rsidDel="00000000" w:rsidR="00000000" w:rsidRPr="00000000">
        <w:rPr>
          <w:sz w:val="24"/>
          <w:szCs w:val="24"/>
          <w:rtl w:val="0"/>
        </w:rPr>
        <w:t xml:space="preserve">Norman M Naimark</w:t>
      </w:r>
      <w:r w:rsidDel="00000000" w:rsidR="00000000" w:rsidRPr="00000000">
        <w:rPr>
          <w:i w:val="1"/>
          <w:sz w:val="24"/>
          <w:szCs w:val="24"/>
          <w:rtl w:val="0"/>
        </w:rPr>
        <w:t xml:space="preserve">, Fires of Hatred </w:t>
      </w:r>
      <w:r w:rsidDel="00000000" w:rsidR="00000000" w:rsidRPr="00000000">
        <w:rPr>
          <w:sz w:val="24"/>
          <w:szCs w:val="24"/>
          <w:rtl w:val="0"/>
        </w:rPr>
        <w:t xml:space="preserve">(Cambridge Mass: London: Harvard University Press, 2001).</w:t>
      </w:r>
    </w:p>
    <w:p w:rsidR="00000000" w:rsidDel="00000000" w:rsidP="00000000" w:rsidRDefault="00000000" w:rsidRPr="00000000" w14:paraId="0000004A">
      <w:pPr>
        <w:rPr>
          <w:sz w:val="24"/>
          <w:szCs w:val="24"/>
        </w:rPr>
      </w:pPr>
      <w:r w:rsidDel="00000000" w:rsidR="00000000" w:rsidRPr="00000000">
        <w:rPr>
          <w:rtl w:val="0"/>
        </w:rPr>
      </w:r>
    </w:p>
    <w:p w:rsidR="00000000" w:rsidDel="00000000" w:rsidP="00000000" w:rsidRDefault="00000000" w:rsidRPr="00000000" w14:paraId="0000004B">
      <w:pPr>
        <w:rPr>
          <w:i w:val="1"/>
          <w:sz w:val="24"/>
          <w:szCs w:val="24"/>
        </w:rPr>
      </w:pPr>
      <w:r w:rsidDel="00000000" w:rsidR="00000000" w:rsidRPr="00000000">
        <w:rPr>
          <w:i w:val="1"/>
          <w:sz w:val="24"/>
          <w:szCs w:val="24"/>
          <w:rtl w:val="0"/>
        </w:rPr>
        <w:t xml:space="preserve">The Journal of Modern European History </w:t>
      </w:r>
      <w:r w:rsidDel="00000000" w:rsidR="00000000" w:rsidRPr="00000000">
        <w:rPr>
          <w:sz w:val="24"/>
          <w:szCs w:val="24"/>
          <w:rtl w:val="0"/>
        </w:rPr>
        <w:t xml:space="preserve">(Sage  Publications)</w:t>
      </w:r>
      <w:r w:rsidDel="00000000" w:rsidR="00000000" w:rsidRPr="00000000">
        <w:rPr>
          <w:i w:val="1"/>
          <w:sz w:val="24"/>
          <w:szCs w:val="24"/>
          <w:rtl w:val="0"/>
        </w:rPr>
        <w:t xml:space="preserve">. </w:t>
      </w:r>
    </w:p>
    <w:p w:rsidR="00000000" w:rsidDel="00000000" w:rsidP="00000000" w:rsidRDefault="00000000" w:rsidRPr="00000000" w14:paraId="0000004C">
      <w:pPr>
        <w:rPr>
          <w:sz w:val="24"/>
          <w:szCs w:val="24"/>
        </w:rPr>
      </w:pPr>
      <w:r w:rsidDel="00000000" w:rsidR="00000000" w:rsidRPr="00000000">
        <w:rPr>
          <w:rtl w:val="0"/>
        </w:rPr>
      </w:r>
    </w:p>
    <w:p w:rsidR="00000000" w:rsidDel="00000000" w:rsidP="00000000" w:rsidRDefault="00000000" w:rsidRPr="00000000" w14:paraId="0000004D">
      <w:pPr>
        <w:rPr>
          <w:sz w:val="24"/>
          <w:szCs w:val="24"/>
        </w:rPr>
      </w:pPr>
      <w:r w:rsidDel="00000000" w:rsidR="00000000" w:rsidRPr="00000000">
        <w:rPr>
          <w:rtl w:val="0"/>
        </w:rPr>
      </w:r>
    </w:p>
    <w:p w:rsidR="00000000" w:rsidDel="00000000" w:rsidP="00000000" w:rsidRDefault="00000000" w:rsidRPr="00000000" w14:paraId="0000004E">
      <w:pPr>
        <w:rPr>
          <w:sz w:val="24"/>
          <w:szCs w:val="24"/>
        </w:rPr>
      </w:pPr>
      <w:r w:rsidDel="00000000" w:rsidR="00000000" w:rsidRPr="00000000">
        <w:rPr>
          <w:sz w:val="24"/>
          <w:szCs w:val="24"/>
          <w:rtl w:val="0"/>
        </w:rPr>
        <w:t xml:space="preserve">Donald j Schaller,. ‘</w:t>
      </w:r>
      <w:r w:rsidDel="00000000" w:rsidR="00000000" w:rsidRPr="00000000">
        <w:rPr>
          <w:i w:val="1"/>
          <w:sz w:val="24"/>
          <w:szCs w:val="24"/>
          <w:rtl w:val="0"/>
        </w:rPr>
        <w:t xml:space="preserve">From Lemkin fo Clooney: The Development and State of Genocide Studies’, </w:t>
      </w:r>
      <w:r w:rsidDel="00000000" w:rsidR="00000000" w:rsidRPr="00000000">
        <w:rPr>
          <w:sz w:val="24"/>
          <w:szCs w:val="24"/>
          <w:rtl w:val="0"/>
        </w:rPr>
        <w:t xml:space="preserve">Genocide Studies and Prevention: An International Journal, Vol 6 iss. 3, 2011 pp 244 - 256.</w:t>
      </w:r>
    </w:p>
    <w:p w:rsidR="00000000" w:rsidDel="00000000" w:rsidP="00000000" w:rsidRDefault="00000000" w:rsidRPr="00000000" w14:paraId="0000004F">
      <w:pPr>
        <w:rPr>
          <w:sz w:val="24"/>
          <w:szCs w:val="24"/>
        </w:rPr>
      </w:pPr>
      <w:r w:rsidDel="00000000" w:rsidR="00000000" w:rsidRPr="00000000">
        <w:rPr>
          <w:rtl w:val="0"/>
        </w:rPr>
      </w:r>
    </w:p>
    <w:p w:rsidR="00000000" w:rsidDel="00000000" w:rsidP="00000000" w:rsidRDefault="00000000" w:rsidRPr="00000000" w14:paraId="00000050">
      <w:pPr>
        <w:rPr>
          <w:sz w:val="24"/>
          <w:szCs w:val="24"/>
        </w:rPr>
      </w:pPr>
      <w:r w:rsidDel="00000000" w:rsidR="00000000" w:rsidRPr="00000000">
        <w:rPr>
          <w:sz w:val="24"/>
          <w:szCs w:val="24"/>
          <w:rtl w:val="0"/>
        </w:rPr>
        <w:t xml:space="preserve">United Nations, </w:t>
      </w:r>
      <w:r w:rsidDel="00000000" w:rsidR="00000000" w:rsidRPr="00000000">
        <w:rPr>
          <w:i w:val="1"/>
          <w:sz w:val="24"/>
          <w:szCs w:val="24"/>
          <w:rtl w:val="0"/>
        </w:rPr>
        <w:t xml:space="preserve">Convention on the Prevention and Punishments of theCrime of Genocide</w:t>
      </w:r>
      <w:r w:rsidDel="00000000" w:rsidR="00000000" w:rsidRPr="00000000">
        <w:rPr>
          <w:sz w:val="24"/>
          <w:szCs w:val="24"/>
          <w:rtl w:val="0"/>
        </w:rPr>
        <w:t xml:space="preserve">, adopted by the General Assembley of the United Nations on 9th December 1948, Treaty Series, Vol 78 no 1021,280.</w:t>
      </w:r>
    </w:p>
    <w:p w:rsidR="00000000" w:rsidDel="00000000" w:rsidP="00000000" w:rsidRDefault="00000000" w:rsidRPr="00000000" w14:paraId="00000051">
      <w:pPr>
        <w:rPr>
          <w:sz w:val="24"/>
          <w:szCs w:val="24"/>
        </w:rPr>
      </w:pPr>
      <w:r w:rsidDel="00000000" w:rsidR="00000000" w:rsidRPr="00000000">
        <w:rPr>
          <w:rtl w:val="0"/>
        </w:rPr>
      </w:r>
    </w:p>
    <w:p w:rsidR="00000000" w:rsidDel="00000000" w:rsidP="00000000" w:rsidRDefault="00000000" w:rsidRPr="00000000" w14:paraId="00000052">
      <w:pPr>
        <w:rPr>
          <w:sz w:val="24"/>
          <w:szCs w:val="24"/>
        </w:rPr>
      </w:pPr>
      <w:r w:rsidDel="00000000" w:rsidR="00000000" w:rsidRPr="00000000">
        <w:rPr>
          <w:rtl w:val="0"/>
        </w:rPr>
      </w:r>
    </w:p>
    <w:p w:rsidR="00000000" w:rsidDel="00000000" w:rsidP="00000000" w:rsidRDefault="00000000" w:rsidRPr="00000000" w14:paraId="00000053">
      <w:pPr>
        <w:rPr>
          <w:sz w:val="24"/>
          <w:szCs w:val="24"/>
        </w:rPr>
      </w:pPr>
      <w:r w:rsidDel="00000000" w:rsidR="00000000" w:rsidRPr="00000000">
        <w:rPr>
          <w:sz w:val="24"/>
          <w:szCs w:val="24"/>
          <w:rtl w:val="0"/>
        </w:rPr>
        <w:t xml:space="preserve">Ben Kiernan, </w:t>
      </w:r>
      <w:r w:rsidDel="00000000" w:rsidR="00000000" w:rsidRPr="00000000">
        <w:rPr>
          <w:i w:val="1"/>
          <w:sz w:val="24"/>
          <w:szCs w:val="24"/>
          <w:rtl w:val="0"/>
        </w:rPr>
        <w:t xml:space="preserve">Blood and Soil: A World History of Genocide and Extermination - from Sparta to Darfu </w:t>
      </w:r>
      <w:r w:rsidDel="00000000" w:rsidR="00000000" w:rsidRPr="00000000">
        <w:rPr>
          <w:sz w:val="24"/>
          <w:szCs w:val="24"/>
          <w:rtl w:val="0"/>
        </w:rPr>
        <w:t xml:space="preserve">(Yale University Press, 2007)</w:t>
      </w:r>
    </w:p>
    <w:p w:rsidR="00000000" w:rsidDel="00000000" w:rsidP="00000000" w:rsidRDefault="00000000" w:rsidRPr="00000000" w14:paraId="00000054">
      <w:pPr>
        <w:rPr>
          <w:sz w:val="24"/>
          <w:szCs w:val="24"/>
        </w:rPr>
      </w:pPr>
      <w:r w:rsidDel="00000000" w:rsidR="00000000" w:rsidRPr="00000000">
        <w:rPr>
          <w:rtl w:val="0"/>
        </w:rPr>
      </w:r>
    </w:p>
    <w:p w:rsidR="00000000" w:rsidDel="00000000" w:rsidP="00000000" w:rsidRDefault="00000000" w:rsidRPr="00000000" w14:paraId="00000055">
      <w:pPr>
        <w:rPr>
          <w:sz w:val="24"/>
          <w:szCs w:val="24"/>
        </w:rPr>
      </w:pPr>
      <w:r w:rsidDel="00000000" w:rsidR="00000000" w:rsidRPr="00000000">
        <w:rPr>
          <w:rtl w:val="0"/>
        </w:rPr>
      </w:r>
    </w:p>
    <w:p w:rsidR="00000000" w:rsidDel="00000000" w:rsidP="00000000" w:rsidRDefault="00000000" w:rsidRPr="00000000" w14:paraId="00000056">
      <w:pPr>
        <w:rPr>
          <w:sz w:val="24"/>
          <w:szCs w:val="24"/>
        </w:rPr>
      </w:pPr>
      <w:r w:rsidDel="00000000" w:rsidR="00000000" w:rsidRPr="00000000">
        <w:rPr>
          <w:rtl w:val="0"/>
        </w:rPr>
      </w:r>
    </w:p>
    <w:p w:rsidR="00000000" w:rsidDel="00000000" w:rsidP="00000000" w:rsidRDefault="00000000" w:rsidRPr="00000000" w14:paraId="00000057">
      <w:pPr>
        <w:rPr>
          <w:sz w:val="24"/>
          <w:szCs w:val="24"/>
        </w:rPr>
      </w:pPr>
      <w:r w:rsidDel="00000000" w:rsidR="00000000" w:rsidRPr="00000000">
        <w:rPr>
          <w:rtl w:val="0"/>
        </w:rPr>
      </w:r>
    </w:p>
    <w:p w:rsidR="00000000" w:rsidDel="00000000" w:rsidP="00000000" w:rsidRDefault="00000000" w:rsidRPr="00000000" w14:paraId="00000058">
      <w:pPr>
        <w:rPr>
          <w:sz w:val="24"/>
          <w:szCs w:val="24"/>
        </w:rPr>
      </w:pPr>
      <w:r w:rsidDel="00000000" w:rsidR="00000000" w:rsidRPr="00000000">
        <w:rPr>
          <w:rtl w:val="0"/>
        </w:rPr>
      </w:r>
    </w:p>
    <w:p w:rsidR="00000000" w:rsidDel="00000000" w:rsidP="00000000" w:rsidRDefault="00000000" w:rsidRPr="00000000" w14:paraId="00000059">
      <w:pPr>
        <w:rPr>
          <w:sz w:val="24"/>
          <w:szCs w:val="24"/>
        </w:rPr>
      </w:pPr>
      <w:r w:rsidDel="00000000" w:rsidR="00000000" w:rsidRPr="00000000">
        <w:rPr>
          <w:rtl w:val="0"/>
        </w:rPr>
      </w:r>
    </w:p>
    <w:p w:rsidR="00000000" w:rsidDel="00000000" w:rsidP="00000000" w:rsidRDefault="00000000" w:rsidRPr="00000000" w14:paraId="0000005A">
      <w:pPr>
        <w:rPr>
          <w:sz w:val="24"/>
          <w:szCs w:val="24"/>
        </w:rPr>
      </w:pPr>
      <w:r w:rsidDel="00000000" w:rsidR="00000000" w:rsidRPr="00000000">
        <w:rPr>
          <w:rtl w:val="0"/>
        </w:rPr>
      </w:r>
    </w:p>
    <w:p w:rsidR="00000000" w:rsidDel="00000000" w:rsidP="00000000" w:rsidRDefault="00000000" w:rsidRPr="00000000" w14:paraId="0000005B">
      <w:pPr>
        <w:rPr>
          <w:sz w:val="24"/>
          <w:szCs w:val="24"/>
        </w:rPr>
      </w:pPr>
      <w:r w:rsidDel="00000000" w:rsidR="00000000" w:rsidRPr="00000000">
        <w:rPr>
          <w:rtl w:val="0"/>
        </w:rPr>
      </w:r>
    </w:p>
    <w:p w:rsidR="00000000" w:rsidDel="00000000" w:rsidP="00000000" w:rsidRDefault="00000000" w:rsidRPr="00000000" w14:paraId="0000005C">
      <w:pPr>
        <w:rPr>
          <w:sz w:val="24"/>
          <w:szCs w:val="24"/>
        </w:rPr>
      </w:pPr>
      <w:r w:rsidDel="00000000" w:rsidR="00000000" w:rsidRPr="00000000">
        <w:rPr>
          <w:rtl w:val="0"/>
        </w:rPr>
      </w:r>
    </w:p>
    <w:p w:rsidR="00000000" w:rsidDel="00000000" w:rsidP="00000000" w:rsidRDefault="00000000" w:rsidRPr="00000000" w14:paraId="0000005D">
      <w:pPr>
        <w:rPr>
          <w:sz w:val="24"/>
          <w:szCs w:val="24"/>
        </w:rPr>
      </w:pPr>
      <w:r w:rsidDel="00000000" w:rsidR="00000000" w:rsidRPr="00000000">
        <w:rPr>
          <w:rtl w:val="0"/>
        </w:rPr>
      </w:r>
    </w:p>
    <w:p w:rsidR="00000000" w:rsidDel="00000000" w:rsidP="00000000" w:rsidRDefault="00000000" w:rsidRPr="00000000" w14:paraId="0000005E">
      <w:pPr>
        <w:rPr>
          <w:sz w:val="24"/>
          <w:szCs w:val="24"/>
        </w:rPr>
      </w:pPr>
      <w:r w:rsidDel="00000000" w:rsidR="00000000" w:rsidRPr="00000000">
        <w:rPr>
          <w:rtl w:val="0"/>
        </w:rPr>
      </w:r>
    </w:p>
    <w:p w:rsidR="00000000" w:rsidDel="00000000" w:rsidP="00000000" w:rsidRDefault="00000000" w:rsidRPr="00000000" w14:paraId="0000005F">
      <w:pPr>
        <w:rPr>
          <w:sz w:val="24"/>
          <w:szCs w:val="24"/>
        </w:rPr>
      </w:pPr>
      <w:r w:rsidDel="00000000" w:rsidR="00000000" w:rsidRPr="00000000">
        <w:rPr>
          <w:rtl w:val="0"/>
        </w:rPr>
      </w:r>
    </w:p>
    <w:p w:rsidR="00000000" w:rsidDel="00000000" w:rsidP="00000000" w:rsidRDefault="00000000" w:rsidRPr="00000000" w14:paraId="00000060">
      <w:pPr>
        <w:rPr>
          <w:sz w:val="24"/>
          <w:szCs w:val="24"/>
        </w:rPr>
      </w:pPr>
      <w:r w:rsidDel="00000000" w:rsidR="00000000" w:rsidRPr="00000000">
        <w:rPr>
          <w:rtl w:val="0"/>
        </w:rPr>
      </w:r>
    </w:p>
    <w:p w:rsidR="00000000" w:rsidDel="00000000" w:rsidP="00000000" w:rsidRDefault="00000000" w:rsidRPr="00000000" w14:paraId="00000061">
      <w:pPr>
        <w:rPr>
          <w:sz w:val="24"/>
          <w:szCs w:val="24"/>
        </w:rPr>
      </w:pPr>
      <w:r w:rsidDel="00000000" w:rsidR="00000000" w:rsidRPr="00000000">
        <w:rPr>
          <w:rtl w:val="0"/>
        </w:rPr>
      </w:r>
    </w:p>
    <w:p w:rsidR="00000000" w:rsidDel="00000000" w:rsidP="00000000" w:rsidRDefault="00000000" w:rsidRPr="00000000" w14:paraId="00000062">
      <w:pPr>
        <w:rPr>
          <w:sz w:val="24"/>
          <w:szCs w:val="24"/>
        </w:rPr>
      </w:pPr>
      <w:r w:rsidDel="00000000" w:rsidR="00000000" w:rsidRPr="00000000">
        <w:rPr>
          <w:rtl w:val="0"/>
        </w:rPr>
      </w:r>
    </w:p>
    <w:p w:rsidR="00000000" w:rsidDel="00000000" w:rsidP="00000000" w:rsidRDefault="00000000" w:rsidRPr="00000000" w14:paraId="00000063">
      <w:pPr>
        <w:rPr>
          <w:sz w:val="24"/>
          <w:szCs w:val="24"/>
        </w:rPr>
      </w:pPr>
      <w:r w:rsidDel="00000000" w:rsidR="00000000" w:rsidRPr="00000000">
        <w:rPr>
          <w:rtl w:val="0"/>
        </w:rPr>
      </w:r>
    </w:p>
    <w:p w:rsidR="00000000" w:rsidDel="00000000" w:rsidP="00000000" w:rsidRDefault="00000000" w:rsidRPr="00000000" w14:paraId="00000064">
      <w:pPr>
        <w:rPr>
          <w:sz w:val="24"/>
          <w:szCs w:val="24"/>
        </w:rPr>
      </w:pPr>
      <w:r w:rsidDel="00000000" w:rsidR="00000000" w:rsidRPr="00000000">
        <w:rPr>
          <w:rtl w:val="0"/>
        </w:rPr>
      </w:r>
    </w:p>
    <w:p w:rsidR="00000000" w:rsidDel="00000000" w:rsidP="00000000" w:rsidRDefault="00000000" w:rsidRPr="00000000" w14:paraId="00000065">
      <w:pPr>
        <w:rPr>
          <w:sz w:val="24"/>
          <w:szCs w:val="24"/>
        </w:rPr>
      </w:pPr>
      <w:r w:rsidDel="00000000" w:rsidR="00000000" w:rsidRPr="00000000">
        <w:rPr>
          <w:rtl w:val="0"/>
        </w:rPr>
      </w:r>
    </w:p>
    <w:p w:rsidR="00000000" w:rsidDel="00000000" w:rsidP="00000000" w:rsidRDefault="00000000" w:rsidRPr="00000000" w14:paraId="00000066">
      <w:pPr>
        <w:rPr>
          <w:sz w:val="24"/>
          <w:szCs w:val="24"/>
        </w:rPr>
      </w:pPr>
      <w:r w:rsidDel="00000000" w:rsidR="00000000" w:rsidRPr="00000000">
        <w:rPr>
          <w:rtl w:val="0"/>
        </w:rPr>
      </w:r>
    </w:p>
    <w:p w:rsidR="00000000" w:rsidDel="00000000" w:rsidP="00000000" w:rsidRDefault="00000000" w:rsidRPr="00000000" w14:paraId="00000067">
      <w:pPr>
        <w:rPr>
          <w:b w:val="1"/>
          <w:sz w:val="28"/>
          <w:szCs w:val="28"/>
        </w:rPr>
      </w:pPr>
      <w:r w:rsidDel="00000000" w:rsidR="00000000" w:rsidRPr="00000000">
        <w:rPr>
          <w:b w:val="1"/>
          <w:sz w:val="28"/>
          <w:szCs w:val="28"/>
          <w:rtl w:val="0"/>
        </w:rPr>
        <w:t xml:space="preserve">Source Two </w:t>
      </w:r>
    </w:p>
    <w:p w:rsidR="00000000" w:rsidDel="00000000" w:rsidP="00000000" w:rsidRDefault="00000000" w:rsidRPr="00000000" w14:paraId="00000068">
      <w:pPr>
        <w:rPr>
          <w:sz w:val="24"/>
          <w:szCs w:val="24"/>
        </w:rPr>
      </w:pPr>
      <w:r w:rsidDel="00000000" w:rsidR="00000000" w:rsidRPr="00000000">
        <w:rPr>
          <w:rtl w:val="0"/>
        </w:rPr>
      </w:r>
    </w:p>
    <w:p w:rsidR="00000000" w:rsidDel="00000000" w:rsidP="00000000" w:rsidRDefault="00000000" w:rsidRPr="00000000" w14:paraId="00000069">
      <w:pPr>
        <w:rPr>
          <w:sz w:val="24"/>
          <w:szCs w:val="24"/>
        </w:rPr>
      </w:pPr>
      <w:r w:rsidDel="00000000" w:rsidR="00000000" w:rsidRPr="00000000">
        <w:rPr>
          <w:sz w:val="24"/>
          <w:szCs w:val="24"/>
          <w:rtl w:val="0"/>
        </w:rPr>
        <w:t xml:space="preserve">Source 2 is an article in in </w:t>
      </w:r>
      <w:r w:rsidDel="00000000" w:rsidR="00000000" w:rsidRPr="00000000">
        <w:rPr>
          <w:i w:val="1"/>
          <w:sz w:val="24"/>
          <w:szCs w:val="24"/>
          <w:rtl w:val="0"/>
        </w:rPr>
        <w:t xml:space="preserve">The Journal of British Studies </w:t>
      </w:r>
      <w:r w:rsidDel="00000000" w:rsidR="00000000" w:rsidRPr="00000000">
        <w:rPr>
          <w:sz w:val="24"/>
          <w:szCs w:val="24"/>
          <w:rtl w:val="0"/>
        </w:rPr>
        <w:t xml:space="preserve">entitled: From Terror to Genocide Britain's Tasmanian Penal Colony and Australia's History Wars by Benjamin Madley. </w:t>
      </w:r>
    </w:p>
    <w:p w:rsidR="00000000" w:rsidDel="00000000" w:rsidP="00000000" w:rsidRDefault="00000000" w:rsidRPr="00000000" w14:paraId="0000006A">
      <w:pPr>
        <w:rPr>
          <w:sz w:val="24"/>
          <w:szCs w:val="24"/>
        </w:rPr>
      </w:pPr>
      <w:r w:rsidDel="00000000" w:rsidR="00000000" w:rsidRPr="00000000">
        <w:rPr>
          <w:rtl w:val="0"/>
        </w:rPr>
      </w:r>
    </w:p>
    <w:p w:rsidR="00000000" w:rsidDel="00000000" w:rsidP="00000000" w:rsidRDefault="00000000" w:rsidRPr="00000000" w14:paraId="0000006B">
      <w:pPr>
        <w:rPr>
          <w:b w:val="1"/>
          <w:sz w:val="24"/>
          <w:szCs w:val="24"/>
        </w:rPr>
      </w:pPr>
      <w:r w:rsidDel="00000000" w:rsidR="00000000" w:rsidRPr="00000000">
        <w:rPr>
          <w:sz w:val="24"/>
          <w:szCs w:val="24"/>
          <w:rtl w:val="0"/>
        </w:rPr>
        <w:t xml:space="preserve"> </w:t>
      </w:r>
      <w:r w:rsidDel="00000000" w:rsidR="00000000" w:rsidRPr="00000000">
        <w:rPr>
          <w:b w:val="1"/>
          <w:sz w:val="24"/>
          <w:szCs w:val="24"/>
          <w:rtl w:val="0"/>
        </w:rPr>
        <w:t xml:space="preserve">What type of work is it</w:t>
      </w:r>
    </w:p>
    <w:p w:rsidR="00000000" w:rsidDel="00000000" w:rsidP="00000000" w:rsidRDefault="00000000" w:rsidRPr="00000000" w14:paraId="0000006C">
      <w:pPr>
        <w:rPr>
          <w:b w:val="1"/>
          <w:sz w:val="24"/>
          <w:szCs w:val="24"/>
        </w:rPr>
      </w:pPr>
      <w:r w:rsidDel="00000000" w:rsidR="00000000" w:rsidRPr="00000000">
        <w:rPr>
          <w:rtl w:val="0"/>
        </w:rPr>
      </w:r>
    </w:p>
    <w:p w:rsidR="00000000" w:rsidDel="00000000" w:rsidP="00000000" w:rsidRDefault="00000000" w:rsidRPr="00000000" w14:paraId="0000006D">
      <w:pPr>
        <w:rPr>
          <w:sz w:val="24"/>
          <w:szCs w:val="24"/>
        </w:rPr>
      </w:pPr>
      <w:r w:rsidDel="00000000" w:rsidR="00000000" w:rsidRPr="00000000">
        <w:rPr>
          <w:sz w:val="24"/>
          <w:szCs w:val="24"/>
          <w:rtl w:val="0"/>
        </w:rPr>
        <w:t xml:space="preserve"> The article is an academic work and is written for an academic journal.</w:t>
      </w:r>
    </w:p>
    <w:p w:rsidR="00000000" w:rsidDel="00000000" w:rsidP="00000000" w:rsidRDefault="00000000" w:rsidRPr="00000000" w14:paraId="0000006E">
      <w:pPr>
        <w:rPr>
          <w:sz w:val="24"/>
          <w:szCs w:val="24"/>
        </w:rPr>
      </w:pPr>
      <w:r w:rsidDel="00000000" w:rsidR="00000000" w:rsidRPr="00000000">
        <w:rPr>
          <w:rtl w:val="0"/>
        </w:rPr>
      </w:r>
    </w:p>
    <w:p w:rsidR="00000000" w:rsidDel="00000000" w:rsidP="00000000" w:rsidRDefault="00000000" w:rsidRPr="00000000" w14:paraId="0000006F">
      <w:pPr>
        <w:rPr>
          <w:b w:val="1"/>
          <w:sz w:val="24"/>
          <w:szCs w:val="24"/>
        </w:rPr>
      </w:pPr>
      <w:r w:rsidDel="00000000" w:rsidR="00000000" w:rsidRPr="00000000">
        <w:rPr>
          <w:sz w:val="24"/>
          <w:szCs w:val="24"/>
          <w:rtl w:val="0"/>
        </w:rPr>
        <w:t xml:space="preserve"> </w:t>
      </w:r>
      <w:r w:rsidDel="00000000" w:rsidR="00000000" w:rsidRPr="00000000">
        <w:rPr>
          <w:b w:val="1"/>
          <w:sz w:val="24"/>
          <w:szCs w:val="24"/>
          <w:rtl w:val="0"/>
        </w:rPr>
        <w:t xml:space="preserve">Who is it written for</w:t>
      </w:r>
    </w:p>
    <w:p w:rsidR="00000000" w:rsidDel="00000000" w:rsidP="00000000" w:rsidRDefault="00000000" w:rsidRPr="00000000" w14:paraId="00000070">
      <w:pPr>
        <w:rPr>
          <w:sz w:val="24"/>
          <w:szCs w:val="24"/>
        </w:rPr>
      </w:pPr>
      <w:r w:rsidDel="00000000" w:rsidR="00000000" w:rsidRPr="00000000">
        <w:rPr>
          <w:rtl w:val="0"/>
        </w:rPr>
      </w:r>
    </w:p>
    <w:p w:rsidR="00000000" w:rsidDel="00000000" w:rsidP="00000000" w:rsidRDefault="00000000" w:rsidRPr="00000000" w14:paraId="00000071">
      <w:pPr>
        <w:rPr>
          <w:sz w:val="24"/>
          <w:szCs w:val="24"/>
        </w:rPr>
      </w:pPr>
      <w:r w:rsidDel="00000000" w:rsidR="00000000" w:rsidRPr="00000000">
        <w:rPr>
          <w:sz w:val="24"/>
          <w:szCs w:val="24"/>
          <w:rtl w:val="0"/>
        </w:rPr>
        <w:t xml:space="preserve">The article is primarily written for academics, students and those with an interest in history and as part of the discourse on the nature of the extinction of theTasmanian  Aboriginal population. </w:t>
      </w:r>
    </w:p>
    <w:p w:rsidR="00000000" w:rsidDel="00000000" w:rsidP="00000000" w:rsidRDefault="00000000" w:rsidRPr="00000000" w14:paraId="00000072">
      <w:pPr>
        <w:rPr>
          <w:sz w:val="24"/>
          <w:szCs w:val="24"/>
        </w:rPr>
      </w:pPr>
      <w:r w:rsidDel="00000000" w:rsidR="00000000" w:rsidRPr="00000000">
        <w:rPr>
          <w:rtl w:val="0"/>
        </w:rPr>
      </w:r>
    </w:p>
    <w:p w:rsidR="00000000" w:rsidDel="00000000" w:rsidP="00000000" w:rsidRDefault="00000000" w:rsidRPr="00000000" w14:paraId="00000073">
      <w:pPr>
        <w:rPr>
          <w:sz w:val="24"/>
          <w:szCs w:val="24"/>
        </w:rPr>
      </w:pPr>
      <w:r w:rsidDel="00000000" w:rsidR="00000000" w:rsidRPr="00000000">
        <w:rPr>
          <w:rtl w:val="0"/>
        </w:rPr>
      </w:r>
    </w:p>
    <w:p w:rsidR="00000000" w:rsidDel="00000000" w:rsidP="00000000" w:rsidRDefault="00000000" w:rsidRPr="00000000" w14:paraId="00000074">
      <w:pPr>
        <w:rPr>
          <w:b w:val="1"/>
          <w:sz w:val="24"/>
          <w:szCs w:val="24"/>
        </w:rPr>
      </w:pPr>
      <w:r w:rsidDel="00000000" w:rsidR="00000000" w:rsidRPr="00000000">
        <w:rPr>
          <w:sz w:val="24"/>
          <w:szCs w:val="24"/>
          <w:rtl w:val="0"/>
        </w:rPr>
        <w:t xml:space="preserve"> </w:t>
      </w:r>
      <w:r w:rsidDel="00000000" w:rsidR="00000000" w:rsidRPr="00000000">
        <w:rPr>
          <w:b w:val="1"/>
          <w:sz w:val="24"/>
          <w:szCs w:val="24"/>
          <w:rtl w:val="0"/>
        </w:rPr>
        <w:t xml:space="preserve">When was it written</w:t>
      </w:r>
    </w:p>
    <w:p w:rsidR="00000000" w:rsidDel="00000000" w:rsidP="00000000" w:rsidRDefault="00000000" w:rsidRPr="00000000" w14:paraId="00000075">
      <w:pPr>
        <w:rPr>
          <w:sz w:val="24"/>
          <w:szCs w:val="24"/>
        </w:rPr>
      </w:pPr>
      <w:r w:rsidDel="00000000" w:rsidR="00000000" w:rsidRPr="00000000">
        <w:rPr>
          <w:rtl w:val="0"/>
        </w:rPr>
      </w:r>
    </w:p>
    <w:p w:rsidR="00000000" w:rsidDel="00000000" w:rsidP="00000000" w:rsidRDefault="00000000" w:rsidRPr="00000000" w14:paraId="00000076">
      <w:pPr>
        <w:rPr>
          <w:sz w:val="24"/>
          <w:szCs w:val="24"/>
        </w:rPr>
      </w:pPr>
      <w:r w:rsidDel="00000000" w:rsidR="00000000" w:rsidRPr="00000000">
        <w:rPr>
          <w:sz w:val="24"/>
          <w:szCs w:val="24"/>
          <w:rtl w:val="0"/>
        </w:rPr>
        <w:t xml:space="preserve"> The article was published in January 2008 in response to the ongoing debate on the nature of colonialism in Australia and the Tasmanian genocide: and in response to the self published book by  Keith Windschuttle, </w:t>
      </w:r>
      <w:r w:rsidDel="00000000" w:rsidR="00000000" w:rsidRPr="00000000">
        <w:rPr>
          <w:i w:val="1"/>
          <w:sz w:val="24"/>
          <w:szCs w:val="24"/>
          <w:rtl w:val="0"/>
        </w:rPr>
        <w:t xml:space="preserve">The Fabrication of Aboriginal History</w:t>
      </w:r>
      <w:r w:rsidDel="00000000" w:rsidR="00000000" w:rsidRPr="00000000">
        <w:rPr>
          <w:sz w:val="24"/>
          <w:szCs w:val="24"/>
          <w:rtl w:val="0"/>
        </w:rPr>
        <w:t xml:space="preserve">: </w:t>
      </w:r>
      <w:r w:rsidDel="00000000" w:rsidR="00000000" w:rsidRPr="00000000">
        <w:rPr>
          <w:i w:val="1"/>
          <w:sz w:val="24"/>
          <w:szCs w:val="24"/>
          <w:rtl w:val="0"/>
        </w:rPr>
        <w:t xml:space="preserve">Volume one, Van Diemen's Land 1803 to 1847</w:t>
      </w:r>
      <w:r w:rsidDel="00000000" w:rsidR="00000000" w:rsidRPr="00000000">
        <w:rPr>
          <w:sz w:val="24"/>
          <w:szCs w:val="24"/>
          <w:rtl w:val="0"/>
        </w:rPr>
        <w:t xml:space="preserve"> (Sydney 2002) which  argued against the previous scholarship  on the topic.</w:t>
      </w:r>
    </w:p>
    <w:p w:rsidR="00000000" w:rsidDel="00000000" w:rsidP="00000000" w:rsidRDefault="00000000" w:rsidRPr="00000000" w14:paraId="00000077">
      <w:pPr>
        <w:rPr>
          <w:sz w:val="24"/>
          <w:szCs w:val="24"/>
        </w:rPr>
      </w:pPr>
      <w:r w:rsidDel="00000000" w:rsidR="00000000" w:rsidRPr="00000000">
        <w:rPr>
          <w:rtl w:val="0"/>
        </w:rPr>
      </w:r>
    </w:p>
    <w:p w:rsidR="00000000" w:rsidDel="00000000" w:rsidP="00000000" w:rsidRDefault="00000000" w:rsidRPr="00000000" w14:paraId="00000078">
      <w:pPr>
        <w:rPr>
          <w:b w:val="1"/>
          <w:sz w:val="24"/>
          <w:szCs w:val="24"/>
        </w:rPr>
      </w:pPr>
      <w:r w:rsidDel="00000000" w:rsidR="00000000" w:rsidRPr="00000000">
        <w:rPr>
          <w:b w:val="1"/>
          <w:sz w:val="24"/>
          <w:szCs w:val="24"/>
          <w:rtl w:val="0"/>
        </w:rPr>
        <w:t xml:space="preserve"> Who is the author</w:t>
      </w:r>
    </w:p>
    <w:p w:rsidR="00000000" w:rsidDel="00000000" w:rsidP="00000000" w:rsidRDefault="00000000" w:rsidRPr="00000000" w14:paraId="00000079">
      <w:pPr>
        <w:rPr>
          <w:sz w:val="24"/>
          <w:szCs w:val="24"/>
        </w:rPr>
      </w:pPr>
      <w:r w:rsidDel="00000000" w:rsidR="00000000" w:rsidRPr="00000000">
        <w:rPr>
          <w:rtl w:val="0"/>
        </w:rPr>
      </w:r>
    </w:p>
    <w:p w:rsidR="00000000" w:rsidDel="00000000" w:rsidP="00000000" w:rsidRDefault="00000000" w:rsidRPr="00000000" w14:paraId="0000007A">
      <w:pPr>
        <w:rPr>
          <w:sz w:val="24"/>
          <w:szCs w:val="24"/>
        </w:rPr>
      </w:pPr>
      <w:r w:rsidDel="00000000" w:rsidR="00000000" w:rsidRPr="00000000">
        <w:rPr>
          <w:sz w:val="24"/>
          <w:szCs w:val="24"/>
          <w:rtl w:val="0"/>
        </w:rPr>
        <w:t xml:space="preserve"> The author  is professor of History at UCLA and is a noted historian. He has an interest in colonization in world history. He is the author of   “</w:t>
      </w:r>
      <w:r w:rsidDel="00000000" w:rsidR="00000000" w:rsidRPr="00000000">
        <w:rPr>
          <w:i w:val="1"/>
          <w:sz w:val="24"/>
          <w:szCs w:val="24"/>
          <w:rtl w:val="0"/>
        </w:rPr>
        <w:t xml:space="preserve">American Genocide: United States and the Californian Indian catastrophe 1846 to 1873 </w:t>
      </w:r>
      <w:r w:rsidDel="00000000" w:rsidR="00000000" w:rsidRPr="00000000">
        <w:rPr>
          <w:sz w:val="24"/>
          <w:szCs w:val="24"/>
          <w:rtl w:val="0"/>
        </w:rPr>
        <w:t xml:space="preserve">(New Haven, Yale University Press 2016). He has written on the topic of genocide including “</w:t>
      </w:r>
      <w:r w:rsidDel="00000000" w:rsidR="00000000" w:rsidRPr="00000000">
        <w:rPr>
          <w:i w:val="1"/>
          <w:sz w:val="24"/>
          <w:szCs w:val="24"/>
          <w:rtl w:val="0"/>
        </w:rPr>
        <w:t xml:space="preserve">Re-examining the American Genocide Debate: Meaning Historograhy and New</w:t>
      </w:r>
      <w:r w:rsidDel="00000000" w:rsidR="00000000" w:rsidRPr="00000000">
        <w:rPr>
          <w:sz w:val="24"/>
          <w:szCs w:val="24"/>
          <w:rtl w:val="0"/>
        </w:rPr>
        <w:t xml:space="preserve"> M</w:t>
      </w:r>
      <w:r w:rsidDel="00000000" w:rsidR="00000000" w:rsidRPr="00000000">
        <w:rPr>
          <w:i w:val="1"/>
          <w:sz w:val="24"/>
          <w:szCs w:val="24"/>
          <w:rtl w:val="0"/>
        </w:rPr>
        <w:t xml:space="preserve">ethods,</w:t>
      </w:r>
      <w:r w:rsidDel="00000000" w:rsidR="00000000" w:rsidRPr="00000000">
        <w:rPr>
          <w:sz w:val="24"/>
          <w:szCs w:val="24"/>
          <w:rtl w:val="0"/>
        </w:rPr>
        <w:t xml:space="preserve"> The American Historical review 120:1 (February, 2015) 98-139 and “</w:t>
      </w:r>
      <w:r w:rsidDel="00000000" w:rsidR="00000000" w:rsidRPr="00000000">
        <w:rPr>
          <w:i w:val="1"/>
          <w:sz w:val="24"/>
          <w:szCs w:val="24"/>
          <w:rtl w:val="0"/>
        </w:rPr>
        <w:t xml:space="preserve">Patterns of Frontier Genocide 1803-1910: The Aboriginal Tasmanians, the Yuki of California, and the Herero of Namibia”,</w:t>
      </w:r>
      <w:r w:rsidDel="00000000" w:rsidR="00000000" w:rsidRPr="00000000">
        <w:rPr>
          <w:sz w:val="24"/>
          <w:szCs w:val="24"/>
          <w:rtl w:val="0"/>
        </w:rPr>
        <w:t xml:space="preserve"> Journal of Genocide Research 6:2 (June 2004). 167-192. </w:t>
      </w:r>
    </w:p>
    <w:p w:rsidR="00000000" w:rsidDel="00000000" w:rsidP="00000000" w:rsidRDefault="00000000" w:rsidRPr="00000000" w14:paraId="0000007B">
      <w:pPr>
        <w:rPr>
          <w:sz w:val="24"/>
          <w:szCs w:val="24"/>
        </w:rPr>
      </w:pPr>
      <w:r w:rsidDel="00000000" w:rsidR="00000000" w:rsidRPr="00000000">
        <w:rPr>
          <w:rtl w:val="0"/>
        </w:rPr>
      </w:r>
    </w:p>
    <w:p w:rsidR="00000000" w:rsidDel="00000000" w:rsidP="00000000" w:rsidRDefault="00000000" w:rsidRPr="00000000" w14:paraId="0000007C">
      <w:pPr>
        <w:rPr>
          <w:b w:val="1"/>
          <w:sz w:val="24"/>
          <w:szCs w:val="24"/>
        </w:rPr>
      </w:pPr>
      <w:r w:rsidDel="00000000" w:rsidR="00000000" w:rsidRPr="00000000">
        <w:rPr>
          <w:b w:val="1"/>
          <w:sz w:val="24"/>
          <w:szCs w:val="24"/>
          <w:rtl w:val="0"/>
        </w:rPr>
        <w:t xml:space="preserve">Discussion of the subject matter</w:t>
      </w:r>
    </w:p>
    <w:p w:rsidR="00000000" w:rsidDel="00000000" w:rsidP="00000000" w:rsidRDefault="00000000" w:rsidRPr="00000000" w14:paraId="0000007D">
      <w:pPr>
        <w:rPr>
          <w:sz w:val="24"/>
          <w:szCs w:val="24"/>
        </w:rPr>
      </w:pPr>
      <w:r w:rsidDel="00000000" w:rsidR="00000000" w:rsidRPr="00000000">
        <w:rPr>
          <w:rtl w:val="0"/>
        </w:rPr>
      </w:r>
    </w:p>
    <w:p w:rsidR="00000000" w:rsidDel="00000000" w:rsidP="00000000" w:rsidRDefault="00000000" w:rsidRPr="00000000" w14:paraId="0000007E">
      <w:pPr>
        <w:rPr>
          <w:sz w:val="24"/>
          <w:szCs w:val="24"/>
        </w:rPr>
      </w:pPr>
      <w:r w:rsidDel="00000000" w:rsidR="00000000" w:rsidRPr="00000000">
        <w:rPr>
          <w:sz w:val="24"/>
          <w:szCs w:val="24"/>
          <w:rtl w:val="0"/>
        </w:rPr>
        <w:t xml:space="preserve">The article follows a historiography approach  and is split into 5 sections.  The first section is an introductory section which gives an overview  on the discourse of whether the extinction of the Tasmanian aboriginal population was genocide.  The section details the changing nature of the debate particularly Windshuttles Book  “Fabrication” (2002)  which took the debate in a new direction by arguing against all previous scholarship on the Aboriginal Tasmanians demographic decline” (p78).  Windschuttle claimed that “Van Diemen's Land was host to nothing that resembled genocide or any attempt at it” (p78). Madley also states that there was also no consensus on the origins or process of the Tasmanian aboriginal decline and seeked to address these issues in this article.</w:t>
      </w:r>
    </w:p>
    <w:p w:rsidR="00000000" w:rsidDel="00000000" w:rsidP="00000000" w:rsidRDefault="00000000" w:rsidRPr="00000000" w14:paraId="0000007F">
      <w:pPr>
        <w:rPr>
          <w:sz w:val="24"/>
          <w:szCs w:val="24"/>
        </w:rPr>
      </w:pPr>
      <w:r w:rsidDel="00000000" w:rsidR="00000000" w:rsidRPr="00000000">
        <w:rPr>
          <w:rtl w:val="0"/>
        </w:rPr>
      </w:r>
    </w:p>
    <w:p w:rsidR="00000000" w:rsidDel="00000000" w:rsidP="00000000" w:rsidRDefault="00000000" w:rsidRPr="00000000" w14:paraId="00000080">
      <w:pPr>
        <w:rPr>
          <w:sz w:val="24"/>
          <w:szCs w:val="24"/>
        </w:rPr>
      </w:pPr>
      <w:r w:rsidDel="00000000" w:rsidR="00000000" w:rsidRPr="00000000">
        <w:rPr>
          <w:sz w:val="24"/>
          <w:szCs w:val="24"/>
          <w:rtl w:val="0"/>
        </w:rPr>
        <w:t xml:space="preserve"> The next three sections of the article are split into 4  phases.  Phase 1 deals with creating a culture of terror and impunity  1803-26.  in this section Madley drawers on extensive primary sources to show how a “culture of terror shaped the early colonists lives” and “the physical and psychological stress of penal society saturated early colonists lives” He also  referenced Yi Fu Tuan: “that under stressful conditions strong feelings of envy hatred and fear can easily exaggerate and distort the slight cultural and biological differences between people's into a priorities of Good and Evil” (Yi-fu Tuan, Landscapes of Fear New York 1979) </w:t>
      </w:r>
    </w:p>
    <w:p w:rsidR="00000000" w:rsidDel="00000000" w:rsidP="00000000" w:rsidRDefault="00000000" w:rsidRPr="00000000" w14:paraId="00000081">
      <w:pPr>
        <w:rPr>
          <w:sz w:val="24"/>
          <w:szCs w:val="24"/>
        </w:rPr>
      </w:pPr>
      <w:r w:rsidDel="00000000" w:rsidR="00000000" w:rsidRPr="00000000">
        <w:rPr>
          <w:sz w:val="24"/>
          <w:szCs w:val="24"/>
          <w:rtl w:val="0"/>
        </w:rPr>
        <w:t xml:space="preserve">Madley also chronicles the shortage of women in the Colony and the increasing violence  aimed at the Tasmanian Aboriginals including shootings, rape and Child and women abductions, unegual access to law and contemporary white settler voices expressing for and against the “extermination” of Tasmanian Aboriginal people..</w:t>
      </w:r>
    </w:p>
    <w:p w:rsidR="00000000" w:rsidDel="00000000" w:rsidP="00000000" w:rsidRDefault="00000000" w:rsidRPr="00000000" w14:paraId="00000082">
      <w:pPr>
        <w:rPr>
          <w:sz w:val="24"/>
          <w:szCs w:val="24"/>
        </w:rPr>
      </w:pPr>
      <w:r w:rsidDel="00000000" w:rsidR="00000000" w:rsidRPr="00000000">
        <w:rPr>
          <w:rtl w:val="0"/>
        </w:rPr>
      </w:r>
    </w:p>
    <w:p w:rsidR="00000000" w:rsidDel="00000000" w:rsidP="00000000" w:rsidRDefault="00000000" w:rsidRPr="00000000" w14:paraId="00000083">
      <w:pPr>
        <w:rPr>
          <w:sz w:val="24"/>
          <w:szCs w:val="24"/>
        </w:rPr>
      </w:pPr>
      <w:r w:rsidDel="00000000" w:rsidR="00000000" w:rsidRPr="00000000">
        <w:rPr>
          <w:sz w:val="24"/>
          <w:szCs w:val="24"/>
          <w:rtl w:val="0"/>
        </w:rPr>
        <w:t xml:space="preserve">Phase 2   Deals of the period 1826-28  when the Tasmanians started a low intensity gorilla War and the government response to this. Phase 3  Details of period between 1828 and 1829 which details the Tasmanian government increasingly harsh policies </w:t>
      </w:r>
    </w:p>
    <w:p w:rsidR="00000000" w:rsidDel="00000000" w:rsidP="00000000" w:rsidRDefault="00000000" w:rsidRPr="00000000" w14:paraId="00000084">
      <w:pPr>
        <w:rPr>
          <w:sz w:val="24"/>
          <w:szCs w:val="24"/>
        </w:rPr>
      </w:pPr>
      <w:r w:rsidDel="00000000" w:rsidR="00000000" w:rsidRPr="00000000">
        <w:rPr>
          <w:sz w:val="24"/>
          <w:szCs w:val="24"/>
          <w:rtl w:val="0"/>
        </w:rPr>
        <w:t xml:space="preserve">Phase 4   deals with the final period when the government began incarcerating the survivors in the first of a series of transit camps and detention centres. </w:t>
      </w:r>
    </w:p>
    <w:p w:rsidR="00000000" w:rsidDel="00000000" w:rsidP="00000000" w:rsidRDefault="00000000" w:rsidRPr="00000000" w14:paraId="00000085">
      <w:pPr>
        <w:rPr>
          <w:sz w:val="24"/>
          <w:szCs w:val="24"/>
        </w:rPr>
      </w:pPr>
      <w:r w:rsidDel="00000000" w:rsidR="00000000" w:rsidRPr="00000000">
        <w:rPr>
          <w:rtl w:val="0"/>
        </w:rPr>
      </w:r>
    </w:p>
    <w:p w:rsidR="00000000" w:rsidDel="00000000" w:rsidP="00000000" w:rsidRDefault="00000000" w:rsidRPr="00000000" w14:paraId="00000086">
      <w:pPr>
        <w:rPr>
          <w:sz w:val="24"/>
          <w:szCs w:val="24"/>
        </w:rPr>
      </w:pPr>
      <w:r w:rsidDel="00000000" w:rsidR="00000000" w:rsidRPr="00000000">
        <w:rPr>
          <w:sz w:val="24"/>
          <w:szCs w:val="24"/>
          <w:rtl w:val="0"/>
        </w:rPr>
        <w:t xml:space="preserve"> Throughout his narrative Madley quotes extensively from a range of primary sources which results in a compelling narrative which details  the increasing  brutality directed to aboriginal Tasmanians, prevailing attitudes of the settlers, racism and the actions and inactions of theTasmanian colonial government and British government which led to the Aboriginal Tasmanians catastrophe.</w:t>
      </w:r>
    </w:p>
    <w:p w:rsidR="00000000" w:rsidDel="00000000" w:rsidP="00000000" w:rsidRDefault="00000000" w:rsidRPr="00000000" w14:paraId="00000087">
      <w:pPr>
        <w:rPr>
          <w:sz w:val="24"/>
          <w:szCs w:val="24"/>
        </w:rPr>
      </w:pPr>
      <w:r w:rsidDel="00000000" w:rsidR="00000000" w:rsidRPr="00000000">
        <w:rPr>
          <w:rtl w:val="0"/>
        </w:rPr>
      </w:r>
    </w:p>
    <w:p w:rsidR="00000000" w:rsidDel="00000000" w:rsidP="00000000" w:rsidRDefault="00000000" w:rsidRPr="00000000" w14:paraId="00000088">
      <w:pPr>
        <w:rPr>
          <w:sz w:val="24"/>
          <w:szCs w:val="24"/>
        </w:rPr>
      </w:pPr>
      <w:r w:rsidDel="00000000" w:rsidR="00000000" w:rsidRPr="00000000">
        <w:rPr>
          <w:sz w:val="24"/>
          <w:szCs w:val="24"/>
          <w:rtl w:val="0"/>
        </w:rPr>
        <w:t xml:space="preserve">In the final chapter Madley draws together all of the previous evidence.</w:t>
      </w:r>
    </w:p>
    <w:p w:rsidR="00000000" w:rsidDel="00000000" w:rsidP="00000000" w:rsidRDefault="00000000" w:rsidRPr="00000000" w14:paraId="00000089">
      <w:pPr>
        <w:rPr>
          <w:sz w:val="24"/>
          <w:szCs w:val="24"/>
        </w:rPr>
      </w:pPr>
      <w:r w:rsidDel="00000000" w:rsidR="00000000" w:rsidRPr="00000000">
        <w:rPr>
          <w:sz w:val="24"/>
          <w:szCs w:val="24"/>
          <w:rtl w:val="0"/>
        </w:rPr>
        <w:t xml:space="preserve">Madley first considers the UN genocide convention and concludes that this fits the two-part legal definition in the UN genocide convention.  First - intent to destroy.  secondly at least four genocide acts listed in the  convention:  killing members of a group,  causing  serious bodily harm,  deliberately inflicting on the group conditions of life calculated to bring about it's physical destruction in whole or in part, forcibly transferring children of the group to another group. This is a conclusion which is consistent with the compelling evidence presented.</w:t>
      </w:r>
    </w:p>
    <w:p w:rsidR="00000000" w:rsidDel="00000000" w:rsidP="00000000" w:rsidRDefault="00000000" w:rsidRPr="00000000" w14:paraId="0000008A">
      <w:pPr>
        <w:rPr>
          <w:sz w:val="24"/>
          <w:szCs w:val="24"/>
        </w:rPr>
      </w:pPr>
      <w:r w:rsidDel="00000000" w:rsidR="00000000" w:rsidRPr="00000000">
        <w:rPr>
          <w:rtl w:val="0"/>
        </w:rPr>
      </w:r>
    </w:p>
    <w:p w:rsidR="00000000" w:rsidDel="00000000" w:rsidP="00000000" w:rsidRDefault="00000000" w:rsidRPr="00000000" w14:paraId="0000008B">
      <w:pPr>
        <w:rPr>
          <w:sz w:val="24"/>
          <w:szCs w:val="24"/>
        </w:rPr>
      </w:pPr>
      <w:r w:rsidDel="00000000" w:rsidR="00000000" w:rsidRPr="00000000">
        <w:rPr>
          <w:sz w:val="24"/>
          <w:szCs w:val="24"/>
          <w:rtl w:val="0"/>
        </w:rPr>
        <w:t xml:space="preserve"> Madley then goes on to consider Windschuttle’s argument “that this small  precarious society quickly collapsed under the dual weight of susceptibility of its members to disease and abuse and neglect of it women”  and concludes that there was no existing primary sources documenting an old World epidemic among aboriginal tasmanians before 1829. On this point there is less evidence presented in support of this conclusion. </w:t>
      </w:r>
    </w:p>
    <w:p w:rsidR="00000000" w:rsidDel="00000000" w:rsidP="00000000" w:rsidRDefault="00000000" w:rsidRPr="00000000" w14:paraId="0000008C">
      <w:pPr>
        <w:rPr>
          <w:sz w:val="24"/>
          <w:szCs w:val="24"/>
        </w:rPr>
      </w:pPr>
      <w:r w:rsidDel="00000000" w:rsidR="00000000" w:rsidRPr="00000000">
        <w:rPr>
          <w:rtl w:val="0"/>
        </w:rPr>
      </w:r>
    </w:p>
    <w:p w:rsidR="00000000" w:rsidDel="00000000" w:rsidP="00000000" w:rsidRDefault="00000000" w:rsidRPr="00000000" w14:paraId="0000008D">
      <w:pPr>
        <w:rPr>
          <w:sz w:val="24"/>
          <w:szCs w:val="24"/>
        </w:rPr>
      </w:pPr>
      <w:r w:rsidDel="00000000" w:rsidR="00000000" w:rsidRPr="00000000">
        <w:rPr>
          <w:sz w:val="24"/>
          <w:szCs w:val="24"/>
          <w:rtl w:val="0"/>
        </w:rPr>
        <w:t xml:space="preserve">Another assertion of Windshuttle that  “the notion that the frontier was a place where white men kill blacks with impunity ignores the powerful cultural and legal prohibitions on such actions” is answered in the body of the article and not in the conclusion.  Madley presents a  convincing body of evidence that refutes this statement  within the body of the article. </w:t>
      </w:r>
    </w:p>
    <w:p w:rsidR="00000000" w:rsidDel="00000000" w:rsidP="00000000" w:rsidRDefault="00000000" w:rsidRPr="00000000" w14:paraId="0000008E">
      <w:pPr>
        <w:rPr>
          <w:sz w:val="24"/>
          <w:szCs w:val="24"/>
        </w:rPr>
      </w:pPr>
      <w:r w:rsidDel="00000000" w:rsidR="00000000" w:rsidRPr="00000000">
        <w:rPr>
          <w:rtl w:val="0"/>
        </w:rPr>
      </w:r>
    </w:p>
    <w:p w:rsidR="00000000" w:rsidDel="00000000" w:rsidP="00000000" w:rsidRDefault="00000000" w:rsidRPr="00000000" w14:paraId="0000008F">
      <w:pPr>
        <w:rPr>
          <w:sz w:val="24"/>
          <w:szCs w:val="24"/>
        </w:rPr>
      </w:pPr>
      <w:r w:rsidDel="00000000" w:rsidR="00000000" w:rsidRPr="00000000">
        <w:rPr>
          <w:sz w:val="24"/>
          <w:szCs w:val="24"/>
          <w:rtl w:val="0"/>
        </w:rPr>
        <w:t xml:space="preserve">Madley then goes on to consider  two points refering to as intellectual legacies of the  Nazi Holocaust. There being an assumption that “intend to destroy” must be articulated by a national leader and secondly that all genocide perpetrators must be state actors  and points out that through this lens designating the Tasmanian catastrophe genocide is impossible.  However Madley points out that “prosecutors do not have to produce written statement of intent in order to have a conviction of genocide” and there is “no requirement in international law for perpetrators to be state actors”.</w:t>
      </w:r>
    </w:p>
    <w:p w:rsidR="00000000" w:rsidDel="00000000" w:rsidP="00000000" w:rsidRDefault="00000000" w:rsidRPr="00000000" w14:paraId="00000090">
      <w:pPr>
        <w:rPr>
          <w:sz w:val="24"/>
          <w:szCs w:val="24"/>
        </w:rPr>
      </w:pPr>
      <w:r w:rsidDel="00000000" w:rsidR="00000000" w:rsidRPr="00000000">
        <w:rPr>
          <w:rtl w:val="0"/>
        </w:rPr>
      </w:r>
    </w:p>
    <w:p w:rsidR="00000000" w:rsidDel="00000000" w:rsidP="00000000" w:rsidRDefault="00000000" w:rsidRPr="00000000" w14:paraId="00000091">
      <w:pPr>
        <w:rPr>
          <w:sz w:val="24"/>
          <w:szCs w:val="24"/>
        </w:rPr>
      </w:pPr>
      <w:r w:rsidDel="00000000" w:rsidR="00000000" w:rsidRPr="00000000">
        <w:rPr>
          <w:sz w:val="24"/>
          <w:szCs w:val="24"/>
          <w:rtl w:val="0"/>
        </w:rPr>
        <w:t xml:space="preserve"> Madley goes on to say that Britain has destroyed Aboriginal  Tasmanians not only out of racism but also because an “official culture of terror created a white population so hardened to violence that aborigines could be hunted down like “wild beasts”. He finally concludes that “Tasmania and the British rule was clearly a site of genocide”.  Based on the  weight of evidence presented this  statement is fully supported. </w:t>
      </w:r>
    </w:p>
    <w:p w:rsidR="00000000" w:rsidDel="00000000" w:rsidP="00000000" w:rsidRDefault="00000000" w:rsidRPr="00000000" w14:paraId="00000092">
      <w:pPr>
        <w:rPr>
          <w:sz w:val="24"/>
          <w:szCs w:val="24"/>
        </w:rPr>
      </w:pPr>
      <w:r w:rsidDel="00000000" w:rsidR="00000000" w:rsidRPr="00000000">
        <w:rPr>
          <w:rtl w:val="0"/>
        </w:rPr>
      </w:r>
    </w:p>
    <w:p w:rsidR="00000000" w:rsidDel="00000000" w:rsidP="00000000" w:rsidRDefault="00000000" w:rsidRPr="00000000" w14:paraId="00000093">
      <w:pPr>
        <w:rPr>
          <w:sz w:val="24"/>
          <w:szCs w:val="24"/>
        </w:rPr>
      </w:pPr>
      <w:r w:rsidDel="00000000" w:rsidR="00000000" w:rsidRPr="00000000">
        <w:rPr>
          <w:sz w:val="24"/>
          <w:szCs w:val="24"/>
          <w:rtl w:val="0"/>
        </w:rPr>
        <w:t xml:space="preserve">Madley’s succeeds in answering the questions he set out in his introduction and leaves open the question as to whether “ Australia is a nation founded on Genocide”.</w:t>
      </w:r>
    </w:p>
    <w:p w:rsidR="00000000" w:rsidDel="00000000" w:rsidP="00000000" w:rsidRDefault="00000000" w:rsidRPr="00000000" w14:paraId="00000094">
      <w:pPr>
        <w:rPr>
          <w:sz w:val="24"/>
          <w:szCs w:val="24"/>
        </w:rPr>
      </w:pPr>
      <w:r w:rsidDel="00000000" w:rsidR="00000000" w:rsidRPr="00000000">
        <w:rPr>
          <w:rtl w:val="0"/>
        </w:rPr>
      </w:r>
    </w:p>
    <w:p w:rsidR="00000000" w:rsidDel="00000000" w:rsidP="00000000" w:rsidRDefault="00000000" w:rsidRPr="00000000" w14:paraId="00000095">
      <w:pPr>
        <w:rPr>
          <w:sz w:val="24"/>
          <w:szCs w:val="24"/>
        </w:rPr>
      </w:pPr>
      <w:r w:rsidDel="00000000" w:rsidR="00000000" w:rsidRPr="00000000">
        <w:rPr>
          <w:sz w:val="24"/>
          <w:szCs w:val="24"/>
          <w:rtl w:val="0"/>
        </w:rPr>
        <w:t xml:space="preserve">The article raises a number of important points.  Chiefly the issue of genocide denial and the important role that robust academic research and writing plays in the discourse of genocide and the direct link between history and contemporary politics. It acts as a reminder that a discourse can change over time, and accepted viewpoints can be subject to change, especially over politically sensitive topics and words such as Genocide. This is currently in sharp focus in relation to the the Black Lives Matter campaign and Britain’s colonial past being re-evaluated.   </w:t>
      </w:r>
    </w:p>
    <w:p w:rsidR="00000000" w:rsidDel="00000000" w:rsidP="00000000" w:rsidRDefault="00000000" w:rsidRPr="00000000" w14:paraId="00000096">
      <w:pPr>
        <w:rPr>
          <w:sz w:val="24"/>
          <w:szCs w:val="24"/>
        </w:rPr>
      </w:pPr>
      <w:r w:rsidDel="00000000" w:rsidR="00000000" w:rsidRPr="00000000">
        <w:rPr>
          <w:rtl w:val="0"/>
        </w:rPr>
      </w:r>
    </w:p>
    <w:p w:rsidR="00000000" w:rsidDel="00000000" w:rsidP="00000000" w:rsidRDefault="00000000" w:rsidRPr="00000000" w14:paraId="00000097">
      <w:pPr>
        <w:rPr>
          <w:sz w:val="24"/>
          <w:szCs w:val="24"/>
        </w:rPr>
      </w:pPr>
      <w:r w:rsidDel="00000000" w:rsidR="00000000" w:rsidRPr="00000000">
        <w:rPr>
          <w:sz w:val="24"/>
          <w:szCs w:val="24"/>
          <w:rtl w:val="0"/>
        </w:rPr>
        <w:t xml:space="preserve">In relation to Tasmanian it is a sobering fact that at the beginning Britain’s arrival in Tasmania in 1803 the Aboriginal population was estimated at 4,000 to 15,0000. In 1835 only 400 full descent remained and by 1876 only mixed race survivors remained. (p.78). </w:t>
      </w:r>
    </w:p>
    <w:p w:rsidR="00000000" w:rsidDel="00000000" w:rsidP="00000000" w:rsidRDefault="00000000" w:rsidRPr="00000000" w14:paraId="00000098">
      <w:pPr>
        <w:rPr>
          <w:sz w:val="24"/>
          <w:szCs w:val="24"/>
        </w:rPr>
      </w:pPr>
      <w:r w:rsidDel="00000000" w:rsidR="00000000" w:rsidRPr="00000000">
        <w:rPr>
          <w:rtl w:val="0"/>
        </w:rPr>
      </w:r>
    </w:p>
    <w:p w:rsidR="00000000" w:rsidDel="00000000" w:rsidP="00000000" w:rsidRDefault="00000000" w:rsidRPr="00000000" w14:paraId="00000099">
      <w:pPr>
        <w:rPr>
          <w:sz w:val="24"/>
          <w:szCs w:val="24"/>
        </w:rPr>
      </w:pPr>
      <w:r w:rsidDel="00000000" w:rsidR="00000000" w:rsidRPr="00000000">
        <w:rPr>
          <w:rtl w:val="0"/>
        </w:rPr>
      </w:r>
    </w:p>
    <w:p w:rsidR="00000000" w:rsidDel="00000000" w:rsidP="00000000" w:rsidRDefault="00000000" w:rsidRPr="00000000" w14:paraId="0000009A">
      <w:pPr>
        <w:rPr>
          <w:sz w:val="24"/>
          <w:szCs w:val="24"/>
        </w:rPr>
      </w:pPr>
      <w:r w:rsidDel="00000000" w:rsidR="00000000" w:rsidRPr="00000000">
        <w:rPr>
          <w:sz w:val="24"/>
          <w:szCs w:val="24"/>
          <w:rtl w:val="0"/>
        </w:rPr>
        <w:t xml:space="preserve">  </w:t>
      </w:r>
    </w:p>
    <w:p w:rsidR="00000000" w:rsidDel="00000000" w:rsidP="00000000" w:rsidRDefault="00000000" w:rsidRPr="00000000" w14:paraId="0000009B">
      <w:pPr>
        <w:rPr>
          <w:b w:val="1"/>
          <w:sz w:val="24"/>
          <w:szCs w:val="24"/>
        </w:rPr>
      </w:pPr>
      <w:r w:rsidDel="00000000" w:rsidR="00000000" w:rsidRPr="00000000">
        <w:rPr>
          <w:sz w:val="24"/>
          <w:szCs w:val="24"/>
          <w:rtl w:val="0"/>
        </w:rPr>
        <w:t xml:space="preserve"> </w:t>
      </w:r>
      <w:r w:rsidDel="00000000" w:rsidR="00000000" w:rsidRPr="00000000">
        <w:rPr>
          <w:b w:val="1"/>
          <w:sz w:val="24"/>
          <w:szCs w:val="24"/>
          <w:rtl w:val="0"/>
        </w:rPr>
        <w:t xml:space="preserve">The use of the source as an academic aid</w:t>
      </w:r>
    </w:p>
    <w:p w:rsidR="00000000" w:rsidDel="00000000" w:rsidP="00000000" w:rsidRDefault="00000000" w:rsidRPr="00000000" w14:paraId="0000009C">
      <w:pPr>
        <w:rPr>
          <w:sz w:val="24"/>
          <w:szCs w:val="24"/>
        </w:rPr>
      </w:pPr>
      <w:r w:rsidDel="00000000" w:rsidR="00000000" w:rsidRPr="00000000">
        <w:rPr>
          <w:rtl w:val="0"/>
        </w:rPr>
      </w:r>
    </w:p>
    <w:p w:rsidR="00000000" w:rsidDel="00000000" w:rsidP="00000000" w:rsidRDefault="00000000" w:rsidRPr="00000000" w14:paraId="0000009D">
      <w:pPr>
        <w:rPr>
          <w:sz w:val="24"/>
          <w:szCs w:val="24"/>
        </w:rPr>
      </w:pPr>
      <w:r w:rsidDel="00000000" w:rsidR="00000000" w:rsidRPr="00000000">
        <w:rPr>
          <w:sz w:val="24"/>
          <w:szCs w:val="24"/>
          <w:rtl w:val="0"/>
        </w:rPr>
        <w:t xml:space="preserve">The article is well researched and draws on extensive primary sources. It is well  referenced which allows the reader to refer to the evidence cited and in my opinion makes it an excellent aid in the study of the Tasmanian Aboriginal  people and for genocide studies in general.</w:t>
      </w:r>
    </w:p>
    <w:p w:rsidR="00000000" w:rsidDel="00000000" w:rsidP="00000000" w:rsidRDefault="00000000" w:rsidRPr="00000000" w14:paraId="0000009E">
      <w:pPr>
        <w:rPr>
          <w:sz w:val="24"/>
          <w:szCs w:val="24"/>
        </w:rPr>
      </w:pPr>
      <w:r w:rsidDel="00000000" w:rsidR="00000000" w:rsidRPr="00000000">
        <w:rPr>
          <w:rtl w:val="0"/>
        </w:rPr>
      </w:r>
    </w:p>
    <w:p w:rsidR="00000000" w:rsidDel="00000000" w:rsidP="00000000" w:rsidRDefault="00000000" w:rsidRPr="00000000" w14:paraId="0000009F">
      <w:pPr>
        <w:rPr>
          <w:sz w:val="24"/>
          <w:szCs w:val="24"/>
        </w:rPr>
      </w:pPr>
      <w:r w:rsidDel="00000000" w:rsidR="00000000" w:rsidRPr="00000000">
        <w:rPr>
          <w:rtl w:val="0"/>
        </w:rPr>
      </w:r>
    </w:p>
    <w:p w:rsidR="00000000" w:rsidDel="00000000" w:rsidP="00000000" w:rsidRDefault="00000000" w:rsidRPr="00000000" w14:paraId="000000A0">
      <w:pPr>
        <w:rPr>
          <w:b w:val="1"/>
          <w:sz w:val="24"/>
          <w:szCs w:val="24"/>
        </w:rPr>
      </w:pPr>
      <w:r w:rsidDel="00000000" w:rsidR="00000000" w:rsidRPr="00000000">
        <w:rPr>
          <w:sz w:val="24"/>
          <w:szCs w:val="24"/>
          <w:rtl w:val="0"/>
        </w:rPr>
        <w:t xml:space="preserve"> </w:t>
      </w:r>
      <w:r w:rsidDel="00000000" w:rsidR="00000000" w:rsidRPr="00000000">
        <w:rPr>
          <w:b w:val="1"/>
          <w:sz w:val="24"/>
          <w:szCs w:val="24"/>
          <w:rtl w:val="0"/>
        </w:rPr>
        <w:t xml:space="preserve">Bibliography:</w:t>
      </w:r>
    </w:p>
    <w:p w:rsidR="00000000" w:rsidDel="00000000" w:rsidP="00000000" w:rsidRDefault="00000000" w:rsidRPr="00000000" w14:paraId="000000A1">
      <w:pPr>
        <w:rPr>
          <w:sz w:val="24"/>
          <w:szCs w:val="24"/>
        </w:rPr>
      </w:pPr>
      <w:r w:rsidDel="00000000" w:rsidR="00000000" w:rsidRPr="00000000">
        <w:rPr>
          <w:rtl w:val="0"/>
        </w:rPr>
      </w:r>
    </w:p>
    <w:p w:rsidR="00000000" w:rsidDel="00000000" w:rsidP="00000000" w:rsidRDefault="00000000" w:rsidRPr="00000000" w14:paraId="000000A2">
      <w:pPr>
        <w:rPr>
          <w:sz w:val="24"/>
          <w:szCs w:val="24"/>
        </w:rPr>
      </w:pPr>
      <w:r w:rsidDel="00000000" w:rsidR="00000000" w:rsidRPr="00000000">
        <w:rPr>
          <w:sz w:val="24"/>
          <w:szCs w:val="24"/>
          <w:rtl w:val="0"/>
        </w:rPr>
        <w:t xml:space="preserve">Benjamin Madley “From Terror to Genocide: Britain's Tasmanian Penal Colony and Australia's History Wars” Journal of British Studies 47:1 (January 2008), 77-106.  </w:t>
      </w:r>
    </w:p>
    <w:p w:rsidR="00000000" w:rsidDel="00000000" w:rsidP="00000000" w:rsidRDefault="00000000" w:rsidRPr="00000000" w14:paraId="000000A3">
      <w:pPr>
        <w:rPr>
          <w:sz w:val="24"/>
          <w:szCs w:val="24"/>
        </w:rPr>
      </w:pPr>
      <w:r w:rsidDel="00000000" w:rsidR="00000000" w:rsidRPr="00000000">
        <w:rPr>
          <w:rtl w:val="0"/>
        </w:rPr>
      </w:r>
    </w:p>
    <w:p w:rsidR="00000000" w:rsidDel="00000000" w:rsidP="00000000" w:rsidRDefault="00000000" w:rsidRPr="00000000" w14:paraId="000000A4">
      <w:pPr>
        <w:rPr>
          <w:sz w:val="24"/>
          <w:szCs w:val="24"/>
        </w:rPr>
      </w:pPr>
      <w:r w:rsidDel="00000000" w:rsidR="00000000" w:rsidRPr="00000000">
        <w:rPr>
          <w:sz w:val="24"/>
          <w:szCs w:val="24"/>
          <w:rtl w:val="0"/>
        </w:rPr>
        <w:t xml:space="preserve">Keith Windschuttle, The Fabrication of Aboriginal History: Volume one, Van Diemen's Land 1803 to 1847 (Sydney 2002) </w:t>
      </w:r>
    </w:p>
    <w:p w:rsidR="00000000" w:rsidDel="00000000" w:rsidP="00000000" w:rsidRDefault="00000000" w:rsidRPr="00000000" w14:paraId="000000A5">
      <w:pPr>
        <w:rPr>
          <w:sz w:val="24"/>
          <w:szCs w:val="24"/>
        </w:rPr>
      </w:pPr>
      <w:r w:rsidDel="00000000" w:rsidR="00000000" w:rsidRPr="00000000">
        <w:rPr>
          <w:rtl w:val="0"/>
        </w:rPr>
      </w:r>
    </w:p>
    <w:p w:rsidR="00000000" w:rsidDel="00000000" w:rsidP="00000000" w:rsidRDefault="00000000" w:rsidRPr="00000000" w14:paraId="000000A6">
      <w:pPr>
        <w:rPr>
          <w:sz w:val="24"/>
          <w:szCs w:val="24"/>
        </w:rPr>
      </w:pPr>
      <w:r w:rsidDel="00000000" w:rsidR="00000000" w:rsidRPr="00000000">
        <w:rPr>
          <w:sz w:val="24"/>
          <w:szCs w:val="24"/>
          <w:rtl w:val="0"/>
        </w:rPr>
        <w:t xml:space="preserve">Benjamin Madley “American Genocide: United States and the Californian Indian Catastrophe 1846 to 1873,  New Haven, Yale University Press (2016)</w:t>
      </w:r>
    </w:p>
    <w:p w:rsidR="00000000" w:rsidDel="00000000" w:rsidP="00000000" w:rsidRDefault="00000000" w:rsidRPr="00000000" w14:paraId="000000A7">
      <w:pPr>
        <w:rPr>
          <w:sz w:val="24"/>
          <w:szCs w:val="24"/>
        </w:rPr>
      </w:pPr>
      <w:r w:rsidDel="00000000" w:rsidR="00000000" w:rsidRPr="00000000">
        <w:rPr>
          <w:rtl w:val="0"/>
        </w:rPr>
      </w:r>
    </w:p>
    <w:p w:rsidR="00000000" w:rsidDel="00000000" w:rsidP="00000000" w:rsidRDefault="00000000" w:rsidRPr="00000000" w14:paraId="000000A8">
      <w:pPr>
        <w:rPr>
          <w:sz w:val="24"/>
          <w:szCs w:val="24"/>
        </w:rPr>
      </w:pPr>
      <w:r w:rsidDel="00000000" w:rsidR="00000000" w:rsidRPr="00000000">
        <w:rPr>
          <w:sz w:val="24"/>
          <w:szCs w:val="24"/>
          <w:rtl w:val="0"/>
        </w:rPr>
        <w:t xml:space="preserve"> Benjamin Madley “Patterns of Frontier Genocide 1803-1910: The Aboriginal Tasmanians, the Yuki of California, and the Herero of Namibia”, Journal of Genocide Research 6:2 (June 2004). 167-192. </w:t>
      </w:r>
    </w:p>
    <w:p w:rsidR="00000000" w:rsidDel="00000000" w:rsidP="00000000" w:rsidRDefault="00000000" w:rsidRPr="00000000" w14:paraId="000000A9">
      <w:pPr>
        <w:rPr>
          <w:sz w:val="24"/>
          <w:szCs w:val="24"/>
        </w:rPr>
      </w:pPr>
      <w:r w:rsidDel="00000000" w:rsidR="00000000" w:rsidRPr="00000000">
        <w:rPr>
          <w:rtl w:val="0"/>
        </w:rPr>
      </w:r>
    </w:p>
    <w:p w:rsidR="00000000" w:rsidDel="00000000" w:rsidP="00000000" w:rsidRDefault="00000000" w:rsidRPr="00000000" w14:paraId="000000AA">
      <w:pPr>
        <w:rPr>
          <w:sz w:val="24"/>
          <w:szCs w:val="24"/>
        </w:rPr>
      </w:pPr>
      <w:r w:rsidDel="00000000" w:rsidR="00000000" w:rsidRPr="00000000">
        <w:rPr>
          <w:sz w:val="24"/>
          <w:szCs w:val="24"/>
          <w:rtl w:val="0"/>
        </w:rPr>
        <w:t xml:space="preserve">United Nations, Convention on the Prevention and Punishments of theCrime of Genocide, adopted by the General Assembley of the United Nations on 9th December 1948, Treaty Series, Vol 78 no 1021,280.</w:t>
      </w:r>
    </w:p>
    <w:p w:rsidR="00000000" w:rsidDel="00000000" w:rsidP="00000000" w:rsidRDefault="00000000" w:rsidRPr="00000000" w14:paraId="000000AB">
      <w:pPr>
        <w:rPr>
          <w:sz w:val="24"/>
          <w:szCs w:val="24"/>
        </w:rPr>
      </w:pPr>
      <w:r w:rsidDel="00000000" w:rsidR="00000000" w:rsidRPr="00000000">
        <w:rPr>
          <w:rtl w:val="0"/>
        </w:rPr>
      </w:r>
    </w:p>
    <w:p w:rsidR="00000000" w:rsidDel="00000000" w:rsidP="00000000" w:rsidRDefault="00000000" w:rsidRPr="00000000" w14:paraId="000000AC">
      <w:pPr>
        <w:rPr>
          <w:sz w:val="24"/>
          <w:szCs w:val="24"/>
        </w:rPr>
      </w:pPr>
      <w:r w:rsidDel="00000000" w:rsidR="00000000" w:rsidRPr="00000000">
        <w:rPr>
          <w:sz w:val="24"/>
          <w:szCs w:val="24"/>
          <w:rtl w:val="0"/>
        </w:rPr>
        <w:t xml:space="preserve">Yi-fu Tuan, Landscapes of Fear (Pantheon Books, New York 1979) </w:t>
      </w:r>
    </w:p>
    <w:p w:rsidR="00000000" w:rsidDel="00000000" w:rsidP="00000000" w:rsidRDefault="00000000" w:rsidRPr="00000000" w14:paraId="000000AD">
      <w:pPr>
        <w:rPr>
          <w:sz w:val="24"/>
          <w:szCs w:val="24"/>
        </w:rPr>
      </w:pPr>
      <w:r w:rsidDel="00000000" w:rsidR="00000000" w:rsidRPr="00000000">
        <w:rPr>
          <w:rtl w:val="0"/>
        </w:rPr>
      </w:r>
    </w:p>
    <w:sectPr>
      <w:pgSz w:h="16834" w:w="11909"/>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