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38086" w14:textId="77777777" w:rsidR="00A16D5E" w:rsidRPr="00D5710B" w:rsidRDefault="00A16D5E" w:rsidP="00A16D5E">
      <w:r>
        <w:rPr>
          <w:noProof/>
        </w:rPr>
        <w:drawing>
          <wp:inline distT="0" distB="0" distL="0" distR="0" wp14:anchorId="60F0779B" wp14:editId="04295B71">
            <wp:extent cx="5943600" cy="3300095"/>
            <wp:effectExtent l="0" t="0" r="0" b="0"/>
            <wp:docPr id="930584739"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00095"/>
                    </a:xfrm>
                    <a:prstGeom prst="rect">
                      <a:avLst/>
                    </a:prstGeom>
                    <a:noFill/>
                    <a:ln>
                      <a:noFill/>
                    </a:ln>
                  </pic:spPr>
                </pic:pic>
              </a:graphicData>
            </a:graphic>
          </wp:inline>
        </w:drawing>
      </w:r>
    </w:p>
    <w:p w14:paraId="28469D33" w14:textId="376D2EBD" w:rsidR="00A16D5E" w:rsidRPr="00C35263" w:rsidRDefault="00F14BCE" w:rsidP="00A16D5E">
      <w:pPr>
        <w:pStyle w:val="Title"/>
        <w:jc w:val="center"/>
        <w:rPr>
          <w:b/>
          <w:bCs/>
        </w:rPr>
      </w:pPr>
      <w:r>
        <w:rPr>
          <w:b/>
          <w:bCs/>
        </w:rPr>
        <w:t>Analytical Assessment of Engine Internal Components</w:t>
      </w:r>
    </w:p>
    <w:p w14:paraId="38098592" w14:textId="77777777" w:rsidR="00A16D5E" w:rsidRDefault="00A16D5E" w:rsidP="00A16D5E">
      <w:pPr>
        <w:jc w:val="center"/>
        <w:rPr>
          <w:rFonts w:ascii="Calibri" w:eastAsia="Calibri" w:hAnsi="Calibri" w:cs="Calibri"/>
          <w:sz w:val="22"/>
          <w:szCs w:val="22"/>
        </w:rPr>
      </w:pPr>
    </w:p>
    <w:p w14:paraId="6055F5EC" w14:textId="77777777" w:rsidR="00A16D5E" w:rsidRDefault="00A16D5E" w:rsidP="00A16D5E">
      <w:pPr>
        <w:jc w:val="center"/>
        <w:rPr>
          <w:rFonts w:ascii="Calibri" w:eastAsia="Calibri" w:hAnsi="Calibri" w:cs="Calibri"/>
          <w:sz w:val="22"/>
          <w:szCs w:val="22"/>
        </w:rPr>
      </w:pPr>
      <w:r w:rsidRPr="4A77D478">
        <w:rPr>
          <w:rFonts w:ascii="Calibri" w:eastAsia="Calibri" w:hAnsi="Calibri" w:cs="Calibri"/>
          <w:sz w:val="22"/>
          <w:szCs w:val="22"/>
        </w:rPr>
        <w:t>Tamzin Cooper</w:t>
      </w:r>
    </w:p>
    <w:p w14:paraId="5CC84E4D" w14:textId="77777777" w:rsidR="00A16D5E" w:rsidRDefault="00A16D5E" w:rsidP="00A16D5E">
      <w:pPr>
        <w:jc w:val="center"/>
        <w:rPr>
          <w:rFonts w:ascii="Calibri" w:eastAsia="Calibri" w:hAnsi="Calibri" w:cs="Calibri"/>
          <w:sz w:val="22"/>
          <w:szCs w:val="22"/>
        </w:rPr>
      </w:pPr>
      <w:r w:rsidRPr="4A77D478">
        <w:rPr>
          <w:rFonts w:ascii="Calibri" w:eastAsia="Calibri" w:hAnsi="Calibri" w:cs="Calibri"/>
          <w:sz w:val="22"/>
          <w:szCs w:val="22"/>
        </w:rPr>
        <w:t>2300764</w:t>
      </w:r>
    </w:p>
    <w:p w14:paraId="0B70CB93" w14:textId="77777777" w:rsidR="00A16D5E" w:rsidRDefault="00A16D5E" w:rsidP="00A16D5E">
      <w:pPr>
        <w:jc w:val="center"/>
        <w:rPr>
          <w:rFonts w:ascii="Calibri" w:eastAsia="Calibri" w:hAnsi="Calibri" w:cs="Calibri"/>
          <w:sz w:val="22"/>
          <w:szCs w:val="22"/>
        </w:rPr>
      </w:pPr>
      <w:r w:rsidRPr="4A77D478">
        <w:rPr>
          <w:rFonts w:ascii="Calibri" w:eastAsia="Calibri" w:hAnsi="Calibri" w:cs="Calibri"/>
          <w:sz w:val="22"/>
          <w:szCs w:val="22"/>
        </w:rPr>
        <w:t>BEng Motorsport Engineering</w:t>
      </w:r>
    </w:p>
    <w:p w14:paraId="013E7397" w14:textId="2756FE66" w:rsidR="00A16D5E" w:rsidRDefault="00F14BCE" w:rsidP="00A16D5E">
      <w:pPr>
        <w:jc w:val="center"/>
        <w:rPr>
          <w:rFonts w:ascii="Calibri" w:eastAsia="Calibri" w:hAnsi="Calibri" w:cs="Calibri"/>
          <w:sz w:val="22"/>
          <w:szCs w:val="22"/>
        </w:rPr>
      </w:pPr>
      <w:r>
        <w:rPr>
          <w:rFonts w:ascii="Calibri" w:eastAsia="Calibri" w:hAnsi="Calibri" w:cs="Calibri"/>
          <w:sz w:val="22"/>
          <w:szCs w:val="22"/>
        </w:rPr>
        <w:t>22</w:t>
      </w:r>
      <w:r w:rsidR="00A16D5E">
        <w:rPr>
          <w:rFonts w:ascii="Calibri" w:eastAsia="Calibri" w:hAnsi="Calibri" w:cs="Calibri"/>
          <w:sz w:val="22"/>
          <w:szCs w:val="22"/>
        </w:rPr>
        <w:t>/</w:t>
      </w:r>
      <w:r>
        <w:rPr>
          <w:rFonts w:ascii="Calibri" w:eastAsia="Calibri" w:hAnsi="Calibri" w:cs="Calibri"/>
          <w:sz w:val="22"/>
          <w:szCs w:val="22"/>
        </w:rPr>
        <w:t>03</w:t>
      </w:r>
      <w:r w:rsidR="00A16D5E">
        <w:rPr>
          <w:rFonts w:ascii="Calibri" w:eastAsia="Calibri" w:hAnsi="Calibri" w:cs="Calibri"/>
          <w:sz w:val="22"/>
          <w:szCs w:val="22"/>
        </w:rPr>
        <w:t>/202</w:t>
      </w:r>
      <w:r>
        <w:rPr>
          <w:rFonts w:ascii="Calibri" w:eastAsia="Calibri" w:hAnsi="Calibri" w:cs="Calibri"/>
          <w:sz w:val="22"/>
          <w:szCs w:val="22"/>
        </w:rPr>
        <w:t>6</w:t>
      </w:r>
    </w:p>
    <w:p w14:paraId="53E50946" w14:textId="47BA9726" w:rsidR="00A16D5E" w:rsidRDefault="00A16D5E" w:rsidP="00A16D5E">
      <w:pPr>
        <w:jc w:val="center"/>
        <w:rPr>
          <w:rFonts w:ascii="Calibri" w:eastAsia="Calibri" w:hAnsi="Calibri" w:cs="Calibri"/>
          <w:sz w:val="22"/>
          <w:szCs w:val="22"/>
        </w:rPr>
      </w:pPr>
      <w:r>
        <w:rPr>
          <w:rFonts w:ascii="Calibri" w:eastAsia="Calibri" w:hAnsi="Calibri" w:cs="Calibri"/>
          <w:sz w:val="22"/>
          <w:szCs w:val="22"/>
        </w:rPr>
        <w:t>ACHA</w:t>
      </w:r>
      <w:r w:rsidR="00D91DAC">
        <w:rPr>
          <w:rFonts w:ascii="Calibri" w:eastAsia="Calibri" w:hAnsi="Calibri" w:cs="Calibri"/>
          <w:sz w:val="22"/>
          <w:szCs w:val="22"/>
        </w:rPr>
        <w:t>6006 Contemporary Powertrain</w:t>
      </w:r>
    </w:p>
    <w:p w14:paraId="14A19CB9" w14:textId="54B275F4" w:rsidR="00A16D5E" w:rsidRDefault="00D91DAC" w:rsidP="00A16D5E">
      <w:pPr>
        <w:jc w:val="center"/>
        <w:rPr>
          <w:rFonts w:ascii="Calibri" w:eastAsia="Calibri" w:hAnsi="Calibri" w:cs="Calibri"/>
          <w:sz w:val="22"/>
          <w:szCs w:val="22"/>
        </w:rPr>
      </w:pPr>
      <w:r>
        <w:rPr>
          <w:rFonts w:ascii="Calibri" w:eastAsia="Calibri" w:hAnsi="Calibri" w:cs="Calibri"/>
          <w:sz w:val="22"/>
          <w:szCs w:val="22"/>
        </w:rPr>
        <w:t>Andrew Noble</w:t>
      </w:r>
    </w:p>
    <w:p w14:paraId="17061F6E" w14:textId="3A8BFB8F" w:rsidR="00A16D5E" w:rsidRDefault="00A16D5E" w:rsidP="00A16D5E">
      <w:pPr>
        <w:jc w:val="center"/>
        <w:rPr>
          <w:rFonts w:ascii="Calibri" w:eastAsia="Calibri" w:hAnsi="Calibri" w:cs="Calibri"/>
          <w:sz w:val="22"/>
          <w:szCs w:val="22"/>
        </w:rPr>
      </w:pPr>
      <w:r>
        <w:rPr>
          <w:rFonts w:ascii="Calibri" w:eastAsia="Calibri" w:hAnsi="Calibri" w:cs="Calibri"/>
          <w:sz w:val="22"/>
          <w:szCs w:val="22"/>
        </w:rPr>
        <w:t xml:space="preserve">Word Count: </w:t>
      </w:r>
      <w:r w:rsidR="00D51017">
        <w:rPr>
          <w:rFonts w:ascii="Calibri" w:eastAsia="Calibri" w:hAnsi="Calibri" w:cs="Calibri"/>
          <w:sz w:val="22"/>
          <w:szCs w:val="22"/>
        </w:rPr>
        <w:t>2</w:t>
      </w:r>
      <w:r w:rsidR="007B5707">
        <w:rPr>
          <w:rFonts w:ascii="Calibri" w:eastAsia="Calibri" w:hAnsi="Calibri" w:cs="Calibri"/>
          <w:sz w:val="22"/>
          <w:szCs w:val="22"/>
        </w:rPr>
        <w:t>7</w:t>
      </w:r>
      <w:r w:rsidR="0031777C">
        <w:rPr>
          <w:rFonts w:ascii="Calibri" w:eastAsia="Calibri" w:hAnsi="Calibri" w:cs="Calibri"/>
          <w:sz w:val="22"/>
          <w:szCs w:val="22"/>
        </w:rPr>
        <w:t>4</w:t>
      </w:r>
      <w:r w:rsidR="006A4AE5">
        <w:rPr>
          <w:rFonts w:ascii="Calibri" w:eastAsia="Calibri" w:hAnsi="Calibri" w:cs="Calibri"/>
          <w:sz w:val="22"/>
          <w:szCs w:val="22"/>
        </w:rPr>
        <w:t>6</w:t>
      </w:r>
    </w:p>
    <w:p w14:paraId="167698F8" w14:textId="041C9258" w:rsidR="00D91DAC" w:rsidRDefault="00D91DAC" w:rsidP="00A16D5E">
      <w:pPr>
        <w:jc w:val="center"/>
        <w:rPr>
          <w:rFonts w:ascii="Calibri" w:eastAsia="Calibri" w:hAnsi="Calibri" w:cs="Calibri"/>
          <w:sz w:val="22"/>
          <w:szCs w:val="22"/>
        </w:rPr>
      </w:pPr>
    </w:p>
    <w:p w14:paraId="0D58AA1B" w14:textId="77777777" w:rsidR="00D51017" w:rsidRDefault="00D51017" w:rsidP="00A16D5E">
      <w:pPr>
        <w:jc w:val="center"/>
        <w:rPr>
          <w:rFonts w:ascii="Calibri" w:eastAsia="Calibri" w:hAnsi="Calibri" w:cs="Calibri"/>
          <w:sz w:val="22"/>
          <w:szCs w:val="22"/>
        </w:rPr>
      </w:pPr>
    </w:p>
    <w:p w14:paraId="3114314C" w14:textId="77777777" w:rsidR="00D51017" w:rsidRDefault="00D51017" w:rsidP="00A16D5E">
      <w:pPr>
        <w:jc w:val="center"/>
        <w:rPr>
          <w:rFonts w:ascii="Calibri" w:eastAsia="Calibri" w:hAnsi="Calibri" w:cs="Calibri"/>
          <w:sz w:val="22"/>
          <w:szCs w:val="22"/>
        </w:rPr>
      </w:pPr>
    </w:p>
    <w:p w14:paraId="6ECB6D79" w14:textId="77777777" w:rsidR="00A22F2A" w:rsidRPr="005A4683" w:rsidRDefault="00A22F2A" w:rsidP="00A16D5E">
      <w:pPr>
        <w:jc w:val="center"/>
        <w:rPr>
          <w:rFonts w:ascii="Calibri" w:eastAsia="Calibri" w:hAnsi="Calibri" w:cs="Calibri"/>
          <w:sz w:val="22"/>
          <w:szCs w:val="22"/>
        </w:rPr>
      </w:pPr>
    </w:p>
    <w:sdt>
      <w:sdtPr>
        <w:rPr>
          <w:rFonts w:asciiTheme="minorHAnsi" w:eastAsiaTheme="minorEastAsia" w:hAnsiTheme="minorHAnsi" w:cstheme="minorBidi"/>
          <w:color w:val="auto"/>
          <w:sz w:val="24"/>
          <w:szCs w:val="24"/>
          <w:lang w:val="en-US" w:eastAsia="ja-JP"/>
        </w:rPr>
        <w:id w:val="685867035"/>
        <w:docPartObj>
          <w:docPartGallery w:val="Table of Contents"/>
          <w:docPartUnique/>
        </w:docPartObj>
      </w:sdtPr>
      <w:sdtEndPr>
        <w:rPr>
          <w:b/>
          <w:bCs/>
        </w:rPr>
      </w:sdtEndPr>
      <w:sdtContent>
        <w:p w14:paraId="3DF2A0A0" w14:textId="67B7E247" w:rsidR="001F5FCD" w:rsidRDefault="001F5FCD">
          <w:pPr>
            <w:pStyle w:val="TOCHeading"/>
          </w:pPr>
          <w:r>
            <w:t>Contents</w:t>
          </w:r>
        </w:p>
        <w:p w14:paraId="70BB7E56" w14:textId="215A7344" w:rsidR="0031777C" w:rsidRDefault="001F5FCD">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25020392" w:history="1">
            <w:r w:rsidR="0031777C" w:rsidRPr="00707E75">
              <w:rPr>
                <w:rStyle w:val="Hyperlink"/>
                <w:noProof/>
              </w:rPr>
              <w:t>Chapter 1 – Introduction</w:t>
            </w:r>
            <w:r w:rsidR="0031777C">
              <w:rPr>
                <w:noProof/>
                <w:webHidden/>
              </w:rPr>
              <w:tab/>
            </w:r>
            <w:r w:rsidR="0031777C">
              <w:rPr>
                <w:noProof/>
                <w:webHidden/>
              </w:rPr>
              <w:fldChar w:fldCharType="begin"/>
            </w:r>
            <w:r w:rsidR="0031777C">
              <w:rPr>
                <w:noProof/>
                <w:webHidden/>
              </w:rPr>
              <w:instrText xml:space="preserve"> PAGEREF _Toc225020392 \h </w:instrText>
            </w:r>
            <w:r w:rsidR="0031777C">
              <w:rPr>
                <w:noProof/>
                <w:webHidden/>
              </w:rPr>
            </w:r>
            <w:r w:rsidR="0031777C">
              <w:rPr>
                <w:noProof/>
                <w:webHidden/>
              </w:rPr>
              <w:fldChar w:fldCharType="separate"/>
            </w:r>
            <w:r w:rsidR="0031777C">
              <w:rPr>
                <w:noProof/>
                <w:webHidden/>
              </w:rPr>
              <w:t>3</w:t>
            </w:r>
            <w:r w:rsidR="0031777C">
              <w:rPr>
                <w:noProof/>
                <w:webHidden/>
              </w:rPr>
              <w:fldChar w:fldCharType="end"/>
            </w:r>
          </w:hyperlink>
        </w:p>
        <w:p w14:paraId="63EAA373" w14:textId="1EBA17C5" w:rsidR="0031777C" w:rsidRDefault="0031777C">
          <w:pPr>
            <w:pStyle w:val="TOC1"/>
            <w:tabs>
              <w:tab w:val="right" w:leader="dot" w:pos="9350"/>
            </w:tabs>
            <w:rPr>
              <w:noProof/>
              <w:kern w:val="2"/>
              <w:lang w:val="en-GB" w:eastAsia="en-GB"/>
              <w14:ligatures w14:val="standardContextual"/>
            </w:rPr>
          </w:pPr>
          <w:hyperlink w:anchor="_Toc225020393" w:history="1">
            <w:r w:rsidRPr="00707E75">
              <w:rPr>
                <w:rStyle w:val="Hyperlink"/>
                <w:noProof/>
              </w:rPr>
              <w:t>Chapter 2 – Engine Forces</w:t>
            </w:r>
            <w:r>
              <w:rPr>
                <w:noProof/>
                <w:webHidden/>
              </w:rPr>
              <w:tab/>
            </w:r>
            <w:r>
              <w:rPr>
                <w:noProof/>
                <w:webHidden/>
              </w:rPr>
              <w:fldChar w:fldCharType="begin"/>
            </w:r>
            <w:r>
              <w:rPr>
                <w:noProof/>
                <w:webHidden/>
              </w:rPr>
              <w:instrText xml:space="preserve"> PAGEREF _Toc225020393 \h </w:instrText>
            </w:r>
            <w:r>
              <w:rPr>
                <w:noProof/>
                <w:webHidden/>
              </w:rPr>
            </w:r>
            <w:r>
              <w:rPr>
                <w:noProof/>
                <w:webHidden/>
              </w:rPr>
              <w:fldChar w:fldCharType="separate"/>
            </w:r>
            <w:r>
              <w:rPr>
                <w:noProof/>
                <w:webHidden/>
              </w:rPr>
              <w:t>4</w:t>
            </w:r>
            <w:r>
              <w:rPr>
                <w:noProof/>
                <w:webHidden/>
              </w:rPr>
              <w:fldChar w:fldCharType="end"/>
            </w:r>
          </w:hyperlink>
        </w:p>
        <w:p w14:paraId="3B8D5682" w14:textId="6C2E41EE" w:rsidR="0031777C" w:rsidRDefault="0031777C">
          <w:pPr>
            <w:pStyle w:val="TOC2"/>
            <w:tabs>
              <w:tab w:val="right" w:leader="dot" w:pos="9350"/>
            </w:tabs>
            <w:rPr>
              <w:noProof/>
              <w:kern w:val="2"/>
              <w:lang w:val="en-GB" w:eastAsia="en-GB"/>
              <w14:ligatures w14:val="standardContextual"/>
            </w:rPr>
          </w:pPr>
          <w:hyperlink w:anchor="_Toc225020394" w:history="1">
            <w:r w:rsidRPr="00707E75">
              <w:rPr>
                <w:rStyle w:val="Hyperlink"/>
                <w:noProof/>
              </w:rPr>
              <w:t>2.1 Inertia Forces</w:t>
            </w:r>
            <w:r>
              <w:rPr>
                <w:noProof/>
                <w:webHidden/>
              </w:rPr>
              <w:tab/>
            </w:r>
            <w:r>
              <w:rPr>
                <w:noProof/>
                <w:webHidden/>
              </w:rPr>
              <w:fldChar w:fldCharType="begin"/>
            </w:r>
            <w:r>
              <w:rPr>
                <w:noProof/>
                <w:webHidden/>
              </w:rPr>
              <w:instrText xml:space="preserve"> PAGEREF _Toc225020394 \h </w:instrText>
            </w:r>
            <w:r>
              <w:rPr>
                <w:noProof/>
                <w:webHidden/>
              </w:rPr>
            </w:r>
            <w:r>
              <w:rPr>
                <w:noProof/>
                <w:webHidden/>
              </w:rPr>
              <w:fldChar w:fldCharType="separate"/>
            </w:r>
            <w:r>
              <w:rPr>
                <w:noProof/>
                <w:webHidden/>
              </w:rPr>
              <w:t>4</w:t>
            </w:r>
            <w:r>
              <w:rPr>
                <w:noProof/>
                <w:webHidden/>
              </w:rPr>
              <w:fldChar w:fldCharType="end"/>
            </w:r>
          </w:hyperlink>
        </w:p>
        <w:p w14:paraId="383C8A00" w14:textId="4822102A" w:rsidR="0031777C" w:rsidRDefault="0031777C">
          <w:pPr>
            <w:pStyle w:val="TOC2"/>
            <w:tabs>
              <w:tab w:val="right" w:leader="dot" w:pos="9350"/>
            </w:tabs>
            <w:rPr>
              <w:noProof/>
              <w:kern w:val="2"/>
              <w:lang w:val="en-GB" w:eastAsia="en-GB"/>
              <w14:ligatures w14:val="standardContextual"/>
            </w:rPr>
          </w:pPr>
          <w:hyperlink w:anchor="_Toc225020395" w:history="1">
            <w:r w:rsidRPr="00707E75">
              <w:rPr>
                <w:rStyle w:val="Hyperlink"/>
                <w:noProof/>
              </w:rPr>
              <w:t>2.2 Gas Forces</w:t>
            </w:r>
            <w:r>
              <w:rPr>
                <w:noProof/>
                <w:webHidden/>
              </w:rPr>
              <w:tab/>
            </w:r>
            <w:r>
              <w:rPr>
                <w:noProof/>
                <w:webHidden/>
              </w:rPr>
              <w:fldChar w:fldCharType="begin"/>
            </w:r>
            <w:r>
              <w:rPr>
                <w:noProof/>
                <w:webHidden/>
              </w:rPr>
              <w:instrText xml:space="preserve"> PAGEREF _Toc225020395 \h </w:instrText>
            </w:r>
            <w:r>
              <w:rPr>
                <w:noProof/>
                <w:webHidden/>
              </w:rPr>
            </w:r>
            <w:r>
              <w:rPr>
                <w:noProof/>
                <w:webHidden/>
              </w:rPr>
              <w:fldChar w:fldCharType="separate"/>
            </w:r>
            <w:r>
              <w:rPr>
                <w:noProof/>
                <w:webHidden/>
              </w:rPr>
              <w:t>4</w:t>
            </w:r>
            <w:r>
              <w:rPr>
                <w:noProof/>
                <w:webHidden/>
              </w:rPr>
              <w:fldChar w:fldCharType="end"/>
            </w:r>
          </w:hyperlink>
        </w:p>
        <w:p w14:paraId="0586F480" w14:textId="032B1993" w:rsidR="0031777C" w:rsidRDefault="0031777C">
          <w:pPr>
            <w:pStyle w:val="TOC2"/>
            <w:tabs>
              <w:tab w:val="right" w:leader="dot" w:pos="9350"/>
            </w:tabs>
            <w:rPr>
              <w:noProof/>
              <w:kern w:val="2"/>
              <w:lang w:val="en-GB" w:eastAsia="en-GB"/>
              <w14:ligatures w14:val="standardContextual"/>
            </w:rPr>
          </w:pPr>
          <w:hyperlink w:anchor="_Toc225020396" w:history="1">
            <w:r w:rsidRPr="00707E75">
              <w:rPr>
                <w:rStyle w:val="Hyperlink"/>
                <w:noProof/>
              </w:rPr>
              <w:t>2.3 Net Force</w:t>
            </w:r>
            <w:r>
              <w:rPr>
                <w:noProof/>
                <w:webHidden/>
              </w:rPr>
              <w:tab/>
            </w:r>
            <w:r>
              <w:rPr>
                <w:noProof/>
                <w:webHidden/>
              </w:rPr>
              <w:fldChar w:fldCharType="begin"/>
            </w:r>
            <w:r>
              <w:rPr>
                <w:noProof/>
                <w:webHidden/>
              </w:rPr>
              <w:instrText xml:space="preserve"> PAGEREF _Toc225020396 \h </w:instrText>
            </w:r>
            <w:r>
              <w:rPr>
                <w:noProof/>
                <w:webHidden/>
              </w:rPr>
            </w:r>
            <w:r>
              <w:rPr>
                <w:noProof/>
                <w:webHidden/>
              </w:rPr>
              <w:fldChar w:fldCharType="separate"/>
            </w:r>
            <w:r>
              <w:rPr>
                <w:noProof/>
                <w:webHidden/>
              </w:rPr>
              <w:t>5</w:t>
            </w:r>
            <w:r>
              <w:rPr>
                <w:noProof/>
                <w:webHidden/>
              </w:rPr>
              <w:fldChar w:fldCharType="end"/>
            </w:r>
          </w:hyperlink>
        </w:p>
        <w:p w14:paraId="255E8574" w14:textId="13212303" w:rsidR="0031777C" w:rsidRDefault="0031777C">
          <w:pPr>
            <w:pStyle w:val="TOC1"/>
            <w:tabs>
              <w:tab w:val="right" w:leader="dot" w:pos="9350"/>
            </w:tabs>
            <w:rPr>
              <w:noProof/>
              <w:kern w:val="2"/>
              <w:lang w:val="en-GB" w:eastAsia="en-GB"/>
              <w14:ligatures w14:val="standardContextual"/>
            </w:rPr>
          </w:pPr>
          <w:hyperlink w:anchor="_Toc225020397" w:history="1">
            <w:r w:rsidRPr="00707E75">
              <w:rPr>
                <w:rStyle w:val="Hyperlink"/>
                <w:noProof/>
              </w:rPr>
              <w:t>Chapter 3 – Analysing Components</w:t>
            </w:r>
            <w:r>
              <w:rPr>
                <w:noProof/>
                <w:webHidden/>
              </w:rPr>
              <w:tab/>
            </w:r>
            <w:r>
              <w:rPr>
                <w:noProof/>
                <w:webHidden/>
              </w:rPr>
              <w:fldChar w:fldCharType="begin"/>
            </w:r>
            <w:r>
              <w:rPr>
                <w:noProof/>
                <w:webHidden/>
              </w:rPr>
              <w:instrText xml:space="preserve"> PAGEREF _Toc225020397 \h </w:instrText>
            </w:r>
            <w:r>
              <w:rPr>
                <w:noProof/>
                <w:webHidden/>
              </w:rPr>
            </w:r>
            <w:r>
              <w:rPr>
                <w:noProof/>
                <w:webHidden/>
              </w:rPr>
              <w:fldChar w:fldCharType="separate"/>
            </w:r>
            <w:r>
              <w:rPr>
                <w:noProof/>
                <w:webHidden/>
              </w:rPr>
              <w:t>7</w:t>
            </w:r>
            <w:r>
              <w:rPr>
                <w:noProof/>
                <w:webHidden/>
              </w:rPr>
              <w:fldChar w:fldCharType="end"/>
            </w:r>
          </w:hyperlink>
        </w:p>
        <w:p w14:paraId="36327A66" w14:textId="7BCA90F2" w:rsidR="0031777C" w:rsidRDefault="0031777C">
          <w:pPr>
            <w:pStyle w:val="TOC2"/>
            <w:tabs>
              <w:tab w:val="right" w:leader="dot" w:pos="9350"/>
            </w:tabs>
            <w:rPr>
              <w:noProof/>
              <w:kern w:val="2"/>
              <w:lang w:val="en-GB" w:eastAsia="en-GB"/>
              <w14:ligatures w14:val="standardContextual"/>
            </w:rPr>
          </w:pPr>
          <w:hyperlink w:anchor="_Toc225020398" w:history="1">
            <w:r w:rsidRPr="00707E75">
              <w:rPr>
                <w:rStyle w:val="Hyperlink"/>
                <w:noProof/>
              </w:rPr>
              <w:t>3.1 Midpoint of Connecting Rod</w:t>
            </w:r>
            <w:r>
              <w:rPr>
                <w:noProof/>
                <w:webHidden/>
              </w:rPr>
              <w:tab/>
            </w:r>
            <w:r>
              <w:rPr>
                <w:noProof/>
                <w:webHidden/>
              </w:rPr>
              <w:fldChar w:fldCharType="begin"/>
            </w:r>
            <w:r>
              <w:rPr>
                <w:noProof/>
                <w:webHidden/>
              </w:rPr>
              <w:instrText xml:space="preserve"> PAGEREF _Toc225020398 \h </w:instrText>
            </w:r>
            <w:r>
              <w:rPr>
                <w:noProof/>
                <w:webHidden/>
              </w:rPr>
            </w:r>
            <w:r>
              <w:rPr>
                <w:noProof/>
                <w:webHidden/>
              </w:rPr>
              <w:fldChar w:fldCharType="separate"/>
            </w:r>
            <w:r>
              <w:rPr>
                <w:noProof/>
                <w:webHidden/>
              </w:rPr>
              <w:t>7</w:t>
            </w:r>
            <w:r>
              <w:rPr>
                <w:noProof/>
                <w:webHidden/>
              </w:rPr>
              <w:fldChar w:fldCharType="end"/>
            </w:r>
          </w:hyperlink>
        </w:p>
        <w:p w14:paraId="498E6AEE" w14:textId="7C587E66" w:rsidR="0031777C" w:rsidRDefault="0031777C">
          <w:pPr>
            <w:pStyle w:val="TOC2"/>
            <w:tabs>
              <w:tab w:val="right" w:leader="dot" w:pos="9350"/>
            </w:tabs>
            <w:rPr>
              <w:noProof/>
              <w:kern w:val="2"/>
              <w:lang w:val="en-GB" w:eastAsia="en-GB"/>
              <w14:ligatures w14:val="standardContextual"/>
            </w:rPr>
          </w:pPr>
          <w:hyperlink w:anchor="_Toc225020399" w:history="1">
            <w:r w:rsidRPr="00707E75">
              <w:rPr>
                <w:rStyle w:val="Hyperlink"/>
                <w:noProof/>
              </w:rPr>
              <w:t>3.1.1 Connecting Rod cap</w:t>
            </w:r>
            <w:r>
              <w:rPr>
                <w:noProof/>
                <w:webHidden/>
              </w:rPr>
              <w:tab/>
            </w:r>
            <w:r>
              <w:rPr>
                <w:noProof/>
                <w:webHidden/>
              </w:rPr>
              <w:fldChar w:fldCharType="begin"/>
            </w:r>
            <w:r>
              <w:rPr>
                <w:noProof/>
                <w:webHidden/>
              </w:rPr>
              <w:instrText xml:space="preserve"> PAGEREF _Toc225020399 \h </w:instrText>
            </w:r>
            <w:r>
              <w:rPr>
                <w:noProof/>
                <w:webHidden/>
              </w:rPr>
            </w:r>
            <w:r>
              <w:rPr>
                <w:noProof/>
                <w:webHidden/>
              </w:rPr>
              <w:fldChar w:fldCharType="separate"/>
            </w:r>
            <w:r>
              <w:rPr>
                <w:noProof/>
                <w:webHidden/>
              </w:rPr>
              <w:t>8</w:t>
            </w:r>
            <w:r>
              <w:rPr>
                <w:noProof/>
                <w:webHidden/>
              </w:rPr>
              <w:fldChar w:fldCharType="end"/>
            </w:r>
          </w:hyperlink>
        </w:p>
        <w:p w14:paraId="77A8F80F" w14:textId="1DF0DD1B" w:rsidR="0031777C" w:rsidRDefault="0031777C">
          <w:pPr>
            <w:pStyle w:val="TOC2"/>
            <w:tabs>
              <w:tab w:val="right" w:leader="dot" w:pos="9350"/>
            </w:tabs>
            <w:rPr>
              <w:noProof/>
              <w:kern w:val="2"/>
              <w:lang w:val="en-GB" w:eastAsia="en-GB"/>
              <w14:ligatures w14:val="standardContextual"/>
            </w:rPr>
          </w:pPr>
          <w:hyperlink w:anchor="_Toc225020400" w:history="1">
            <w:r w:rsidRPr="00707E75">
              <w:rPr>
                <w:rStyle w:val="Hyperlink"/>
                <w:noProof/>
              </w:rPr>
              <w:t>3.2 Gudgeon Pin</w:t>
            </w:r>
            <w:r>
              <w:rPr>
                <w:noProof/>
                <w:webHidden/>
              </w:rPr>
              <w:tab/>
            </w:r>
            <w:r>
              <w:rPr>
                <w:noProof/>
                <w:webHidden/>
              </w:rPr>
              <w:fldChar w:fldCharType="begin"/>
            </w:r>
            <w:r>
              <w:rPr>
                <w:noProof/>
                <w:webHidden/>
              </w:rPr>
              <w:instrText xml:space="preserve"> PAGEREF _Toc225020400 \h </w:instrText>
            </w:r>
            <w:r>
              <w:rPr>
                <w:noProof/>
                <w:webHidden/>
              </w:rPr>
            </w:r>
            <w:r>
              <w:rPr>
                <w:noProof/>
                <w:webHidden/>
              </w:rPr>
              <w:fldChar w:fldCharType="separate"/>
            </w:r>
            <w:r>
              <w:rPr>
                <w:noProof/>
                <w:webHidden/>
              </w:rPr>
              <w:t>9</w:t>
            </w:r>
            <w:r>
              <w:rPr>
                <w:noProof/>
                <w:webHidden/>
              </w:rPr>
              <w:fldChar w:fldCharType="end"/>
            </w:r>
          </w:hyperlink>
        </w:p>
        <w:p w14:paraId="28416238" w14:textId="260CBBD7" w:rsidR="0031777C" w:rsidRDefault="0031777C">
          <w:pPr>
            <w:pStyle w:val="TOC2"/>
            <w:tabs>
              <w:tab w:val="right" w:leader="dot" w:pos="9350"/>
            </w:tabs>
            <w:rPr>
              <w:noProof/>
              <w:kern w:val="2"/>
              <w:lang w:val="en-GB" w:eastAsia="en-GB"/>
              <w14:ligatures w14:val="standardContextual"/>
            </w:rPr>
          </w:pPr>
          <w:hyperlink w:anchor="_Toc225020401" w:history="1">
            <w:r w:rsidRPr="00707E75">
              <w:rPr>
                <w:rStyle w:val="Hyperlink"/>
                <w:noProof/>
              </w:rPr>
              <w:t>3.3 Connecting Rod Bolt</w:t>
            </w:r>
            <w:r>
              <w:rPr>
                <w:noProof/>
                <w:webHidden/>
              </w:rPr>
              <w:tab/>
            </w:r>
            <w:r>
              <w:rPr>
                <w:noProof/>
                <w:webHidden/>
              </w:rPr>
              <w:fldChar w:fldCharType="begin"/>
            </w:r>
            <w:r>
              <w:rPr>
                <w:noProof/>
                <w:webHidden/>
              </w:rPr>
              <w:instrText xml:space="preserve"> PAGEREF _Toc225020401 \h </w:instrText>
            </w:r>
            <w:r>
              <w:rPr>
                <w:noProof/>
                <w:webHidden/>
              </w:rPr>
            </w:r>
            <w:r>
              <w:rPr>
                <w:noProof/>
                <w:webHidden/>
              </w:rPr>
              <w:fldChar w:fldCharType="separate"/>
            </w:r>
            <w:r>
              <w:rPr>
                <w:noProof/>
                <w:webHidden/>
              </w:rPr>
              <w:t>10</w:t>
            </w:r>
            <w:r>
              <w:rPr>
                <w:noProof/>
                <w:webHidden/>
              </w:rPr>
              <w:fldChar w:fldCharType="end"/>
            </w:r>
          </w:hyperlink>
        </w:p>
        <w:p w14:paraId="6F61C11A" w14:textId="70C33388" w:rsidR="0031777C" w:rsidRDefault="0031777C">
          <w:pPr>
            <w:pStyle w:val="TOC3"/>
            <w:tabs>
              <w:tab w:val="right" w:leader="dot" w:pos="9350"/>
            </w:tabs>
            <w:rPr>
              <w:noProof/>
              <w:kern w:val="2"/>
              <w:lang w:val="en-GB" w:eastAsia="en-GB"/>
              <w14:ligatures w14:val="standardContextual"/>
            </w:rPr>
          </w:pPr>
          <w:hyperlink w:anchor="_Toc225020402" w:history="1">
            <w:r w:rsidRPr="00707E75">
              <w:rPr>
                <w:rStyle w:val="Hyperlink"/>
                <w:noProof/>
              </w:rPr>
              <w:t>3.3.1 Connecting Rod bolt at 6000 RPM with gas forces</w:t>
            </w:r>
            <w:r>
              <w:rPr>
                <w:noProof/>
                <w:webHidden/>
              </w:rPr>
              <w:tab/>
            </w:r>
            <w:r>
              <w:rPr>
                <w:noProof/>
                <w:webHidden/>
              </w:rPr>
              <w:fldChar w:fldCharType="begin"/>
            </w:r>
            <w:r>
              <w:rPr>
                <w:noProof/>
                <w:webHidden/>
              </w:rPr>
              <w:instrText xml:space="preserve"> PAGEREF _Toc225020402 \h </w:instrText>
            </w:r>
            <w:r>
              <w:rPr>
                <w:noProof/>
                <w:webHidden/>
              </w:rPr>
            </w:r>
            <w:r>
              <w:rPr>
                <w:noProof/>
                <w:webHidden/>
              </w:rPr>
              <w:fldChar w:fldCharType="separate"/>
            </w:r>
            <w:r>
              <w:rPr>
                <w:noProof/>
                <w:webHidden/>
              </w:rPr>
              <w:t>12</w:t>
            </w:r>
            <w:r>
              <w:rPr>
                <w:noProof/>
                <w:webHidden/>
              </w:rPr>
              <w:fldChar w:fldCharType="end"/>
            </w:r>
          </w:hyperlink>
        </w:p>
        <w:p w14:paraId="1439FC95" w14:textId="1A613F5B" w:rsidR="0031777C" w:rsidRDefault="0031777C">
          <w:pPr>
            <w:pStyle w:val="TOC1"/>
            <w:tabs>
              <w:tab w:val="right" w:leader="dot" w:pos="9350"/>
            </w:tabs>
            <w:rPr>
              <w:noProof/>
              <w:kern w:val="2"/>
              <w:lang w:val="en-GB" w:eastAsia="en-GB"/>
              <w14:ligatures w14:val="standardContextual"/>
            </w:rPr>
          </w:pPr>
          <w:hyperlink w:anchor="_Toc225020403" w:history="1">
            <w:r w:rsidRPr="00707E75">
              <w:rPr>
                <w:rStyle w:val="Hyperlink"/>
                <w:noProof/>
              </w:rPr>
              <w:t>Chapter 4 – Connecting Rod Bolt redesign</w:t>
            </w:r>
            <w:r>
              <w:rPr>
                <w:noProof/>
                <w:webHidden/>
              </w:rPr>
              <w:tab/>
            </w:r>
            <w:r>
              <w:rPr>
                <w:noProof/>
                <w:webHidden/>
              </w:rPr>
              <w:fldChar w:fldCharType="begin"/>
            </w:r>
            <w:r>
              <w:rPr>
                <w:noProof/>
                <w:webHidden/>
              </w:rPr>
              <w:instrText xml:space="preserve"> PAGEREF _Toc225020403 \h </w:instrText>
            </w:r>
            <w:r>
              <w:rPr>
                <w:noProof/>
                <w:webHidden/>
              </w:rPr>
            </w:r>
            <w:r>
              <w:rPr>
                <w:noProof/>
                <w:webHidden/>
              </w:rPr>
              <w:fldChar w:fldCharType="separate"/>
            </w:r>
            <w:r>
              <w:rPr>
                <w:noProof/>
                <w:webHidden/>
              </w:rPr>
              <w:t>13</w:t>
            </w:r>
            <w:r>
              <w:rPr>
                <w:noProof/>
                <w:webHidden/>
              </w:rPr>
              <w:fldChar w:fldCharType="end"/>
            </w:r>
          </w:hyperlink>
        </w:p>
        <w:p w14:paraId="0F9B969B" w14:textId="5F2330A3" w:rsidR="0031777C" w:rsidRDefault="0031777C">
          <w:pPr>
            <w:pStyle w:val="TOC2"/>
            <w:tabs>
              <w:tab w:val="right" w:leader="dot" w:pos="9350"/>
            </w:tabs>
            <w:rPr>
              <w:noProof/>
              <w:kern w:val="2"/>
              <w:lang w:val="en-GB" w:eastAsia="en-GB"/>
              <w14:ligatures w14:val="standardContextual"/>
            </w:rPr>
          </w:pPr>
          <w:hyperlink w:anchor="_Toc225020404" w:history="1">
            <w:r w:rsidRPr="00707E75">
              <w:rPr>
                <w:rStyle w:val="Hyperlink"/>
                <w:noProof/>
              </w:rPr>
              <w:t>4.1 Geometric Consideration</w:t>
            </w:r>
            <w:r>
              <w:rPr>
                <w:noProof/>
                <w:webHidden/>
              </w:rPr>
              <w:tab/>
            </w:r>
            <w:r>
              <w:rPr>
                <w:noProof/>
                <w:webHidden/>
              </w:rPr>
              <w:fldChar w:fldCharType="begin"/>
            </w:r>
            <w:r>
              <w:rPr>
                <w:noProof/>
                <w:webHidden/>
              </w:rPr>
              <w:instrText xml:space="preserve"> PAGEREF _Toc225020404 \h </w:instrText>
            </w:r>
            <w:r>
              <w:rPr>
                <w:noProof/>
                <w:webHidden/>
              </w:rPr>
            </w:r>
            <w:r>
              <w:rPr>
                <w:noProof/>
                <w:webHidden/>
              </w:rPr>
              <w:fldChar w:fldCharType="separate"/>
            </w:r>
            <w:r>
              <w:rPr>
                <w:noProof/>
                <w:webHidden/>
              </w:rPr>
              <w:t>14</w:t>
            </w:r>
            <w:r>
              <w:rPr>
                <w:noProof/>
                <w:webHidden/>
              </w:rPr>
              <w:fldChar w:fldCharType="end"/>
            </w:r>
          </w:hyperlink>
        </w:p>
        <w:p w14:paraId="5EED6DCE" w14:textId="01E30FD5" w:rsidR="0031777C" w:rsidRDefault="0031777C">
          <w:pPr>
            <w:pStyle w:val="TOC2"/>
            <w:tabs>
              <w:tab w:val="right" w:leader="dot" w:pos="9350"/>
            </w:tabs>
            <w:rPr>
              <w:noProof/>
              <w:kern w:val="2"/>
              <w:lang w:val="en-GB" w:eastAsia="en-GB"/>
              <w14:ligatures w14:val="standardContextual"/>
            </w:rPr>
          </w:pPr>
          <w:hyperlink w:anchor="_Toc225020405" w:history="1">
            <w:r w:rsidRPr="00707E75">
              <w:rPr>
                <w:rStyle w:val="Hyperlink"/>
                <w:noProof/>
              </w:rPr>
              <w:t>4.2 Material Consideration</w:t>
            </w:r>
            <w:r>
              <w:rPr>
                <w:noProof/>
                <w:webHidden/>
              </w:rPr>
              <w:tab/>
            </w:r>
            <w:r>
              <w:rPr>
                <w:noProof/>
                <w:webHidden/>
              </w:rPr>
              <w:fldChar w:fldCharType="begin"/>
            </w:r>
            <w:r>
              <w:rPr>
                <w:noProof/>
                <w:webHidden/>
              </w:rPr>
              <w:instrText xml:space="preserve"> PAGEREF _Toc225020405 \h </w:instrText>
            </w:r>
            <w:r>
              <w:rPr>
                <w:noProof/>
                <w:webHidden/>
              </w:rPr>
            </w:r>
            <w:r>
              <w:rPr>
                <w:noProof/>
                <w:webHidden/>
              </w:rPr>
              <w:fldChar w:fldCharType="separate"/>
            </w:r>
            <w:r>
              <w:rPr>
                <w:noProof/>
                <w:webHidden/>
              </w:rPr>
              <w:t>16</w:t>
            </w:r>
            <w:r>
              <w:rPr>
                <w:noProof/>
                <w:webHidden/>
              </w:rPr>
              <w:fldChar w:fldCharType="end"/>
            </w:r>
          </w:hyperlink>
        </w:p>
        <w:p w14:paraId="559A6C33" w14:textId="694D636D" w:rsidR="0031777C" w:rsidRDefault="0031777C">
          <w:pPr>
            <w:pStyle w:val="TOC1"/>
            <w:tabs>
              <w:tab w:val="right" w:leader="dot" w:pos="9350"/>
            </w:tabs>
            <w:rPr>
              <w:noProof/>
              <w:kern w:val="2"/>
              <w:lang w:val="en-GB" w:eastAsia="en-GB"/>
              <w14:ligatures w14:val="standardContextual"/>
            </w:rPr>
          </w:pPr>
          <w:hyperlink w:anchor="_Toc225020406" w:history="1">
            <w:r w:rsidRPr="00707E75">
              <w:rPr>
                <w:rStyle w:val="Hyperlink"/>
                <w:noProof/>
              </w:rPr>
              <w:t>Chapter 5 – Torque Generation</w:t>
            </w:r>
            <w:r>
              <w:rPr>
                <w:noProof/>
                <w:webHidden/>
              </w:rPr>
              <w:tab/>
            </w:r>
            <w:r>
              <w:rPr>
                <w:noProof/>
                <w:webHidden/>
              </w:rPr>
              <w:fldChar w:fldCharType="begin"/>
            </w:r>
            <w:r>
              <w:rPr>
                <w:noProof/>
                <w:webHidden/>
              </w:rPr>
              <w:instrText xml:space="preserve"> PAGEREF _Toc225020406 \h </w:instrText>
            </w:r>
            <w:r>
              <w:rPr>
                <w:noProof/>
                <w:webHidden/>
              </w:rPr>
            </w:r>
            <w:r>
              <w:rPr>
                <w:noProof/>
                <w:webHidden/>
              </w:rPr>
              <w:fldChar w:fldCharType="separate"/>
            </w:r>
            <w:r>
              <w:rPr>
                <w:noProof/>
                <w:webHidden/>
              </w:rPr>
              <w:t>18</w:t>
            </w:r>
            <w:r>
              <w:rPr>
                <w:noProof/>
                <w:webHidden/>
              </w:rPr>
              <w:fldChar w:fldCharType="end"/>
            </w:r>
          </w:hyperlink>
        </w:p>
        <w:p w14:paraId="2035BDBE" w14:textId="7C06293F" w:rsidR="0031777C" w:rsidRDefault="0031777C">
          <w:pPr>
            <w:pStyle w:val="TOC2"/>
            <w:tabs>
              <w:tab w:val="right" w:leader="dot" w:pos="9350"/>
            </w:tabs>
            <w:rPr>
              <w:noProof/>
              <w:kern w:val="2"/>
              <w:lang w:val="en-GB" w:eastAsia="en-GB"/>
              <w14:ligatures w14:val="standardContextual"/>
            </w:rPr>
          </w:pPr>
          <w:hyperlink w:anchor="_Toc225020407" w:history="1">
            <w:r w:rsidRPr="00707E75">
              <w:rPr>
                <w:rStyle w:val="Hyperlink"/>
                <w:noProof/>
              </w:rPr>
              <w:t>5.1 Instantaneous Torque Generation</w:t>
            </w:r>
            <w:r>
              <w:rPr>
                <w:noProof/>
                <w:webHidden/>
              </w:rPr>
              <w:tab/>
            </w:r>
            <w:r>
              <w:rPr>
                <w:noProof/>
                <w:webHidden/>
              </w:rPr>
              <w:fldChar w:fldCharType="begin"/>
            </w:r>
            <w:r>
              <w:rPr>
                <w:noProof/>
                <w:webHidden/>
              </w:rPr>
              <w:instrText xml:space="preserve"> PAGEREF _Toc225020407 \h </w:instrText>
            </w:r>
            <w:r>
              <w:rPr>
                <w:noProof/>
                <w:webHidden/>
              </w:rPr>
            </w:r>
            <w:r>
              <w:rPr>
                <w:noProof/>
                <w:webHidden/>
              </w:rPr>
              <w:fldChar w:fldCharType="separate"/>
            </w:r>
            <w:r>
              <w:rPr>
                <w:noProof/>
                <w:webHidden/>
              </w:rPr>
              <w:t>18</w:t>
            </w:r>
            <w:r>
              <w:rPr>
                <w:noProof/>
                <w:webHidden/>
              </w:rPr>
              <w:fldChar w:fldCharType="end"/>
            </w:r>
          </w:hyperlink>
        </w:p>
        <w:p w14:paraId="48BCD400" w14:textId="489A5ED0" w:rsidR="0031777C" w:rsidRDefault="0031777C">
          <w:pPr>
            <w:pStyle w:val="TOC3"/>
            <w:tabs>
              <w:tab w:val="right" w:leader="dot" w:pos="9350"/>
            </w:tabs>
            <w:rPr>
              <w:noProof/>
              <w:kern w:val="2"/>
              <w:lang w:val="en-GB" w:eastAsia="en-GB"/>
              <w14:ligatures w14:val="standardContextual"/>
            </w:rPr>
          </w:pPr>
          <w:hyperlink w:anchor="_Toc225020408" w:history="1">
            <w:r w:rsidRPr="00707E75">
              <w:rPr>
                <w:rStyle w:val="Hyperlink"/>
                <w:noProof/>
              </w:rPr>
              <w:t>5.1.1 Standard Crankshaft Configuration</w:t>
            </w:r>
            <w:r>
              <w:rPr>
                <w:noProof/>
                <w:webHidden/>
              </w:rPr>
              <w:tab/>
            </w:r>
            <w:r>
              <w:rPr>
                <w:noProof/>
                <w:webHidden/>
              </w:rPr>
              <w:fldChar w:fldCharType="begin"/>
            </w:r>
            <w:r>
              <w:rPr>
                <w:noProof/>
                <w:webHidden/>
              </w:rPr>
              <w:instrText xml:space="preserve"> PAGEREF _Toc225020408 \h </w:instrText>
            </w:r>
            <w:r>
              <w:rPr>
                <w:noProof/>
                <w:webHidden/>
              </w:rPr>
            </w:r>
            <w:r>
              <w:rPr>
                <w:noProof/>
                <w:webHidden/>
              </w:rPr>
              <w:fldChar w:fldCharType="separate"/>
            </w:r>
            <w:r>
              <w:rPr>
                <w:noProof/>
                <w:webHidden/>
              </w:rPr>
              <w:t>18</w:t>
            </w:r>
            <w:r>
              <w:rPr>
                <w:noProof/>
                <w:webHidden/>
              </w:rPr>
              <w:fldChar w:fldCharType="end"/>
            </w:r>
          </w:hyperlink>
        </w:p>
        <w:p w14:paraId="0F1DE3C3" w14:textId="1D8BBEEE" w:rsidR="0031777C" w:rsidRDefault="0031777C">
          <w:pPr>
            <w:pStyle w:val="TOC3"/>
            <w:tabs>
              <w:tab w:val="right" w:leader="dot" w:pos="9350"/>
            </w:tabs>
            <w:rPr>
              <w:noProof/>
              <w:kern w:val="2"/>
              <w:lang w:val="en-GB" w:eastAsia="en-GB"/>
              <w14:ligatures w14:val="standardContextual"/>
            </w:rPr>
          </w:pPr>
          <w:hyperlink w:anchor="_Toc225020409" w:history="1">
            <w:r w:rsidRPr="00707E75">
              <w:rPr>
                <w:rStyle w:val="Hyperlink"/>
                <w:noProof/>
                <w:lang w:val="en-GB"/>
              </w:rPr>
              <w:t>5.1.2 Cross-Plane Crankshaft Configuration</w:t>
            </w:r>
            <w:r>
              <w:rPr>
                <w:noProof/>
                <w:webHidden/>
              </w:rPr>
              <w:tab/>
            </w:r>
            <w:r>
              <w:rPr>
                <w:noProof/>
                <w:webHidden/>
              </w:rPr>
              <w:fldChar w:fldCharType="begin"/>
            </w:r>
            <w:r>
              <w:rPr>
                <w:noProof/>
                <w:webHidden/>
              </w:rPr>
              <w:instrText xml:space="preserve"> PAGEREF _Toc225020409 \h </w:instrText>
            </w:r>
            <w:r>
              <w:rPr>
                <w:noProof/>
                <w:webHidden/>
              </w:rPr>
            </w:r>
            <w:r>
              <w:rPr>
                <w:noProof/>
                <w:webHidden/>
              </w:rPr>
              <w:fldChar w:fldCharType="separate"/>
            </w:r>
            <w:r>
              <w:rPr>
                <w:noProof/>
                <w:webHidden/>
              </w:rPr>
              <w:t>19</w:t>
            </w:r>
            <w:r>
              <w:rPr>
                <w:noProof/>
                <w:webHidden/>
              </w:rPr>
              <w:fldChar w:fldCharType="end"/>
            </w:r>
          </w:hyperlink>
        </w:p>
        <w:p w14:paraId="08B76890" w14:textId="49AE5E70" w:rsidR="0031777C" w:rsidRDefault="0031777C">
          <w:pPr>
            <w:pStyle w:val="TOC3"/>
            <w:tabs>
              <w:tab w:val="right" w:leader="dot" w:pos="9350"/>
            </w:tabs>
            <w:rPr>
              <w:noProof/>
              <w:kern w:val="2"/>
              <w:lang w:val="en-GB" w:eastAsia="en-GB"/>
              <w14:ligatures w14:val="standardContextual"/>
            </w:rPr>
          </w:pPr>
          <w:hyperlink w:anchor="_Toc225020410" w:history="1">
            <w:r w:rsidRPr="00707E75">
              <w:rPr>
                <w:rStyle w:val="Hyperlink"/>
                <w:noProof/>
              </w:rPr>
              <w:t>5.1.3 Comparison of gas and inertia torque</w:t>
            </w:r>
            <w:r>
              <w:rPr>
                <w:noProof/>
                <w:webHidden/>
              </w:rPr>
              <w:tab/>
            </w:r>
            <w:r>
              <w:rPr>
                <w:noProof/>
                <w:webHidden/>
              </w:rPr>
              <w:fldChar w:fldCharType="begin"/>
            </w:r>
            <w:r>
              <w:rPr>
                <w:noProof/>
                <w:webHidden/>
              </w:rPr>
              <w:instrText xml:space="preserve"> PAGEREF _Toc225020410 \h </w:instrText>
            </w:r>
            <w:r>
              <w:rPr>
                <w:noProof/>
                <w:webHidden/>
              </w:rPr>
            </w:r>
            <w:r>
              <w:rPr>
                <w:noProof/>
                <w:webHidden/>
              </w:rPr>
              <w:fldChar w:fldCharType="separate"/>
            </w:r>
            <w:r>
              <w:rPr>
                <w:noProof/>
                <w:webHidden/>
              </w:rPr>
              <w:t>20</w:t>
            </w:r>
            <w:r>
              <w:rPr>
                <w:noProof/>
                <w:webHidden/>
              </w:rPr>
              <w:fldChar w:fldCharType="end"/>
            </w:r>
          </w:hyperlink>
        </w:p>
        <w:p w14:paraId="7F33230B" w14:textId="11222185" w:rsidR="0031777C" w:rsidRDefault="0031777C">
          <w:pPr>
            <w:pStyle w:val="TOC3"/>
            <w:tabs>
              <w:tab w:val="right" w:leader="dot" w:pos="9350"/>
            </w:tabs>
            <w:rPr>
              <w:noProof/>
              <w:kern w:val="2"/>
              <w:lang w:val="en-GB" w:eastAsia="en-GB"/>
              <w14:ligatures w14:val="standardContextual"/>
            </w:rPr>
          </w:pPr>
          <w:hyperlink w:anchor="_Toc225020411" w:history="1">
            <w:r w:rsidRPr="00707E75">
              <w:rPr>
                <w:rStyle w:val="Hyperlink"/>
                <w:noProof/>
                <w:lang w:val="en-GB"/>
              </w:rPr>
              <w:t>5.1.4 Crank Torque</w:t>
            </w:r>
            <w:r>
              <w:rPr>
                <w:noProof/>
                <w:webHidden/>
              </w:rPr>
              <w:tab/>
            </w:r>
            <w:r>
              <w:rPr>
                <w:noProof/>
                <w:webHidden/>
              </w:rPr>
              <w:fldChar w:fldCharType="begin"/>
            </w:r>
            <w:r>
              <w:rPr>
                <w:noProof/>
                <w:webHidden/>
              </w:rPr>
              <w:instrText xml:space="preserve"> PAGEREF _Toc225020411 \h </w:instrText>
            </w:r>
            <w:r>
              <w:rPr>
                <w:noProof/>
                <w:webHidden/>
              </w:rPr>
            </w:r>
            <w:r>
              <w:rPr>
                <w:noProof/>
                <w:webHidden/>
              </w:rPr>
              <w:fldChar w:fldCharType="separate"/>
            </w:r>
            <w:r>
              <w:rPr>
                <w:noProof/>
                <w:webHidden/>
              </w:rPr>
              <w:t>20</w:t>
            </w:r>
            <w:r>
              <w:rPr>
                <w:noProof/>
                <w:webHidden/>
              </w:rPr>
              <w:fldChar w:fldCharType="end"/>
            </w:r>
          </w:hyperlink>
        </w:p>
        <w:p w14:paraId="67D448D1" w14:textId="16A99A2A" w:rsidR="0031777C" w:rsidRDefault="0031777C">
          <w:pPr>
            <w:pStyle w:val="TOC2"/>
            <w:tabs>
              <w:tab w:val="right" w:leader="dot" w:pos="9350"/>
            </w:tabs>
            <w:rPr>
              <w:noProof/>
              <w:kern w:val="2"/>
              <w:lang w:val="en-GB" w:eastAsia="en-GB"/>
              <w14:ligatures w14:val="standardContextual"/>
            </w:rPr>
          </w:pPr>
          <w:hyperlink w:anchor="_Toc225020412" w:history="1">
            <w:r w:rsidRPr="00707E75">
              <w:rPr>
                <w:rStyle w:val="Hyperlink"/>
                <w:noProof/>
                <w:lang w:val="en-GB"/>
              </w:rPr>
              <w:t>5.2 Mean Torque Comparison</w:t>
            </w:r>
            <w:r>
              <w:rPr>
                <w:noProof/>
                <w:webHidden/>
              </w:rPr>
              <w:tab/>
            </w:r>
            <w:r>
              <w:rPr>
                <w:noProof/>
                <w:webHidden/>
              </w:rPr>
              <w:fldChar w:fldCharType="begin"/>
            </w:r>
            <w:r>
              <w:rPr>
                <w:noProof/>
                <w:webHidden/>
              </w:rPr>
              <w:instrText xml:space="preserve"> PAGEREF _Toc225020412 \h </w:instrText>
            </w:r>
            <w:r>
              <w:rPr>
                <w:noProof/>
                <w:webHidden/>
              </w:rPr>
            </w:r>
            <w:r>
              <w:rPr>
                <w:noProof/>
                <w:webHidden/>
              </w:rPr>
              <w:fldChar w:fldCharType="separate"/>
            </w:r>
            <w:r>
              <w:rPr>
                <w:noProof/>
                <w:webHidden/>
              </w:rPr>
              <w:t>21</w:t>
            </w:r>
            <w:r>
              <w:rPr>
                <w:noProof/>
                <w:webHidden/>
              </w:rPr>
              <w:fldChar w:fldCharType="end"/>
            </w:r>
          </w:hyperlink>
        </w:p>
        <w:p w14:paraId="55FA6273" w14:textId="2EC3DE40" w:rsidR="0031777C" w:rsidRDefault="0031777C">
          <w:pPr>
            <w:pStyle w:val="TOC1"/>
            <w:tabs>
              <w:tab w:val="right" w:leader="dot" w:pos="9350"/>
            </w:tabs>
            <w:rPr>
              <w:noProof/>
              <w:kern w:val="2"/>
              <w:lang w:val="en-GB" w:eastAsia="en-GB"/>
              <w14:ligatures w14:val="standardContextual"/>
            </w:rPr>
          </w:pPr>
          <w:hyperlink w:anchor="_Toc225020413" w:history="1">
            <w:r w:rsidRPr="00707E75">
              <w:rPr>
                <w:rStyle w:val="Hyperlink"/>
                <w:noProof/>
              </w:rPr>
              <w:t>Chapter 6 – Conclusion</w:t>
            </w:r>
            <w:r>
              <w:rPr>
                <w:noProof/>
                <w:webHidden/>
              </w:rPr>
              <w:tab/>
            </w:r>
            <w:r>
              <w:rPr>
                <w:noProof/>
                <w:webHidden/>
              </w:rPr>
              <w:fldChar w:fldCharType="begin"/>
            </w:r>
            <w:r>
              <w:rPr>
                <w:noProof/>
                <w:webHidden/>
              </w:rPr>
              <w:instrText xml:space="preserve"> PAGEREF _Toc225020413 \h </w:instrText>
            </w:r>
            <w:r>
              <w:rPr>
                <w:noProof/>
                <w:webHidden/>
              </w:rPr>
            </w:r>
            <w:r>
              <w:rPr>
                <w:noProof/>
                <w:webHidden/>
              </w:rPr>
              <w:fldChar w:fldCharType="separate"/>
            </w:r>
            <w:r>
              <w:rPr>
                <w:noProof/>
                <w:webHidden/>
              </w:rPr>
              <w:t>22</w:t>
            </w:r>
            <w:r>
              <w:rPr>
                <w:noProof/>
                <w:webHidden/>
              </w:rPr>
              <w:fldChar w:fldCharType="end"/>
            </w:r>
          </w:hyperlink>
        </w:p>
        <w:p w14:paraId="019FBE88" w14:textId="37EF6A18" w:rsidR="0031777C" w:rsidRDefault="0031777C">
          <w:pPr>
            <w:pStyle w:val="TOC1"/>
            <w:tabs>
              <w:tab w:val="right" w:leader="dot" w:pos="9350"/>
            </w:tabs>
            <w:rPr>
              <w:noProof/>
              <w:kern w:val="2"/>
              <w:lang w:val="en-GB" w:eastAsia="en-GB"/>
              <w14:ligatures w14:val="standardContextual"/>
            </w:rPr>
          </w:pPr>
          <w:hyperlink w:anchor="_Toc225020414" w:history="1">
            <w:r w:rsidRPr="00707E75">
              <w:rPr>
                <w:rStyle w:val="Hyperlink"/>
                <w:noProof/>
              </w:rPr>
              <w:t>References</w:t>
            </w:r>
            <w:r>
              <w:rPr>
                <w:noProof/>
                <w:webHidden/>
              </w:rPr>
              <w:tab/>
            </w:r>
            <w:r>
              <w:rPr>
                <w:noProof/>
                <w:webHidden/>
              </w:rPr>
              <w:fldChar w:fldCharType="begin"/>
            </w:r>
            <w:r>
              <w:rPr>
                <w:noProof/>
                <w:webHidden/>
              </w:rPr>
              <w:instrText xml:space="preserve"> PAGEREF _Toc225020414 \h </w:instrText>
            </w:r>
            <w:r>
              <w:rPr>
                <w:noProof/>
                <w:webHidden/>
              </w:rPr>
            </w:r>
            <w:r>
              <w:rPr>
                <w:noProof/>
                <w:webHidden/>
              </w:rPr>
              <w:fldChar w:fldCharType="separate"/>
            </w:r>
            <w:r>
              <w:rPr>
                <w:noProof/>
                <w:webHidden/>
              </w:rPr>
              <w:t>23</w:t>
            </w:r>
            <w:r>
              <w:rPr>
                <w:noProof/>
                <w:webHidden/>
              </w:rPr>
              <w:fldChar w:fldCharType="end"/>
            </w:r>
          </w:hyperlink>
        </w:p>
        <w:p w14:paraId="685D1855" w14:textId="21E25388" w:rsidR="0031777C" w:rsidRDefault="0031777C">
          <w:pPr>
            <w:pStyle w:val="TOC1"/>
            <w:tabs>
              <w:tab w:val="right" w:leader="dot" w:pos="9350"/>
            </w:tabs>
            <w:rPr>
              <w:noProof/>
              <w:kern w:val="2"/>
              <w:lang w:val="en-GB" w:eastAsia="en-GB"/>
              <w14:ligatures w14:val="standardContextual"/>
            </w:rPr>
          </w:pPr>
          <w:hyperlink w:anchor="_Toc225020415" w:history="1">
            <w:r w:rsidRPr="00707E75">
              <w:rPr>
                <w:rStyle w:val="Hyperlink"/>
                <w:noProof/>
              </w:rPr>
              <w:t>Appendix</w:t>
            </w:r>
            <w:r>
              <w:rPr>
                <w:noProof/>
                <w:webHidden/>
              </w:rPr>
              <w:tab/>
            </w:r>
            <w:r>
              <w:rPr>
                <w:noProof/>
                <w:webHidden/>
              </w:rPr>
              <w:fldChar w:fldCharType="begin"/>
            </w:r>
            <w:r>
              <w:rPr>
                <w:noProof/>
                <w:webHidden/>
              </w:rPr>
              <w:instrText xml:space="preserve"> PAGEREF _Toc225020415 \h </w:instrText>
            </w:r>
            <w:r>
              <w:rPr>
                <w:noProof/>
                <w:webHidden/>
              </w:rPr>
            </w:r>
            <w:r>
              <w:rPr>
                <w:noProof/>
                <w:webHidden/>
              </w:rPr>
              <w:fldChar w:fldCharType="separate"/>
            </w:r>
            <w:r>
              <w:rPr>
                <w:noProof/>
                <w:webHidden/>
              </w:rPr>
              <w:t>25</w:t>
            </w:r>
            <w:r>
              <w:rPr>
                <w:noProof/>
                <w:webHidden/>
              </w:rPr>
              <w:fldChar w:fldCharType="end"/>
            </w:r>
          </w:hyperlink>
        </w:p>
        <w:p w14:paraId="2008FF81" w14:textId="567B662C" w:rsidR="001F5FCD" w:rsidRDefault="001F5FCD">
          <w:r>
            <w:rPr>
              <w:b/>
              <w:bCs/>
            </w:rPr>
            <w:fldChar w:fldCharType="end"/>
          </w:r>
        </w:p>
      </w:sdtContent>
    </w:sdt>
    <w:p w14:paraId="6F8D6B68" w14:textId="77777777" w:rsidR="007C1BA7" w:rsidRDefault="007C1BA7">
      <w:pPr>
        <w:pStyle w:val="TableofFigures"/>
        <w:tabs>
          <w:tab w:val="right" w:leader="dot" w:pos="9350"/>
        </w:tabs>
      </w:pPr>
    </w:p>
    <w:p w14:paraId="0264FFC8" w14:textId="77777777" w:rsidR="007C1BA7" w:rsidRDefault="007C1BA7">
      <w:pPr>
        <w:pStyle w:val="TableofFigures"/>
        <w:tabs>
          <w:tab w:val="right" w:leader="dot" w:pos="9350"/>
        </w:tabs>
      </w:pPr>
    </w:p>
    <w:p w14:paraId="03222C17" w14:textId="77777777" w:rsidR="007C1BA7" w:rsidRDefault="007C1BA7">
      <w:pPr>
        <w:pStyle w:val="TableofFigures"/>
        <w:tabs>
          <w:tab w:val="right" w:leader="dot" w:pos="9350"/>
        </w:tabs>
      </w:pPr>
    </w:p>
    <w:p w14:paraId="45BA12C5" w14:textId="77777777" w:rsidR="001F5FCD" w:rsidRPr="001F5FCD" w:rsidRDefault="001F5FCD">
      <w:pPr>
        <w:pStyle w:val="TableofFigures"/>
        <w:tabs>
          <w:tab w:val="right" w:leader="dot" w:pos="9350"/>
        </w:tabs>
      </w:pPr>
    </w:p>
    <w:p w14:paraId="4082B368" w14:textId="54730D0B" w:rsidR="00973701" w:rsidRPr="00973701" w:rsidRDefault="00391CE2" w:rsidP="00973701">
      <w:pPr>
        <w:pStyle w:val="Heading1"/>
      </w:pPr>
      <w:bookmarkStart w:id="0" w:name="_Toc225020392"/>
      <w:r>
        <w:lastRenderedPageBreak/>
        <w:t xml:space="preserve">Chapter 1 – </w:t>
      </w:r>
      <w:r w:rsidR="00B80800">
        <w:t>I</w:t>
      </w:r>
      <w:r>
        <w:t>ntroduction</w:t>
      </w:r>
      <w:bookmarkEnd w:id="0"/>
      <w:r>
        <w:t xml:space="preserve">  </w:t>
      </w:r>
    </w:p>
    <w:p w14:paraId="5C1A32F1" w14:textId="236214C6" w:rsidR="00661D26" w:rsidRPr="00661D26" w:rsidRDefault="00661D26" w:rsidP="00661D26">
      <w:pPr>
        <w:rPr>
          <w:lang w:val="en-GB"/>
        </w:rPr>
      </w:pPr>
      <w:r w:rsidRPr="00661D26">
        <w:rPr>
          <w:lang w:val="en-GB"/>
        </w:rPr>
        <w:t>Fatigue is a critical design consideration in internal combustion engines due to the severe cyclic loading experienced (Yang et al., 2017). This report analyses the forces acting within the Ford 1.6 GDTi EcoBoost engine and evaluates the fatigue life of key bottom-end components.</w:t>
      </w:r>
    </w:p>
    <w:p w14:paraId="74213CBC" w14:textId="577B1AC9" w:rsidR="00661D26" w:rsidRPr="00661D26" w:rsidRDefault="009E4965" w:rsidP="00661D26">
      <w:pPr>
        <w:rPr>
          <w:lang w:val="en-GB"/>
        </w:rPr>
      </w:pPr>
      <w:r w:rsidRPr="009E4965">
        <w:t>Fatigue safety factors (FSF) assess resistance to cyclic loading</w:t>
      </w:r>
      <w:r w:rsidR="00661D26" w:rsidRPr="00661D26">
        <w:rPr>
          <w:lang w:val="en-GB"/>
        </w:rPr>
        <w:t>, as alternating tensile and compressive stresses can lead to crack initiation</w:t>
      </w:r>
      <w:r w:rsidR="0064657A">
        <w:rPr>
          <w:lang w:val="en-GB"/>
        </w:rPr>
        <w:t xml:space="preserve">. </w:t>
      </w:r>
      <w:r w:rsidR="00661D26" w:rsidRPr="00661D26">
        <w:rPr>
          <w:lang w:val="en-GB"/>
        </w:rPr>
        <w:t>(Mahle GmbH, 2016). Additionally, excessively high FSFs may indicate overdesign, resulting in increased mass and cost, highlighting the need for optimisation (Hwang, 2024).</w:t>
      </w:r>
    </w:p>
    <w:p w14:paraId="38B3931A" w14:textId="77777777" w:rsidR="009E37E5" w:rsidRPr="005A4683" w:rsidRDefault="009E37E5" w:rsidP="009E37E5"/>
    <w:p w14:paraId="3317E42A" w14:textId="77777777" w:rsidR="009E37E5" w:rsidRPr="005A4683" w:rsidRDefault="009E37E5" w:rsidP="009E37E5"/>
    <w:p w14:paraId="259625E3" w14:textId="77777777" w:rsidR="009E37E5" w:rsidRDefault="009E37E5" w:rsidP="009E37E5"/>
    <w:p w14:paraId="3BE3E5D1" w14:textId="77777777" w:rsidR="001F5FCD" w:rsidRDefault="001F5FCD" w:rsidP="009E37E5"/>
    <w:p w14:paraId="2CB329E7" w14:textId="77777777" w:rsidR="00973701" w:rsidRDefault="00973701" w:rsidP="009E37E5"/>
    <w:p w14:paraId="777BE444" w14:textId="77777777" w:rsidR="00973701" w:rsidRDefault="00973701" w:rsidP="009E37E5"/>
    <w:p w14:paraId="4334399F" w14:textId="77777777" w:rsidR="00973701" w:rsidRDefault="00973701" w:rsidP="009E37E5"/>
    <w:p w14:paraId="265BC21F" w14:textId="77777777" w:rsidR="001F5FCD" w:rsidRDefault="001F5FCD" w:rsidP="009E37E5"/>
    <w:p w14:paraId="2D975A1A" w14:textId="77777777" w:rsidR="008D5BD4" w:rsidRDefault="008D5BD4" w:rsidP="009E37E5"/>
    <w:p w14:paraId="231DF109" w14:textId="77777777" w:rsidR="001F5FCD" w:rsidRDefault="001F5FCD" w:rsidP="009E37E5"/>
    <w:p w14:paraId="1AB3F6AC" w14:textId="77777777" w:rsidR="001F5FCD" w:rsidRPr="005A4683" w:rsidRDefault="001F5FCD" w:rsidP="009E37E5"/>
    <w:p w14:paraId="621450E2" w14:textId="77777777" w:rsidR="009E37E5" w:rsidRPr="005A4683" w:rsidRDefault="009E37E5" w:rsidP="009E37E5"/>
    <w:p w14:paraId="1F80AA3F" w14:textId="77777777" w:rsidR="009E37E5" w:rsidRPr="005A4683" w:rsidRDefault="009E37E5" w:rsidP="009E37E5"/>
    <w:p w14:paraId="4BCBA688" w14:textId="77777777" w:rsidR="009E37E5" w:rsidRPr="005A4683" w:rsidRDefault="009E37E5" w:rsidP="009E37E5"/>
    <w:p w14:paraId="68AAA7BA" w14:textId="77777777" w:rsidR="009E37E5" w:rsidRDefault="009E37E5" w:rsidP="009E37E5"/>
    <w:p w14:paraId="1217537A" w14:textId="77777777" w:rsidR="00D51017" w:rsidRPr="005A4683" w:rsidRDefault="00D51017" w:rsidP="009E37E5"/>
    <w:p w14:paraId="75741900" w14:textId="07CBCDCC" w:rsidR="006A6077" w:rsidRDefault="006A6077" w:rsidP="006A6077">
      <w:pPr>
        <w:pStyle w:val="Heading1"/>
      </w:pPr>
      <w:bookmarkStart w:id="1" w:name="_Toc225020393"/>
      <w:r>
        <w:lastRenderedPageBreak/>
        <w:t xml:space="preserve">Chapter </w:t>
      </w:r>
      <w:r w:rsidR="00696CD1">
        <w:t>2</w:t>
      </w:r>
      <w:r>
        <w:t xml:space="preserve"> – Engine Forces</w:t>
      </w:r>
      <w:bookmarkEnd w:id="1"/>
    </w:p>
    <w:p w14:paraId="3351B506" w14:textId="7EA34736" w:rsidR="006A6077" w:rsidRPr="00E71EB6" w:rsidRDefault="00696CD1" w:rsidP="006A6077">
      <w:pPr>
        <w:pStyle w:val="Heading2"/>
      </w:pPr>
      <w:bookmarkStart w:id="2" w:name="_Toc225020394"/>
      <w:r>
        <w:t>2</w:t>
      </w:r>
      <w:r w:rsidR="006A6077">
        <w:t>.1 Inertia Forces</w:t>
      </w:r>
      <w:bookmarkEnd w:id="2"/>
    </w:p>
    <w:p w14:paraId="609A6884" w14:textId="5E67882A" w:rsidR="00AD3FEF" w:rsidRDefault="00AD3FEF" w:rsidP="00BC61B6">
      <w:r>
        <w:t>Using the piston acceleration</w:t>
      </w:r>
      <w:r w:rsidR="00AC3987">
        <w:t xml:space="preserve"> and the reciprocating component masses (piston, pin, rings and 1/3 of the connecting rod), the inertia forces</w:t>
      </w:r>
      <w:r w:rsidR="008366A0">
        <w:t xml:space="preserve"> (equation 1)</w:t>
      </w:r>
      <w:r w:rsidR="00AC3987">
        <w:t xml:space="preserve"> within the engine can be calculated</w:t>
      </w:r>
      <w:r w:rsidR="00542801">
        <w:t xml:space="preserve"> using Newton’s 2</w:t>
      </w:r>
      <w:r w:rsidR="00542801" w:rsidRPr="00542801">
        <w:rPr>
          <w:vertAlign w:val="superscript"/>
        </w:rPr>
        <w:t>nd</w:t>
      </w:r>
      <w:r w:rsidR="00542801">
        <w:t xml:space="preserve"> law</w:t>
      </w:r>
      <w:r w:rsidR="00AC3987">
        <w:t xml:space="preserve">. </w:t>
      </w:r>
    </w:p>
    <w:p w14:paraId="1EA878C8" w14:textId="13742229" w:rsidR="00542801" w:rsidRDefault="00542801" w:rsidP="00542801">
      <w:pPr>
        <w:pStyle w:val="Caption"/>
        <w:keepNext/>
        <w:jc w:val="center"/>
      </w:pPr>
      <w:r>
        <w:t xml:space="preserve">Equation </w:t>
      </w:r>
      <w:r>
        <w:fldChar w:fldCharType="begin"/>
      </w:r>
      <w:r>
        <w:instrText xml:space="preserve"> SEQ Equation \* ARABIC </w:instrText>
      </w:r>
      <w:r>
        <w:fldChar w:fldCharType="separate"/>
      </w:r>
      <w:r w:rsidR="00EC3395">
        <w:rPr>
          <w:noProof/>
        </w:rPr>
        <w:t>1</w:t>
      </w:r>
      <w:r>
        <w:fldChar w:fldCharType="end"/>
      </w:r>
      <w:r>
        <w:t xml:space="preserve"> - Inertia force.</w:t>
      </w:r>
    </w:p>
    <w:p w14:paraId="402E488E" w14:textId="77777777" w:rsidR="00AC3987" w:rsidRDefault="006A4AE5" w:rsidP="00BC61B6">
      <m:oMathPara>
        <m:oMath>
          <m:sSub>
            <m:sSubPr>
              <m:ctrlPr>
                <w:rPr>
                  <w:rFonts w:ascii="Cambria Math" w:hAnsi="Cambria Math"/>
                  <w:i/>
                </w:rPr>
              </m:ctrlPr>
            </m:sSubPr>
            <m:e>
              <m:r>
                <w:rPr>
                  <w:rFonts w:ascii="Cambria Math" w:hAnsi="Cambria Math"/>
                </w:rPr>
                <m:t>F</m:t>
              </m:r>
            </m:e>
            <m:sub>
              <m:r>
                <w:rPr>
                  <w:rFonts w:ascii="Cambria Math" w:hAnsi="Cambria Math"/>
                </w:rPr>
                <m:t>inertia</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rec</m:t>
              </m:r>
            </m:sub>
          </m:sSub>
          <m:r>
            <w:rPr>
              <w:rFonts w:ascii="Cambria Math" w:hAnsi="Cambria Math"/>
            </w:rPr>
            <m:t>×(</m:t>
          </m:r>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cosθ</m:t>
          </m:r>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r>
                <w:rPr>
                  <w:rFonts w:ascii="Cambria Math" w:hAnsi="Cambria Math"/>
                </w:rPr>
                <m:t>L</m:t>
              </m:r>
            </m:den>
          </m:f>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cos</m:t>
          </m:r>
          <m:r>
            <w:rPr>
              <w:rFonts w:ascii="Cambria Math" w:hAnsi="Cambria Math"/>
            </w:rPr>
            <m:t>2</m:t>
          </m:r>
          <m:r>
            <w:rPr>
              <w:rFonts w:ascii="Cambria Math" w:hAnsi="Cambria Math"/>
            </w:rPr>
            <m:t>θ</m:t>
          </m:r>
          <m:r>
            <w:rPr>
              <w:rFonts w:ascii="Cambria Math" w:hAnsi="Cambria Math"/>
            </w:rPr>
            <m:t>)</m:t>
          </m:r>
        </m:oMath>
      </m:oMathPara>
    </w:p>
    <w:p w14:paraId="4AA23665" w14:textId="77777777" w:rsidR="00292A10" w:rsidRDefault="006A6077" w:rsidP="00292A10">
      <w:pPr>
        <w:keepNext/>
        <w:jc w:val="center"/>
      </w:pPr>
      <w:r>
        <w:rPr>
          <w:noProof/>
        </w:rPr>
        <w:drawing>
          <wp:inline distT="0" distB="0" distL="0" distR="0" wp14:anchorId="6BEFDD83" wp14:editId="6C11D2E3">
            <wp:extent cx="4532244" cy="2815707"/>
            <wp:effectExtent l="0" t="0" r="1905" b="3810"/>
            <wp:docPr id="2125584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84908" name=""/>
                    <pic:cNvPicPr/>
                  </pic:nvPicPr>
                  <pic:blipFill>
                    <a:blip r:embed="rId12"/>
                    <a:stretch>
                      <a:fillRect/>
                    </a:stretch>
                  </pic:blipFill>
                  <pic:spPr>
                    <a:xfrm>
                      <a:off x="0" y="0"/>
                      <a:ext cx="4564703" cy="2835872"/>
                    </a:xfrm>
                    <a:prstGeom prst="rect">
                      <a:avLst/>
                    </a:prstGeom>
                  </pic:spPr>
                </pic:pic>
              </a:graphicData>
            </a:graphic>
          </wp:inline>
        </w:drawing>
      </w:r>
    </w:p>
    <w:p w14:paraId="4C0D8D1E" w14:textId="27CB1DAB" w:rsidR="00AC3987" w:rsidRDefault="00292A10" w:rsidP="00292A10">
      <w:pPr>
        <w:pStyle w:val="Caption"/>
        <w:jc w:val="center"/>
      </w:pPr>
      <w:bookmarkStart w:id="3" w:name="_Toc224562707"/>
      <w:bookmarkStart w:id="4" w:name="_Toc224564355"/>
      <w:r>
        <w:t xml:space="preserve">Figure </w:t>
      </w:r>
      <w:r>
        <w:fldChar w:fldCharType="begin"/>
      </w:r>
      <w:r>
        <w:instrText xml:space="preserve"> SEQ Figure \* ARABIC </w:instrText>
      </w:r>
      <w:r>
        <w:fldChar w:fldCharType="separate"/>
      </w:r>
      <w:r w:rsidR="00EC3395">
        <w:rPr>
          <w:noProof/>
        </w:rPr>
        <w:t>1</w:t>
      </w:r>
      <w:r>
        <w:fldChar w:fldCharType="end"/>
      </w:r>
      <w:r>
        <w:t xml:space="preserve"> - Engine Inertia forces at all RPMs.</w:t>
      </w:r>
      <w:bookmarkEnd w:id="3"/>
      <w:bookmarkEnd w:id="4"/>
    </w:p>
    <w:p w14:paraId="59686996" w14:textId="77777777" w:rsidR="003F72C4" w:rsidRPr="003F72C4" w:rsidRDefault="003F72C4" w:rsidP="003F72C4">
      <w:pPr>
        <w:rPr>
          <w:lang w:val="en-GB"/>
        </w:rPr>
      </w:pPr>
    </w:p>
    <w:p w14:paraId="3EEB9C3A" w14:textId="7570C8D4" w:rsidR="00292A10" w:rsidRDefault="0040772D" w:rsidP="00292A10">
      <w:r>
        <w:t xml:space="preserve">Figure 1 shows the peak inertia forces occurring at </w:t>
      </w:r>
      <w:r w:rsidR="008459CA">
        <w:t>crank angles representing top dead centre (TDC)</w:t>
      </w:r>
      <w:r w:rsidR="153BCB1F">
        <w:t>. This</w:t>
      </w:r>
      <w:r w:rsidR="00881BE3">
        <w:t xml:space="preserve"> is due to piston acceleration being highest</w:t>
      </w:r>
      <w:r w:rsidR="00D1063B">
        <w:t xml:space="preserve"> </w:t>
      </w:r>
      <w:r w:rsidR="007C4925">
        <w:t>here</w:t>
      </w:r>
      <w:r w:rsidR="007853A5">
        <w:t xml:space="preserve"> due to the </w:t>
      </w:r>
      <w:r w:rsidR="00E84AF5">
        <w:t>change</w:t>
      </w:r>
      <w:r w:rsidR="007853A5">
        <w:t xml:space="preserve"> in direction of motio</w:t>
      </w:r>
      <w:r w:rsidR="00271704">
        <w:t>n (</w:t>
      </w:r>
      <w:r w:rsidR="003C3C9C">
        <w:t>Heywood</w:t>
      </w:r>
      <w:r w:rsidR="009F6F93">
        <w:t>, 2019</w:t>
      </w:r>
      <w:r w:rsidR="00271704">
        <w:t>)</w:t>
      </w:r>
      <w:r w:rsidR="00D26451">
        <w:t>.</w:t>
      </w:r>
      <w:r w:rsidR="00952F97">
        <w:t xml:space="preserve"> </w:t>
      </w:r>
      <w:r w:rsidR="009218F2">
        <w:t xml:space="preserve">The graph indicates that </w:t>
      </w:r>
      <w:r w:rsidR="009F6F93">
        <w:t xml:space="preserve">as engine speed increases, inertia forces are greater, </w:t>
      </w:r>
      <w:r w:rsidR="00CA328D">
        <w:t xml:space="preserve">this is due to </w:t>
      </w:r>
      <w:r w:rsidR="004A6C24">
        <w:t>inertia</w:t>
      </w:r>
      <w:r w:rsidR="00A00DAD">
        <w:t xml:space="preserve"> being proportional to the square of angular velocity </w:t>
      </w:r>
      <w:r w:rsidR="00611466">
        <w:t>(</w:t>
      </w:r>
      <w:r w:rsidR="00A00DAD">
        <w:t>equation 1</w:t>
      </w:r>
      <w:r w:rsidR="00611466">
        <w:t>)</w:t>
      </w:r>
      <w:r w:rsidR="00A00DAD">
        <w:t xml:space="preserve">. </w:t>
      </w:r>
      <w:r w:rsidR="009B6A6B">
        <w:t xml:space="preserve">This results in higher tensile </w:t>
      </w:r>
      <w:r w:rsidR="00492AAE">
        <w:t>and compressive stresses</w:t>
      </w:r>
      <w:r w:rsidR="009B6A6B">
        <w:t xml:space="preserve"> being applied to engine components</w:t>
      </w:r>
      <w:r w:rsidR="00346DBC">
        <w:t xml:space="preserve">. </w:t>
      </w:r>
    </w:p>
    <w:p w14:paraId="62E76BF6" w14:textId="0614F4B3" w:rsidR="001A59AB" w:rsidRDefault="00696CD1" w:rsidP="006A6077">
      <w:pPr>
        <w:pStyle w:val="Heading2"/>
      </w:pPr>
      <w:bookmarkStart w:id="5" w:name="_Toc225020395"/>
      <w:r>
        <w:t>2</w:t>
      </w:r>
      <w:r w:rsidR="001A59AB">
        <w:t>.2 Gas Forces</w:t>
      </w:r>
      <w:bookmarkEnd w:id="5"/>
    </w:p>
    <w:p w14:paraId="5CC0A252" w14:textId="627A77DB" w:rsidR="00B914A8" w:rsidRDefault="00B914A8" w:rsidP="00B914A8">
      <w:pPr>
        <w:pStyle w:val="Caption"/>
        <w:keepNext/>
        <w:jc w:val="center"/>
      </w:pPr>
      <w:r>
        <w:t xml:space="preserve">Equation </w:t>
      </w:r>
      <w:r>
        <w:fldChar w:fldCharType="begin"/>
      </w:r>
      <w:r>
        <w:instrText xml:space="preserve"> SEQ Equation \* ARABIC </w:instrText>
      </w:r>
      <w:r>
        <w:fldChar w:fldCharType="separate"/>
      </w:r>
      <w:r w:rsidR="00EC3395">
        <w:rPr>
          <w:noProof/>
        </w:rPr>
        <w:t>2</w:t>
      </w:r>
      <w:r>
        <w:fldChar w:fldCharType="end"/>
      </w:r>
      <w:r>
        <w:t xml:space="preserve"> - Gas force.</w:t>
      </w:r>
    </w:p>
    <w:p w14:paraId="0290428E" w14:textId="3515B509" w:rsidR="00B914A8" w:rsidRPr="00B914A8" w:rsidRDefault="006A4AE5" w:rsidP="00292A10">
      <m:oMathPara>
        <m:oMath>
          <m:sSub>
            <m:sSubPr>
              <m:ctrlPr>
                <w:rPr>
                  <w:rFonts w:ascii="Cambria Math" w:hAnsi="Cambria Math"/>
                  <w:i/>
                </w:rPr>
              </m:ctrlPr>
            </m:sSubPr>
            <m:e>
              <m:r>
                <w:rPr>
                  <w:rFonts w:ascii="Cambria Math" w:hAnsi="Cambria Math"/>
                </w:rPr>
                <m:t>Force</m:t>
              </m:r>
            </m:e>
            <m:sub>
              <m:r>
                <w:rPr>
                  <w:rFonts w:ascii="Cambria Math" w:hAnsi="Cambria Math"/>
                </w:rPr>
                <m:t>gas</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cyl</m:t>
              </m:r>
              <m:r>
                <w:rPr>
                  <w:rFonts w:ascii="Cambria Math" w:hAnsi="Cambria Math"/>
                </w:rPr>
                <m:t xml:space="preserve"> </m:t>
              </m:r>
            </m:sub>
          </m:sSub>
          <m:r>
            <w:rPr>
              <w:rFonts w:ascii="Cambria Math" w:hAnsi="Cambria Math"/>
            </w:rPr>
            <m:t>×</m:t>
          </m:r>
          <m:r>
            <w:rPr>
              <w:rFonts w:ascii="Cambria Math" w:hAnsi="Cambria Math"/>
            </w:rPr>
            <m:t>Area</m:t>
          </m:r>
        </m:oMath>
      </m:oMathPara>
    </w:p>
    <w:p w14:paraId="282D0689" w14:textId="77777777" w:rsidR="00B914A8" w:rsidRPr="00292A10" w:rsidRDefault="00B914A8" w:rsidP="00292A10"/>
    <w:p w14:paraId="7E064647" w14:textId="77777777" w:rsidR="0060604C" w:rsidRDefault="006A6077" w:rsidP="0060604C">
      <w:pPr>
        <w:keepNext/>
        <w:jc w:val="center"/>
      </w:pPr>
      <w:r>
        <w:rPr>
          <w:noProof/>
        </w:rPr>
        <w:lastRenderedPageBreak/>
        <w:drawing>
          <wp:inline distT="0" distB="0" distL="0" distR="0" wp14:anchorId="02D448AD" wp14:editId="348EC028">
            <wp:extent cx="4467225" cy="2905606"/>
            <wp:effectExtent l="0" t="0" r="0" b="9525"/>
            <wp:docPr id="741374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374351" name=""/>
                    <pic:cNvPicPr/>
                  </pic:nvPicPr>
                  <pic:blipFill>
                    <a:blip r:embed="rId13"/>
                    <a:stretch>
                      <a:fillRect/>
                    </a:stretch>
                  </pic:blipFill>
                  <pic:spPr>
                    <a:xfrm>
                      <a:off x="0" y="0"/>
                      <a:ext cx="4502412" cy="2928493"/>
                    </a:xfrm>
                    <a:prstGeom prst="rect">
                      <a:avLst/>
                    </a:prstGeom>
                  </pic:spPr>
                </pic:pic>
              </a:graphicData>
            </a:graphic>
          </wp:inline>
        </w:drawing>
      </w:r>
    </w:p>
    <w:p w14:paraId="2E21ADC5" w14:textId="5955FD82" w:rsidR="006A6077" w:rsidRDefault="0060604C" w:rsidP="0060604C">
      <w:pPr>
        <w:pStyle w:val="Caption"/>
        <w:jc w:val="center"/>
        <w:rPr>
          <w:noProof/>
        </w:rPr>
      </w:pPr>
      <w:bookmarkStart w:id="6" w:name="_Toc224562708"/>
      <w:bookmarkStart w:id="7" w:name="_Toc224564356"/>
      <w:r>
        <w:t xml:space="preserve">Figure </w:t>
      </w:r>
      <w:r>
        <w:fldChar w:fldCharType="begin"/>
      </w:r>
      <w:r>
        <w:instrText xml:space="preserve"> SEQ Figure \* ARABIC </w:instrText>
      </w:r>
      <w:r>
        <w:fldChar w:fldCharType="separate"/>
      </w:r>
      <w:r w:rsidR="00EC3395">
        <w:rPr>
          <w:noProof/>
        </w:rPr>
        <w:t>2</w:t>
      </w:r>
      <w:r>
        <w:fldChar w:fldCharType="end"/>
      </w:r>
      <w:r>
        <w:t xml:space="preserve"> - Engine gas forces across all RPMs.</w:t>
      </w:r>
      <w:bookmarkEnd w:id="6"/>
      <w:bookmarkEnd w:id="7"/>
    </w:p>
    <w:p w14:paraId="263753F7" w14:textId="20D04FCD" w:rsidR="00121281" w:rsidRDefault="00121281" w:rsidP="006A6077">
      <w:pPr>
        <w:rPr>
          <w:noProof/>
        </w:rPr>
      </w:pPr>
      <w:r w:rsidRPr="00121281">
        <w:rPr>
          <w:noProof/>
        </w:rPr>
        <w:t xml:space="preserve">From figure 2, gas forces peak </w:t>
      </w:r>
      <w:r>
        <w:rPr>
          <w:noProof/>
        </w:rPr>
        <w:t xml:space="preserve">shortly </w:t>
      </w:r>
      <w:r w:rsidRPr="00121281">
        <w:rPr>
          <w:noProof/>
        </w:rPr>
        <w:t>after TDC, as cylinder pressure reaches its maximum</w:t>
      </w:r>
      <w:r w:rsidR="002B66AF">
        <w:rPr>
          <w:noProof/>
        </w:rPr>
        <w:t xml:space="preserve"> </w:t>
      </w:r>
      <w:r w:rsidRPr="00121281">
        <w:rPr>
          <w:noProof/>
        </w:rPr>
        <w:t xml:space="preserve">after ignition due to flame propagation (Heywood, 2019). As the piston moves towards </w:t>
      </w:r>
      <w:r w:rsidR="00DD5087">
        <w:rPr>
          <w:noProof/>
        </w:rPr>
        <w:t>BDC</w:t>
      </w:r>
      <w:r w:rsidRPr="00121281">
        <w:rPr>
          <w:noProof/>
        </w:rPr>
        <w:t xml:space="preserve">, increasing cylinder volume reduces pressure and therefore gas force. Since gas force is directly proportional to cylinder pressure (equation 2), peak gas forces increase with engine speed, reaching almost 50,000 N. </w:t>
      </w:r>
      <w:r w:rsidR="0050611B" w:rsidRPr="00D51017">
        <w:rPr>
          <w:noProof/>
        </w:rPr>
        <w:t xml:space="preserve">These forces are significantly larger than the inertia forces shown in </w:t>
      </w:r>
      <w:r w:rsidR="0050611B">
        <w:rPr>
          <w:noProof/>
        </w:rPr>
        <w:t>f</w:t>
      </w:r>
      <w:r w:rsidR="0050611B" w:rsidRPr="00D51017">
        <w:rPr>
          <w:noProof/>
        </w:rPr>
        <w:t>igure 1, as gas forces are governed by high in-cylinder pressures while inertia forces depend only on reciprocating mass and acceleration (Stone, 2012).</w:t>
      </w:r>
    </w:p>
    <w:p w14:paraId="5A17906D" w14:textId="45A6BBC6" w:rsidR="001F5FCD" w:rsidRPr="001F5FCD" w:rsidRDefault="00696CD1" w:rsidP="001F5FCD">
      <w:pPr>
        <w:pStyle w:val="Heading2"/>
        <w:rPr>
          <w:noProof/>
        </w:rPr>
      </w:pPr>
      <w:bookmarkStart w:id="8" w:name="_Toc225020396"/>
      <w:r>
        <w:rPr>
          <w:noProof/>
        </w:rPr>
        <w:t>2</w:t>
      </w:r>
      <w:r w:rsidR="006A6077">
        <w:rPr>
          <w:noProof/>
        </w:rPr>
        <w:t>.3 Net Force</w:t>
      </w:r>
      <w:bookmarkEnd w:id="8"/>
    </w:p>
    <w:p w14:paraId="2291311F" w14:textId="24FCE786" w:rsidR="00E561AC" w:rsidRDefault="00E561AC" w:rsidP="001F5FCD">
      <w:r w:rsidRPr="00E561AC">
        <w:t xml:space="preserve">The net force </w:t>
      </w:r>
      <w:r>
        <w:t>is calculated to show</w:t>
      </w:r>
      <w:r w:rsidRPr="00E561AC">
        <w:t xml:space="preserve"> the combined effect of gas and inertia force acting on the piston</w:t>
      </w:r>
      <w:r>
        <w:t>.</w:t>
      </w:r>
      <w:r w:rsidR="00700E89">
        <w:t xml:space="preserve"> </w:t>
      </w:r>
      <w:r w:rsidR="00423070">
        <w:t xml:space="preserve">The negative forces show the compressive force acting on the piston, whereas the positive values represent tensile loading. </w:t>
      </w:r>
    </w:p>
    <w:p w14:paraId="6BF12472" w14:textId="77777777" w:rsidR="00E561AC" w:rsidRPr="00E561AC" w:rsidRDefault="00E561AC" w:rsidP="001F5FCD"/>
    <w:p w14:paraId="57DED2A4" w14:textId="77777777" w:rsidR="00D51017" w:rsidRDefault="006A6077" w:rsidP="00D51017">
      <w:pPr>
        <w:keepNext/>
        <w:jc w:val="center"/>
      </w:pPr>
      <w:r>
        <w:rPr>
          <w:noProof/>
        </w:rPr>
        <w:lastRenderedPageBreak/>
        <w:drawing>
          <wp:inline distT="0" distB="0" distL="0" distR="0" wp14:anchorId="5F3158C1" wp14:editId="15AB9453">
            <wp:extent cx="4648200" cy="3139025"/>
            <wp:effectExtent l="0" t="0" r="0" b="4445"/>
            <wp:docPr id="508999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999700" name=""/>
                    <pic:cNvPicPr/>
                  </pic:nvPicPr>
                  <pic:blipFill>
                    <a:blip r:embed="rId14"/>
                    <a:stretch>
                      <a:fillRect/>
                    </a:stretch>
                  </pic:blipFill>
                  <pic:spPr>
                    <a:xfrm>
                      <a:off x="0" y="0"/>
                      <a:ext cx="4668651" cy="3152836"/>
                    </a:xfrm>
                    <a:prstGeom prst="rect">
                      <a:avLst/>
                    </a:prstGeom>
                  </pic:spPr>
                </pic:pic>
              </a:graphicData>
            </a:graphic>
          </wp:inline>
        </w:drawing>
      </w:r>
    </w:p>
    <w:p w14:paraId="0CFCAEA5" w14:textId="10B86018" w:rsidR="006A5990" w:rsidRDefault="00D51017" w:rsidP="00D51017">
      <w:pPr>
        <w:pStyle w:val="Caption"/>
        <w:jc w:val="center"/>
      </w:pPr>
      <w:bookmarkStart w:id="9" w:name="_Toc224562709"/>
      <w:bookmarkStart w:id="10" w:name="_Toc224564357"/>
      <w:r>
        <w:t xml:space="preserve">Figure </w:t>
      </w:r>
      <w:r>
        <w:fldChar w:fldCharType="begin"/>
      </w:r>
      <w:r>
        <w:instrText xml:space="preserve"> SEQ Figure \* ARABIC </w:instrText>
      </w:r>
      <w:r>
        <w:fldChar w:fldCharType="separate"/>
      </w:r>
      <w:r w:rsidR="00EC3395">
        <w:rPr>
          <w:noProof/>
        </w:rPr>
        <w:t>3</w:t>
      </w:r>
      <w:r>
        <w:fldChar w:fldCharType="end"/>
      </w:r>
      <w:r>
        <w:t xml:space="preserve"> - </w:t>
      </w:r>
      <w:r w:rsidRPr="00175AA1">
        <w:t>Net force (N) across all engine speeds.</w:t>
      </w:r>
      <w:bookmarkEnd w:id="9"/>
      <w:bookmarkEnd w:id="10"/>
    </w:p>
    <w:p w14:paraId="1C5590C4" w14:textId="6EF0EACB" w:rsidR="003663F8" w:rsidRDefault="00907D70" w:rsidP="001F5FCD">
      <w:r>
        <w:t xml:space="preserve">Figure 3 confirms that </w:t>
      </w:r>
      <w:r w:rsidR="00637D8F">
        <w:t xml:space="preserve">inertia forces dominate </w:t>
      </w:r>
      <w:r w:rsidR="000C3490">
        <w:t xml:space="preserve">tensile loading on the piston and subsequent components due to positive net forces </w:t>
      </w:r>
      <w:r w:rsidR="008D7EB1">
        <w:t>near TDC where acceleration is highest</w:t>
      </w:r>
      <w:r w:rsidR="00A96838">
        <w:t xml:space="preserve">. Whereas gas forces </w:t>
      </w:r>
      <w:r w:rsidR="00A14CBA">
        <w:t xml:space="preserve">produce the dominant compressive loading due to large negative forces </w:t>
      </w:r>
      <w:r w:rsidR="00007F49">
        <w:t>during combustion/beginning of the expansion stroke.</w:t>
      </w:r>
    </w:p>
    <w:p w14:paraId="686EE125" w14:textId="77777777" w:rsidR="001F5FCD" w:rsidRDefault="001F5FCD" w:rsidP="001F5FCD"/>
    <w:p w14:paraId="6AE95C89" w14:textId="77777777" w:rsidR="001F5FCD" w:rsidRDefault="001F5FCD" w:rsidP="001F5FCD"/>
    <w:p w14:paraId="4B95E59A" w14:textId="77777777" w:rsidR="001F5FCD" w:rsidRDefault="001F5FCD" w:rsidP="001F5FCD"/>
    <w:p w14:paraId="192F7A43" w14:textId="77777777" w:rsidR="001F5FCD" w:rsidRDefault="001F5FCD" w:rsidP="001F5FCD"/>
    <w:p w14:paraId="730BFA8C" w14:textId="77777777" w:rsidR="00D51017" w:rsidRDefault="00D51017" w:rsidP="001F5FCD"/>
    <w:p w14:paraId="3160EAA1" w14:textId="77777777" w:rsidR="00D51017" w:rsidRDefault="00D51017" w:rsidP="001F5FCD"/>
    <w:p w14:paraId="11D2FAB0" w14:textId="77777777" w:rsidR="00D51017" w:rsidRDefault="00D51017" w:rsidP="001F5FCD"/>
    <w:p w14:paraId="103B7870" w14:textId="77777777" w:rsidR="00D51017" w:rsidRDefault="00D51017" w:rsidP="001F5FCD"/>
    <w:p w14:paraId="6FC8D06F" w14:textId="77777777" w:rsidR="001F5FCD" w:rsidRPr="006A6077" w:rsidRDefault="001F5FCD" w:rsidP="001F5FCD"/>
    <w:p w14:paraId="07EC007F" w14:textId="19F22CB0" w:rsidR="00655911" w:rsidRPr="00655911" w:rsidRDefault="00A4398A" w:rsidP="006A6077">
      <w:pPr>
        <w:pStyle w:val="Heading1"/>
      </w:pPr>
      <w:bookmarkStart w:id="11" w:name="_Toc225020397"/>
      <w:r w:rsidRPr="005A4683">
        <w:lastRenderedPageBreak/>
        <w:t xml:space="preserve">Chapter </w:t>
      </w:r>
      <w:r w:rsidR="00D165B6">
        <w:t>3</w:t>
      </w:r>
      <w:r w:rsidRPr="005A4683">
        <w:t xml:space="preserve"> </w:t>
      </w:r>
      <w:r w:rsidR="00DF67C2" w:rsidRPr="005A4683">
        <w:t>–</w:t>
      </w:r>
      <w:r w:rsidRPr="005A4683">
        <w:t xml:space="preserve"> </w:t>
      </w:r>
      <w:r w:rsidR="00DF67C2" w:rsidRPr="005A4683">
        <w:t>Analysing Components</w:t>
      </w:r>
      <w:bookmarkEnd w:id="11"/>
      <w:r w:rsidR="00DF67C2" w:rsidRPr="005A4683">
        <w:t xml:space="preserve"> </w:t>
      </w:r>
    </w:p>
    <w:p w14:paraId="727FE93D" w14:textId="765FEF6A" w:rsidR="00ED3CCD" w:rsidRDefault="00D165B6" w:rsidP="00A367B3">
      <w:pPr>
        <w:pStyle w:val="Heading2"/>
      </w:pPr>
      <w:bookmarkStart w:id="12" w:name="_Toc225020398"/>
      <w:r>
        <w:t>3</w:t>
      </w:r>
      <w:r w:rsidR="00A367B3">
        <w:t>.</w:t>
      </w:r>
      <w:r w:rsidR="006A6077">
        <w:t>1</w:t>
      </w:r>
      <w:r w:rsidR="00A367B3">
        <w:t xml:space="preserve"> Midpoint of </w:t>
      </w:r>
      <w:r w:rsidR="00A367B3" w:rsidRPr="005A4683">
        <w:t>Con</w:t>
      </w:r>
      <w:r w:rsidR="00F1135C">
        <w:t>necting</w:t>
      </w:r>
      <w:r w:rsidR="00A367B3">
        <w:t xml:space="preserve"> Rod</w:t>
      </w:r>
      <w:bookmarkEnd w:id="12"/>
    </w:p>
    <w:p w14:paraId="49144EC8" w14:textId="0271ECD5" w:rsidR="008D38E7" w:rsidRDefault="00C309EF" w:rsidP="00C309EF">
      <w:r>
        <w:t xml:space="preserve">As expressed by </w:t>
      </w:r>
      <w:r w:rsidR="008D4EF9" w:rsidRPr="008D4EF9">
        <w:rPr>
          <w:lang w:val="en-GB"/>
        </w:rPr>
        <w:t>Witek (2019</w:t>
      </w:r>
      <w:r w:rsidRPr="008D4EF9">
        <w:rPr>
          <w:lang w:val="en-GB"/>
        </w:rPr>
        <w:t>)</w:t>
      </w:r>
      <w:r>
        <w:rPr>
          <w:lang w:val="en-GB"/>
        </w:rPr>
        <w:t xml:space="preserve">, </w:t>
      </w:r>
      <w:r>
        <w:t xml:space="preserve">the connecting rod is a critical </w:t>
      </w:r>
      <w:r w:rsidR="00713E5F">
        <w:t xml:space="preserve">structural </w:t>
      </w:r>
      <w:r>
        <w:t xml:space="preserve">component in the </w:t>
      </w:r>
      <w:r w:rsidR="00713E5F">
        <w:t xml:space="preserve">engine </w:t>
      </w:r>
      <w:r w:rsidR="00031F51">
        <w:t>(as shown in figure 4</w:t>
      </w:r>
      <w:r w:rsidR="001C13E4">
        <w:t xml:space="preserve"> by Mahle GmbH, 2016)</w:t>
      </w:r>
      <w:r w:rsidR="00031F51">
        <w:t xml:space="preserve"> </w:t>
      </w:r>
      <w:r w:rsidR="00713E5F">
        <w:t xml:space="preserve">that converts the reciprocating motion of the </w:t>
      </w:r>
      <w:r w:rsidR="008D38E7">
        <w:t>piston</w:t>
      </w:r>
      <w:r w:rsidR="00713E5F">
        <w:t xml:space="preserve"> to rotational motion of the crankshaft. </w:t>
      </w:r>
      <w:r w:rsidR="005F5BA7">
        <w:t>Due to this, the connecting rod is subjected to alternating compressive and tensile stresses during each engine cycle</w:t>
      </w:r>
      <w:r w:rsidR="00D51017">
        <w:t>.</w:t>
      </w:r>
    </w:p>
    <w:p w14:paraId="3D472DCE" w14:textId="77777777" w:rsidR="007A45DD" w:rsidRDefault="00DC5E4E" w:rsidP="007A45DD">
      <w:pPr>
        <w:keepNext/>
        <w:jc w:val="center"/>
      </w:pPr>
      <w:r w:rsidRPr="00DC5E4E">
        <w:rPr>
          <w:noProof/>
        </w:rPr>
        <w:drawing>
          <wp:inline distT="0" distB="0" distL="0" distR="0" wp14:anchorId="43B920EF" wp14:editId="4F47CA32">
            <wp:extent cx="1495810" cy="2864525"/>
            <wp:effectExtent l="0" t="0" r="9525" b="0"/>
            <wp:docPr id="993419957" name="Picture 1" descr="The image shows a color-coded, three-dimensional model of an object with varying shades of purple, green, and yellow, indicating different levels of stress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419957" name="Picture 1" descr="The image shows a color-coded, three-dimensional model of an object with varying shades of purple, green, and yellow, indicating different levels of stress distribution.&#10;&#10;AI-generated content may be incorrect."/>
                    <pic:cNvPicPr/>
                  </pic:nvPicPr>
                  <pic:blipFill>
                    <a:blip r:embed="rId15"/>
                    <a:stretch>
                      <a:fillRect/>
                    </a:stretch>
                  </pic:blipFill>
                  <pic:spPr>
                    <a:xfrm>
                      <a:off x="0" y="0"/>
                      <a:ext cx="1495810" cy="2864525"/>
                    </a:xfrm>
                    <a:prstGeom prst="rect">
                      <a:avLst/>
                    </a:prstGeom>
                  </pic:spPr>
                </pic:pic>
              </a:graphicData>
            </a:graphic>
          </wp:inline>
        </w:drawing>
      </w:r>
    </w:p>
    <w:p w14:paraId="160F992E" w14:textId="07E2B8BC" w:rsidR="00DC5E4E" w:rsidRDefault="007A45DD" w:rsidP="007A45DD">
      <w:pPr>
        <w:pStyle w:val="Caption"/>
        <w:jc w:val="center"/>
      </w:pPr>
      <w:bookmarkStart w:id="13" w:name="_Toc224562710"/>
      <w:bookmarkStart w:id="14" w:name="_Toc224564358"/>
      <w:r>
        <w:t xml:space="preserve">Figure </w:t>
      </w:r>
      <w:r>
        <w:fldChar w:fldCharType="begin"/>
      </w:r>
      <w:r>
        <w:instrText xml:space="preserve"> SEQ Figure \* ARABIC </w:instrText>
      </w:r>
      <w:r>
        <w:fldChar w:fldCharType="separate"/>
      </w:r>
      <w:r w:rsidR="00EC3395">
        <w:rPr>
          <w:noProof/>
        </w:rPr>
        <w:t>4</w:t>
      </w:r>
      <w:r>
        <w:fldChar w:fldCharType="end"/>
      </w:r>
      <w:r>
        <w:t xml:space="preserve"> - FEA analysis of the connecting rod during TDC fired. (Mahle GmbH, 2016)</w:t>
      </w:r>
      <w:bookmarkEnd w:id="13"/>
      <w:bookmarkEnd w:id="14"/>
    </w:p>
    <w:p w14:paraId="14F2DEAD" w14:textId="33C79DC5" w:rsidR="00B6549D" w:rsidRPr="00C309EF" w:rsidRDefault="00B6549D" w:rsidP="00C309EF">
      <w:r>
        <w:t>To understand the stresses the connecting rod withstands, the connecting rod force is calculated using the connecting rod angle a</w:t>
      </w:r>
      <w:r w:rsidR="00D51017">
        <w:t>t</w:t>
      </w:r>
      <w:r>
        <w:t xml:space="preserve"> each degree of crank angle. From </w:t>
      </w:r>
      <w:r w:rsidR="00A3795C">
        <w:t xml:space="preserve">this, </w:t>
      </w:r>
      <w:r>
        <w:t xml:space="preserve">using </w:t>
      </w:r>
      <m:oMath>
        <m:r>
          <w:rPr>
            <w:rFonts w:ascii="Cambria Math" w:hAnsi="Cambria Math"/>
          </w:rPr>
          <m:t>F= σA</m:t>
        </m:r>
      </m:oMath>
      <w:r>
        <w:t xml:space="preserve">, the minimum and maximum stresses are found to produce the representative goodman diagram. </w:t>
      </w:r>
    </w:p>
    <w:p w14:paraId="6EAAEDDC" w14:textId="327D3FA8" w:rsidR="008D38E7" w:rsidRDefault="00F733CF" w:rsidP="008D38E7">
      <w:pPr>
        <w:keepNext/>
        <w:jc w:val="center"/>
      </w:pPr>
      <w:r>
        <w:rPr>
          <w:noProof/>
        </w:rPr>
        <w:lastRenderedPageBreak/>
        <w:drawing>
          <wp:inline distT="0" distB="0" distL="0" distR="0" wp14:anchorId="09FFE394" wp14:editId="47BA9599">
            <wp:extent cx="5808597" cy="3404286"/>
            <wp:effectExtent l="0" t="0" r="1905" b="5715"/>
            <wp:docPr id="351249177" name="Picture 1" descr="The image depicts a Goodman diagram, illustrating the allowable stress range for a connecting rod with an ultimate tensile strength of 30.3 MPa, an endurance limit of -206.0 MPa, and a safety factor of 4.14.&#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249177" name="Picture 1" descr="The image depicts a Goodman diagram, illustrating the allowable stress range for a connecting rod with an ultimate tensile strength of 30.3 MPa, an endurance limit of -206.0 MPa, and a safety factor of 4.14.&#10;&#10;AI-generated content may be incorrect."/>
                    <pic:cNvPicPr/>
                  </pic:nvPicPr>
                  <pic:blipFill>
                    <a:blip r:embed="rId16"/>
                    <a:stretch>
                      <a:fillRect/>
                    </a:stretch>
                  </pic:blipFill>
                  <pic:spPr>
                    <a:xfrm>
                      <a:off x="0" y="0"/>
                      <a:ext cx="5816136" cy="3408705"/>
                    </a:xfrm>
                    <a:prstGeom prst="rect">
                      <a:avLst/>
                    </a:prstGeom>
                  </pic:spPr>
                </pic:pic>
              </a:graphicData>
            </a:graphic>
          </wp:inline>
        </w:drawing>
      </w:r>
    </w:p>
    <w:p w14:paraId="1ADD73F3" w14:textId="338669FF" w:rsidR="004611D3" w:rsidRDefault="008D38E7" w:rsidP="008D38E7">
      <w:pPr>
        <w:pStyle w:val="Caption"/>
        <w:jc w:val="center"/>
      </w:pPr>
      <w:bookmarkStart w:id="15" w:name="_Toc224562711"/>
      <w:bookmarkStart w:id="16" w:name="_Toc224564359"/>
      <w:r>
        <w:t xml:space="preserve">Figure </w:t>
      </w:r>
      <w:r>
        <w:fldChar w:fldCharType="begin"/>
      </w:r>
      <w:r>
        <w:instrText xml:space="preserve"> SEQ Figure \* ARABIC </w:instrText>
      </w:r>
      <w:r>
        <w:fldChar w:fldCharType="separate"/>
      </w:r>
      <w:r w:rsidR="00EC3395">
        <w:rPr>
          <w:noProof/>
        </w:rPr>
        <w:t>5</w:t>
      </w:r>
      <w:r>
        <w:fldChar w:fldCharType="end"/>
      </w:r>
      <w:r>
        <w:t xml:space="preserve"> - Goodman diagram of the midpoint of the connecting rod.</w:t>
      </w:r>
      <w:bookmarkEnd w:id="15"/>
      <w:bookmarkEnd w:id="16"/>
    </w:p>
    <w:p w14:paraId="0F3D2B22" w14:textId="7F5776BB" w:rsidR="008D28AF" w:rsidRPr="008D28AF" w:rsidRDefault="008D28AF" w:rsidP="008D38E7">
      <w:r w:rsidRPr="008D28AF">
        <w:t>From figure 5, the connecting rod midpoint operates well within the allowable stress limits, with a fatigue safety factor of 4.14</w:t>
      </w:r>
      <w:r w:rsidR="008E60F2">
        <w:t xml:space="preserve">, </w:t>
      </w:r>
      <w:r w:rsidRPr="008D28AF">
        <w:t>indicating a highly conservative condition. The connecting rod is a critical structural component, and its failure would result in catastrophic engine damage, therefore conservative designs are applied. However, the high FSF at the midpoint is not solely due to overdesign. At this location, the rod experiences minimal bending or torsional stress, resulting in low alternating stress (Heywood, 2019). Th</w:t>
      </w:r>
      <w:r w:rsidR="004F4D02">
        <w:t xml:space="preserve">e stress is </w:t>
      </w:r>
      <w:r w:rsidRPr="008D28AF">
        <w:t xml:space="preserve">further reduced by the large cross-sectional area of the rod shank and the </w:t>
      </w:r>
      <w:r w:rsidR="001B44ED">
        <w:t>lack</w:t>
      </w:r>
      <w:r w:rsidRPr="008D28AF">
        <w:t xml:space="preserve"> of geometric discontinuities, meaning stress concentrations are minimal. Additionally, the negative mean stress indicates compressive forces during combustion dominate, improving fatigue resistance.</w:t>
      </w:r>
    </w:p>
    <w:p w14:paraId="513ABF73" w14:textId="5317A2F3" w:rsidR="00182146" w:rsidRDefault="00D165B6" w:rsidP="001F5FCD">
      <w:pPr>
        <w:pStyle w:val="Heading2"/>
      </w:pPr>
      <w:bookmarkStart w:id="17" w:name="_Toc225020399"/>
      <w:r>
        <w:t>3</w:t>
      </w:r>
      <w:r w:rsidR="00182146">
        <w:t>.1.1 Connecting Rod cap</w:t>
      </w:r>
      <w:bookmarkEnd w:id="17"/>
    </w:p>
    <w:p w14:paraId="6E5063D2" w14:textId="58684B84" w:rsidR="0081107A" w:rsidRDefault="0081107A" w:rsidP="001F5FCD">
      <w:r w:rsidRPr="0081107A">
        <w:t>A fatigue safety factor calculation was conducted on the connecting rod cap to compare stresses relative to the midpoint. As supported by figure 4 (Mahle GmbH, 2016), the cap is subjected to lower stresses, resulting in a higher fatigue safety factor of 7.5819 (Goodman diagram in appendix). This is expected because rod bolts apply a large clamping preload that keeps the cap in compression during operation. As a result, the cap experiences small cyclic stress variations</w:t>
      </w:r>
      <w:r w:rsidR="00241259">
        <w:t xml:space="preserve"> </w:t>
      </w:r>
      <w:r w:rsidRPr="0081107A">
        <w:t xml:space="preserve">as it is not part of the primary cyclic load path and </w:t>
      </w:r>
      <w:r w:rsidR="005F5C26">
        <w:t>its main role is to</w:t>
      </w:r>
      <w:r w:rsidRPr="0081107A">
        <w:t xml:space="preserve"> maintain crankshaft alignment (Budynas and Nisbett, 2020). The cap also has a larger cross-sectional area than the rod midpoint. The midpoint of the cap was selected for analysis as this region has a larger radius and is less susceptible to stress concentrations.</w:t>
      </w:r>
    </w:p>
    <w:p w14:paraId="24FE0B1C" w14:textId="5D5EF23A" w:rsidR="00A367B3" w:rsidRDefault="00D165B6" w:rsidP="00A367B3">
      <w:pPr>
        <w:pStyle w:val="Heading2"/>
      </w:pPr>
      <w:bookmarkStart w:id="18" w:name="_Toc225020400"/>
      <w:r>
        <w:lastRenderedPageBreak/>
        <w:t>3</w:t>
      </w:r>
      <w:r w:rsidR="00A367B3">
        <w:t>.</w:t>
      </w:r>
      <w:r w:rsidR="006A6077">
        <w:t>2</w:t>
      </w:r>
      <w:r w:rsidR="00A367B3">
        <w:t xml:space="preserve"> Gudgeon Pin</w:t>
      </w:r>
      <w:bookmarkEnd w:id="18"/>
    </w:p>
    <w:p w14:paraId="27E9D034" w14:textId="36F2D678" w:rsidR="00601E3D" w:rsidRDefault="00601E3D" w:rsidP="00601E3D">
      <w:r>
        <w:t xml:space="preserve">The </w:t>
      </w:r>
      <w:r w:rsidR="006033EA">
        <w:t>gudgeon</w:t>
      </w:r>
      <w:r>
        <w:t xml:space="preserve"> pin is a critical component which is subject to bending and shear stresses during engine operation</w:t>
      </w:r>
      <w:r w:rsidR="006033EA">
        <w:t xml:space="preserve">. </w:t>
      </w:r>
      <w:r w:rsidR="0037614E">
        <w:t>T</w:t>
      </w:r>
      <w:r w:rsidR="004473A6">
        <w:t>hese combine to produce</w:t>
      </w:r>
      <w:r w:rsidR="002116C2">
        <w:t xml:space="preserve"> a</w:t>
      </w:r>
      <w:r w:rsidR="004473A6">
        <w:t xml:space="preserve"> </w:t>
      </w:r>
      <w:r w:rsidR="002116C2">
        <w:t>resultant</w:t>
      </w:r>
      <w:r w:rsidR="004473A6">
        <w:t xml:space="preserve"> </w:t>
      </w:r>
      <w:r w:rsidR="00732963">
        <w:t>stress</w:t>
      </w:r>
      <w:r w:rsidR="004473A6">
        <w:t xml:space="preserve"> which is used to </w:t>
      </w:r>
      <w:r w:rsidR="009F14B4">
        <w:t xml:space="preserve">calculate the fatigue safety factor of the pin. </w:t>
      </w:r>
    </w:p>
    <w:p w14:paraId="1C5CA23B" w14:textId="600B9F11" w:rsidR="00313B5D" w:rsidRDefault="00C946E9" w:rsidP="00313B5D">
      <w:pPr>
        <w:keepNext/>
        <w:jc w:val="center"/>
      </w:pPr>
      <w:r>
        <w:rPr>
          <w:noProof/>
        </w:rPr>
        <w:drawing>
          <wp:inline distT="0" distB="0" distL="0" distR="0" wp14:anchorId="38E23A40" wp14:editId="2DE1FF71">
            <wp:extent cx="3192187" cy="2513508"/>
            <wp:effectExtent l="0" t="0" r="8255" b="1270"/>
            <wp:docPr id="879437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37833" name=""/>
                    <pic:cNvPicPr/>
                  </pic:nvPicPr>
                  <pic:blipFill>
                    <a:blip r:embed="rId17"/>
                    <a:stretch>
                      <a:fillRect/>
                    </a:stretch>
                  </pic:blipFill>
                  <pic:spPr>
                    <a:xfrm>
                      <a:off x="0" y="0"/>
                      <a:ext cx="3242558" cy="2553170"/>
                    </a:xfrm>
                    <a:prstGeom prst="rect">
                      <a:avLst/>
                    </a:prstGeom>
                  </pic:spPr>
                </pic:pic>
              </a:graphicData>
            </a:graphic>
          </wp:inline>
        </w:drawing>
      </w:r>
    </w:p>
    <w:p w14:paraId="28C86297" w14:textId="34583A70" w:rsidR="00313B5D" w:rsidRDefault="00313B5D" w:rsidP="00313B5D">
      <w:pPr>
        <w:pStyle w:val="Caption"/>
        <w:jc w:val="center"/>
      </w:pPr>
      <w:bookmarkStart w:id="19" w:name="_Toc224562712"/>
      <w:bookmarkStart w:id="20" w:name="_Toc224564360"/>
      <w:r>
        <w:t xml:space="preserve">Figure </w:t>
      </w:r>
      <w:r>
        <w:fldChar w:fldCharType="begin"/>
      </w:r>
      <w:r>
        <w:instrText xml:space="preserve"> SEQ Figure \* ARABIC </w:instrText>
      </w:r>
      <w:r>
        <w:fldChar w:fldCharType="separate"/>
      </w:r>
      <w:r w:rsidR="00EC3395">
        <w:rPr>
          <w:noProof/>
        </w:rPr>
        <w:t>6</w:t>
      </w:r>
      <w:r>
        <w:fldChar w:fldCharType="end"/>
      </w:r>
      <w:r>
        <w:t xml:space="preserve"> - </w:t>
      </w:r>
      <w:r w:rsidRPr="00A017FB">
        <w:t>Goodman diagram for the gudgeon pin.</w:t>
      </w:r>
      <w:bookmarkEnd w:id="19"/>
      <w:bookmarkEnd w:id="20"/>
    </w:p>
    <w:p w14:paraId="5D464DBB" w14:textId="786CCF86" w:rsidR="008F6767" w:rsidRDefault="00AC4AD2" w:rsidP="00A43CBC">
      <w:pPr>
        <w:keepNext/>
      </w:pPr>
      <w:r>
        <w:t>Figure</w:t>
      </w:r>
      <w:r w:rsidR="00896C4B">
        <w:t xml:space="preserve"> </w:t>
      </w:r>
      <w:r w:rsidR="00CD73FE">
        <w:t>6</w:t>
      </w:r>
      <w:r w:rsidR="00896C4B">
        <w:t xml:space="preserve"> shows the gudgeon pin experiences </w:t>
      </w:r>
      <w:r w:rsidR="00696261">
        <w:t xml:space="preserve">more compressive </w:t>
      </w:r>
      <w:r w:rsidR="00CD73FE">
        <w:t>stress</w:t>
      </w:r>
      <w:r w:rsidR="00696261">
        <w:t xml:space="preserve"> due to </w:t>
      </w:r>
      <w:r w:rsidR="00EA002D">
        <w:t xml:space="preserve">the mean stress being concentrated around </w:t>
      </w:r>
      <w:r>
        <w:t xml:space="preserve">-94 MPa. This is </w:t>
      </w:r>
      <w:r w:rsidR="00BC0627">
        <w:t xml:space="preserve">explained by </w:t>
      </w:r>
      <w:r w:rsidR="00DC18F1">
        <w:t>its role of transmitting combustion forces from the piston to the connecting rod. (</w:t>
      </w:r>
      <w:r w:rsidR="001F5FCD">
        <w:t>Stone, 2012</w:t>
      </w:r>
      <w:r w:rsidR="00DC18F1">
        <w:t>)</w:t>
      </w:r>
      <w:r w:rsidR="00BC0627">
        <w:t xml:space="preserve"> </w:t>
      </w:r>
      <w:r w:rsidR="00F476A7">
        <w:t xml:space="preserve">Figure </w:t>
      </w:r>
      <w:r w:rsidR="00CD73FE">
        <w:t xml:space="preserve">6 </w:t>
      </w:r>
      <w:r w:rsidR="00F476A7">
        <w:t xml:space="preserve">clearly shows the gudgeon </w:t>
      </w:r>
      <w:r w:rsidR="00FD231F">
        <w:t>pin</w:t>
      </w:r>
      <w:r w:rsidR="00F476A7">
        <w:t xml:space="preserve"> operating within its stress limits</w:t>
      </w:r>
      <w:r w:rsidR="00095D3A">
        <w:t xml:space="preserve"> via the actual range </w:t>
      </w:r>
      <w:r w:rsidR="001444A4">
        <w:t xml:space="preserve">sitting </w:t>
      </w:r>
      <w:r w:rsidR="00D30740">
        <w:t>within a</w:t>
      </w:r>
      <w:r w:rsidR="008F6767">
        <w:t xml:space="preserve"> </w:t>
      </w:r>
      <w:r w:rsidR="00D30740">
        <w:t>small region of the allowable range. This is supported by the fatigue safety factor calculated as</w:t>
      </w:r>
      <w:r w:rsidR="00A24174">
        <w:t xml:space="preserve"> 3.8676, </w:t>
      </w:r>
      <w:r w:rsidR="008E42EE">
        <w:t>implying the pin can withstand the cyclic loading.</w:t>
      </w:r>
    </w:p>
    <w:p w14:paraId="0BC5E472" w14:textId="77777777" w:rsidR="00D51017" w:rsidRDefault="00D51017" w:rsidP="00D51017">
      <w:pPr>
        <w:keepNext/>
        <w:jc w:val="center"/>
      </w:pPr>
      <w:r>
        <w:rPr>
          <w:noProof/>
        </w:rPr>
        <w:drawing>
          <wp:inline distT="0" distB="0" distL="0" distR="0" wp14:anchorId="52CC7ADD" wp14:editId="372D8A1D">
            <wp:extent cx="3383827" cy="2642351"/>
            <wp:effectExtent l="0" t="0" r="7620" b="5715"/>
            <wp:docPr id="586562583" name="Picture 1" descr="The diagram illustrates a Goodman diagram for a gudgeon pin, indicating its ultimate tensile strength, mean and alternating stresses, and the allowable range for safe ope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62583" name="Picture 1" descr="The diagram illustrates a Goodman diagram for a gudgeon pin, indicating its ultimate tensile strength, mean and alternating stresses, and the allowable range for safe operation.&#10;&#10;AI-generated content may be incorrect."/>
                    <pic:cNvPicPr/>
                  </pic:nvPicPr>
                  <pic:blipFill>
                    <a:blip r:embed="rId18"/>
                    <a:stretch>
                      <a:fillRect/>
                    </a:stretch>
                  </pic:blipFill>
                  <pic:spPr>
                    <a:xfrm>
                      <a:off x="0" y="0"/>
                      <a:ext cx="3416027" cy="2667495"/>
                    </a:xfrm>
                    <a:prstGeom prst="rect">
                      <a:avLst/>
                    </a:prstGeom>
                  </pic:spPr>
                </pic:pic>
              </a:graphicData>
            </a:graphic>
          </wp:inline>
        </w:drawing>
      </w:r>
    </w:p>
    <w:p w14:paraId="56300893" w14:textId="083AB19D" w:rsidR="00D51017" w:rsidRDefault="00D51017" w:rsidP="00D51017">
      <w:pPr>
        <w:pStyle w:val="Caption"/>
        <w:jc w:val="center"/>
      </w:pPr>
      <w:bookmarkStart w:id="21" w:name="_Toc224562713"/>
      <w:bookmarkStart w:id="22" w:name="_Toc224564361"/>
      <w:r>
        <w:t xml:space="preserve">Figure </w:t>
      </w:r>
      <w:r>
        <w:fldChar w:fldCharType="begin"/>
      </w:r>
      <w:r>
        <w:instrText xml:space="preserve"> SEQ Figure \* ARABIC </w:instrText>
      </w:r>
      <w:r>
        <w:fldChar w:fldCharType="separate"/>
      </w:r>
      <w:r w:rsidR="00EC3395">
        <w:rPr>
          <w:noProof/>
        </w:rPr>
        <w:t>7</w:t>
      </w:r>
      <w:r>
        <w:fldChar w:fldCharType="end"/>
      </w:r>
      <w:r>
        <w:t xml:space="preserve"> - Goodman diagram for the gudgeon pin with added surface finish.</w:t>
      </w:r>
      <w:bookmarkEnd w:id="21"/>
      <w:bookmarkEnd w:id="22"/>
    </w:p>
    <w:p w14:paraId="15B056BE" w14:textId="2D62E6B5" w:rsidR="00B42E10" w:rsidRDefault="007223B7" w:rsidP="00A43CBC">
      <w:pPr>
        <w:keepNext/>
      </w:pPr>
      <w:r>
        <w:lastRenderedPageBreak/>
        <w:t xml:space="preserve">As discussed by Mahle </w:t>
      </w:r>
      <w:r w:rsidR="008262AF">
        <w:t xml:space="preserve">GmbH (2016), it is common practice to apply </w:t>
      </w:r>
      <w:r w:rsidR="00D51017">
        <w:t>surface</w:t>
      </w:r>
      <w:r w:rsidR="008262AF">
        <w:t xml:space="preserve"> </w:t>
      </w:r>
      <w:r w:rsidR="00D51017">
        <w:t>coating</w:t>
      </w:r>
      <w:r w:rsidR="008262AF">
        <w:t xml:space="preserve"> to </w:t>
      </w:r>
      <w:r w:rsidR="00FD231F">
        <w:t>gudgeon</w:t>
      </w:r>
      <w:r w:rsidR="008262AF">
        <w:t xml:space="preserve"> pins </w:t>
      </w:r>
      <w:r w:rsidR="00902B87">
        <w:t xml:space="preserve">to improve </w:t>
      </w:r>
      <w:r w:rsidR="00732963">
        <w:t>we</w:t>
      </w:r>
      <w:r w:rsidR="00902B87">
        <w:t xml:space="preserve">ar resistance and friction behaviour. </w:t>
      </w:r>
      <w:r w:rsidR="00C80255">
        <w:t xml:space="preserve">A surface treatment is particularly important for </w:t>
      </w:r>
      <w:r w:rsidR="00347E61">
        <w:t>gudgeon</w:t>
      </w:r>
      <w:r w:rsidR="00C80255">
        <w:t xml:space="preserve"> pins as fatigue cracks often initiate on the surface where bending stresses are highest. </w:t>
      </w:r>
      <w:r w:rsidR="00902B87">
        <w:t xml:space="preserve">Therefore, </w:t>
      </w:r>
      <w:r w:rsidR="00773472">
        <w:t>after conducting research</w:t>
      </w:r>
      <w:r w:rsidR="001F5FCD">
        <w:t>,</w:t>
      </w:r>
      <w:r w:rsidR="00773472">
        <w:t xml:space="preserve"> </w:t>
      </w:r>
      <w:r w:rsidR="00D2362F">
        <w:t xml:space="preserve">a </w:t>
      </w:r>
      <w:r w:rsidR="00D2362F" w:rsidRPr="00D2362F">
        <w:t>compressive residual stress of −55 MPa</w:t>
      </w:r>
      <w:r w:rsidR="00D2362F">
        <w:t xml:space="preserve"> </w:t>
      </w:r>
      <w:r w:rsidR="00297CA1">
        <w:t xml:space="preserve">was applied to the model to represent a surface finish. </w:t>
      </w:r>
      <w:r w:rsidR="00DF36B4">
        <w:t xml:space="preserve">As shown in figure </w:t>
      </w:r>
      <w:r w:rsidR="00CD73FE">
        <w:t>7</w:t>
      </w:r>
      <w:r w:rsidR="00DF36B4">
        <w:t>, this shifts the mean stress to</w:t>
      </w:r>
      <w:r w:rsidR="00C417F6">
        <w:t xml:space="preserve"> </w:t>
      </w:r>
      <w:r w:rsidR="00D51017">
        <w:t>-1</w:t>
      </w:r>
      <w:r w:rsidR="00C417F6">
        <w:t xml:space="preserve">54 MPa. </w:t>
      </w:r>
      <w:r w:rsidR="00AB6127">
        <w:t xml:space="preserve">This improves </w:t>
      </w:r>
      <w:r w:rsidR="00FD231F">
        <w:t>fatigue</w:t>
      </w:r>
      <w:r w:rsidR="00AB6127">
        <w:t xml:space="preserve"> life</w:t>
      </w:r>
      <w:r w:rsidR="004A50FE">
        <w:t xml:space="preserve"> </w:t>
      </w:r>
      <w:r w:rsidR="00346670">
        <w:t xml:space="preserve">as </w:t>
      </w:r>
      <w:r w:rsidR="00A87ED3">
        <w:t xml:space="preserve">Stephens (2001) explains </w:t>
      </w:r>
      <w:r w:rsidR="00FD231F">
        <w:t>cracks begin to initiate more commonly in tensile loading and so</w:t>
      </w:r>
      <w:r w:rsidR="00D51017">
        <w:t xml:space="preserve"> adding</w:t>
      </w:r>
      <w:r w:rsidR="00FD231F">
        <w:t xml:space="preserve"> compressive stresses delay</w:t>
      </w:r>
      <w:r w:rsidR="00D51017">
        <w:t xml:space="preserve">s </w:t>
      </w:r>
      <w:r w:rsidR="00FD231F">
        <w:t xml:space="preserve">fatigue. </w:t>
      </w:r>
      <w:r w:rsidR="00D51017">
        <w:t>A</w:t>
      </w:r>
      <w:r w:rsidR="00FD231F">
        <w:t xml:space="preserve">s expected, the fatigue factor of safety increased to 4.0610 when applying the surface finish, supporting the theory that tensile </w:t>
      </w:r>
      <w:r w:rsidR="00A4552C">
        <w:t>stress</w:t>
      </w:r>
      <w:r w:rsidR="00FD231F">
        <w:t xml:space="preserve"> </w:t>
      </w:r>
      <w:r w:rsidR="00FC2144">
        <w:t>increases</w:t>
      </w:r>
      <w:r w:rsidR="00FD231F">
        <w:t xml:space="preserve"> the pins susceptibility to fatigue failure. </w:t>
      </w:r>
      <w:r w:rsidR="008322C8">
        <w:t>The conservative F</w:t>
      </w:r>
      <w:r w:rsidR="00BA2861">
        <w:t>SF</w:t>
      </w:r>
      <w:r w:rsidR="00B67DCF">
        <w:t xml:space="preserve"> is due to</w:t>
      </w:r>
      <w:r w:rsidR="008870EA">
        <w:t xml:space="preserve"> the pin rel</w:t>
      </w:r>
      <w:r w:rsidR="00B67DCF">
        <w:t xml:space="preserve">ying </w:t>
      </w:r>
      <w:r w:rsidR="008870EA">
        <w:t xml:space="preserve">heavily on surface finishes to </w:t>
      </w:r>
      <w:r w:rsidR="00D42CFB">
        <w:t xml:space="preserve">reduce </w:t>
      </w:r>
      <w:r w:rsidR="00133287">
        <w:t>crack initiation, and due to this being uncertain</w:t>
      </w:r>
      <w:r w:rsidR="00FC2144">
        <w:t xml:space="preserve"> and difficult to control precisely</w:t>
      </w:r>
      <w:r w:rsidR="00133287">
        <w:t xml:space="preserve">, engineers </w:t>
      </w:r>
      <w:r w:rsidR="00A4552C">
        <w:t>compensate by increasing the FSF.</w:t>
      </w:r>
    </w:p>
    <w:p w14:paraId="2E6106D1" w14:textId="1F524B2A" w:rsidR="00601E3D" w:rsidRDefault="00D165B6" w:rsidP="00601E3D">
      <w:pPr>
        <w:pStyle w:val="Heading2"/>
      </w:pPr>
      <w:bookmarkStart w:id="23" w:name="_Toc225020401"/>
      <w:r>
        <w:t>3</w:t>
      </w:r>
      <w:r w:rsidR="00A367B3">
        <w:t>.</w:t>
      </w:r>
      <w:r w:rsidR="006A6077">
        <w:t>3</w:t>
      </w:r>
      <w:r w:rsidR="00A367B3">
        <w:t xml:space="preserve"> </w:t>
      </w:r>
      <w:r w:rsidR="00A367B3" w:rsidRPr="005A4683">
        <w:t>Co</w:t>
      </w:r>
      <w:r w:rsidR="00F1135C">
        <w:t>n</w:t>
      </w:r>
      <w:r w:rsidR="00A367B3" w:rsidRPr="005A4683">
        <w:t>n</w:t>
      </w:r>
      <w:r w:rsidR="00F1135C">
        <w:t>ecting</w:t>
      </w:r>
      <w:r w:rsidR="00A367B3">
        <w:t xml:space="preserve"> Rod Bolt</w:t>
      </w:r>
      <w:bookmarkEnd w:id="23"/>
      <w:r w:rsidR="00A367B3">
        <w:t xml:space="preserve"> </w:t>
      </w:r>
    </w:p>
    <w:p w14:paraId="79C77D0D" w14:textId="2C128CC3" w:rsidR="00B42E10" w:rsidRDefault="004E30DF" w:rsidP="00B42E10">
      <w:r>
        <w:t>The connecting rod bolts are used to clamp the big end cap to the connecting rod</w:t>
      </w:r>
      <w:r w:rsidR="00690027">
        <w:t>.</w:t>
      </w:r>
      <w:r>
        <w:t xml:space="preserve"> </w:t>
      </w:r>
      <w:r w:rsidR="00F63329">
        <w:t xml:space="preserve">Due to the tightening of the bolts, the preload increases tensile </w:t>
      </w:r>
      <w:r w:rsidR="00690027">
        <w:t>stress</w:t>
      </w:r>
      <w:r w:rsidR="00F63329">
        <w:t xml:space="preserve"> on the bolt</w:t>
      </w:r>
      <w:r w:rsidR="003C21EB">
        <w:t>s</w:t>
      </w:r>
      <w:r w:rsidR="00690027">
        <w:t>, demonstrating the importance of analysing their fatigue safety factor.</w:t>
      </w:r>
      <w:r w:rsidR="0069564A">
        <w:t xml:space="preserve"> (Heywood, 2019)</w:t>
      </w:r>
      <w:r w:rsidR="00571030">
        <w:t xml:space="preserve"> </w:t>
      </w:r>
      <w:r w:rsidR="00571030" w:rsidRPr="00571030">
        <w:t xml:space="preserve">A tightened bolt undergoes elastic deformation, generating an axial preload force that clamps the surfaces together. The preload was estimated by assuming the bolt is tightened to 90% of its yield strength, with the axial stress taken as approximately 60% of the UTS. This is a common assumption used to approximate preload. However, </w:t>
      </w:r>
      <w:proofErr w:type="gramStart"/>
      <w:r w:rsidR="00571030" w:rsidRPr="00571030">
        <w:t>in reality, the</w:t>
      </w:r>
      <w:proofErr w:type="gramEnd"/>
      <w:r w:rsidR="00571030" w:rsidRPr="00571030">
        <w:t xml:space="preserve"> achieved preload is highly dependent on thread friction, lubrication, and tightening methods</w:t>
      </w:r>
      <w:r w:rsidR="00EC74F4">
        <w:t>. (Petersen, 1974)</w:t>
      </w:r>
    </w:p>
    <w:p w14:paraId="36E45B0C" w14:textId="38B52861" w:rsidR="0069564A" w:rsidRDefault="00444FAA" w:rsidP="00B42E10">
      <w:r>
        <w:t>Initially, the fatigue safety factor of the bolt was 10.38, which suggests an over-engineered bolt</w:t>
      </w:r>
      <w:r w:rsidR="00D40F3A">
        <w:t>. Therefore</w:t>
      </w:r>
      <w:r w:rsidR="003450F4">
        <w:t>, a</w:t>
      </w:r>
      <w:r w:rsidR="003116F9">
        <w:t xml:space="preserve"> stress concentration </w:t>
      </w:r>
      <w:r w:rsidR="004E1FA4">
        <w:t xml:space="preserve">factor, </w:t>
      </w:r>
      <m:oMath>
        <m:r>
          <w:rPr>
            <w:rFonts w:ascii="Cambria Math" w:hAnsi="Cambria Math"/>
          </w:rPr>
          <m:t>Kt</m:t>
        </m:r>
      </m:oMath>
      <w:r w:rsidR="004E1FA4">
        <w:t>,</w:t>
      </w:r>
      <w:r w:rsidR="00752720">
        <w:t xml:space="preserve"> (as shown in the appendix),</w:t>
      </w:r>
      <w:r w:rsidR="004E1FA4">
        <w:t xml:space="preserve"> </w:t>
      </w:r>
      <w:r w:rsidR="003116F9">
        <w:t xml:space="preserve">was added to the </w:t>
      </w:r>
      <w:r w:rsidR="00502191">
        <w:t>8x</w:t>
      </w:r>
      <w:r w:rsidR="00D51017">
        <w:t>0.75</w:t>
      </w:r>
      <w:r w:rsidR="00502191">
        <w:t xml:space="preserve">mm bolt </w:t>
      </w:r>
      <w:r w:rsidR="002D24D6">
        <w:t xml:space="preserve">to improve realism. </w:t>
      </w:r>
      <w:r w:rsidR="004E1FA4">
        <w:t xml:space="preserve">Bolts contain geometric </w:t>
      </w:r>
      <w:r w:rsidR="006027C6">
        <w:t xml:space="preserve">discontinuities including threads and fillets which prove </w:t>
      </w:r>
      <w:r w:rsidR="009A3648">
        <w:t>vulnerable</w:t>
      </w:r>
      <w:r w:rsidR="006027C6">
        <w:t xml:space="preserve"> to stress raisers and as </w:t>
      </w:r>
      <w:r w:rsidR="00802380">
        <w:t>explained by Petersen (19</w:t>
      </w:r>
      <w:r w:rsidR="00E041F8">
        <w:t>7</w:t>
      </w:r>
      <w:r w:rsidR="00802380">
        <w:t>4)</w:t>
      </w:r>
      <w:r w:rsidR="00EA6CF5">
        <w:t xml:space="preserve">, fatigue </w:t>
      </w:r>
      <w:r w:rsidR="00E03E8D">
        <w:t>cracks</w:t>
      </w:r>
      <w:r w:rsidR="00EA6CF5">
        <w:t xml:space="preserve"> </w:t>
      </w:r>
      <w:r w:rsidR="003450F4">
        <w:t>initiate</w:t>
      </w:r>
      <w:r w:rsidR="00EA6CF5">
        <w:t xml:space="preserve"> at these </w:t>
      </w:r>
      <w:r w:rsidR="00E03E8D">
        <w:t>locations</w:t>
      </w:r>
      <w:r w:rsidR="00D51017">
        <w:t>. S</w:t>
      </w:r>
      <w:r w:rsidR="00E03E8D">
        <w:t xml:space="preserve">o </w:t>
      </w:r>
      <m:oMath>
        <m:r>
          <w:rPr>
            <w:rFonts w:ascii="Cambria Math" w:hAnsi="Cambria Math"/>
          </w:rPr>
          <m:t>Kt</m:t>
        </m:r>
      </m:oMath>
      <w:r w:rsidR="000272C9">
        <w:t xml:space="preserve"> </w:t>
      </w:r>
      <w:r w:rsidR="00D51017">
        <w:t>is used to account for the local stress region increase from the radius change.</w:t>
      </w:r>
    </w:p>
    <w:p w14:paraId="63680680" w14:textId="77777777" w:rsidR="0003430C" w:rsidRDefault="0003430C" w:rsidP="0003430C">
      <w:pPr>
        <w:keepNext/>
        <w:jc w:val="center"/>
      </w:pPr>
      <w:r>
        <w:rPr>
          <w:noProof/>
        </w:rPr>
        <w:lastRenderedPageBreak/>
        <w:drawing>
          <wp:inline distT="0" distB="0" distL="0" distR="0" wp14:anchorId="42056EDD" wp14:editId="47D96CFC">
            <wp:extent cx="4924425" cy="3361555"/>
            <wp:effectExtent l="0" t="0" r="0" b="0"/>
            <wp:docPr id="74841781" name="Picture 1" descr="The diagram illustrates a Goodman diagram for connecting rod bolts, showing allowable and actual stress ranges, mean stress, and the upper and lower endurance lim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41781" name="Picture 1" descr="The diagram illustrates a Goodman diagram for connecting rod bolts, showing allowable and actual stress ranges, mean stress, and the upper and lower endurance limits.&#10;&#10;AI-generated content may be incorrect."/>
                    <pic:cNvPicPr/>
                  </pic:nvPicPr>
                  <pic:blipFill>
                    <a:blip r:embed="rId19"/>
                    <a:stretch>
                      <a:fillRect/>
                    </a:stretch>
                  </pic:blipFill>
                  <pic:spPr>
                    <a:xfrm>
                      <a:off x="0" y="0"/>
                      <a:ext cx="4926044" cy="3362660"/>
                    </a:xfrm>
                    <a:prstGeom prst="rect">
                      <a:avLst/>
                    </a:prstGeom>
                  </pic:spPr>
                </pic:pic>
              </a:graphicData>
            </a:graphic>
          </wp:inline>
        </w:drawing>
      </w:r>
    </w:p>
    <w:p w14:paraId="0D22AC65" w14:textId="3C59F89A" w:rsidR="003450F4" w:rsidRDefault="0003430C" w:rsidP="0003430C">
      <w:pPr>
        <w:pStyle w:val="Caption"/>
        <w:jc w:val="center"/>
      </w:pPr>
      <w:bookmarkStart w:id="24" w:name="_Toc224562714"/>
      <w:bookmarkStart w:id="25" w:name="_Toc224564362"/>
      <w:r>
        <w:t xml:space="preserve">Figure </w:t>
      </w:r>
      <w:r>
        <w:fldChar w:fldCharType="begin"/>
      </w:r>
      <w:r>
        <w:instrText xml:space="preserve"> SEQ Figure \* ARABIC </w:instrText>
      </w:r>
      <w:r>
        <w:fldChar w:fldCharType="separate"/>
      </w:r>
      <w:r w:rsidR="00EC3395">
        <w:rPr>
          <w:noProof/>
        </w:rPr>
        <w:t>8</w:t>
      </w:r>
      <w:r>
        <w:fldChar w:fldCharType="end"/>
      </w:r>
      <w:r>
        <w:t xml:space="preserve"> - Connecting rod bolt goodman diagram (with no gas forces </w:t>
      </w:r>
      <w:r w:rsidR="00DA4D07">
        <w:t>and an added stress concentration factor)</w:t>
      </w:r>
      <w:r>
        <w:t>.</w:t>
      </w:r>
      <w:bookmarkEnd w:id="24"/>
      <w:bookmarkEnd w:id="25"/>
    </w:p>
    <w:p w14:paraId="0442736A" w14:textId="3FAF9025" w:rsidR="00DA4D07" w:rsidRPr="00DA4D07" w:rsidRDefault="009B5DEC" w:rsidP="00DA4D07">
      <w:pPr>
        <w:rPr>
          <w:lang w:val="en-GB"/>
        </w:rPr>
      </w:pPr>
      <w:r>
        <w:rPr>
          <w:lang w:val="en-GB"/>
        </w:rPr>
        <w:t xml:space="preserve">From figure 8, the safety factor with the added </w:t>
      </w:r>
      <m:oMath>
        <m:r>
          <w:rPr>
            <w:rFonts w:ascii="Cambria Math" w:hAnsi="Cambria Math"/>
            <w:lang w:val="en-GB"/>
          </w:rPr>
          <m:t>Kt</m:t>
        </m:r>
      </m:oMath>
      <w:r>
        <w:rPr>
          <w:lang w:val="en-GB"/>
        </w:rPr>
        <w:t xml:space="preserve"> reduces to 2.31 representing a more </w:t>
      </w:r>
      <w:r w:rsidR="00D42878">
        <w:rPr>
          <w:lang w:val="en-GB"/>
        </w:rPr>
        <w:t>realistic</w:t>
      </w:r>
      <w:r>
        <w:rPr>
          <w:lang w:val="en-GB"/>
        </w:rPr>
        <w:t xml:space="preserve"> value as supporte</w:t>
      </w:r>
      <w:r w:rsidR="00D42878">
        <w:rPr>
          <w:lang w:val="en-GB"/>
        </w:rPr>
        <w:t xml:space="preserve">d </w:t>
      </w:r>
      <w:r>
        <w:rPr>
          <w:lang w:val="en-GB"/>
        </w:rPr>
        <w:t xml:space="preserve">by Jia et al (2025) that </w:t>
      </w:r>
      <w:r w:rsidR="00D42878">
        <w:rPr>
          <w:lang w:val="en-GB"/>
        </w:rPr>
        <w:t xml:space="preserve">connecting rod bolts often present an FSF of 1.5-2. </w:t>
      </w:r>
      <w:r>
        <w:rPr>
          <w:lang w:val="en-GB"/>
        </w:rPr>
        <w:t>Fi</w:t>
      </w:r>
      <w:r w:rsidR="006172A7">
        <w:rPr>
          <w:lang w:val="en-GB"/>
        </w:rPr>
        <w:t>gure 8</w:t>
      </w:r>
      <w:r>
        <w:rPr>
          <w:lang w:val="en-GB"/>
        </w:rPr>
        <w:t xml:space="preserve"> clearly shows</w:t>
      </w:r>
      <w:r w:rsidR="006172A7">
        <w:rPr>
          <w:lang w:val="en-GB"/>
        </w:rPr>
        <w:t xml:space="preserve"> the bolt is </w:t>
      </w:r>
      <w:r w:rsidR="000374EB">
        <w:rPr>
          <w:lang w:val="en-GB"/>
        </w:rPr>
        <w:t xml:space="preserve">predominately subjected to tensile loading due to the positive mean stress range. This is explained by the preload on the bolt </w:t>
      </w:r>
      <w:r w:rsidR="00AA2DEB" w:rsidRPr="00AA2DEB">
        <w:rPr>
          <w:lang w:val="en-GB"/>
        </w:rPr>
        <w:t xml:space="preserve">required to clamp the big-end cap, </w:t>
      </w:r>
      <w:r w:rsidR="00D51017">
        <w:rPr>
          <w:lang w:val="en-GB"/>
        </w:rPr>
        <w:t>as well as</w:t>
      </w:r>
      <w:r w:rsidR="00AA2DEB" w:rsidRPr="00AA2DEB">
        <w:rPr>
          <w:lang w:val="en-GB"/>
        </w:rPr>
        <w:t xml:space="preserve"> additional tensile loading from inertia forces during engine operation</w:t>
      </w:r>
      <w:r w:rsidR="00AA2DEB">
        <w:rPr>
          <w:lang w:val="en-GB"/>
        </w:rPr>
        <w:t xml:space="preserve">. </w:t>
      </w:r>
      <w:r w:rsidR="00953701">
        <w:rPr>
          <w:lang w:val="en-GB"/>
        </w:rPr>
        <w:t>(</w:t>
      </w:r>
      <w:r w:rsidR="001F5FCD" w:rsidRPr="001F5FCD">
        <w:rPr>
          <w:lang w:val="en-GB"/>
        </w:rPr>
        <w:t>Budynas and Nisbett, 2020</w:t>
      </w:r>
      <w:r w:rsidR="00953701">
        <w:rPr>
          <w:lang w:val="en-GB"/>
        </w:rPr>
        <w:t xml:space="preserve">) </w:t>
      </w:r>
      <w:r w:rsidR="00D51017">
        <w:rPr>
          <w:lang w:val="en-GB"/>
        </w:rPr>
        <w:t xml:space="preserve">The graph shows a very small alternating stress range, showing less room for stress fluctuations. This is due to the </w:t>
      </w:r>
      <w:r w:rsidR="00CC0507">
        <w:rPr>
          <w:lang w:val="en-GB"/>
        </w:rPr>
        <w:t>G</w:t>
      </w:r>
      <w:r w:rsidR="00D51017">
        <w:rPr>
          <w:lang w:val="en-GB"/>
        </w:rPr>
        <w:t xml:space="preserve">oodman theory as expressed by </w:t>
      </w:r>
      <w:r w:rsidR="00CC0507">
        <w:rPr>
          <w:lang w:val="en-GB"/>
        </w:rPr>
        <w:t>Altair (2026</w:t>
      </w:r>
      <w:r w:rsidR="00D51017">
        <w:rPr>
          <w:lang w:val="en-GB"/>
        </w:rPr>
        <w:t>)</w:t>
      </w:r>
      <w:r w:rsidR="00914AEF">
        <w:rPr>
          <w:lang w:val="en-GB"/>
        </w:rPr>
        <w:t xml:space="preserve">, </w:t>
      </w:r>
      <w:r w:rsidR="00D51017">
        <w:rPr>
          <w:lang w:val="en-GB"/>
        </w:rPr>
        <w:t>that as mean tensile stress increases, the allowable alternating stress must decrease.</w:t>
      </w:r>
      <w:r w:rsidR="00AA2DEB">
        <w:rPr>
          <w:lang w:val="en-GB"/>
        </w:rPr>
        <w:t xml:space="preserve"> </w:t>
      </w:r>
    </w:p>
    <w:p w14:paraId="5637957C" w14:textId="77234AE9" w:rsidR="0057589C" w:rsidRDefault="00D165B6" w:rsidP="0057589C">
      <w:pPr>
        <w:pStyle w:val="Heading3"/>
      </w:pPr>
      <w:bookmarkStart w:id="26" w:name="_Toc225020402"/>
      <w:r>
        <w:t>3.</w:t>
      </w:r>
      <w:r w:rsidR="006A6077">
        <w:t>3</w:t>
      </w:r>
      <w:r w:rsidR="00A367B3">
        <w:t xml:space="preserve">.1 </w:t>
      </w:r>
      <w:r w:rsidR="00A367B3" w:rsidRPr="005A4683">
        <w:t>Con</w:t>
      </w:r>
      <w:r w:rsidR="00F1135C">
        <w:t>necting</w:t>
      </w:r>
      <w:r w:rsidR="00A367B3">
        <w:t xml:space="preserve"> Rod bolt at 6000 RPM with gas forces</w:t>
      </w:r>
      <w:bookmarkEnd w:id="26"/>
    </w:p>
    <w:p w14:paraId="404CC06D" w14:textId="0D21DF7E" w:rsidR="00013A50" w:rsidRDefault="00681034" w:rsidP="00013A50">
      <w:r>
        <w:t>To further improve the model, the gas forces within the engine were added</w:t>
      </w:r>
      <w:r w:rsidR="00D04F7A">
        <w:t xml:space="preserve"> to analyse their </w:t>
      </w:r>
      <w:r w:rsidR="00703EB3">
        <w:t>effect</w:t>
      </w:r>
      <w:r w:rsidR="00D04F7A">
        <w:t xml:space="preserve"> on the bolt</w:t>
      </w:r>
      <w:r w:rsidR="004035B7">
        <w:t>.</w:t>
      </w:r>
    </w:p>
    <w:p w14:paraId="4399B8F5" w14:textId="77777777" w:rsidR="00703EB3" w:rsidRDefault="00D04F7A" w:rsidP="00703EB3">
      <w:pPr>
        <w:keepNext/>
        <w:jc w:val="center"/>
      </w:pPr>
      <w:r>
        <w:rPr>
          <w:noProof/>
        </w:rPr>
        <w:lastRenderedPageBreak/>
        <w:drawing>
          <wp:inline distT="0" distB="0" distL="0" distR="0" wp14:anchorId="509016D7" wp14:editId="576C6B54">
            <wp:extent cx="5086387" cy="3462363"/>
            <wp:effectExtent l="0" t="0" r="0" b="5080"/>
            <wp:docPr id="259347629" name="Picture 1" descr="The diagram illustrates the relationship between alternating and mean stresses for connecting rod bolts, including their allowable and upper endurance limits, with a safety factor of 2.54.&#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347629" name="Picture 1" descr="The diagram illustrates the relationship between alternating and mean stresses for connecting rod bolts, including their allowable and upper endurance limits, with a safety factor of 2.54.&#10;&#10;AI-generated content may be incorrect."/>
                    <pic:cNvPicPr/>
                  </pic:nvPicPr>
                  <pic:blipFill>
                    <a:blip r:embed="rId20"/>
                    <a:stretch>
                      <a:fillRect/>
                    </a:stretch>
                  </pic:blipFill>
                  <pic:spPr>
                    <a:xfrm>
                      <a:off x="0" y="0"/>
                      <a:ext cx="5086387" cy="3462363"/>
                    </a:xfrm>
                    <a:prstGeom prst="rect">
                      <a:avLst/>
                    </a:prstGeom>
                  </pic:spPr>
                </pic:pic>
              </a:graphicData>
            </a:graphic>
          </wp:inline>
        </w:drawing>
      </w:r>
    </w:p>
    <w:p w14:paraId="5A6B9998" w14:textId="3B68D08F" w:rsidR="004035B7" w:rsidRDefault="00703EB3" w:rsidP="00703EB3">
      <w:pPr>
        <w:pStyle w:val="Caption"/>
        <w:jc w:val="center"/>
      </w:pPr>
      <w:bookmarkStart w:id="27" w:name="_Toc224562715"/>
      <w:bookmarkStart w:id="28" w:name="_Toc224564363"/>
      <w:r>
        <w:t xml:space="preserve">Figure </w:t>
      </w:r>
      <w:r>
        <w:fldChar w:fldCharType="begin"/>
      </w:r>
      <w:r>
        <w:instrText xml:space="preserve"> SEQ Figure \* ARABIC </w:instrText>
      </w:r>
      <w:r>
        <w:fldChar w:fldCharType="separate"/>
      </w:r>
      <w:r w:rsidR="00EC3395">
        <w:rPr>
          <w:noProof/>
        </w:rPr>
        <w:t>9</w:t>
      </w:r>
      <w:r>
        <w:fldChar w:fldCharType="end"/>
      </w:r>
      <w:r>
        <w:t xml:space="preserve"> - Goodman diagram for the connecting rod bolt with added gas forces.</w:t>
      </w:r>
      <w:bookmarkEnd w:id="27"/>
      <w:bookmarkEnd w:id="28"/>
    </w:p>
    <w:p w14:paraId="288BC5A3" w14:textId="59EF8005" w:rsidR="00AD453B" w:rsidRDefault="00E958DB" w:rsidP="004A6E87">
      <w:pPr>
        <w:rPr>
          <w:lang w:val="en-GB"/>
        </w:rPr>
      </w:pPr>
      <w:r>
        <w:rPr>
          <w:lang w:val="en-GB"/>
        </w:rPr>
        <w:t xml:space="preserve">From figure 9, the fatigue safety factor </w:t>
      </w:r>
      <w:r w:rsidR="007561CA">
        <w:rPr>
          <w:lang w:val="en-GB"/>
        </w:rPr>
        <w:t xml:space="preserve">increases </w:t>
      </w:r>
      <w:r w:rsidR="00303126">
        <w:rPr>
          <w:lang w:val="en-GB"/>
        </w:rPr>
        <w:t>by 0.2</w:t>
      </w:r>
      <w:r w:rsidR="00DC0764">
        <w:rPr>
          <w:lang w:val="en-GB"/>
        </w:rPr>
        <w:t xml:space="preserve"> with the added gas forces. This is expected a</w:t>
      </w:r>
      <w:r w:rsidR="00405F21">
        <w:rPr>
          <w:lang w:val="en-GB"/>
        </w:rPr>
        <w:t>s</w:t>
      </w:r>
      <w:r w:rsidR="00DC0764">
        <w:rPr>
          <w:lang w:val="en-GB"/>
        </w:rPr>
        <w:t xml:space="preserve"> the addition</w:t>
      </w:r>
      <w:r w:rsidR="001F5FCD">
        <w:rPr>
          <w:lang w:val="en-GB"/>
        </w:rPr>
        <w:t xml:space="preserve"> of</w:t>
      </w:r>
      <w:r w:rsidR="00DC0764">
        <w:rPr>
          <w:lang w:val="en-GB"/>
        </w:rPr>
        <w:t xml:space="preserve"> compressive forces reliev</w:t>
      </w:r>
      <w:r w:rsidR="00405F21">
        <w:rPr>
          <w:lang w:val="en-GB"/>
        </w:rPr>
        <w:t>e</w:t>
      </w:r>
      <w:r w:rsidR="00DC0764">
        <w:rPr>
          <w:lang w:val="en-GB"/>
        </w:rPr>
        <w:t xml:space="preserve"> some of the tension from the bolt</w:t>
      </w:r>
      <w:r w:rsidR="006536E8">
        <w:rPr>
          <w:lang w:val="en-GB"/>
        </w:rPr>
        <w:t xml:space="preserve"> as it is acting in the opposite direction </w:t>
      </w:r>
      <w:r w:rsidR="005224AB">
        <w:rPr>
          <w:lang w:val="en-GB"/>
        </w:rPr>
        <w:t>to inertia forces</w:t>
      </w:r>
      <w:r w:rsidR="006536E8">
        <w:rPr>
          <w:lang w:val="en-GB"/>
        </w:rPr>
        <w:t xml:space="preserve">. </w:t>
      </w:r>
      <w:r w:rsidR="002907A6">
        <w:rPr>
          <w:lang w:val="en-GB"/>
        </w:rPr>
        <w:t>(</w:t>
      </w:r>
      <w:r w:rsidR="0013468E">
        <w:t>Bolt Science, 2025</w:t>
      </w:r>
      <w:r w:rsidR="002907A6">
        <w:rPr>
          <w:lang w:val="en-GB"/>
        </w:rPr>
        <w:t>)</w:t>
      </w:r>
      <w:r w:rsidR="0004331E">
        <w:rPr>
          <w:lang w:val="en-GB"/>
        </w:rPr>
        <w:t xml:space="preserve"> </w:t>
      </w:r>
      <w:r w:rsidR="00855936">
        <w:rPr>
          <w:lang w:val="en-GB"/>
        </w:rPr>
        <w:t xml:space="preserve">Figure 9 shows an increased allowable range as the mean stress has decreased, supporting the </w:t>
      </w:r>
      <w:r w:rsidR="0013468E">
        <w:rPr>
          <w:lang w:val="en-GB"/>
        </w:rPr>
        <w:t>G</w:t>
      </w:r>
      <w:r w:rsidR="00855936">
        <w:rPr>
          <w:lang w:val="en-GB"/>
        </w:rPr>
        <w:t>oodman theory</w:t>
      </w:r>
      <w:r w:rsidR="00552C7F">
        <w:rPr>
          <w:lang w:val="en-GB"/>
        </w:rPr>
        <w:t xml:space="preserve"> </w:t>
      </w:r>
      <w:r w:rsidR="00CC0507">
        <w:rPr>
          <w:lang w:val="en-GB"/>
        </w:rPr>
        <w:t>explained by Altair (2026)</w:t>
      </w:r>
      <w:r w:rsidR="00D51017">
        <w:t xml:space="preserve"> </w:t>
      </w:r>
      <w:r w:rsidR="00552C7F">
        <w:rPr>
          <w:lang w:val="en-GB"/>
        </w:rPr>
        <w:t>and resulting in a larger safe operating region</w:t>
      </w:r>
      <w:r w:rsidR="00855936">
        <w:rPr>
          <w:lang w:val="en-GB"/>
        </w:rPr>
        <w:t>.</w:t>
      </w:r>
      <w:r w:rsidR="00552C7F">
        <w:rPr>
          <w:lang w:val="en-GB"/>
        </w:rPr>
        <w:t xml:space="preserve"> </w:t>
      </w:r>
      <w:r w:rsidR="00360CBD" w:rsidRPr="00360CBD">
        <w:rPr>
          <w:lang w:val="en-GB"/>
        </w:rPr>
        <w:t>The lower fatigue safety factor of the bolt compared to the connecting rod is expected due to their replaceability and serviceability. Furthermore,</w:t>
      </w:r>
      <w:r w:rsidR="001F5FCD">
        <w:rPr>
          <w:lang w:val="en-GB"/>
        </w:rPr>
        <w:t xml:space="preserve"> Heywood (2019) explains that</w:t>
      </w:r>
      <w:r w:rsidR="00360CBD" w:rsidRPr="00360CBD">
        <w:rPr>
          <w:lang w:val="en-GB"/>
        </w:rPr>
        <w:t xml:space="preserve"> rod bolts operate closer to their fatigue limits </w:t>
      </w:r>
      <w:r w:rsidR="00195ECD">
        <w:rPr>
          <w:lang w:val="en-GB"/>
        </w:rPr>
        <w:t xml:space="preserve">compared to the connecting rod </w:t>
      </w:r>
      <w:r w:rsidR="00360CBD" w:rsidRPr="00360CBD">
        <w:rPr>
          <w:lang w:val="en-GB"/>
        </w:rPr>
        <w:t xml:space="preserve">because their small size and geometric constraints limit the ability to significantly increase their cross-sectional area, as they must fit within the big-end geometry of the connecting rod assembly. </w:t>
      </w:r>
    </w:p>
    <w:p w14:paraId="180A8976" w14:textId="77777777" w:rsidR="00F00E7E" w:rsidRDefault="00F00E7E" w:rsidP="004A6E87">
      <w:pPr>
        <w:rPr>
          <w:lang w:val="en-GB"/>
        </w:rPr>
      </w:pPr>
    </w:p>
    <w:p w14:paraId="2F5E4DCA" w14:textId="77777777" w:rsidR="00F00E7E" w:rsidRDefault="00F00E7E" w:rsidP="004A6E87">
      <w:pPr>
        <w:rPr>
          <w:lang w:val="en-GB"/>
        </w:rPr>
      </w:pPr>
    </w:p>
    <w:p w14:paraId="096A6645" w14:textId="77777777" w:rsidR="00F00E7E" w:rsidRDefault="00F00E7E" w:rsidP="004A6E87">
      <w:pPr>
        <w:rPr>
          <w:lang w:val="en-GB"/>
        </w:rPr>
      </w:pPr>
    </w:p>
    <w:p w14:paraId="04BC6EE5" w14:textId="77777777" w:rsidR="00A3526A" w:rsidRPr="004A6E87" w:rsidRDefault="00A3526A" w:rsidP="004A6E87">
      <w:pPr>
        <w:rPr>
          <w:lang w:val="en-GB"/>
        </w:rPr>
      </w:pPr>
    </w:p>
    <w:p w14:paraId="01C79D5E" w14:textId="332BBE0E" w:rsidR="001B5A71" w:rsidRDefault="00066DBD" w:rsidP="007E6896">
      <w:pPr>
        <w:pStyle w:val="Heading1"/>
      </w:pPr>
      <w:bookmarkStart w:id="29" w:name="_Toc225020403"/>
      <w:r>
        <w:lastRenderedPageBreak/>
        <w:t xml:space="preserve">Chapter </w:t>
      </w:r>
      <w:r w:rsidR="00D165B6">
        <w:t>4</w:t>
      </w:r>
      <w:r>
        <w:t xml:space="preserve"> </w:t>
      </w:r>
      <w:r w:rsidR="00D37E76">
        <w:t>–</w:t>
      </w:r>
      <w:r>
        <w:t xml:space="preserve"> </w:t>
      </w:r>
      <w:r w:rsidR="00D37E76" w:rsidRPr="005A4683">
        <w:t>Con</w:t>
      </w:r>
      <w:r w:rsidR="00F1135C">
        <w:t>necting</w:t>
      </w:r>
      <w:r w:rsidR="00D37E76">
        <w:t xml:space="preserve"> Rod Bolt redesign</w:t>
      </w:r>
      <w:bookmarkEnd w:id="29"/>
      <w:r w:rsidR="00D37E76">
        <w:t xml:space="preserve"> </w:t>
      </w:r>
    </w:p>
    <w:p w14:paraId="6D8238FE" w14:textId="7CEFED31" w:rsidR="00D3308C" w:rsidRDefault="00D3308C" w:rsidP="00D3308C">
      <w:r>
        <w:t xml:space="preserve">To analyse the effect of increased </w:t>
      </w:r>
      <w:r w:rsidR="00DC3B04">
        <w:t>stress</w:t>
      </w:r>
      <w:r>
        <w:t xml:space="preserve"> on the connecting rod bolt, the </w:t>
      </w:r>
      <w:r w:rsidR="00F06477">
        <w:t>engine speed was extended from 6000 RPM, which is what the bolt is designed for, to 9000 RPM</w:t>
      </w:r>
      <w:r w:rsidR="00020042">
        <w:t xml:space="preserve"> as shown in figure </w:t>
      </w:r>
      <w:r w:rsidR="00DC3B04">
        <w:t>10</w:t>
      </w:r>
      <w:r w:rsidR="00F06477">
        <w:t>.</w:t>
      </w:r>
      <w:r w:rsidR="003658B5">
        <w:t xml:space="preserve"> </w:t>
      </w:r>
      <w:r w:rsidR="00DF0E5B">
        <w:t xml:space="preserve">This is done by engineers to assess component robustness under extreme operating conditions. </w:t>
      </w:r>
      <w:r w:rsidR="00BE5275" w:rsidRPr="00BE5275">
        <w:t>Figure 10 shows the use of linear interpolation to approximate gas forces at 9000 RPM</w:t>
      </w:r>
      <w:r w:rsidR="00BE5275">
        <w:t>,</w:t>
      </w:r>
      <w:r w:rsidR="00BE5275" w:rsidRPr="00BE5275">
        <w:t xml:space="preserve"> however, in a turbocharged engine, gas forces vary non-linearly with RPM due to changes in boost pressure and airflow.</w:t>
      </w:r>
    </w:p>
    <w:p w14:paraId="19243197" w14:textId="2BB1F17A" w:rsidR="00DC3B04" w:rsidRDefault="00DC3B04" w:rsidP="00DC3B04">
      <w:pPr>
        <w:keepNext/>
        <w:jc w:val="center"/>
      </w:pPr>
      <w:r>
        <w:rPr>
          <w:noProof/>
        </w:rPr>
        <w:drawing>
          <wp:inline distT="0" distB="0" distL="0" distR="0" wp14:anchorId="3442AD25" wp14:editId="08A948D3">
            <wp:extent cx="3520036" cy="2492318"/>
            <wp:effectExtent l="0" t="0" r="4445" b="3810"/>
            <wp:docPr id="1948724781" name="Picture 1" descr="The diagram shows a graph of engine speed in radians per second (rad/s) on the x-axis and gas force in Newtons (N) on the y-axis, illustrating the relationship between engine speed and the force generated by the engine across a range of RPM (revolutions per minute) from 6000 to 900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24781" name="Picture 1" descr="The diagram shows a graph of engine speed in radians per second (rad/s) on the x-axis and gas force in Newtons (N) on the y-axis, illustrating the relationship between engine speed and the force generated by the engine across a range of RPM (revolutions per minute) from 6000 to 9000.&#10;&#10;AI-generated content may be incorrect."/>
                    <pic:cNvPicPr/>
                  </pic:nvPicPr>
                  <pic:blipFill>
                    <a:blip r:embed="rId21"/>
                    <a:stretch>
                      <a:fillRect/>
                    </a:stretch>
                  </pic:blipFill>
                  <pic:spPr>
                    <a:xfrm>
                      <a:off x="0" y="0"/>
                      <a:ext cx="3522897" cy="2494343"/>
                    </a:xfrm>
                    <a:prstGeom prst="rect">
                      <a:avLst/>
                    </a:prstGeom>
                  </pic:spPr>
                </pic:pic>
              </a:graphicData>
            </a:graphic>
          </wp:inline>
        </w:drawing>
      </w:r>
    </w:p>
    <w:p w14:paraId="6014C7B5" w14:textId="145D1C38" w:rsidR="00DC3B04" w:rsidRDefault="00C1158E" w:rsidP="00DC3B04">
      <w:pPr>
        <w:pStyle w:val="Caption"/>
        <w:jc w:val="center"/>
      </w:pPr>
      <w:bookmarkStart w:id="30" w:name="_Toc224562716"/>
      <w:bookmarkStart w:id="31" w:name="_Toc224564364"/>
      <w:r>
        <w:rPr>
          <w:noProof/>
        </w:rPr>
        <mc:AlternateContent>
          <mc:Choice Requires="wps">
            <w:drawing>
              <wp:anchor distT="0" distB="0" distL="114300" distR="114300" simplePos="0" relativeHeight="251658243" behindDoc="0" locked="0" layoutInCell="1" allowOverlap="1" wp14:anchorId="06857C18" wp14:editId="60A2C39D">
                <wp:simplePos x="0" y="0"/>
                <wp:positionH relativeFrom="margin">
                  <wp:align>left</wp:align>
                </wp:positionH>
                <wp:positionV relativeFrom="paragraph">
                  <wp:posOffset>2372032</wp:posOffset>
                </wp:positionV>
                <wp:extent cx="2546350" cy="635"/>
                <wp:effectExtent l="0" t="0" r="6350" b="0"/>
                <wp:wrapSquare wrapText="bothSides"/>
                <wp:docPr id="964789936" name="Text Box 1"/>
                <wp:cNvGraphicFramePr/>
                <a:graphic xmlns:a="http://schemas.openxmlformats.org/drawingml/2006/main">
                  <a:graphicData uri="http://schemas.microsoft.com/office/word/2010/wordprocessingShape">
                    <wps:wsp>
                      <wps:cNvSpPr txBox="1"/>
                      <wps:spPr>
                        <a:xfrm>
                          <a:off x="0" y="0"/>
                          <a:ext cx="2546350" cy="635"/>
                        </a:xfrm>
                        <a:prstGeom prst="rect">
                          <a:avLst/>
                        </a:prstGeom>
                        <a:solidFill>
                          <a:prstClr val="white"/>
                        </a:solidFill>
                        <a:ln>
                          <a:noFill/>
                        </a:ln>
                      </wps:spPr>
                      <wps:txbx>
                        <w:txbxContent>
                          <w:p w14:paraId="7E21C579" w14:textId="7A67C600" w:rsidR="000E0E5A" w:rsidRPr="000C76E0" w:rsidRDefault="000E0E5A" w:rsidP="000E0E5A">
                            <w:pPr>
                              <w:pStyle w:val="Caption"/>
                              <w:rPr>
                                <w:noProof/>
                                <w:lang w:val="en-US"/>
                              </w:rPr>
                            </w:pPr>
                            <w:bookmarkStart w:id="32" w:name="_Toc224564365"/>
                            <w:r>
                              <w:t xml:space="preserve">Figure </w:t>
                            </w:r>
                            <w:r w:rsidR="00C1158E">
                              <w:t>11</w:t>
                            </w:r>
                            <w:r>
                              <w:t xml:space="preserve"> - </w:t>
                            </w:r>
                            <w:r w:rsidR="002C18A5">
                              <w:t>Goodman</w:t>
                            </w:r>
                            <w:r>
                              <w:t xml:space="preserve"> diagram representing the bolt at extended RPM range.</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857C18" id="_x0000_t202" coordsize="21600,21600" o:spt="202" path="m,l,21600r21600,l21600,xe">
                <v:stroke joinstyle="miter"/>
                <v:path gradientshapeok="t" o:connecttype="rect"/>
              </v:shapetype>
              <v:shape id="Text Box 1" o:spid="_x0000_s1026" type="#_x0000_t202" style="position:absolute;left:0;text-align:left;margin-left:0;margin-top:186.75pt;width:200.5pt;height:.05pt;z-index:251658243;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MD2FAIAADgEAAAOAAAAZHJzL2Uyb0RvYy54bWysU8Fu2zAMvQ/YPwi6L06ytRiMOEWWIsOA&#10;oC2QDj0rshQbkEWNUmJnXz9KtpOu22nYRaZF6lF872lx1zWGnRT6GmzBZ5MpZ8pKKGt7KPj3582H&#10;z5z5IGwpDFhV8LPy/G75/t2idbmaQwWmVMgIxPq8dQWvQnB5lnlZqUb4CThlKakBGxHoFw9ZiaIl&#10;9MZk8+n0NmsBS4cglfe0e98n+TLha61keNTaq8BMweluIa2Y1n1cs+VC5AcUrqrlcA3xD7doRG2p&#10;6QXqXgTBjlj/AdXUEsGDDhMJTQZa11KlGWia2fTNNLtKOJVmIXK8u9Dk/x+sfDjt3BOy0H2BjgSM&#10;hLTO55424zydxiZ+6aaM8kTh+UKb6gKTtDm/+XT78YZSknIURYzsetShD18VNCwGBUfSJFElTlsf&#10;+tKxJHbyYOpyUxsTf2JibZCdBOnXVnVQA/hvVcbGWgvxVA8Yd7LrHDEK3b4bhttDeaaZEXo7eCc3&#10;NTXaCh+eBJL+NAt5OjzSog20BYch4qwC/Pm3/VhPslCWs5b8VHD/4yhQcWa+WRIsmm8McAz2Y2CP&#10;zRpoxBm9FidTSAcwmDHUCM0LWX0Vu1BKWEm9Ch7GcB16V9NTkWq1SkVkMSfC1u6cjNAjoc/di0A3&#10;yBFIxQcYnSbyN6r0tUkXtzoGojhJFgntWRx4Jnsm0YenFP3/+j9VXR/88hcAAAD//wMAUEsDBBQA&#10;BgAIAAAAIQBDxSx/3gAAAAgBAAAPAAAAZHJzL2Rvd25yZXYueG1sTI/BTsMwEETvSPyDtUhcEHVK&#10;QkAhTlVVcIBLReiFmxtv40C8jmKnDX/PwgWOOzOafVOuZteLI46h86RguUhAIDXedNQq2L09Xd+D&#10;CFGT0b0nVPCFAVbV+VmpC+NP9IrHOraCSygUWoGNcSikDI1Fp8PCD0jsHfzodORzbKUZ9YnLXS9v&#10;kiSXTnfEH6wecGOx+awnp2CbvW/t1XR4fFln6fi8mzb5R1srdXkxrx9ARJzjXxh+8BkdKmba+4lM&#10;EL0CHhIVpHfpLQi2s2TJyv5XyUFWpfw/oPoGAAD//wMAUEsBAi0AFAAGAAgAAAAhALaDOJL+AAAA&#10;4QEAABMAAAAAAAAAAAAAAAAAAAAAAFtDb250ZW50X1R5cGVzXS54bWxQSwECLQAUAAYACAAAACEA&#10;OP0h/9YAAACUAQAACwAAAAAAAAAAAAAAAAAvAQAAX3JlbHMvLnJlbHNQSwECLQAUAAYACAAAACEA&#10;KATA9hQCAAA4BAAADgAAAAAAAAAAAAAAAAAuAgAAZHJzL2Uyb0RvYy54bWxQSwECLQAUAAYACAAA&#10;ACEAQ8Usf94AAAAIAQAADwAAAAAAAAAAAAAAAABuBAAAZHJzL2Rvd25yZXYueG1sUEsFBgAAAAAE&#10;AAQA8wAAAHkFAAAAAA==&#10;" stroked="f">
                <v:textbox style="mso-fit-shape-to-text:t" inset="0,0,0,0">
                  <w:txbxContent>
                    <w:p w14:paraId="7E21C579" w14:textId="7A67C600" w:rsidR="000E0E5A" w:rsidRPr="000C76E0" w:rsidRDefault="000E0E5A" w:rsidP="000E0E5A">
                      <w:pPr>
                        <w:pStyle w:val="Caption"/>
                        <w:rPr>
                          <w:noProof/>
                          <w:lang w:val="en-US"/>
                        </w:rPr>
                      </w:pPr>
                      <w:bookmarkStart w:id="33" w:name="_Toc224564365"/>
                      <w:r>
                        <w:t xml:space="preserve">Figure </w:t>
                      </w:r>
                      <w:r w:rsidR="00C1158E">
                        <w:t>11</w:t>
                      </w:r>
                      <w:r>
                        <w:t xml:space="preserve"> - </w:t>
                      </w:r>
                      <w:r w:rsidR="002C18A5">
                        <w:t>Goodman</w:t>
                      </w:r>
                      <w:r>
                        <w:t xml:space="preserve"> diagram representing the bolt at extended RPM range.</w:t>
                      </w:r>
                      <w:bookmarkEnd w:id="33"/>
                    </w:p>
                  </w:txbxContent>
                </v:textbox>
                <w10:wrap type="square" anchorx="margin"/>
              </v:shape>
            </w:pict>
          </mc:Fallback>
        </mc:AlternateContent>
      </w:r>
      <w:r>
        <w:rPr>
          <w:noProof/>
        </w:rPr>
        <mc:AlternateContent>
          <mc:Choice Requires="wps">
            <w:drawing>
              <wp:anchor distT="0" distB="0" distL="114300" distR="114300" simplePos="0" relativeHeight="251658245" behindDoc="0" locked="0" layoutInCell="1" allowOverlap="1" wp14:anchorId="4096255F" wp14:editId="546ECB6D">
                <wp:simplePos x="0" y="0"/>
                <wp:positionH relativeFrom="column">
                  <wp:posOffset>2973070</wp:posOffset>
                </wp:positionH>
                <wp:positionV relativeFrom="paragraph">
                  <wp:posOffset>2333078</wp:posOffset>
                </wp:positionV>
                <wp:extent cx="2838450" cy="635"/>
                <wp:effectExtent l="0" t="0" r="0" b="0"/>
                <wp:wrapSquare wrapText="bothSides"/>
                <wp:docPr id="921990778" name="Text Box 1"/>
                <wp:cNvGraphicFramePr/>
                <a:graphic xmlns:a="http://schemas.openxmlformats.org/drawingml/2006/main">
                  <a:graphicData uri="http://schemas.microsoft.com/office/word/2010/wordprocessingShape">
                    <wps:wsp>
                      <wps:cNvSpPr txBox="1"/>
                      <wps:spPr>
                        <a:xfrm>
                          <a:off x="0" y="0"/>
                          <a:ext cx="2838450" cy="635"/>
                        </a:xfrm>
                        <a:prstGeom prst="rect">
                          <a:avLst/>
                        </a:prstGeom>
                        <a:solidFill>
                          <a:prstClr val="white"/>
                        </a:solidFill>
                        <a:ln>
                          <a:noFill/>
                        </a:ln>
                      </wps:spPr>
                      <wps:txbx>
                        <w:txbxContent>
                          <w:p w14:paraId="444297DE" w14:textId="5562EF34" w:rsidR="00292CCB" w:rsidRPr="00891C68" w:rsidRDefault="00292CCB" w:rsidP="00292CCB">
                            <w:pPr>
                              <w:pStyle w:val="Caption"/>
                              <w:rPr>
                                <w:noProof/>
                              </w:rPr>
                            </w:pPr>
                            <w:r>
                              <w:t>Figure 1</w:t>
                            </w:r>
                            <w:r w:rsidR="00C1158E">
                              <w:t>2</w:t>
                            </w:r>
                            <w:r>
                              <w:t xml:space="preserve"> - </w:t>
                            </w:r>
                            <w:r w:rsidRPr="00C34778">
                              <w:t>Section view of the goodman diagram representing the allowable range of the bolt.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96255F" id="_x0000_s1027" type="#_x0000_t202" style="position:absolute;left:0;text-align:left;margin-left:234.1pt;margin-top:183.7pt;width:223.5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w1SGAIAAD8EAAAOAAAAZHJzL2Uyb0RvYy54bWysU8Fu2zAMvQ/YPwi6L07StQiMOEWWIsOA&#10;oC2QDj0rshwLkEWNUmJnXz9KjpOu22nYRaZJihTfe5zfd41hR4Vegy34ZDTmTFkJpbb7gn9/WX+a&#10;ceaDsKUwYFXBT8rz+8XHD/PW5WoKNZhSIaMi1uetK3gdgsuzzMtaNcKPwClLwQqwEYF+cZ+VKFqq&#10;3phsOh7fZS1g6RCk8p68D32QL1L9qlIyPFWVV4GZgtPbQjoxnbt4Zou5yPcoXK3l+RniH17RCG2p&#10;6aXUgwiCHVD/UarREsFDFUYSmgyqSkuVZqBpJuN302xr4VSahcDx7gKT/39l5eNx656Rhe4LdERg&#10;BKR1PvfkjPN0FTbxSy9lFCcITxfYVBeYJOd0djP7fEshSbG7m9tYI7tedejDVwUNi0bBkThJUInj&#10;xoc+dUiJnTwYXa61MfEnBlYG2VEQf22tgzoX/y3L2JhrId7qC0ZPdp0jWqHbdUyXb2bcQXmi0RF6&#10;VXgn15r6bYQPzwJJBjQSSTs80VEZaAsOZ4uzGvDn3/wxn9ihKGctyarg/sdBoOLMfLPEW9TgYOBg&#10;7AbDHpoV0KQTWhonk0kXMJjBrBCaV1L8MnahkLCSehU8DOYq9OKmjZFquUxJpDQnwsZunYylB1xf&#10;uleB7sxKIDIfYRCcyN+R0+cmetzyEAjpxFzEtUfxDDepNHF/3qi4Bm//U9Z17xe/AAAA//8DAFBL&#10;AwQUAAYACAAAACEAksyAIuEAAAALAQAADwAAAGRycy9kb3ducmV2LnhtbEyPsU7DMBCGdyTewTok&#10;FkSdtmkoIU5VVTCUpSJ0YXPjaxyIz5HttOHta1hgvP8+/fddsRpNx07ofGtJwHSSAEOqrWqpEbB/&#10;f7lfAvNBkpKdJRTwjR5W5fVVIXNlz/SGpyo0LJaQz6UAHUKfc+5rjUb6ie2R4u5onZEhjq7hyslz&#10;LDcdnyVJxo1sKV7QsseNxvqrGoyAXfqx03fD8fl1nc7ddj9sss+mEuL2Zlw/AQs4hj8YfvSjOpTR&#10;6WAHUp51AtJsOYuogHn2kAKLxON0EZPDb7IAXhb8/w/lBQAA//8DAFBLAQItABQABgAIAAAAIQC2&#10;gziS/gAAAOEBAAATAAAAAAAAAAAAAAAAAAAAAABbQ29udGVudF9UeXBlc10ueG1sUEsBAi0AFAAG&#10;AAgAAAAhADj9If/WAAAAlAEAAAsAAAAAAAAAAAAAAAAALwEAAF9yZWxzLy5yZWxzUEsBAi0AFAAG&#10;AAgAAAAhAAPHDVIYAgAAPwQAAA4AAAAAAAAAAAAAAAAALgIAAGRycy9lMm9Eb2MueG1sUEsBAi0A&#10;FAAGAAgAAAAhAJLMgCLhAAAACwEAAA8AAAAAAAAAAAAAAAAAcgQAAGRycy9kb3ducmV2LnhtbFBL&#10;BQYAAAAABAAEAPMAAACABQAAAAA=&#10;" stroked="f">
                <v:textbox style="mso-fit-shape-to-text:t" inset="0,0,0,0">
                  <w:txbxContent>
                    <w:p w14:paraId="444297DE" w14:textId="5562EF34" w:rsidR="00292CCB" w:rsidRPr="00891C68" w:rsidRDefault="00292CCB" w:rsidP="00292CCB">
                      <w:pPr>
                        <w:pStyle w:val="Caption"/>
                        <w:rPr>
                          <w:noProof/>
                        </w:rPr>
                      </w:pPr>
                      <w:r>
                        <w:t>Figure 1</w:t>
                      </w:r>
                      <w:r w:rsidR="00C1158E">
                        <w:t>2</w:t>
                      </w:r>
                      <w:r>
                        <w:t xml:space="preserve"> - </w:t>
                      </w:r>
                      <w:r w:rsidRPr="00C34778">
                        <w:t>Section view of the goodman diagram representing the allowable range of the bolt.</w:t>
                      </w:r>
                    </w:p>
                  </w:txbxContent>
                </v:textbox>
                <w10:wrap type="square"/>
              </v:shape>
            </w:pict>
          </mc:Fallback>
        </mc:AlternateContent>
      </w:r>
      <w:r>
        <w:rPr>
          <w:noProof/>
        </w:rPr>
        <w:drawing>
          <wp:anchor distT="0" distB="0" distL="114300" distR="114300" simplePos="0" relativeHeight="251658244" behindDoc="0" locked="0" layoutInCell="1" allowOverlap="1" wp14:anchorId="43A12F85" wp14:editId="57B798BB">
            <wp:simplePos x="0" y="0"/>
            <wp:positionH relativeFrom="column">
              <wp:posOffset>2979420</wp:posOffset>
            </wp:positionH>
            <wp:positionV relativeFrom="paragraph">
              <wp:posOffset>257175</wp:posOffset>
            </wp:positionV>
            <wp:extent cx="3034665" cy="2065020"/>
            <wp:effectExtent l="0" t="0" r="0" b="0"/>
            <wp:wrapSquare wrapText="bothSides"/>
            <wp:docPr id="1892282356" name="Picture 1" descr="The image is a Goodman Diagram depicting the fatigue life of connecting rod bolts at 9000 RPM, with various stress levels plotted against allowable and upper/lower endurance lim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282356" name="Picture 1" descr="The image is a Goodman Diagram depicting the fatigue life of connecting rod bolts at 9000 RPM, with various stress levels plotted against allowable and upper/lower endurance limit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34665" cy="20650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0" locked="0" layoutInCell="1" allowOverlap="1" wp14:anchorId="0FF1748D" wp14:editId="531048B0">
            <wp:simplePos x="0" y="0"/>
            <wp:positionH relativeFrom="margin">
              <wp:align>left</wp:align>
            </wp:positionH>
            <wp:positionV relativeFrom="paragraph">
              <wp:posOffset>274320</wp:posOffset>
            </wp:positionV>
            <wp:extent cx="3042285" cy="2070735"/>
            <wp:effectExtent l="0" t="0" r="5715" b="5715"/>
            <wp:wrapSquare wrapText="bothSides"/>
            <wp:docPr id="631996843" name="Picture 1" descr="The image displays a Goodman Diagram for connecting rod bolts, indicating the relationship between mean stress, alternating stress, and allowable ranges at 9000 RP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96843" name="Picture 1" descr="The image displays a Goodman Diagram for connecting rod bolts, indicating the relationship between mean stress, alternating stress, and allowable ranges at 9000 RPM.&#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48565" cy="2074865"/>
                    </a:xfrm>
                    <a:prstGeom prst="rect">
                      <a:avLst/>
                    </a:prstGeom>
                  </pic:spPr>
                </pic:pic>
              </a:graphicData>
            </a:graphic>
            <wp14:sizeRelH relativeFrom="margin">
              <wp14:pctWidth>0</wp14:pctWidth>
            </wp14:sizeRelH>
            <wp14:sizeRelV relativeFrom="margin">
              <wp14:pctHeight>0</wp14:pctHeight>
            </wp14:sizeRelV>
          </wp:anchor>
        </w:drawing>
      </w:r>
      <w:r w:rsidR="00DC3B04">
        <w:t xml:space="preserve">Figure </w:t>
      </w:r>
      <w:r>
        <w:t>10</w:t>
      </w:r>
      <w:r w:rsidR="00DC3B04">
        <w:t xml:space="preserve"> </w:t>
      </w:r>
      <w:r>
        <w:t>-</w:t>
      </w:r>
      <w:r w:rsidR="00DC3B04">
        <w:t xml:space="preserve"> </w:t>
      </w:r>
      <w:r w:rsidR="00864F4E">
        <w:t>P</w:t>
      </w:r>
      <w:r w:rsidR="00BE7EF8">
        <w:t xml:space="preserve">eak gas </w:t>
      </w:r>
      <w:r w:rsidR="00864F4E">
        <w:t>force interpolation</w:t>
      </w:r>
      <w:r w:rsidR="00DC3B04">
        <w:t xml:space="preserve"> from 6000 RPM to 9000 RPM.</w:t>
      </w:r>
      <w:bookmarkEnd w:id="30"/>
      <w:bookmarkEnd w:id="31"/>
    </w:p>
    <w:p w14:paraId="1ADE4F03" w14:textId="52A6BDC0" w:rsidR="00DE7368" w:rsidRDefault="00DE7368" w:rsidP="00292CCB">
      <w:pPr>
        <w:keepNext/>
        <w:jc w:val="center"/>
      </w:pPr>
    </w:p>
    <w:p w14:paraId="3BC8089D" w14:textId="40C0389B" w:rsidR="001611DC" w:rsidRDefault="00D51017" w:rsidP="001611DC">
      <w:pPr>
        <w:jc w:val="both"/>
      </w:pPr>
      <w:r>
        <w:t>Figures 11 and 12 clearly show</w:t>
      </w:r>
      <w:r w:rsidR="001611DC">
        <w:t xml:space="preserve"> the stresses applied to the bolt exceed the limits of operation</w:t>
      </w:r>
      <w:r w:rsidR="000A38F4">
        <w:t xml:space="preserve">. This is confirmed by the fatigue safety factor being below 1, confirming the bolt will </w:t>
      </w:r>
      <w:r w:rsidR="0018187C">
        <w:t xml:space="preserve">likely </w:t>
      </w:r>
      <w:r w:rsidR="000A38F4">
        <w:t xml:space="preserve">fail </w:t>
      </w:r>
      <w:r w:rsidR="00E03ADD">
        <w:t xml:space="preserve">under </w:t>
      </w:r>
      <w:r w:rsidR="005F2EDA">
        <w:t>cyclic</w:t>
      </w:r>
      <w:r w:rsidR="00E03ADD">
        <w:t xml:space="preserve"> loading</w:t>
      </w:r>
      <w:r w:rsidR="000A38F4">
        <w:t xml:space="preserve"> at increased RPM</w:t>
      </w:r>
      <w:r w:rsidR="00316FC6">
        <w:t xml:space="preserve">. </w:t>
      </w:r>
      <w:r w:rsidR="005D31FE">
        <w:t xml:space="preserve">As mentioned in chapter 2.1, inertia force is directly proportional to </w:t>
      </w:r>
      <w:r w:rsidR="005F2EDA">
        <w:t xml:space="preserve">the square of </w:t>
      </w:r>
      <w:r w:rsidR="005D31FE">
        <w:t xml:space="preserve">speed and so the increased RPM range results in </w:t>
      </w:r>
      <w:r w:rsidR="00CD5C63">
        <w:t xml:space="preserve">a higher </w:t>
      </w:r>
      <w:r w:rsidR="00CD5C63">
        <w:lastRenderedPageBreak/>
        <w:t xml:space="preserve">inertia force amplitude. </w:t>
      </w:r>
      <w:r w:rsidR="005526AE">
        <w:t xml:space="preserve">Consequently, the maximum stress increases from 570 MPa at normal operating speeds to 640 MPa at 9000 RPM, resulting in the bolt reaching its fatigue limit. </w:t>
      </w:r>
    </w:p>
    <w:p w14:paraId="20F083E5" w14:textId="2B42D9E7" w:rsidR="00811A8A" w:rsidRDefault="00DC3B04" w:rsidP="000E0E5A">
      <w:pPr>
        <w:pStyle w:val="Caption"/>
        <w:rPr>
          <w:noProof/>
        </w:rPr>
      </w:pPr>
      <w:bookmarkStart w:id="34" w:name="_Toc224564366"/>
      <w:r>
        <w:rPr>
          <w:noProof/>
        </w:rPr>
        <w:drawing>
          <wp:inline distT="0" distB="0" distL="0" distR="0" wp14:anchorId="732FAAE6" wp14:editId="31577036">
            <wp:extent cx="2750820" cy="1871980"/>
            <wp:effectExtent l="0" t="0" r="0" b="0"/>
            <wp:docPr id="1421085613" name="Picture 1" descr="The image depicts a Goodman Diagram for connecting rod bolts at 9000 RPM, showing allowable, alternating, and mean stresses, with specified maximum and minimum val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085613" name="Picture 1" descr="The image depicts a Goodman Diagram for connecting rod bolts at 9000 RPM, showing allowable, alternating, and mean stresses, with specified maximum and minimum value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50820" cy="1871980"/>
                    </a:xfrm>
                    <a:prstGeom prst="rect">
                      <a:avLst/>
                    </a:prstGeom>
                  </pic:spPr>
                </pic:pic>
              </a:graphicData>
            </a:graphic>
          </wp:inline>
        </w:drawing>
      </w:r>
      <w:r w:rsidR="000E0E5A">
        <w:rPr>
          <w:noProof/>
        </w:rPr>
        <mc:AlternateContent>
          <mc:Choice Requires="wps">
            <w:drawing>
              <wp:anchor distT="0" distB="0" distL="114300" distR="114300" simplePos="0" relativeHeight="251658241" behindDoc="0" locked="0" layoutInCell="1" allowOverlap="1" wp14:anchorId="2A597FF2" wp14:editId="75FD30A2">
                <wp:simplePos x="0" y="0"/>
                <wp:positionH relativeFrom="column">
                  <wp:posOffset>0</wp:posOffset>
                </wp:positionH>
                <wp:positionV relativeFrom="paragraph">
                  <wp:posOffset>2042160</wp:posOffset>
                </wp:positionV>
                <wp:extent cx="2915920" cy="635"/>
                <wp:effectExtent l="0" t="0" r="0" b="0"/>
                <wp:wrapSquare wrapText="bothSides"/>
                <wp:docPr id="488665131" name="Text Box 1"/>
                <wp:cNvGraphicFramePr/>
                <a:graphic xmlns:a="http://schemas.openxmlformats.org/drawingml/2006/main">
                  <a:graphicData uri="http://schemas.microsoft.com/office/word/2010/wordprocessingShape">
                    <wps:wsp>
                      <wps:cNvSpPr txBox="1"/>
                      <wps:spPr>
                        <a:xfrm>
                          <a:off x="0" y="0"/>
                          <a:ext cx="2915920" cy="635"/>
                        </a:xfrm>
                        <a:prstGeom prst="rect">
                          <a:avLst/>
                        </a:prstGeom>
                        <a:solidFill>
                          <a:prstClr val="white"/>
                        </a:solidFill>
                        <a:ln>
                          <a:noFill/>
                        </a:ln>
                      </wps:spPr>
                      <wps:txbx>
                        <w:txbxContent>
                          <w:p w14:paraId="43E9D1C6" w14:textId="555A4C99" w:rsidR="000E0E5A" w:rsidRPr="00017092" w:rsidRDefault="000E0E5A" w:rsidP="000E0E5A">
                            <w:pPr>
                              <w:pStyle w:val="Caption"/>
                              <w:rPr>
                                <w:noProof/>
                                <w:lang w:val="en-US"/>
                              </w:rPr>
                            </w:pPr>
                            <w:bookmarkStart w:id="35" w:name="_Toc224564367"/>
                            <w:r>
                              <w:t xml:space="preserve">Figure </w:t>
                            </w:r>
                            <w:r w:rsidR="00C1158E">
                              <w:t>13</w:t>
                            </w:r>
                            <w:r>
                              <w:t xml:space="preserve"> - </w:t>
                            </w:r>
                            <w:r w:rsidRPr="00224223">
                              <w:t>Goodman diagram for connecting rod at extended RPM range with added gas forces</w:t>
                            </w:r>
                            <w:r>
                              <w:t>.</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597FF2" id="_x0000_s1028" type="#_x0000_t202" style="position:absolute;margin-left:0;margin-top:160.8pt;width:229.6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CACGQIAAD8EAAAOAAAAZHJzL2Uyb0RvYy54bWysU01v2zAMvQ/YfxB0X5xkaLEacYosRYYB&#10;QVsgHXpWZDkWIIsapcTOfv0o2U62bqdhF5kWKX6897i47xrDTgq9Blvw2WTKmbISSm0PBf/2svnw&#10;iTMfhC2FAasKflae3y/fv1u0LldzqMGUChklsT5vXcHrEFyeZV7WqhF+Ak5ZclaAjQj0i4esRNFS&#10;9sZk8+n0NmsBS4cglfd0+9A7+TLlryolw1NVeRWYKTj1FtKJ6dzHM1suRH5A4WothzbEP3TRCG2p&#10;6CXVgwiCHVH/karREsFDFSYSmgyqSkuVZqBpZtM30+xq4VSahcDx7gKT/39p5eNp556Rhe4zdERg&#10;BKR1Pvd0GefpKmzilzpl5CcIzxfYVBeYpMv53ezmbk4uSb7bjz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KsFqrrfAAAACAEAAA8AAABkcnMvZG93bnJldi54bWxMj8FOwzAQRO9I/IO1&#10;SFwQdZqGFEKcqqrgAJeKtBdubryNA/E6sp02/D2GCxxnZzXzplxNpmcndL6zJGA+S4AhNVZ11ArY&#10;755v74H5IEnJ3hIK+EIPq+ryopSFsmd6w1MdWhZDyBdSgA5hKDj3jUYj/cwOSNE7WmdkiNK1XDl5&#10;juGm52mS5NzIjmKDlgNuNDaf9WgEbLP3rb4Zj0+v62zhXvbjJv9oayGur6b1I7CAU/h7hh/8iA5V&#10;ZDrYkZRnvYA4JAhYpPMcWLSzu4cU2OH3sgRelfz/gOobAAD//wMAUEsBAi0AFAAGAAgAAAAhALaD&#10;OJL+AAAA4QEAABMAAAAAAAAAAAAAAAAAAAAAAFtDb250ZW50X1R5cGVzXS54bWxQSwECLQAUAAYA&#10;CAAAACEAOP0h/9YAAACUAQAACwAAAAAAAAAAAAAAAAAvAQAAX3JlbHMvLnJlbHNQSwECLQAUAAYA&#10;CAAAACEAk2QgAhkCAAA/BAAADgAAAAAAAAAAAAAAAAAuAgAAZHJzL2Uyb0RvYy54bWxQSwECLQAU&#10;AAYACAAAACEAqwWqut8AAAAIAQAADwAAAAAAAAAAAAAAAABzBAAAZHJzL2Rvd25yZXYueG1sUEsF&#10;BgAAAAAEAAQA8wAAAH8FAAAAAA==&#10;" stroked="f">
                <v:textbox style="mso-fit-shape-to-text:t" inset="0,0,0,0">
                  <w:txbxContent>
                    <w:p w14:paraId="43E9D1C6" w14:textId="555A4C99" w:rsidR="000E0E5A" w:rsidRPr="00017092" w:rsidRDefault="000E0E5A" w:rsidP="000E0E5A">
                      <w:pPr>
                        <w:pStyle w:val="Caption"/>
                        <w:rPr>
                          <w:noProof/>
                          <w:lang w:val="en-US"/>
                        </w:rPr>
                      </w:pPr>
                      <w:bookmarkStart w:id="36" w:name="_Toc224564367"/>
                      <w:r>
                        <w:t xml:space="preserve">Figure </w:t>
                      </w:r>
                      <w:r w:rsidR="00C1158E">
                        <w:t>13</w:t>
                      </w:r>
                      <w:r>
                        <w:t xml:space="preserve"> - </w:t>
                      </w:r>
                      <w:r w:rsidRPr="00224223">
                        <w:t>Goodman diagram for connecting rod at extended RPM range with added gas forces</w:t>
                      </w:r>
                      <w:r>
                        <w:t>.</w:t>
                      </w:r>
                      <w:bookmarkEnd w:id="36"/>
                    </w:p>
                  </w:txbxContent>
                </v:textbox>
                <w10:wrap type="square"/>
              </v:shape>
            </w:pict>
          </mc:Fallback>
        </mc:AlternateContent>
      </w:r>
      <w:r w:rsidR="006F43A0">
        <w:rPr>
          <w:noProof/>
        </w:rPr>
        <w:drawing>
          <wp:anchor distT="0" distB="0" distL="114300" distR="114300" simplePos="0" relativeHeight="251658240" behindDoc="0" locked="0" layoutInCell="1" allowOverlap="1" wp14:anchorId="1EA80719" wp14:editId="790C59C1">
            <wp:simplePos x="0" y="0"/>
            <wp:positionH relativeFrom="column">
              <wp:posOffset>0</wp:posOffset>
            </wp:positionH>
            <wp:positionV relativeFrom="paragraph">
              <wp:posOffset>365</wp:posOffset>
            </wp:positionV>
            <wp:extent cx="2916340" cy="1985186"/>
            <wp:effectExtent l="0" t="0" r="0" b="0"/>
            <wp:wrapSquare wrapText="bothSides"/>
            <wp:docPr id="1688030187" name="Picture 1" descr="The image is a Goodman diagram illustrating the allowable and actual stress range for connecting rod bolts at 9000 RPM, with specified values for mean stress, ultimate tensile strength, and safety fact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030187" name="Picture 1" descr="The image is a Goodman diagram illustrating the allowable and actual stress range for connecting rod bolts at 9000 RPM, with specified values for mean stress, ultimate tensile strength, and safety factors.&#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16340" cy="1985186"/>
                    </a:xfrm>
                    <a:prstGeom prst="rect">
                      <a:avLst/>
                    </a:prstGeom>
                  </pic:spPr>
                </pic:pic>
              </a:graphicData>
            </a:graphic>
          </wp:anchor>
        </w:drawing>
      </w:r>
      <w:r w:rsidR="00DE7368" w:rsidRPr="00DE7368">
        <w:rPr>
          <w:noProof/>
        </w:rPr>
        <w:t xml:space="preserve"> </w:t>
      </w:r>
      <w:r w:rsidR="000E0E5A">
        <w:t xml:space="preserve">Figure </w:t>
      </w:r>
      <w:r w:rsidR="00292CCB">
        <w:t>1</w:t>
      </w:r>
      <w:r w:rsidR="00C1158E">
        <w:t>4</w:t>
      </w:r>
      <w:r w:rsidR="000E0E5A">
        <w:t xml:space="preserve"> - </w:t>
      </w:r>
      <w:r w:rsidR="000E0E5A" w:rsidRPr="0035078C">
        <w:t>Section view of the goodman diagram for the connecting rod with extended RPM range and added gas force.</w:t>
      </w:r>
      <w:bookmarkEnd w:id="34"/>
    </w:p>
    <w:p w14:paraId="6F5CE463" w14:textId="77777777" w:rsidR="000E0E5A" w:rsidRPr="000E0E5A" w:rsidRDefault="000E0E5A" w:rsidP="000E0E5A">
      <w:pPr>
        <w:rPr>
          <w:lang w:val="en-GB"/>
        </w:rPr>
      </w:pPr>
    </w:p>
    <w:p w14:paraId="71A72796" w14:textId="0B1F0793" w:rsidR="0008424B" w:rsidRPr="0045461E" w:rsidRDefault="00811A8A" w:rsidP="00AF1C82">
      <w:pPr>
        <w:jc w:val="both"/>
        <w:rPr>
          <w:noProof/>
        </w:rPr>
      </w:pPr>
      <w:r>
        <w:rPr>
          <w:noProof/>
        </w:rPr>
        <w:t xml:space="preserve">To improve the model, gas forces were added </w:t>
      </w:r>
      <w:r w:rsidR="005F1B00">
        <w:rPr>
          <w:noProof/>
        </w:rPr>
        <w:t xml:space="preserve">at 9000 RPM. Similarly to the normal </w:t>
      </w:r>
      <w:r w:rsidR="00D51017">
        <w:rPr>
          <w:noProof/>
        </w:rPr>
        <w:t xml:space="preserve">RPM </w:t>
      </w:r>
      <w:r w:rsidR="005F1B00">
        <w:rPr>
          <w:noProof/>
        </w:rPr>
        <w:t>ra</w:t>
      </w:r>
      <w:r w:rsidR="00D51017">
        <w:rPr>
          <w:noProof/>
        </w:rPr>
        <w:t>n</w:t>
      </w:r>
      <w:r w:rsidR="005F1B00">
        <w:rPr>
          <w:noProof/>
        </w:rPr>
        <w:t xml:space="preserve">ge, the fatigue safety factor improved due to the compressive stresses </w:t>
      </w:r>
      <w:r w:rsidR="00D51017">
        <w:rPr>
          <w:noProof/>
        </w:rPr>
        <w:t>ofsetting</w:t>
      </w:r>
      <w:r w:rsidR="005F1B00">
        <w:rPr>
          <w:noProof/>
        </w:rPr>
        <w:t xml:space="preserve"> tensile loading on the bolt. </w:t>
      </w:r>
      <w:r w:rsidR="00A63DEE">
        <w:rPr>
          <w:noProof/>
        </w:rPr>
        <w:t>F</w:t>
      </w:r>
      <w:r w:rsidR="00B47251">
        <w:rPr>
          <w:noProof/>
        </w:rPr>
        <w:t>igures 1</w:t>
      </w:r>
      <w:r w:rsidR="00DC3B04">
        <w:rPr>
          <w:noProof/>
        </w:rPr>
        <w:t>3</w:t>
      </w:r>
      <w:r w:rsidR="00B47251">
        <w:rPr>
          <w:noProof/>
        </w:rPr>
        <w:t xml:space="preserve"> and 1</w:t>
      </w:r>
      <w:r w:rsidR="00DC3B04">
        <w:rPr>
          <w:noProof/>
        </w:rPr>
        <w:t>4</w:t>
      </w:r>
      <w:r w:rsidR="00B47251">
        <w:rPr>
          <w:noProof/>
        </w:rPr>
        <w:t xml:space="preserve"> show the bolt is operating on the</w:t>
      </w:r>
      <w:r w:rsidR="00A86A38">
        <w:rPr>
          <w:noProof/>
        </w:rPr>
        <w:t xml:space="preserve"> limit of its fatigue life, </w:t>
      </w:r>
      <w:r w:rsidR="00E26F2C">
        <w:rPr>
          <w:noProof/>
        </w:rPr>
        <w:t xml:space="preserve">showing its </w:t>
      </w:r>
      <w:r w:rsidR="000E2D89">
        <w:rPr>
          <w:noProof/>
        </w:rPr>
        <w:t xml:space="preserve">vulnerability to failure. </w:t>
      </w:r>
      <w:r w:rsidR="0008424B" w:rsidRPr="0008424B">
        <w:rPr>
          <w:noProof/>
          <w:lang w:val="en-GB"/>
        </w:rPr>
        <w:t xml:space="preserve">A limitation of </w:t>
      </w:r>
      <w:r w:rsidR="00D875FE">
        <w:rPr>
          <w:noProof/>
          <w:lang w:val="en-GB"/>
        </w:rPr>
        <w:t>using gas forces</w:t>
      </w:r>
      <w:r w:rsidR="0008424B" w:rsidRPr="0008424B">
        <w:rPr>
          <w:noProof/>
          <w:lang w:val="en-GB"/>
        </w:rPr>
        <w:t xml:space="preserve"> is the reliance on cylinder pressure data, which may not fully capture transient combustion effects, cycle-to-cycle variation, or peak pressure spikes. </w:t>
      </w:r>
      <w:r w:rsidR="00A90966">
        <w:rPr>
          <w:noProof/>
          <w:lang w:val="en-GB"/>
        </w:rPr>
        <w:t>T</w:t>
      </w:r>
      <w:r w:rsidR="0008424B" w:rsidRPr="0008424B">
        <w:rPr>
          <w:noProof/>
          <w:lang w:val="en-GB"/>
        </w:rPr>
        <w:t>he inclusion of gas forces may artificially reduce the predicted tensile stresses and lead to a non-conservative estimation</w:t>
      </w:r>
      <w:r w:rsidR="00A90966">
        <w:rPr>
          <w:noProof/>
          <w:lang w:val="en-GB"/>
        </w:rPr>
        <w:t xml:space="preserve">, </w:t>
      </w:r>
      <w:r w:rsidR="00A90966">
        <w:rPr>
          <w:noProof/>
        </w:rPr>
        <w:t>t</w:t>
      </w:r>
      <w:r w:rsidR="0008424B" w:rsidRPr="0008424B">
        <w:rPr>
          <w:noProof/>
          <w:lang w:val="en-GB"/>
        </w:rPr>
        <w:t xml:space="preserve">herefore, from a design perspective, it may be more appropriate to consider </w:t>
      </w:r>
      <w:r w:rsidR="00A90966">
        <w:rPr>
          <w:noProof/>
          <w:lang w:val="en-GB"/>
        </w:rPr>
        <w:t>only inertia</w:t>
      </w:r>
      <w:r w:rsidR="0008424B" w:rsidRPr="0008424B">
        <w:rPr>
          <w:noProof/>
          <w:lang w:val="en-GB"/>
        </w:rPr>
        <w:t xml:space="preserve"> </w:t>
      </w:r>
      <w:r w:rsidR="00A90966">
        <w:rPr>
          <w:noProof/>
          <w:lang w:val="en-GB"/>
        </w:rPr>
        <w:t>forces</w:t>
      </w:r>
      <w:r w:rsidR="0008424B" w:rsidRPr="0008424B">
        <w:rPr>
          <w:noProof/>
          <w:lang w:val="en-GB"/>
        </w:rPr>
        <w:t xml:space="preserve">, as this neglects the beneficial compressive effects of gas </w:t>
      </w:r>
      <w:r w:rsidR="00A90966">
        <w:rPr>
          <w:noProof/>
          <w:lang w:val="en-GB"/>
        </w:rPr>
        <w:t>forces</w:t>
      </w:r>
      <w:r w:rsidR="0008424B" w:rsidRPr="0008424B">
        <w:rPr>
          <w:noProof/>
          <w:lang w:val="en-GB"/>
        </w:rPr>
        <w:t xml:space="preserve"> and ensures the bolt is designed against worst-case conditions.</w:t>
      </w:r>
    </w:p>
    <w:p w14:paraId="7386467B" w14:textId="592C7DCB" w:rsidR="001F5FCD" w:rsidRPr="001F5FCD" w:rsidRDefault="00D165B6" w:rsidP="001F5FCD">
      <w:pPr>
        <w:pStyle w:val="Heading2"/>
      </w:pPr>
      <w:bookmarkStart w:id="37" w:name="_Toc225020404"/>
      <w:r>
        <w:t>4</w:t>
      </w:r>
      <w:r w:rsidR="00A367B3">
        <w:t>.</w:t>
      </w:r>
      <w:r>
        <w:t>1</w:t>
      </w:r>
      <w:r w:rsidR="00A367B3">
        <w:t xml:space="preserve"> </w:t>
      </w:r>
      <w:r w:rsidR="004E1F3F">
        <w:t>Geometric Consideration</w:t>
      </w:r>
      <w:bookmarkEnd w:id="37"/>
    </w:p>
    <w:p w14:paraId="5D785368" w14:textId="55B58EF7" w:rsidR="00F17770" w:rsidRDefault="00DC3B04" w:rsidP="001F5FCD">
      <w:r>
        <w:t>To improve the bolt under the extended RPM range, the waste</w:t>
      </w:r>
      <w:r w:rsidR="00F97DA1">
        <w:t>d</w:t>
      </w:r>
      <w:r>
        <w:t xml:space="preserve"> shank section was </w:t>
      </w:r>
      <w:r w:rsidR="001876CE">
        <w:t>investigated</w:t>
      </w:r>
      <w:r>
        <w:t xml:space="preserve">. By reducing the diameter of the wasted shank, the </w:t>
      </w:r>
      <w:r w:rsidR="009A5BD2">
        <w:t xml:space="preserve">area of the bolt reduces and subsequently reduces the overall stiffness. This in turn improves bolt compliance and improves the fatigue factor of safety </w:t>
      </w:r>
      <w:r w:rsidR="005D73AD">
        <w:t>due to the bolt</w:t>
      </w:r>
      <w:r w:rsidR="008F3ED4">
        <w:t xml:space="preserve">s ability to </w:t>
      </w:r>
      <w:r w:rsidR="005D73AD">
        <w:t xml:space="preserve">absorb more deformation and </w:t>
      </w:r>
      <w:r w:rsidR="000B0E5B">
        <w:t xml:space="preserve">reduce </w:t>
      </w:r>
      <w:r w:rsidR="001876CE">
        <w:t>cyclic stress</w:t>
      </w:r>
      <w:r w:rsidR="000B0E5B">
        <w:t xml:space="preserve"> amplitude</w:t>
      </w:r>
      <w:r w:rsidR="001876CE">
        <w:t xml:space="preserve">. </w:t>
      </w:r>
      <w:r w:rsidR="00D51017">
        <w:t>(</w:t>
      </w:r>
      <w:r w:rsidR="00FA1351">
        <w:t>LF-BJMB, 2026)</w:t>
      </w:r>
    </w:p>
    <w:p w14:paraId="15E3DFC8" w14:textId="048E49C5" w:rsidR="00730C4C" w:rsidRDefault="00C91C96" w:rsidP="00B94AAC">
      <w:pPr>
        <w:keepNext/>
        <w:jc w:val="center"/>
      </w:pPr>
      <w:r>
        <w:rPr>
          <w:noProof/>
        </w:rPr>
        <w:lastRenderedPageBreak/>
        <w:drawing>
          <wp:inline distT="0" distB="0" distL="0" distR="0" wp14:anchorId="61B0B593" wp14:editId="72AEB538">
            <wp:extent cx="5004898" cy="3333750"/>
            <wp:effectExtent l="0" t="0" r="5715" b="0"/>
            <wp:docPr id="580258838" name="Picture 1" descr="The graph shows the relationship between shank diameter size and the resulting fatigue factor of safety, indicating that as the shank diameter decreases, the fatigue safety factor also decrea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258838" name="Picture 1" descr="The graph shows the relationship between shank diameter size and the resulting fatigue factor of safety, indicating that as the shank diameter decreases, the fatigue safety factor also decreases.&#10;&#10;AI-generated content may be incorrect."/>
                    <pic:cNvPicPr/>
                  </pic:nvPicPr>
                  <pic:blipFill>
                    <a:blip r:embed="rId26"/>
                    <a:stretch>
                      <a:fillRect/>
                    </a:stretch>
                  </pic:blipFill>
                  <pic:spPr>
                    <a:xfrm>
                      <a:off x="0" y="0"/>
                      <a:ext cx="5006939" cy="3335110"/>
                    </a:xfrm>
                    <a:prstGeom prst="rect">
                      <a:avLst/>
                    </a:prstGeom>
                  </pic:spPr>
                </pic:pic>
              </a:graphicData>
            </a:graphic>
          </wp:inline>
        </w:drawing>
      </w:r>
    </w:p>
    <w:p w14:paraId="337F9EFD" w14:textId="548CABD4" w:rsidR="001876CE" w:rsidRDefault="00730C4C" w:rsidP="00730C4C">
      <w:pPr>
        <w:pStyle w:val="Caption"/>
        <w:jc w:val="center"/>
      </w:pPr>
      <w:r>
        <w:t xml:space="preserve">Figure </w:t>
      </w:r>
      <w:r w:rsidR="00820DBC">
        <w:t xml:space="preserve">15 </w:t>
      </w:r>
      <w:r w:rsidR="00C91C96">
        <w:t>–</w:t>
      </w:r>
      <w:r>
        <w:t xml:space="preserve"> </w:t>
      </w:r>
      <w:r w:rsidR="00C91C96">
        <w:t>Sensitivity Analysis of connecting rod bolt optimised wasted shank diameters</w:t>
      </w:r>
      <w:r>
        <w:t>.</w:t>
      </w:r>
    </w:p>
    <w:p w14:paraId="257F4075" w14:textId="6BC1CB64" w:rsidR="00CD1D8F" w:rsidRDefault="00CD1D8F" w:rsidP="00F17770">
      <w:r w:rsidRPr="00CD1D8F">
        <w:t>Figure 15 shows that decreasing the wasted shank diameter increases both fatigue safety factor and bolt extension. The improvement in fatigue performance</w:t>
      </w:r>
      <w:r w:rsidR="00096675">
        <w:t xml:space="preserve"> compared to figure 13</w:t>
      </w:r>
      <w:r w:rsidRPr="00CD1D8F">
        <w:t xml:space="preserve"> is attributed to a reduction in the joint stiffness factor, meaning a greater proportion of the load is </w:t>
      </w:r>
      <w:r w:rsidR="005E001C">
        <w:t>distributed</w:t>
      </w:r>
      <w:r w:rsidRPr="00CD1D8F">
        <w:t xml:space="preserve"> </w:t>
      </w:r>
      <w:r w:rsidR="005E001C">
        <w:t>to</w:t>
      </w:r>
      <w:r w:rsidRPr="00CD1D8F">
        <w:t xml:space="preserve"> the connecting rod cap rather than the bolt. </w:t>
      </w:r>
      <w:r w:rsidR="005E001C" w:rsidRPr="005E001C">
        <w:t>However, as explained by Barrett (1990), reducing the stiffness of the bolt makes it more flexible and more susceptible to stretching which can affect the bearing clearance.</w:t>
      </w:r>
    </w:p>
    <w:p w14:paraId="754B7C7B" w14:textId="77777777" w:rsidR="003E7564" w:rsidRDefault="003E7564" w:rsidP="003E7564">
      <w:pPr>
        <w:keepNext/>
        <w:jc w:val="center"/>
      </w:pPr>
      <w:r w:rsidRPr="003E7564">
        <w:rPr>
          <w:noProof/>
        </w:rPr>
        <w:drawing>
          <wp:inline distT="0" distB="0" distL="0" distR="0" wp14:anchorId="040B4AA0" wp14:editId="0D94303A">
            <wp:extent cx="4019579" cy="2466993"/>
            <wp:effectExtent l="0" t="0" r="0" b="9525"/>
            <wp:docPr id="1957739114" name="Picture 1" descr="The graph shows the relationship between torque and bearing clearance, with maximum torques for three different main bearings plotted against increasing clear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39114" name="Picture 1" descr="The graph shows the relationship between torque and bearing clearance, with maximum torques for three different main bearings plotted against increasing clearance.&#10;&#10;AI-generated content may be incorrect."/>
                    <pic:cNvPicPr/>
                  </pic:nvPicPr>
                  <pic:blipFill>
                    <a:blip r:embed="rId27"/>
                    <a:stretch>
                      <a:fillRect/>
                    </a:stretch>
                  </pic:blipFill>
                  <pic:spPr>
                    <a:xfrm>
                      <a:off x="0" y="0"/>
                      <a:ext cx="4019579" cy="2466993"/>
                    </a:xfrm>
                    <a:prstGeom prst="rect">
                      <a:avLst/>
                    </a:prstGeom>
                  </pic:spPr>
                </pic:pic>
              </a:graphicData>
            </a:graphic>
          </wp:inline>
        </w:drawing>
      </w:r>
    </w:p>
    <w:p w14:paraId="5AD51B2F" w14:textId="09569E41" w:rsidR="0058677E" w:rsidRDefault="003E7564" w:rsidP="003E7564">
      <w:pPr>
        <w:pStyle w:val="Caption"/>
        <w:jc w:val="center"/>
      </w:pPr>
      <w:r>
        <w:t xml:space="preserve">Figure </w:t>
      </w:r>
      <w:r w:rsidR="00DD6D52">
        <w:t>16</w:t>
      </w:r>
      <w:r>
        <w:t xml:space="preserve"> - Connecting rod bearing clearance investigation. (Mahle GmbH, 2016)</w:t>
      </w:r>
    </w:p>
    <w:p w14:paraId="187F90AF" w14:textId="3EC0AEF4" w:rsidR="00F14905" w:rsidRPr="0009000B" w:rsidRDefault="00F14905" w:rsidP="001F5FCD">
      <w:pPr>
        <w:rPr>
          <w:lang w:val="en-GB"/>
        </w:rPr>
      </w:pPr>
      <w:r w:rsidRPr="00F14905">
        <w:rPr>
          <w:lang w:val="en-GB"/>
        </w:rPr>
        <w:lastRenderedPageBreak/>
        <w:t xml:space="preserve">At a 25% reduction in shank diameter, bolt extension increases from 0.0159 mm to 0.0185 mm, representing an increase of 2.6 μm. </w:t>
      </w:r>
      <w:r w:rsidR="007010D8">
        <w:rPr>
          <w:lang w:val="en-GB"/>
        </w:rPr>
        <w:t>This</w:t>
      </w:r>
      <w:r w:rsidRPr="00F14905">
        <w:rPr>
          <w:lang w:val="en-GB"/>
        </w:rPr>
        <w:t xml:space="preserve"> can be compared to typical connecting rod bearing clearances, which are approximately 20–60 μm</w:t>
      </w:r>
      <w:r w:rsidR="007359E2">
        <w:rPr>
          <w:lang w:val="en-GB"/>
        </w:rPr>
        <w:t xml:space="preserve"> from figure 16</w:t>
      </w:r>
      <w:r w:rsidRPr="00F14905">
        <w:rPr>
          <w:lang w:val="en-GB"/>
        </w:rPr>
        <w:t xml:space="preserve"> (Mahle GmbH, 2016). </w:t>
      </w:r>
      <w:r w:rsidR="00D525EF">
        <w:rPr>
          <w:lang w:val="en-GB"/>
        </w:rPr>
        <w:t>This</w:t>
      </w:r>
      <w:r w:rsidR="00722C66">
        <w:rPr>
          <w:lang w:val="en-GB"/>
        </w:rPr>
        <w:t xml:space="preserve"> </w:t>
      </w:r>
      <w:r w:rsidR="00D525EF">
        <w:rPr>
          <w:lang w:val="en-GB"/>
        </w:rPr>
        <w:t xml:space="preserve">2.6 </w:t>
      </w:r>
      <w:r w:rsidR="00D525EF" w:rsidRPr="00F14905">
        <w:rPr>
          <w:lang w:val="en-GB"/>
        </w:rPr>
        <w:t xml:space="preserve">μm </w:t>
      </w:r>
      <w:r w:rsidR="00D525EF">
        <w:rPr>
          <w:lang w:val="en-GB"/>
        </w:rPr>
        <w:t xml:space="preserve">increase </w:t>
      </w:r>
      <w:r w:rsidRPr="00F14905">
        <w:rPr>
          <w:lang w:val="en-GB"/>
        </w:rPr>
        <w:t>represents approximately 13% of the clearance range</w:t>
      </w:r>
      <w:r w:rsidR="00D525EF">
        <w:rPr>
          <w:lang w:val="en-GB"/>
        </w:rPr>
        <w:t xml:space="preserve"> using the </w:t>
      </w:r>
      <w:r w:rsidR="00283F60">
        <w:rPr>
          <w:lang w:val="en-GB"/>
        </w:rPr>
        <w:t>worst-case</w:t>
      </w:r>
      <w:r w:rsidR="00D525EF">
        <w:rPr>
          <w:lang w:val="en-GB"/>
        </w:rPr>
        <w:t xml:space="preserve"> scenario from figure 16</w:t>
      </w:r>
      <w:r w:rsidRPr="00F14905">
        <w:rPr>
          <w:lang w:val="en-GB"/>
        </w:rPr>
        <w:t>. This suggests the effect is relatively small but not negligible and should be considered</w:t>
      </w:r>
      <w:r w:rsidR="00DE1AD4">
        <w:rPr>
          <w:lang w:val="en-GB"/>
        </w:rPr>
        <w:t xml:space="preserve"> when altering the wasted shank diameter</w:t>
      </w:r>
      <w:r w:rsidRPr="00F14905">
        <w:rPr>
          <w:lang w:val="en-GB"/>
        </w:rPr>
        <w:t xml:space="preserve"> to avoid potential impacts on bearing performance.</w:t>
      </w:r>
    </w:p>
    <w:p w14:paraId="4FB1D69E" w14:textId="3AB7A0C5" w:rsidR="00D37E76" w:rsidRDefault="00D165B6" w:rsidP="00516571">
      <w:pPr>
        <w:pStyle w:val="Heading2"/>
      </w:pPr>
      <w:bookmarkStart w:id="38" w:name="_Toc225020405"/>
      <w:r>
        <w:t>4</w:t>
      </w:r>
      <w:r w:rsidR="00A367B3">
        <w:t>.</w:t>
      </w:r>
      <w:r>
        <w:t>2</w:t>
      </w:r>
      <w:r w:rsidR="00A367B3">
        <w:t xml:space="preserve"> </w:t>
      </w:r>
      <w:r w:rsidR="004E1F3F">
        <w:t>Material Consideration</w:t>
      </w:r>
      <w:bookmarkEnd w:id="38"/>
      <w:r w:rsidR="004E1F3F">
        <w:t xml:space="preserve"> </w:t>
      </w:r>
    </w:p>
    <w:p w14:paraId="6241372B" w14:textId="06772924" w:rsidR="007467C0" w:rsidRDefault="001D6512" w:rsidP="00260962">
      <w:r>
        <w:t xml:space="preserve">Research was conducted to </w:t>
      </w:r>
      <w:r w:rsidR="006E098D">
        <w:t>investigate alternative material</w:t>
      </w:r>
      <w:r w:rsidR="00DC44EB">
        <w:t>s</w:t>
      </w:r>
      <w:r w:rsidR="006E098D">
        <w:t xml:space="preserve"> </w:t>
      </w:r>
      <w:r w:rsidR="00A63E58">
        <w:t xml:space="preserve">to improve the </w:t>
      </w:r>
      <w:r w:rsidR="00DC44EB">
        <w:t>FSF</w:t>
      </w:r>
      <w:r w:rsidR="00A63E58">
        <w:t xml:space="preserve"> </w:t>
      </w:r>
      <w:r w:rsidR="00DC44EB">
        <w:t>at</w:t>
      </w:r>
      <w:r w:rsidR="00A63E58">
        <w:t xml:space="preserve"> </w:t>
      </w:r>
      <w:r w:rsidR="00DC44EB">
        <w:t>higher</w:t>
      </w:r>
      <w:r w:rsidR="00A63E58">
        <w:t xml:space="preserve"> engine speeds. </w:t>
      </w:r>
      <w:r w:rsidR="00ED6640">
        <w:t>Alloys Int. (2024)</w:t>
      </w:r>
      <w:r w:rsidR="00AF6497">
        <w:t xml:space="preserve"> </w:t>
      </w:r>
      <w:r w:rsidR="000A5BE0">
        <w:t>explains</w:t>
      </w:r>
      <w:r w:rsidR="00414B7C">
        <w:t xml:space="preserve"> that 8740 </w:t>
      </w:r>
      <w:r w:rsidR="00260962">
        <w:t>Chromium-</w:t>
      </w:r>
      <w:r w:rsidR="00260962">
        <w:t>M</w:t>
      </w:r>
      <w:r w:rsidR="00260962">
        <w:t>olybdenum</w:t>
      </w:r>
      <w:r w:rsidR="00260962">
        <w:t xml:space="preserve"> </w:t>
      </w:r>
      <w:r w:rsidR="00414B7C">
        <w:t xml:space="preserve">Alloy Steel is often used for </w:t>
      </w:r>
      <w:r w:rsidR="009A30E3">
        <w:t xml:space="preserve">aerospace fasteners. </w:t>
      </w:r>
      <w:r w:rsidR="000A5BE0">
        <w:t xml:space="preserve">With an increased </w:t>
      </w:r>
      <w:r w:rsidR="007D3CB1">
        <w:t>UTS, yield strength and modulus of elasticity compared to the original material, the fatigue factor of safety improved to 1.</w:t>
      </w:r>
      <w:r w:rsidR="007467C0">
        <w:t>73.</w:t>
      </w:r>
    </w:p>
    <w:p w14:paraId="7EB80EE5" w14:textId="77777777" w:rsidR="007467C0" w:rsidRDefault="007467C0" w:rsidP="007467C0">
      <w:pPr>
        <w:keepNext/>
        <w:jc w:val="center"/>
      </w:pPr>
      <w:r>
        <w:rPr>
          <w:noProof/>
        </w:rPr>
        <w:drawing>
          <wp:inline distT="0" distB="0" distL="0" distR="0" wp14:anchorId="5637A23E" wp14:editId="23E69832">
            <wp:extent cx="5086387" cy="3486175"/>
            <wp:effectExtent l="0" t="0" r="0" b="0"/>
            <wp:docPr id="325005619" name="Picture 1" descr="The diagram illustrates a Goodman diagram for a connecting rod bolt made of chrome moly, depicting the relationship between mean stress and alternating stress at 9000 RPM, with specified allowable and endurance lim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005619" name="Picture 1" descr="The diagram illustrates a Goodman diagram for a connecting rod bolt made of chrome moly, depicting the relationship between mean stress and alternating stress at 9000 RPM, with specified allowable and endurance limits.&#10;&#10;AI-generated content may be incorrect."/>
                    <pic:cNvPicPr/>
                  </pic:nvPicPr>
                  <pic:blipFill>
                    <a:blip r:embed="rId28"/>
                    <a:stretch>
                      <a:fillRect/>
                    </a:stretch>
                  </pic:blipFill>
                  <pic:spPr>
                    <a:xfrm>
                      <a:off x="0" y="0"/>
                      <a:ext cx="5086387" cy="3486175"/>
                    </a:xfrm>
                    <a:prstGeom prst="rect">
                      <a:avLst/>
                    </a:prstGeom>
                  </pic:spPr>
                </pic:pic>
              </a:graphicData>
            </a:graphic>
          </wp:inline>
        </w:drawing>
      </w:r>
    </w:p>
    <w:p w14:paraId="5B7F391D" w14:textId="74DC00EF" w:rsidR="007467C0" w:rsidRDefault="007467C0" w:rsidP="007467C0">
      <w:pPr>
        <w:pStyle w:val="Caption"/>
        <w:jc w:val="center"/>
      </w:pPr>
      <w:r>
        <w:t xml:space="preserve">Figure </w:t>
      </w:r>
      <w:r w:rsidR="001F5FCD">
        <w:t>17</w:t>
      </w:r>
      <w:r>
        <w:t xml:space="preserve"> - Goodman diagram for the bolt with optimised wasted shank and alternative Chrome Moly Alloy steel material.</w:t>
      </w:r>
    </w:p>
    <w:p w14:paraId="6C403F52" w14:textId="546DE779" w:rsidR="00B96A83" w:rsidRDefault="001E6D9A" w:rsidP="00B96A83">
      <w:r>
        <w:rPr>
          <w:lang w:val="en-GB"/>
        </w:rPr>
        <w:t xml:space="preserve">By changing the material of the bolt, this doesn’t reduce </w:t>
      </w:r>
      <w:r w:rsidR="000A56C5">
        <w:rPr>
          <w:lang w:val="en-GB"/>
        </w:rPr>
        <w:t>cyclic</w:t>
      </w:r>
      <w:r>
        <w:rPr>
          <w:lang w:val="en-GB"/>
        </w:rPr>
        <w:t xml:space="preserve"> stresses but focuses on </w:t>
      </w:r>
      <w:r w:rsidR="000165E1">
        <w:rPr>
          <w:lang w:val="en-GB"/>
        </w:rPr>
        <w:t xml:space="preserve">improving the bolts’ ability to withstand them. This comes from the increased UTS value of the material and therefore its increased endurance limit, resulting in a larger allowable stress range as shown in figure </w:t>
      </w:r>
      <w:r w:rsidR="00DC5110">
        <w:rPr>
          <w:lang w:val="en-GB"/>
        </w:rPr>
        <w:t xml:space="preserve">17. </w:t>
      </w:r>
      <w:r w:rsidR="00994416">
        <w:rPr>
          <w:lang w:val="en-GB"/>
        </w:rPr>
        <w:t xml:space="preserve">The increase in maximum stress </w:t>
      </w:r>
      <w:r w:rsidR="002C1D1A">
        <w:rPr>
          <w:lang w:val="en-GB"/>
        </w:rPr>
        <w:t xml:space="preserve">seen </w:t>
      </w:r>
      <w:r w:rsidR="00EA446B">
        <w:rPr>
          <w:lang w:val="en-GB"/>
        </w:rPr>
        <w:t xml:space="preserve">compared to figure 13 with no optimisation </w:t>
      </w:r>
      <w:r w:rsidR="00556B10">
        <w:rPr>
          <w:lang w:val="en-GB"/>
        </w:rPr>
        <w:t xml:space="preserve">can </w:t>
      </w:r>
      <w:r w:rsidR="00994416">
        <w:rPr>
          <w:lang w:val="en-GB"/>
        </w:rPr>
        <w:t xml:space="preserve">be explained from the increase in yield strength, which is used to calculate axial </w:t>
      </w:r>
      <w:r w:rsidR="000B1C53">
        <w:rPr>
          <w:lang w:val="en-GB"/>
        </w:rPr>
        <w:t xml:space="preserve">preload </w:t>
      </w:r>
      <w:r w:rsidR="00994416">
        <w:rPr>
          <w:lang w:val="en-GB"/>
        </w:rPr>
        <w:t xml:space="preserve">force, increasing tensile load on the bolt. </w:t>
      </w:r>
      <w:r w:rsidR="00495F31" w:rsidRPr="00B96A83">
        <w:t>It must be considered that increasing the UTS allows higher preload to be applied, which require</w:t>
      </w:r>
      <w:r w:rsidR="00495F31">
        <w:t>s</w:t>
      </w:r>
      <w:r w:rsidR="00495F31" w:rsidRPr="00B96A83">
        <w:t xml:space="preserve"> a </w:t>
      </w:r>
      <w:r w:rsidR="00495F31" w:rsidRPr="00B96A83">
        <w:lastRenderedPageBreak/>
        <w:t>change in tightening torque. This can increase the initial tensile stress in the bolt and influence its fatigue behaviour</w:t>
      </w:r>
      <w:r w:rsidR="00877160">
        <w:t xml:space="preserve">. </w:t>
      </w:r>
      <w:r w:rsidR="00994416">
        <w:rPr>
          <w:lang w:val="en-GB"/>
        </w:rPr>
        <w:t xml:space="preserve">The extension of the bolt increased to 0.0222mm, however, according to figure 16 by Mahle GmbH (2016), this is still a relatively small change and so </w:t>
      </w:r>
      <w:r w:rsidR="00411058">
        <w:rPr>
          <w:lang w:val="en-GB"/>
        </w:rPr>
        <w:t>unlikely to have an</w:t>
      </w:r>
      <w:r w:rsidR="00994416">
        <w:rPr>
          <w:lang w:val="en-GB"/>
        </w:rPr>
        <w:t xml:space="preserve"> impact on bearing clearance</w:t>
      </w:r>
      <w:r w:rsidR="00B96A83" w:rsidRPr="00B96A83">
        <w:t>.</w:t>
      </w:r>
    </w:p>
    <w:p w14:paraId="46CCA725" w14:textId="624E3617" w:rsidR="00933494" w:rsidRDefault="0093291E" w:rsidP="00B96A83">
      <w:r w:rsidRPr="0093291E">
        <w:t>From the design considerations</w:t>
      </w:r>
      <w:r w:rsidR="002942E5">
        <w:t xml:space="preserve"> both </w:t>
      </w:r>
      <w:r w:rsidR="00302E01">
        <w:t>the material</w:t>
      </w:r>
      <w:r w:rsidR="002942E5">
        <w:t xml:space="preserve"> and wasted shank changes provided a successful increase in FSF</w:t>
      </w:r>
      <w:r w:rsidRPr="0093291E">
        <w:t>,</w:t>
      </w:r>
      <w:r w:rsidR="002942E5">
        <w:t xml:space="preserve"> however,</w:t>
      </w:r>
      <w:r w:rsidRPr="0093291E">
        <w:t xml:space="preserve"> material optimisation </w:t>
      </w:r>
      <w:r>
        <w:t>provides greater fatigue improvement</w:t>
      </w:r>
      <w:r w:rsidRPr="0093291E">
        <w:t>. This is because enhanced material properties increase the allowable stress limits of the bolt, whereas geometric modifications mainly reduce the applied stress without altering the material’s inherent strength.</w:t>
      </w:r>
    </w:p>
    <w:p w14:paraId="5A43952B" w14:textId="77777777" w:rsidR="00F00E7E" w:rsidRDefault="00F00E7E" w:rsidP="00F00E7E"/>
    <w:p w14:paraId="208930E7" w14:textId="77777777" w:rsidR="00B96A83" w:rsidRDefault="00B96A83" w:rsidP="00F00E7E"/>
    <w:p w14:paraId="2A6418B8" w14:textId="77777777" w:rsidR="00B96A83" w:rsidRDefault="00B96A83" w:rsidP="00F00E7E"/>
    <w:p w14:paraId="0ED12363" w14:textId="77777777" w:rsidR="00B96A83" w:rsidRDefault="00B96A83" w:rsidP="00F00E7E"/>
    <w:p w14:paraId="32F2A488" w14:textId="77777777" w:rsidR="00B96A83" w:rsidRDefault="00B96A83" w:rsidP="00F00E7E"/>
    <w:p w14:paraId="62091202" w14:textId="77777777" w:rsidR="00B96A83" w:rsidRDefault="00B96A83" w:rsidP="00F00E7E"/>
    <w:p w14:paraId="7F889338" w14:textId="77777777" w:rsidR="00B96A83" w:rsidRDefault="00B96A83" w:rsidP="00F00E7E"/>
    <w:p w14:paraId="418496FD" w14:textId="77777777" w:rsidR="00B96A83" w:rsidRDefault="00B96A83" w:rsidP="00F00E7E"/>
    <w:p w14:paraId="41396D62" w14:textId="77777777" w:rsidR="00B96A83" w:rsidRDefault="00B96A83" w:rsidP="00F00E7E"/>
    <w:p w14:paraId="77690D37" w14:textId="77777777" w:rsidR="00B96A83" w:rsidRDefault="00B96A83" w:rsidP="00F00E7E"/>
    <w:p w14:paraId="185662F7" w14:textId="77777777" w:rsidR="00B96A83" w:rsidRDefault="00B96A83" w:rsidP="00F00E7E"/>
    <w:p w14:paraId="5E3047C7" w14:textId="77777777" w:rsidR="00B96A83" w:rsidRDefault="00B96A83" w:rsidP="00F00E7E"/>
    <w:p w14:paraId="61B1F668" w14:textId="77777777" w:rsidR="00B96A83" w:rsidRDefault="00B96A83" w:rsidP="00F00E7E"/>
    <w:p w14:paraId="5330660C" w14:textId="77777777" w:rsidR="00B96A83" w:rsidRDefault="00B96A83" w:rsidP="00F00E7E"/>
    <w:p w14:paraId="4339271D" w14:textId="77777777" w:rsidR="00B96A83" w:rsidRDefault="00B96A83" w:rsidP="00F00E7E"/>
    <w:p w14:paraId="46B8F8A4" w14:textId="77777777" w:rsidR="00B96A83" w:rsidRDefault="00B96A83" w:rsidP="00F00E7E"/>
    <w:p w14:paraId="0D35304C" w14:textId="77777777" w:rsidR="00B96A83" w:rsidRDefault="00B96A83" w:rsidP="00F00E7E"/>
    <w:p w14:paraId="3CF4E0CF" w14:textId="77777777" w:rsidR="00F00E7E" w:rsidRPr="00F00E7E" w:rsidRDefault="00F00E7E" w:rsidP="00F00E7E">
      <w:pPr>
        <w:rPr>
          <w:lang w:val="en-GB"/>
        </w:rPr>
      </w:pPr>
    </w:p>
    <w:p w14:paraId="69495ABF" w14:textId="683CF6AC" w:rsidR="00D37E76" w:rsidRDefault="00277FC5" w:rsidP="00277FC5">
      <w:pPr>
        <w:pStyle w:val="Heading1"/>
      </w:pPr>
      <w:bookmarkStart w:id="39" w:name="_Toc225020406"/>
      <w:r>
        <w:lastRenderedPageBreak/>
        <w:t xml:space="preserve">Chapter </w:t>
      </w:r>
      <w:r w:rsidR="00D165B6">
        <w:t xml:space="preserve">5 </w:t>
      </w:r>
      <w:r>
        <w:t>– Torque Generation</w:t>
      </w:r>
      <w:bookmarkEnd w:id="39"/>
    </w:p>
    <w:p w14:paraId="7D317A9E" w14:textId="1CB82FA0" w:rsidR="008C2369" w:rsidRPr="00880B83" w:rsidRDefault="00880B83" w:rsidP="00880B83">
      <w:r w:rsidRPr="00880B83">
        <w:t>This section investigates how crankshaft configuration affects the instantaneous torque fluctuations produced</w:t>
      </w:r>
      <w:r w:rsidR="00D51017">
        <w:t>.</w:t>
      </w:r>
      <w:r w:rsidR="008C2369" w:rsidRPr="008C2369">
        <w:t xml:space="preserve"> </w:t>
      </w:r>
    </w:p>
    <w:p w14:paraId="3487D9DC" w14:textId="7988D4C0" w:rsidR="00432DD7" w:rsidRDefault="00D165B6" w:rsidP="00432DD7">
      <w:pPr>
        <w:pStyle w:val="Heading2"/>
      </w:pPr>
      <w:bookmarkStart w:id="40" w:name="_Toc225020407"/>
      <w:r>
        <w:t>5</w:t>
      </w:r>
      <w:r w:rsidR="000C27B5">
        <w:t xml:space="preserve">.1 </w:t>
      </w:r>
      <w:r w:rsidR="00D34181">
        <w:t>Instantaneous Tor</w:t>
      </w:r>
      <w:r w:rsidR="00406F0A">
        <w:t>que Generation</w:t>
      </w:r>
      <w:bookmarkEnd w:id="40"/>
    </w:p>
    <w:p w14:paraId="49370C7A" w14:textId="0FFA00D4" w:rsidR="001F5FCD" w:rsidRPr="001F5FCD" w:rsidRDefault="00D165B6" w:rsidP="001F5FCD">
      <w:pPr>
        <w:pStyle w:val="Heading3"/>
      </w:pPr>
      <w:bookmarkStart w:id="41" w:name="_Toc225020408"/>
      <w:r>
        <w:t>5</w:t>
      </w:r>
      <w:r w:rsidR="001F5FCD">
        <w:t>.1.1 Standard Crankshaft Configuration</w:t>
      </w:r>
      <w:bookmarkEnd w:id="41"/>
      <w:r w:rsidR="00C1135F">
        <w:t xml:space="preserve"> Torque Inertia</w:t>
      </w:r>
    </w:p>
    <w:p w14:paraId="5B6079EF" w14:textId="77777777" w:rsidR="00BE061E" w:rsidRDefault="00BE061E" w:rsidP="00BE061E">
      <w:pPr>
        <w:keepNext/>
        <w:jc w:val="center"/>
      </w:pPr>
      <w:r>
        <w:rPr>
          <w:noProof/>
        </w:rPr>
        <w:drawing>
          <wp:inline distT="0" distB="0" distL="0" distR="0" wp14:anchorId="2A427B01" wp14:editId="250747D5">
            <wp:extent cx="4567271" cy="3381400"/>
            <wp:effectExtent l="0" t="0" r="5080" b="0"/>
            <wp:docPr id="1105980471" name="Picture 1" descr="The image illustrates a torque inertia generation graph for a four-cylinder engine, showing negative torque values, peaking at -500 Nm, and zero torque at a crank angle of 0 deg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80471" name="Picture 1" descr="The image illustrates a torque inertia generation graph for a four-cylinder engine, showing negative torque values, peaking at -500 Nm, and zero torque at a crank angle of 0 degrees.&#10;&#10;AI-generated content may be incorrect."/>
                    <pic:cNvPicPr/>
                  </pic:nvPicPr>
                  <pic:blipFill>
                    <a:blip r:embed="rId29"/>
                    <a:stretch>
                      <a:fillRect/>
                    </a:stretch>
                  </pic:blipFill>
                  <pic:spPr>
                    <a:xfrm>
                      <a:off x="0" y="0"/>
                      <a:ext cx="4567271" cy="3381400"/>
                    </a:xfrm>
                    <a:prstGeom prst="rect">
                      <a:avLst/>
                    </a:prstGeom>
                  </pic:spPr>
                </pic:pic>
              </a:graphicData>
            </a:graphic>
          </wp:inline>
        </w:drawing>
      </w:r>
    </w:p>
    <w:p w14:paraId="0C5F9B88" w14:textId="561E7F55" w:rsidR="00AE7FFA" w:rsidRDefault="00BE061E" w:rsidP="00BE061E">
      <w:pPr>
        <w:pStyle w:val="Caption"/>
        <w:jc w:val="center"/>
      </w:pPr>
      <w:r>
        <w:t xml:space="preserve">Figure </w:t>
      </w:r>
      <w:r w:rsidR="00773BB3">
        <w:t>18</w:t>
      </w:r>
      <w:r>
        <w:t xml:space="preserve"> - Torque inertia of standard configuration with cylinder realignment.</w:t>
      </w:r>
    </w:p>
    <w:p w14:paraId="05F89CB9" w14:textId="1A05FB09" w:rsidR="00BE061E" w:rsidRDefault="001F5FCD" w:rsidP="00BE061E">
      <w:pPr>
        <w:rPr>
          <w:lang w:val="en-GB"/>
        </w:rPr>
      </w:pPr>
      <w:r>
        <w:rPr>
          <w:lang w:val="en-GB"/>
        </w:rPr>
        <w:t>Figure 18 illustrates the torque generation of each cylinder in a standard crankshaft configuration. The offset in cylinder torque peaks is due to the firing order in the crankshaft geometry, demonstrat</w:t>
      </w:r>
      <w:r w:rsidR="00D51017">
        <w:rPr>
          <w:lang w:val="en-GB"/>
        </w:rPr>
        <w:t>ing</w:t>
      </w:r>
      <w:r>
        <w:rPr>
          <w:lang w:val="en-GB"/>
        </w:rPr>
        <w:t xml:space="preserve"> the variation in torque generation across the cycle. </w:t>
      </w:r>
      <w:r w:rsidR="00167FB5">
        <w:t>Wan</w:t>
      </w:r>
      <w:r w:rsidR="0087461F">
        <w:t xml:space="preserve"> (</w:t>
      </w:r>
      <w:r w:rsidR="00167FB5">
        <w:t>2017</w:t>
      </w:r>
      <w:r w:rsidR="00461370">
        <w:t>)</w:t>
      </w:r>
      <w:r>
        <w:rPr>
          <w:lang w:val="en-GB"/>
        </w:rPr>
        <w:t xml:space="preserve"> explains that the order of firing is to help reduce end-to-end vibration as it ensures </w:t>
      </w:r>
      <w:r w:rsidRPr="001F5FCD">
        <w:rPr>
          <w:lang w:val="en-GB"/>
        </w:rPr>
        <w:t xml:space="preserve">the </w:t>
      </w:r>
      <w:r w:rsidR="006C07D2">
        <w:rPr>
          <w:lang w:val="en-GB"/>
        </w:rPr>
        <w:t>expansion</w:t>
      </w:r>
      <w:r w:rsidRPr="001F5FCD">
        <w:rPr>
          <w:lang w:val="en-GB"/>
        </w:rPr>
        <w:t xml:space="preserve"> strokes occur at evenly spaced crank intervals, which reduces vibration and produces smoother torque delivery.</w:t>
      </w:r>
      <w:r>
        <w:rPr>
          <w:lang w:val="en-GB"/>
        </w:rPr>
        <w:t xml:space="preserve"> </w:t>
      </w:r>
    </w:p>
    <w:p w14:paraId="5DFF0B8C" w14:textId="4A4C1EDA" w:rsidR="001F5FCD" w:rsidRDefault="00D165B6" w:rsidP="001F5FCD">
      <w:pPr>
        <w:pStyle w:val="Heading3"/>
        <w:rPr>
          <w:lang w:val="en-GB"/>
        </w:rPr>
      </w:pPr>
      <w:bookmarkStart w:id="42" w:name="_Toc225020409"/>
      <w:r>
        <w:rPr>
          <w:lang w:val="en-GB"/>
        </w:rPr>
        <w:lastRenderedPageBreak/>
        <w:t>5</w:t>
      </w:r>
      <w:r w:rsidR="001F5FCD">
        <w:rPr>
          <w:lang w:val="en-GB"/>
        </w:rPr>
        <w:t>.1.2 Cross-Plane Crankshaft Configuration</w:t>
      </w:r>
      <w:bookmarkEnd w:id="42"/>
    </w:p>
    <w:p w14:paraId="2787D254" w14:textId="77777777" w:rsidR="001F5FCD" w:rsidRDefault="001F5FCD" w:rsidP="001F5FCD">
      <w:pPr>
        <w:keepNext/>
        <w:jc w:val="center"/>
      </w:pPr>
      <w:r>
        <w:rPr>
          <w:noProof/>
        </w:rPr>
        <w:drawing>
          <wp:inline distT="0" distB="0" distL="0" distR="0" wp14:anchorId="7C337CCD" wp14:editId="732B5BCC">
            <wp:extent cx="4567271" cy="3381400"/>
            <wp:effectExtent l="0" t="0" r="5080" b="0"/>
            <wp:docPr id="2114384163" name="Picture 1" descr="The image displays a torque inertia generation chart for a cross-plane configuration with four cylinders, showing torque values across various crank 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384163" name="Picture 1" descr="The image displays a torque inertia generation chart for a cross-plane configuration with four cylinders, showing torque values across various crank angles.&#10;&#10;AI-generated content may be incorrect."/>
                    <pic:cNvPicPr/>
                  </pic:nvPicPr>
                  <pic:blipFill>
                    <a:blip r:embed="rId30"/>
                    <a:stretch>
                      <a:fillRect/>
                    </a:stretch>
                  </pic:blipFill>
                  <pic:spPr>
                    <a:xfrm>
                      <a:off x="0" y="0"/>
                      <a:ext cx="4567271" cy="3381400"/>
                    </a:xfrm>
                    <a:prstGeom prst="rect">
                      <a:avLst/>
                    </a:prstGeom>
                  </pic:spPr>
                </pic:pic>
              </a:graphicData>
            </a:graphic>
          </wp:inline>
        </w:drawing>
      </w:r>
    </w:p>
    <w:p w14:paraId="468E50F1" w14:textId="574F9CB6" w:rsidR="001F5FCD" w:rsidRDefault="001F5FCD" w:rsidP="001F5FCD">
      <w:pPr>
        <w:pStyle w:val="Caption"/>
        <w:jc w:val="center"/>
      </w:pPr>
      <w:r>
        <w:t xml:space="preserve">Figure 19 - </w:t>
      </w:r>
      <w:r w:rsidRPr="00C11AED">
        <w:t xml:space="preserve">Torque inertia of </w:t>
      </w:r>
      <w:r>
        <w:t>cross-plane</w:t>
      </w:r>
      <w:r w:rsidRPr="00C11AED">
        <w:t xml:space="preserve"> configuration with cylinder realignment.</w:t>
      </w:r>
    </w:p>
    <w:p w14:paraId="254E7BB5" w14:textId="0D18927F" w:rsidR="001F5FCD" w:rsidRDefault="001F5FCD" w:rsidP="001F5FCD">
      <w:r>
        <w:rPr>
          <w:lang w:val="en-GB"/>
        </w:rPr>
        <w:t xml:space="preserve">Figure 19 shows the altered crankshaft phasing in a cross-plane configuration </w:t>
      </w:r>
      <w:r w:rsidR="0087461F">
        <w:rPr>
          <w:lang w:val="en-GB"/>
        </w:rPr>
        <w:t xml:space="preserve">which </w:t>
      </w:r>
      <w:r>
        <w:rPr>
          <w:lang w:val="en-GB"/>
        </w:rPr>
        <w:t>causes the individual torque waves to overlap more, resulting in a smaller</w:t>
      </w:r>
      <w:r w:rsidR="00247803">
        <w:rPr>
          <w:lang w:val="en-GB"/>
        </w:rPr>
        <w:t xml:space="preserve"> inertia</w:t>
      </w:r>
      <w:r>
        <w:rPr>
          <w:lang w:val="en-GB"/>
        </w:rPr>
        <w:t xml:space="preserve"> torque fluctuation. </w:t>
      </w:r>
      <w:r w:rsidR="00DC1E59">
        <w:rPr>
          <w:lang w:val="en-GB"/>
        </w:rPr>
        <w:t>E</w:t>
      </w:r>
      <w:r>
        <w:rPr>
          <w:lang w:val="en-GB"/>
        </w:rPr>
        <w:t>ach cylinder produces differing torque magnitudes alternating from smaller to larger peaks</w:t>
      </w:r>
      <w:r w:rsidR="00DC1E59">
        <w:rPr>
          <w:lang w:val="en-GB"/>
        </w:rPr>
        <w:t xml:space="preserve"> due to the variation in effective crank radius throughout rotation. </w:t>
      </w:r>
      <w:r w:rsidRPr="001F5FCD">
        <w:t>(Heywood, 2019).</w:t>
      </w:r>
      <w:r>
        <w:t xml:space="preserve"> </w:t>
      </w:r>
    </w:p>
    <w:p w14:paraId="71251A34" w14:textId="77777777" w:rsidR="0087461F" w:rsidRDefault="0087461F" w:rsidP="001F5FCD"/>
    <w:p w14:paraId="28FF48DD" w14:textId="77777777" w:rsidR="0087461F" w:rsidRDefault="0087461F" w:rsidP="001F5FCD"/>
    <w:p w14:paraId="03C38BD3" w14:textId="0C1BA7E2" w:rsidR="001F5FCD" w:rsidRDefault="00403E73" w:rsidP="00403E73">
      <w:pPr>
        <w:pStyle w:val="Heading3"/>
      </w:pPr>
      <w:bookmarkStart w:id="43" w:name="_Toc225020410"/>
      <w:r>
        <w:rPr>
          <w:noProof/>
        </w:rPr>
        <w:lastRenderedPageBreak/>
        <mc:AlternateContent>
          <mc:Choice Requires="wps">
            <w:drawing>
              <wp:anchor distT="0" distB="0" distL="114300" distR="114300" simplePos="0" relativeHeight="251664389" behindDoc="0" locked="0" layoutInCell="1" allowOverlap="1" wp14:anchorId="1C044B44" wp14:editId="03D113CC">
                <wp:simplePos x="0" y="0"/>
                <wp:positionH relativeFrom="column">
                  <wp:posOffset>2927985</wp:posOffset>
                </wp:positionH>
                <wp:positionV relativeFrom="paragraph">
                  <wp:posOffset>2510155</wp:posOffset>
                </wp:positionV>
                <wp:extent cx="3122930" cy="635"/>
                <wp:effectExtent l="0" t="0" r="0" b="0"/>
                <wp:wrapSquare wrapText="bothSides"/>
                <wp:docPr id="16410744" name="Text Box 1"/>
                <wp:cNvGraphicFramePr/>
                <a:graphic xmlns:a="http://schemas.openxmlformats.org/drawingml/2006/main">
                  <a:graphicData uri="http://schemas.microsoft.com/office/word/2010/wordprocessingShape">
                    <wps:wsp>
                      <wps:cNvSpPr txBox="1"/>
                      <wps:spPr>
                        <a:xfrm>
                          <a:off x="0" y="0"/>
                          <a:ext cx="3122930" cy="635"/>
                        </a:xfrm>
                        <a:prstGeom prst="rect">
                          <a:avLst/>
                        </a:prstGeom>
                        <a:solidFill>
                          <a:prstClr val="white"/>
                        </a:solidFill>
                        <a:ln>
                          <a:noFill/>
                        </a:ln>
                      </wps:spPr>
                      <wps:txbx>
                        <w:txbxContent>
                          <w:p w14:paraId="2A19A496" w14:textId="22D71663" w:rsidR="00403E73" w:rsidRPr="008D05A0" w:rsidRDefault="00403E73" w:rsidP="00403E73">
                            <w:pPr>
                              <w:pStyle w:val="Caption"/>
                              <w:rPr>
                                <w:rFonts w:asciiTheme="majorHAnsi" w:hAnsiTheme="majorHAnsi"/>
                                <w:noProof/>
                                <w:color w:val="0A2F40" w:themeColor="accent1" w:themeShade="7F"/>
                                <w:sz w:val="24"/>
                                <w:szCs w:val="24"/>
                                <w:lang w:val="en-US"/>
                              </w:rPr>
                            </w:pPr>
                            <w:r>
                              <w:t>Figure 21 - Comparison between gas torque from the standard vs cross- plane configurations.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044B44" id="_x0000_s1029" type="#_x0000_t202" style="position:absolute;margin-left:230.55pt;margin-top:197.65pt;width:245.9pt;height:.05pt;z-index:2516643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pCPGQIAAD8EAAAOAAAAZHJzL2Uyb0RvYy54bWysU01v2zAMvQ/YfxB0X5wPrNiMOEWWIsOA&#10;oC2QDj0rshwLkEWNUmJ3v36UbCddt9Owi0yLFD/ee1zedo1hZ4Vegy34bDLlTFkJpbbHgn9/2n74&#10;xJkPwpbCgFUFf1Ge367ev1u2LldzqMGUChklsT5vXcHrEFyeZV7WqhF+Ak5ZclaAjQj0i8esRNFS&#10;9sZk8+n0JmsBS4cglfd0e9c7+Srlryolw0NVeRWYKTj1FtKJ6TzEM1stRX5E4WothzbEP3TRCG2p&#10;6CXVnQiCnVD/karREsFDFSYSmgyqSkuVZqBpZtM30+xr4VSahcDx7gKT/39p5f157x6Rhe4LdERg&#10;BKR1Pvd0GefpKmzilzpl5CcIXy6wqS4wSZeL2Xz+eUEuSb6bxceYI7s+dejDVwUNi0bBkThJUInz&#10;zoc+dAyJlTwYXW61MfEnOjYG2VkQf22tgxqS/xZlbIy1EF/1CeNNdp0jWqE7dEyX1O444wHKFxod&#10;oVeFd3Krqd5O+PAokGRAI5G0wwMdlYG24DBYnNWAP/92H+OJHfJy1pKsCu5/nAQqzsw3S7xFDY4G&#10;jsZhNOyp2QBNOqOlcTKZ9ACDGc0KoXkmxa9jFXIJK6lWwcNobkIvbtoYqdbrFERKcyLs7N7JmHrE&#10;9al7FugGVgKReQ+j4ET+hpw+NtHj1qdASCfmIq49igPcpNLE/bBRcQ1e/6eo696vfgEAAP//AwBQ&#10;SwMEFAAGAAgAAAAhAI/YY7TiAAAACwEAAA8AAABkcnMvZG93bnJldi54bWxMj7FOwzAQhnck3sE6&#10;JBZEnTRpREKcqqpggKUidGFz42sSiM+R7bTh7TFdYLy7T/99f7me9cBOaF1vSEC8iIAhNUb11ArY&#10;vz/fPwBzXpKSgyEU8I0O1tX1VSkLZc70hqfatyyEkCukgM77seDcNR1q6RZmRAq3o7Fa+jDalisr&#10;zyFcD3wZRRnXsqfwoZMjbjtsvupJC9ilH7vubjo+vW7SxL7sp2322dZC3N7Mm0dgHmf/B8OvflCH&#10;KjgdzETKsUFAmsVxQAUk+SoBFoh8tcyBHS6bFHhV8v8dqh8AAAD//wMAUEsBAi0AFAAGAAgAAAAh&#10;ALaDOJL+AAAA4QEAABMAAAAAAAAAAAAAAAAAAAAAAFtDb250ZW50X1R5cGVzXS54bWxQSwECLQAU&#10;AAYACAAAACEAOP0h/9YAAACUAQAACwAAAAAAAAAAAAAAAAAvAQAAX3JlbHMvLnJlbHNQSwECLQAU&#10;AAYACAAAACEAIiqQjxkCAAA/BAAADgAAAAAAAAAAAAAAAAAuAgAAZHJzL2Uyb0RvYy54bWxQSwEC&#10;LQAUAAYACAAAACEAj9hjtOIAAAALAQAADwAAAAAAAAAAAAAAAABzBAAAZHJzL2Rvd25yZXYueG1s&#10;UEsFBgAAAAAEAAQA8wAAAIIFAAAAAA==&#10;" stroked="f">
                <v:textbox style="mso-fit-shape-to-text:t" inset="0,0,0,0">
                  <w:txbxContent>
                    <w:p w14:paraId="2A19A496" w14:textId="22D71663" w:rsidR="00403E73" w:rsidRPr="008D05A0" w:rsidRDefault="00403E73" w:rsidP="00403E73">
                      <w:pPr>
                        <w:pStyle w:val="Caption"/>
                        <w:rPr>
                          <w:rFonts w:asciiTheme="majorHAnsi" w:hAnsiTheme="majorHAnsi"/>
                          <w:noProof/>
                          <w:color w:val="0A2F40" w:themeColor="accent1" w:themeShade="7F"/>
                          <w:sz w:val="24"/>
                          <w:szCs w:val="24"/>
                          <w:lang w:val="en-US"/>
                        </w:rPr>
                      </w:pPr>
                      <w:r>
                        <w:t>Figure 21 - Comparison between gas torque from the standard vs cross- plane configurations.</w:t>
                      </w:r>
                    </w:p>
                  </w:txbxContent>
                </v:textbox>
                <w10:wrap type="square"/>
              </v:shape>
            </w:pict>
          </mc:Fallback>
        </mc:AlternateContent>
      </w:r>
      <w:r>
        <w:rPr>
          <w:noProof/>
        </w:rPr>
        <w:drawing>
          <wp:anchor distT="0" distB="0" distL="114300" distR="114300" simplePos="0" relativeHeight="251660293" behindDoc="0" locked="0" layoutInCell="1" allowOverlap="1" wp14:anchorId="054B0782" wp14:editId="39715D8F">
            <wp:simplePos x="0" y="0"/>
            <wp:positionH relativeFrom="column">
              <wp:posOffset>2928002</wp:posOffset>
            </wp:positionH>
            <wp:positionV relativeFrom="paragraph">
              <wp:posOffset>314496</wp:posOffset>
            </wp:positionV>
            <wp:extent cx="3122930" cy="2138680"/>
            <wp:effectExtent l="0" t="0" r="1270" b="0"/>
            <wp:wrapSquare wrapText="bothSides"/>
            <wp:docPr id="1508614410" name="Picture 1" descr="The image displays a torque vs. crank angle graph, comparing two different torque values (1200 Nm and 1000 Nm) across a range of crank 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14410" name="Picture 1" descr="The image displays a torque vs. crank angle graph, comparing two different torque values (1200 Nm and 1000 Nm) across a range of crank angles.&#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22930" cy="21386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41" behindDoc="0" locked="0" layoutInCell="1" allowOverlap="1" wp14:anchorId="7D706784" wp14:editId="2027E39D">
                <wp:simplePos x="0" y="0"/>
                <wp:positionH relativeFrom="column">
                  <wp:posOffset>0</wp:posOffset>
                </wp:positionH>
                <wp:positionV relativeFrom="paragraph">
                  <wp:posOffset>2502535</wp:posOffset>
                </wp:positionV>
                <wp:extent cx="2860040" cy="635"/>
                <wp:effectExtent l="0" t="0" r="0" b="0"/>
                <wp:wrapSquare wrapText="bothSides"/>
                <wp:docPr id="872439695" name="Text Box 1"/>
                <wp:cNvGraphicFramePr/>
                <a:graphic xmlns:a="http://schemas.openxmlformats.org/drawingml/2006/main">
                  <a:graphicData uri="http://schemas.microsoft.com/office/word/2010/wordprocessingShape">
                    <wps:wsp>
                      <wps:cNvSpPr txBox="1"/>
                      <wps:spPr>
                        <a:xfrm>
                          <a:off x="0" y="0"/>
                          <a:ext cx="2860040" cy="635"/>
                        </a:xfrm>
                        <a:prstGeom prst="rect">
                          <a:avLst/>
                        </a:prstGeom>
                        <a:solidFill>
                          <a:prstClr val="white"/>
                        </a:solidFill>
                        <a:ln>
                          <a:noFill/>
                        </a:ln>
                      </wps:spPr>
                      <wps:txbx>
                        <w:txbxContent>
                          <w:p w14:paraId="4B8BEAA4" w14:textId="043795B1" w:rsidR="00403E73" w:rsidRPr="00913037" w:rsidRDefault="00403E73" w:rsidP="00403E73">
                            <w:pPr>
                              <w:pStyle w:val="Caption"/>
                              <w:rPr>
                                <w:rFonts w:asciiTheme="majorHAnsi" w:hAnsiTheme="majorHAnsi"/>
                                <w:noProof/>
                                <w:color w:val="0A2F40" w:themeColor="accent1" w:themeShade="7F"/>
                                <w:sz w:val="24"/>
                                <w:szCs w:val="24"/>
                                <w:lang w:val="en-US"/>
                              </w:rPr>
                            </w:pPr>
                            <w:r>
                              <w:t xml:space="preserve">Figure 20 - </w:t>
                            </w:r>
                            <w:r w:rsidRPr="00B66195">
                              <w:t>Comparison between the total inertia torque generation from a standard vs cross-plane configuration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706784" id="_x0000_s1030" type="#_x0000_t202" style="position:absolute;margin-left:0;margin-top:197.05pt;width:225.2pt;height:.05pt;z-index:2516623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CnGgIAAD8EAAAOAAAAZHJzL2Uyb0RvYy54bWysU8Fu2zAMvQ/YPwi6L3ayriiMOEWWIsOA&#10;oC2QDj0rshwLkEWNUmJnXz9KjpOt22nYRaZJihTfe5zf961hR4Vegy35dJJzpqyEStt9yb+9rD/c&#10;ceaDsJUwYFXJT8rz+8X7d/POFWoGDZhKIaMi1hedK3kTgiuyzMtGtcJPwClLwRqwFYF+cZ9VKDqq&#10;3ppslue3WQdYOQSpvCfvwxDki1S/rpUMT3XtVWCm5PS2kE5M5y6e2WIuij0K12h5fob4h1e0Qltq&#10;ein1IIJgB9R/lGq1RPBQh4mENoO61lKlGWiaaf5mmm0jnEqzEDjeXWDy/6+sfDxu3TOy0H+GngiM&#10;gHTOF56ccZ6+xjZ+6aWM4gTh6QKb6gOT5Jzd3eb5DYUkxW4/foo1sutVhz58UdCyaJQciZMElThu&#10;fBhSx5TYyYPR1VobE39iYGWQHQXx1zU6qHPx37KMjbkW4q2hYPRk1zmiFfpdz3RV8ptxxh1UJxod&#10;YVCFd3Ktqd9G+PAskGRAI5G0wxMdtYGu5HC2OGsAf/zNH/OJHYpy1pGsSu6/HwQqzsxXS7xFDY4G&#10;jsZuNOyhXQFNOqWlcTKZdAGDGc0aoX0lxS9jFwoJK6lXycNorsIgbtoYqZbLlERKcyJs7NbJWHrE&#10;9aV/FejOrAQi8xFGwYniDTlDbqLHLQ+BkE7MRVwHFM9wk0oT9+eNimvw63/Kuu794icAAAD//wMA&#10;UEsDBBQABgAIAAAAIQBV42sR3wAAAAgBAAAPAAAAZHJzL2Rvd25yZXYueG1sTI/BTsMwEETvSPyD&#10;tUhcEHXamqqEOFVVwQEuFaGX3tx4GwfidWQ7bfh7TC9wnJ3VzJtiNdqOndCH1pGE6SQDhlQ73VIj&#10;Yffxcr8EFqIirTpHKOEbA6zK66tC5dqd6R1PVWxYCqGQKwkmxj7nPNQGrQoT1yMl7+i8VTFJ33Dt&#10;1TmF247PsmzBrWopNRjV48Zg/VUNVsJW7Lfmbjg+v63F3L/uhs3is6mkvL0Z10/AIo7x7xl+8RM6&#10;lInp4AbSgXUS0pAoYf4opsCSLR4yAexwucyAlwX/P6D8AQAA//8DAFBLAQItABQABgAIAAAAIQC2&#10;gziS/gAAAOEBAAATAAAAAAAAAAAAAAAAAAAAAABbQ29udGVudF9UeXBlc10ueG1sUEsBAi0AFAAG&#10;AAgAAAAhADj9If/WAAAAlAEAAAsAAAAAAAAAAAAAAAAALwEAAF9yZWxzLy5yZWxzUEsBAi0AFAAG&#10;AAgAAAAhAL/J4KcaAgAAPwQAAA4AAAAAAAAAAAAAAAAALgIAAGRycy9lMm9Eb2MueG1sUEsBAi0A&#10;FAAGAAgAAAAhAFXjaxHfAAAACAEAAA8AAAAAAAAAAAAAAAAAdAQAAGRycy9kb3ducmV2LnhtbFBL&#10;BQYAAAAABAAEAPMAAACABQAAAAA=&#10;" stroked="f">
                <v:textbox style="mso-fit-shape-to-text:t" inset="0,0,0,0">
                  <w:txbxContent>
                    <w:p w14:paraId="4B8BEAA4" w14:textId="043795B1" w:rsidR="00403E73" w:rsidRPr="00913037" w:rsidRDefault="00403E73" w:rsidP="00403E73">
                      <w:pPr>
                        <w:pStyle w:val="Caption"/>
                        <w:rPr>
                          <w:rFonts w:asciiTheme="majorHAnsi" w:hAnsiTheme="majorHAnsi"/>
                          <w:noProof/>
                          <w:color w:val="0A2F40" w:themeColor="accent1" w:themeShade="7F"/>
                          <w:sz w:val="24"/>
                          <w:szCs w:val="24"/>
                          <w:lang w:val="en-US"/>
                        </w:rPr>
                      </w:pPr>
                      <w:r>
                        <w:t xml:space="preserve">Figure 20 - </w:t>
                      </w:r>
                      <w:r w:rsidRPr="00B66195">
                        <w:t>Comparison between the total inertia torque generation from a standard vs cross-plane configuration</w:t>
                      </w:r>
                    </w:p>
                  </w:txbxContent>
                </v:textbox>
                <w10:wrap type="square"/>
              </v:shape>
            </w:pict>
          </mc:Fallback>
        </mc:AlternateContent>
      </w:r>
      <w:r>
        <w:rPr>
          <w:noProof/>
        </w:rPr>
        <w:drawing>
          <wp:anchor distT="0" distB="0" distL="114300" distR="114300" simplePos="0" relativeHeight="251659269" behindDoc="0" locked="0" layoutInCell="1" allowOverlap="1" wp14:anchorId="7825F115" wp14:editId="60946EF4">
            <wp:simplePos x="0" y="0"/>
            <wp:positionH relativeFrom="margin">
              <wp:align>left</wp:align>
            </wp:positionH>
            <wp:positionV relativeFrom="paragraph">
              <wp:posOffset>346281</wp:posOffset>
            </wp:positionV>
            <wp:extent cx="2860040" cy="2099310"/>
            <wp:effectExtent l="0" t="0" r="0" b="0"/>
            <wp:wrapSquare wrapText="bothSides"/>
            <wp:docPr id="615613811" name="Picture 1" descr="The diagram displays a torque versus crank angle graph, illustrating the torque inertia comparison for a cross plane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13811" name="Picture 1" descr="The diagram displays a torque versus crank angle graph, illustrating the torque inertia comparison for a cross plane engine.&#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66578" cy="2104227"/>
                    </a:xfrm>
                    <a:prstGeom prst="rect">
                      <a:avLst/>
                    </a:prstGeom>
                  </pic:spPr>
                </pic:pic>
              </a:graphicData>
            </a:graphic>
            <wp14:sizeRelH relativeFrom="margin">
              <wp14:pctWidth>0</wp14:pctWidth>
            </wp14:sizeRelH>
            <wp14:sizeRelV relativeFrom="margin">
              <wp14:pctHeight>0</wp14:pctHeight>
            </wp14:sizeRelV>
          </wp:anchor>
        </w:drawing>
      </w:r>
      <w:r w:rsidR="00D165B6">
        <w:t>5</w:t>
      </w:r>
      <w:r w:rsidR="001F5FCD">
        <w:t>.1.3 Comparison</w:t>
      </w:r>
      <w:r w:rsidR="0087461F">
        <w:t xml:space="preserve"> of gas and inertia torque</w:t>
      </w:r>
      <w:bookmarkEnd w:id="43"/>
      <w:r w:rsidR="001F5FCD">
        <w:t xml:space="preserve"> </w:t>
      </w:r>
    </w:p>
    <w:p w14:paraId="2A9F93C5" w14:textId="73FD3529" w:rsidR="0087461F" w:rsidRPr="0087461F" w:rsidRDefault="0087461F" w:rsidP="0087461F">
      <w:pPr>
        <w:rPr>
          <w:lang w:val="en-GB"/>
        </w:rPr>
      </w:pPr>
    </w:p>
    <w:p w14:paraId="03DD42E6" w14:textId="081601B1" w:rsidR="00DC1E59" w:rsidRDefault="00DC1E59" w:rsidP="001F5FCD">
      <w:pPr>
        <w:rPr>
          <w:lang w:val="en-GB"/>
        </w:rPr>
      </w:pPr>
      <w:r w:rsidRPr="00DC1E59">
        <w:t xml:space="preserve">Figures </w:t>
      </w:r>
      <w:r>
        <w:t>20</w:t>
      </w:r>
      <w:r w:rsidRPr="00DC1E59">
        <w:t xml:space="preserve"> and </w:t>
      </w:r>
      <w:r>
        <w:t>21</w:t>
      </w:r>
      <w:r w:rsidRPr="00DC1E59">
        <w:t xml:space="preserve"> show that the standard crankshaft produces evenly distributed gas torque due to uniform firing intervals, resulting in regular combustion pulses (Heywood, 2018). However, it exhibits larger inertia torque oscillations, as </w:t>
      </w:r>
      <w:r>
        <w:t xml:space="preserve">it </w:t>
      </w:r>
      <w:r w:rsidRPr="00DC1E59">
        <w:t xml:space="preserve">does not cancel secondary inertial forces </w:t>
      </w:r>
      <w:r>
        <w:t>due to</w:t>
      </w:r>
      <w:r w:rsidRPr="00DC1E59">
        <w:t xml:space="preserve"> piston</w:t>
      </w:r>
      <w:r>
        <w:t xml:space="preserve">s moving in </w:t>
      </w:r>
      <w:r w:rsidRPr="00DC1E59">
        <w:t>pairs</w:t>
      </w:r>
      <w:r>
        <w:t xml:space="preserve">. </w:t>
      </w:r>
      <w:r w:rsidRPr="00DC1E59">
        <w:t xml:space="preserve">(Pulkrabek, 2004). </w:t>
      </w:r>
      <w:r>
        <w:t>T</w:t>
      </w:r>
      <w:r w:rsidRPr="00DC1E59">
        <w:t>he cross-plane configuration generates uneven gas torque due to irregular firing intervals but significantly reduces inertia torque oscillations through improved dynamic balance.</w:t>
      </w:r>
    </w:p>
    <w:p w14:paraId="1A92A644" w14:textId="69C92A69" w:rsidR="00DC1E59" w:rsidRDefault="00DC1E59" w:rsidP="00DC1E59">
      <w:pPr>
        <w:pStyle w:val="Heading3"/>
        <w:rPr>
          <w:lang w:val="en-GB"/>
        </w:rPr>
      </w:pPr>
      <w:bookmarkStart w:id="44" w:name="_Toc225020411"/>
      <w:r>
        <w:rPr>
          <w:lang w:val="en-GB"/>
        </w:rPr>
        <w:t>5.1.4 Crank Torque</w:t>
      </w:r>
      <w:bookmarkEnd w:id="44"/>
      <w:r>
        <w:rPr>
          <w:lang w:val="en-GB"/>
        </w:rPr>
        <w:t xml:space="preserve"> </w:t>
      </w:r>
    </w:p>
    <w:p w14:paraId="64D0EC18" w14:textId="77777777" w:rsidR="00DC1E59" w:rsidRDefault="00DC1E59" w:rsidP="00DC1E59">
      <w:pPr>
        <w:keepNext/>
        <w:jc w:val="center"/>
      </w:pPr>
      <w:r>
        <w:rPr>
          <w:noProof/>
        </w:rPr>
        <w:drawing>
          <wp:inline distT="0" distB="0" distL="0" distR="0" wp14:anchorId="42938C6D" wp14:editId="38C968E7">
            <wp:extent cx="3869610" cy="2823519"/>
            <wp:effectExtent l="0" t="0" r="0" b="0"/>
            <wp:docPr id="1053864496" name="Picture 1" descr="The diagram displays a torque comparison, with values ranging from -400 to 400 Nm, plotted against crank angle from 0 to 1200 deg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864496" name="Picture 1" descr="The diagram displays a torque comparison, with values ranging from -400 to 400 Nm, plotted against crank angle from 0 to 1200 degrees.&#10;&#10;AI-generated content may be incorrect."/>
                    <pic:cNvPicPr/>
                  </pic:nvPicPr>
                  <pic:blipFill>
                    <a:blip r:embed="rId33"/>
                    <a:stretch>
                      <a:fillRect/>
                    </a:stretch>
                  </pic:blipFill>
                  <pic:spPr>
                    <a:xfrm>
                      <a:off x="0" y="0"/>
                      <a:ext cx="3872253" cy="2825448"/>
                    </a:xfrm>
                    <a:prstGeom prst="rect">
                      <a:avLst/>
                    </a:prstGeom>
                  </pic:spPr>
                </pic:pic>
              </a:graphicData>
            </a:graphic>
          </wp:inline>
        </w:drawing>
      </w:r>
    </w:p>
    <w:p w14:paraId="0DE0BEED" w14:textId="46A105A7" w:rsidR="00DC1E59" w:rsidRDefault="00DC1E59" w:rsidP="00DC1E59">
      <w:pPr>
        <w:pStyle w:val="Caption"/>
        <w:jc w:val="center"/>
      </w:pPr>
      <w:r>
        <w:t xml:space="preserve">Figure </w:t>
      </w:r>
      <w:r w:rsidR="00247803">
        <w:t>22</w:t>
      </w:r>
      <w:r>
        <w:t xml:space="preserve"> - Comparing crank torque between standard and cross-plane configurations.</w:t>
      </w:r>
    </w:p>
    <w:p w14:paraId="2BBE1A5F" w14:textId="77777777" w:rsidR="00DC1E59" w:rsidRPr="00DC1E59" w:rsidRDefault="00DC1E59" w:rsidP="00DC1E59">
      <w:pPr>
        <w:rPr>
          <w:lang w:val="en-GB"/>
        </w:rPr>
      </w:pPr>
    </w:p>
    <w:p w14:paraId="0484F517" w14:textId="7311A430" w:rsidR="00247803" w:rsidRDefault="00247803" w:rsidP="001F5FCD">
      <w:pPr>
        <w:rPr>
          <w:lang w:val="en-GB"/>
        </w:rPr>
      </w:pPr>
      <w:r w:rsidRPr="00247803">
        <w:t xml:space="preserve">Although the cross-plane configuration shows increased crank torque variation in </w:t>
      </w:r>
      <w:r>
        <w:t>fi</w:t>
      </w:r>
      <w:r w:rsidRPr="00247803">
        <w:t xml:space="preserve">gure 22, </w:t>
      </w:r>
      <w:r>
        <w:t>this</w:t>
      </w:r>
      <w:r w:rsidRPr="00247803">
        <w:t xml:space="preserve"> does not account for flywheel or drivetrain smoothing. The cross-plane crankshaft reduces inertia oscillations (</w:t>
      </w:r>
      <w:r>
        <w:t>f</w:t>
      </w:r>
      <w:r w:rsidRPr="00247803">
        <w:t xml:space="preserve">igure 20) through improved dynamic balance, resulting in lower vibration levels and improved NVH characteristics (Stone, 2012). </w:t>
      </w:r>
      <w:r w:rsidR="00F733CF">
        <w:t>I</w:t>
      </w:r>
      <w:r w:rsidRPr="00247803">
        <w:t>t provides smoother overall engine operation and is commonly used in road applications. Conversely, the standard flat-plane crankshaft is preferred in high-performance engines due to its lower mass and ability to operate at higher engine speeds</w:t>
      </w:r>
      <w:r w:rsidR="00F733CF">
        <w:t xml:space="preserve"> due to larger instantaneous torque range compared to cross-planes</w:t>
      </w:r>
      <w:r w:rsidRPr="00247803">
        <w:t>, despite producing greater vibration (Wan, 2017).</w:t>
      </w:r>
    </w:p>
    <w:p w14:paraId="15AA7766" w14:textId="0FDA3318" w:rsidR="001F5FCD" w:rsidRDefault="00D165B6" w:rsidP="001F5FCD">
      <w:pPr>
        <w:pStyle w:val="Heading2"/>
        <w:rPr>
          <w:lang w:val="en-GB"/>
        </w:rPr>
      </w:pPr>
      <w:bookmarkStart w:id="45" w:name="_Toc225020412"/>
      <w:r>
        <w:rPr>
          <w:lang w:val="en-GB"/>
        </w:rPr>
        <w:t>5</w:t>
      </w:r>
      <w:r w:rsidR="001F5FCD">
        <w:rPr>
          <w:lang w:val="en-GB"/>
        </w:rPr>
        <w:t>.2 Mean Torque Comparison</w:t>
      </w:r>
      <w:bookmarkEnd w:id="45"/>
    </w:p>
    <w:p w14:paraId="3621FBA9" w14:textId="2DCEFC5C" w:rsidR="001F5FCD" w:rsidRDefault="001F5FCD" w:rsidP="001F5FCD">
      <w:pPr>
        <w:keepNext/>
        <w:jc w:val="center"/>
      </w:pPr>
      <w:r>
        <w:rPr>
          <w:noProof/>
        </w:rPr>
        <w:drawing>
          <wp:inline distT="0" distB="0" distL="0" distR="0" wp14:anchorId="78B42631" wp14:editId="01C0FA35">
            <wp:extent cx="3695727" cy="2724170"/>
            <wp:effectExtent l="0" t="0" r="0" b="0"/>
            <wp:docPr id="1777271286" name="Picture 1" descr="The diagram displays a comparison of mean engine torque at various engine speeds, showing empirical torque values and accounting for friction lo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71286" name="Picture 1" descr="The diagram displays a comparison of mean engine torque at various engine speeds, showing empirical torque values and accounting for friction losses.&#10;&#10;AI-generated content may be incorrect."/>
                    <pic:cNvPicPr/>
                  </pic:nvPicPr>
                  <pic:blipFill>
                    <a:blip r:embed="rId34"/>
                    <a:stretch>
                      <a:fillRect/>
                    </a:stretch>
                  </pic:blipFill>
                  <pic:spPr>
                    <a:xfrm>
                      <a:off x="0" y="0"/>
                      <a:ext cx="3695727" cy="2724170"/>
                    </a:xfrm>
                    <a:prstGeom prst="rect">
                      <a:avLst/>
                    </a:prstGeom>
                  </pic:spPr>
                </pic:pic>
              </a:graphicData>
            </a:graphic>
          </wp:inline>
        </w:drawing>
      </w:r>
    </w:p>
    <w:p w14:paraId="1DC01310" w14:textId="07502EFD" w:rsidR="001F5FCD" w:rsidRPr="001F5FCD" w:rsidRDefault="001F5FCD" w:rsidP="001F5FCD">
      <w:pPr>
        <w:pStyle w:val="Caption"/>
        <w:jc w:val="center"/>
      </w:pPr>
      <w:r>
        <w:t>Figure 2</w:t>
      </w:r>
      <w:r w:rsidR="00DC1E59">
        <w:t>3</w:t>
      </w:r>
      <w:r>
        <w:t xml:space="preserve"> - Comparing engine torque curves (with and without frictional losses) with empirical data.</w:t>
      </w:r>
    </w:p>
    <w:p w14:paraId="7EB158F7" w14:textId="20872B28" w:rsidR="00F733CF" w:rsidRDefault="00F733CF" w:rsidP="00F733CF">
      <w:pPr>
        <w:rPr>
          <w:lang w:val="en-GB"/>
        </w:rPr>
      </w:pPr>
      <w:r>
        <w:rPr>
          <w:lang w:val="en-GB"/>
        </w:rPr>
        <w:t xml:space="preserve">Using the crank torque calculation from the standard flat plane configuration, the engine torque was calculated. Figure 23 shows reasonable agreement with empirical data, with similar trends. </w:t>
      </w:r>
      <w:r w:rsidRPr="00F733CF">
        <w:t xml:space="preserve">Including frictional losses improves this agreement by providing a more realistic representation of brake </w:t>
      </w:r>
      <w:proofErr w:type="gramStart"/>
      <w:r w:rsidRPr="00F733CF">
        <w:t>tor</w:t>
      </w:r>
      <w:r>
        <w:t>que</w:t>
      </w:r>
      <w:proofErr w:type="gramEnd"/>
      <w:r>
        <w:t>.</w:t>
      </w:r>
      <w:r w:rsidRPr="00F733CF">
        <w:t xml:space="preserve"> </w:t>
      </w:r>
      <w:r>
        <w:rPr>
          <w:lang w:val="en-GB"/>
        </w:rPr>
        <w:t xml:space="preserve">However, the model only considers ring and piston frictional losses which Heywood (2019) explains only accounts for 40-50% of the overall frictional losses, explaining the small 6% reduction. From figure 23, the deficit from empirical data increases as engine speed increases, suggesting the main inaccuracy comes from speed dependent losses. This can be attributed to omitting bearing and valvetrain friction losses which increase with RPM. </w:t>
      </w:r>
    </w:p>
    <w:p w14:paraId="2B8DEC5C" w14:textId="77777777" w:rsidR="00F733CF" w:rsidRDefault="00F733CF" w:rsidP="001F5FCD">
      <w:pPr>
        <w:rPr>
          <w:lang w:val="en-GB"/>
        </w:rPr>
      </w:pPr>
    </w:p>
    <w:p w14:paraId="4EC237F7" w14:textId="71805F7F" w:rsidR="00C33D22" w:rsidRDefault="00C33D22" w:rsidP="00C33D22">
      <w:pPr>
        <w:pStyle w:val="Heading1"/>
      </w:pPr>
      <w:bookmarkStart w:id="46" w:name="_Toc225020413"/>
      <w:r>
        <w:lastRenderedPageBreak/>
        <w:t xml:space="preserve">Chapter </w:t>
      </w:r>
      <w:r w:rsidR="00D165B6">
        <w:t>6</w:t>
      </w:r>
      <w:r>
        <w:t xml:space="preserve"> – Conclusion</w:t>
      </w:r>
      <w:bookmarkEnd w:id="46"/>
    </w:p>
    <w:p w14:paraId="7CC252DF" w14:textId="07D02F17" w:rsidR="00E2335E" w:rsidRPr="001F5FCD" w:rsidRDefault="00A12FAD" w:rsidP="001F5FCD">
      <w:pPr>
        <w:rPr>
          <w:b/>
        </w:rPr>
      </w:pPr>
      <w:r>
        <w:t>T</w:t>
      </w:r>
      <w:r w:rsidR="001F5FCD" w:rsidRPr="001F5FCD">
        <w:t>he analytical model provides a reasonable representation of the</w:t>
      </w:r>
      <w:r>
        <w:t xml:space="preserve"> </w:t>
      </w:r>
      <w:r w:rsidR="001F5FCD" w:rsidRPr="001F5FCD">
        <w:t>stresses experienced by the engine components, with calculated results showing good agreement with expected engine behaviour. The analysis provides a useful estimate of the fatigue safety factors</w:t>
      </w:r>
      <w:r w:rsidR="00D51017">
        <w:t>, h</w:t>
      </w:r>
      <w:r w:rsidR="001F5FCD" w:rsidRPr="001F5FCD">
        <w:t xml:space="preserve">owever, several assumptions were made. </w:t>
      </w:r>
      <w:r w:rsidR="001F5FCD">
        <w:t>T</w:t>
      </w:r>
      <w:r w:rsidR="001F5FCD" w:rsidRPr="001F5FCD">
        <w:t>he analysis does not account for thermal loading or lubrication effects, both of which influence stress distribution</w:t>
      </w:r>
      <w:r w:rsidR="003D1713">
        <w:t xml:space="preserve"> </w:t>
      </w:r>
      <w:r w:rsidR="001F5FCD" w:rsidRPr="001F5FCD">
        <w:t>and fatigue life</w:t>
      </w:r>
      <w:r>
        <w:t xml:space="preserve">. </w:t>
      </w:r>
      <w:r w:rsidR="001F5FCD" w:rsidRPr="001F5FCD">
        <w:t>(Heywood, 2019</w:t>
      </w:r>
      <w:r w:rsidR="00786CD6" w:rsidRPr="00786CD6">
        <w:t xml:space="preserve"> </w:t>
      </w:r>
      <w:r w:rsidR="00786CD6">
        <w:t>T</w:t>
      </w:r>
      <w:r w:rsidR="00786CD6" w:rsidRPr="00786CD6">
        <w:t xml:space="preserve">he model assumes ideal combustion and neglects pressure variations due to knock and cycle-to-cycle combustion </w:t>
      </w:r>
      <w:r w:rsidR="00F60C16">
        <w:t>variab</w:t>
      </w:r>
      <w:r w:rsidR="0085459C">
        <w:t>ility</w:t>
      </w:r>
      <w:r w:rsidR="00786CD6" w:rsidRPr="00786CD6">
        <w:t>, resulting in loading conditions that are not fully representative of real engine operation</w:t>
      </w:r>
      <w:r w:rsidR="001F5FCD" w:rsidRPr="001F5FCD">
        <w:t>.</w:t>
      </w:r>
      <w:r w:rsidR="00295131">
        <w:t xml:space="preserve"> I</w:t>
      </w:r>
      <w:r w:rsidR="001F5FCD">
        <w:t>t must be noted that t</w:t>
      </w:r>
      <w:r w:rsidR="001F5FCD" w:rsidRPr="001F5FCD">
        <w:t>he calculated fatigue safety factors are sensitive to assumptions regarding endurance limits, surface finish factors and stress concentration factors. Small variations in these significantly influence the predicted fatigue life of the components.</w:t>
      </w:r>
    </w:p>
    <w:p w14:paraId="7F6CDB15" w14:textId="77777777" w:rsidR="001F5FCD" w:rsidRDefault="001F5FCD" w:rsidP="001F5FCD"/>
    <w:p w14:paraId="64F68855" w14:textId="77777777" w:rsidR="001F5FCD" w:rsidRDefault="001F5FCD" w:rsidP="001F5FCD"/>
    <w:p w14:paraId="661089E0" w14:textId="77777777" w:rsidR="001F5FCD" w:rsidRDefault="001F5FCD" w:rsidP="001F5FCD"/>
    <w:p w14:paraId="07C005FD" w14:textId="77777777" w:rsidR="001F5FCD" w:rsidRDefault="001F5FCD" w:rsidP="001F5FCD"/>
    <w:p w14:paraId="0F539402" w14:textId="77777777" w:rsidR="001F5FCD" w:rsidRDefault="001F5FCD" w:rsidP="001F5FCD"/>
    <w:p w14:paraId="275D8792" w14:textId="77777777" w:rsidR="001F5FCD" w:rsidRDefault="001F5FCD" w:rsidP="001F5FCD"/>
    <w:p w14:paraId="553DA7AB" w14:textId="77777777" w:rsidR="001F5FCD" w:rsidRDefault="001F5FCD" w:rsidP="001F5FCD"/>
    <w:p w14:paraId="20E65482" w14:textId="77777777" w:rsidR="001F5FCD" w:rsidRDefault="001F5FCD" w:rsidP="001F5FCD"/>
    <w:p w14:paraId="78366105" w14:textId="77777777" w:rsidR="001F5FCD" w:rsidRDefault="001F5FCD" w:rsidP="001F5FCD"/>
    <w:p w14:paraId="5D30CFAA" w14:textId="77777777" w:rsidR="001F5FCD" w:rsidRDefault="001F5FCD" w:rsidP="001F5FCD"/>
    <w:p w14:paraId="0C1711FB" w14:textId="77777777" w:rsidR="001F5FCD" w:rsidRDefault="001F5FCD" w:rsidP="001F5FCD"/>
    <w:p w14:paraId="71DC7461" w14:textId="77777777" w:rsidR="001F5FCD" w:rsidRDefault="001F5FCD" w:rsidP="001F5FCD"/>
    <w:p w14:paraId="749B64D1" w14:textId="77777777" w:rsidR="001F5FCD" w:rsidRDefault="001F5FCD" w:rsidP="001F5FCD"/>
    <w:p w14:paraId="0BCED630" w14:textId="77777777" w:rsidR="001F5FCD" w:rsidRDefault="001F5FCD" w:rsidP="001F5FCD"/>
    <w:p w14:paraId="638C7937" w14:textId="77777777" w:rsidR="001F5FCD" w:rsidRDefault="001F5FCD" w:rsidP="001F5FCD"/>
    <w:p w14:paraId="7BC0EC07" w14:textId="77777777" w:rsidR="001F5FCD" w:rsidRDefault="001F5FCD" w:rsidP="001F5FCD"/>
    <w:p w14:paraId="1DC4DBDD" w14:textId="2CAF2352" w:rsidR="008A11CC" w:rsidRDefault="00062C2E" w:rsidP="008A11CC">
      <w:pPr>
        <w:pStyle w:val="Heading1"/>
      </w:pPr>
      <w:bookmarkStart w:id="47" w:name="_Toc225020414"/>
      <w:r w:rsidRPr="005A4683">
        <w:lastRenderedPageBreak/>
        <w:t>References</w:t>
      </w:r>
      <w:bookmarkEnd w:id="47"/>
    </w:p>
    <w:p w14:paraId="563ABAB8" w14:textId="1ED5EF5F" w:rsidR="00ED6640" w:rsidRDefault="001A6D37" w:rsidP="00FD591A">
      <w:pPr>
        <w:rPr>
          <w:lang w:val="en-GB"/>
        </w:rPr>
      </w:pPr>
      <w:r w:rsidRPr="001A6D37">
        <w:rPr>
          <w:lang w:val="en-GB"/>
        </w:rPr>
        <w:t xml:space="preserve">Alloys Int. (2024) </w:t>
      </w:r>
      <w:r w:rsidRPr="001A6D37">
        <w:rPr>
          <w:i/>
          <w:iCs/>
          <w:lang w:val="en-GB"/>
        </w:rPr>
        <w:t>Alloy steel 8740</w:t>
      </w:r>
      <w:r w:rsidRPr="001A6D37">
        <w:rPr>
          <w:lang w:val="en-GB"/>
        </w:rPr>
        <w:t xml:space="preserve">, </w:t>
      </w:r>
      <w:r w:rsidRPr="001A6D37">
        <w:rPr>
          <w:i/>
          <w:iCs/>
          <w:lang w:val="en-GB"/>
        </w:rPr>
        <w:t>Alloys International Inc</w:t>
      </w:r>
      <w:r w:rsidRPr="001A6D37">
        <w:rPr>
          <w:lang w:val="en-GB"/>
        </w:rPr>
        <w:t>. Available at: https://alloysintl.com/inventory/alloys-steels-supplier/alloy-steel-8740/</w:t>
      </w:r>
      <w:r>
        <w:rPr>
          <w:lang w:val="en-GB"/>
        </w:rPr>
        <w:t>.</w:t>
      </w:r>
      <w:r w:rsidRPr="001A6D37">
        <w:rPr>
          <w:lang w:val="en-GB"/>
        </w:rPr>
        <w:t xml:space="preserve"> </w:t>
      </w:r>
    </w:p>
    <w:p w14:paraId="7A22FFB4" w14:textId="5AF28D49" w:rsidR="004D51CA" w:rsidRDefault="004D51CA" w:rsidP="00FD591A">
      <w:pPr>
        <w:rPr>
          <w:lang w:val="en-GB"/>
        </w:rPr>
      </w:pPr>
      <w:r w:rsidRPr="004D51CA">
        <w:rPr>
          <w:lang w:val="en-GB"/>
        </w:rPr>
        <w:t xml:space="preserve">Altair (2026) </w:t>
      </w:r>
      <w:r w:rsidRPr="004D51CA">
        <w:rPr>
          <w:i/>
          <w:iCs/>
          <w:lang w:val="en-GB"/>
        </w:rPr>
        <w:t xml:space="preserve">Altair </w:t>
      </w:r>
      <w:proofErr w:type="spellStart"/>
      <w:r w:rsidRPr="004D51CA">
        <w:rPr>
          <w:i/>
          <w:iCs/>
          <w:lang w:val="en-GB"/>
        </w:rPr>
        <w:t>SimSolid</w:t>
      </w:r>
      <w:proofErr w:type="spellEnd"/>
      <w:r w:rsidRPr="004D51CA">
        <w:rPr>
          <w:lang w:val="en-GB"/>
        </w:rPr>
        <w:t xml:space="preserve">, </w:t>
      </w:r>
      <w:r w:rsidRPr="004D51CA">
        <w:rPr>
          <w:i/>
          <w:iCs/>
          <w:lang w:val="en-GB"/>
        </w:rPr>
        <w:t>Mean stress correction</w:t>
      </w:r>
      <w:r w:rsidRPr="004D51CA">
        <w:rPr>
          <w:lang w:val="en-GB"/>
        </w:rPr>
        <w:t xml:space="preserve">. Available at: </w:t>
      </w:r>
      <w:r w:rsidR="00B847D8" w:rsidRPr="00D165B6">
        <w:rPr>
          <w:lang w:val="en-GB"/>
        </w:rPr>
        <w:t>https://help.altair.com/ss/en_us/topics/simsolid/analysis/fatigue_mean_stress_test_r.htm</w:t>
      </w:r>
      <w:r>
        <w:rPr>
          <w:lang w:val="en-GB"/>
        </w:rPr>
        <w:t>.</w:t>
      </w:r>
      <w:r w:rsidRPr="004D51CA">
        <w:rPr>
          <w:lang w:val="en-GB"/>
        </w:rPr>
        <w:t xml:space="preserve"> </w:t>
      </w:r>
    </w:p>
    <w:p w14:paraId="1FEFB962" w14:textId="60BBC664" w:rsidR="00B847D8" w:rsidRDefault="00B847D8" w:rsidP="00FD591A">
      <w:pPr>
        <w:rPr>
          <w:lang w:val="en-GB"/>
        </w:rPr>
      </w:pPr>
      <w:r w:rsidRPr="00B847D8">
        <w:rPr>
          <w:lang w:val="en-GB"/>
        </w:rPr>
        <w:t xml:space="preserve">Barrett, R. (1990) </w:t>
      </w:r>
      <w:r w:rsidRPr="00B847D8">
        <w:rPr>
          <w:i/>
          <w:iCs/>
          <w:lang w:val="en-GB"/>
        </w:rPr>
        <w:t>Fastener Design Manual</w:t>
      </w:r>
      <w:r w:rsidRPr="00B847D8">
        <w:rPr>
          <w:lang w:val="en-GB"/>
        </w:rPr>
        <w:t xml:space="preserve">, </w:t>
      </w:r>
      <w:r w:rsidRPr="00B847D8">
        <w:rPr>
          <w:i/>
          <w:iCs/>
          <w:lang w:val="en-GB"/>
        </w:rPr>
        <w:t xml:space="preserve">NASA Reference </w:t>
      </w:r>
      <w:r w:rsidR="00DA1A89" w:rsidRPr="00B847D8">
        <w:rPr>
          <w:i/>
          <w:iCs/>
          <w:lang w:val="en-GB"/>
        </w:rPr>
        <w:t>Publication.</w:t>
      </w:r>
      <w:r w:rsidRPr="00B847D8">
        <w:rPr>
          <w:lang w:val="en-GB"/>
        </w:rPr>
        <w:t xml:space="preserve"> Available at: https://ntrs.nasa.gov/api/citations/19900009424/downloads/19900009424.pdf</w:t>
      </w:r>
      <w:r>
        <w:rPr>
          <w:lang w:val="en-GB"/>
        </w:rPr>
        <w:t>.</w:t>
      </w:r>
    </w:p>
    <w:p w14:paraId="45F7BEF7" w14:textId="6D79F117" w:rsidR="0013468E" w:rsidRPr="0013468E" w:rsidRDefault="0013468E" w:rsidP="00FD591A">
      <w:pPr>
        <w:rPr>
          <w:lang w:val="en-GB"/>
        </w:rPr>
      </w:pPr>
      <w:r w:rsidRPr="0013468E">
        <w:rPr>
          <w:lang w:val="en-GB"/>
        </w:rPr>
        <w:t xml:space="preserve">Bolt Science (2025) </w:t>
      </w:r>
      <w:r w:rsidRPr="0013468E">
        <w:rPr>
          <w:i/>
          <w:iCs/>
          <w:lang w:val="en-GB"/>
        </w:rPr>
        <w:t>The Effect of a Compressive External Force</w:t>
      </w:r>
      <w:r w:rsidRPr="0013468E">
        <w:rPr>
          <w:lang w:val="en-GB"/>
        </w:rPr>
        <w:t xml:space="preserve">, </w:t>
      </w:r>
      <w:r w:rsidRPr="0013468E">
        <w:rPr>
          <w:i/>
          <w:iCs/>
          <w:lang w:val="en-GB"/>
        </w:rPr>
        <w:t>The effect of a compressive external force on a bolted joint</w:t>
      </w:r>
      <w:r w:rsidRPr="0013468E">
        <w:rPr>
          <w:lang w:val="en-GB"/>
        </w:rPr>
        <w:t xml:space="preserve">. Available at: https://www.boltscience.com/pages/basics7.htm. </w:t>
      </w:r>
    </w:p>
    <w:p w14:paraId="77FC476F" w14:textId="7A19AC66" w:rsidR="00FD591A" w:rsidRPr="00FD591A" w:rsidRDefault="00FD591A" w:rsidP="00FD591A">
      <w:r w:rsidRPr="00FD591A">
        <w:t xml:space="preserve">Budynas, R.G. and Nisbett, J.K., 2020. </w:t>
      </w:r>
      <w:r w:rsidRPr="00FD591A">
        <w:rPr>
          <w:i/>
          <w:iCs/>
        </w:rPr>
        <w:t>Shigley’s Mechanical Engineering Design</w:t>
      </w:r>
      <w:r w:rsidRPr="00FD591A">
        <w:t>. 11th ed. New York: McGraw-Hill Education.</w:t>
      </w:r>
    </w:p>
    <w:p w14:paraId="08C8D49F" w14:textId="10572DFA" w:rsidR="009F6F93" w:rsidRDefault="009F6F93" w:rsidP="00340D4A">
      <w:r w:rsidRPr="009F6F93">
        <w:t xml:space="preserve">Heywood, J.B. (2019) </w:t>
      </w:r>
      <w:r w:rsidRPr="009F6F93">
        <w:rPr>
          <w:i/>
          <w:iCs/>
        </w:rPr>
        <w:t>Internal Combustion Engine Fundamentals</w:t>
      </w:r>
      <w:r w:rsidRPr="009F6F93">
        <w:t xml:space="preserve">. New York: McGraw-Hill Education. </w:t>
      </w:r>
    </w:p>
    <w:p w14:paraId="384ADF03" w14:textId="28CEABE3" w:rsidR="00AE23B4" w:rsidRDefault="00AE23B4" w:rsidP="00340D4A">
      <w:r w:rsidRPr="00AE23B4">
        <w:t xml:space="preserve">Hwang (2024) </w:t>
      </w:r>
      <w:r w:rsidRPr="005A4683">
        <w:rPr>
          <w:i/>
          <w:iCs/>
        </w:rPr>
        <w:t>Analysing</w:t>
      </w:r>
      <w:r w:rsidRPr="00AE23B4">
        <w:rPr>
          <w:i/>
          <w:iCs/>
        </w:rPr>
        <w:t xml:space="preserve"> safety factors and predicting fatigue life of weak points in an electrically driven, multi-purpose cultivation tractor</w:t>
      </w:r>
      <w:r w:rsidRPr="00AE23B4">
        <w:t xml:space="preserve">, </w:t>
      </w:r>
      <w:r w:rsidRPr="00AE23B4">
        <w:rPr>
          <w:i/>
          <w:iCs/>
        </w:rPr>
        <w:t>MDPI</w:t>
      </w:r>
      <w:r w:rsidRPr="00AE23B4">
        <w:t xml:space="preserve">. Available at: </w:t>
      </w:r>
      <w:r w:rsidR="00FA1351" w:rsidRPr="00D165B6">
        <w:t>https://www.researchgate.net/publication/378750234_Analyzing_Safety_Factors_and_Predicting_Fatigue_Life_of_Weak_Points_in_an_Electrically_Driven_Multi-Purpose_Cultivation_Tractor</w:t>
      </w:r>
    </w:p>
    <w:p w14:paraId="7DB67AFA" w14:textId="229F3622" w:rsidR="009B5DEC" w:rsidRPr="009B5DEC" w:rsidRDefault="009B5DEC" w:rsidP="00340D4A">
      <w:r w:rsidRPr="009B5DEC">
        <w:t xml:space="preserve">Jia, D., Song, X., Deng, W., Deng, X., Ji, H. and Lei, J. (2025) </w:t>
      </w:r>
      <w:r w:rsidRPr="009B5DEC">
        <w:rPr>
          <w:i/>
          <w:iCs/>
        </w:rPr>
        <w:t>Analysis of the influence of geometric accuracy on the preload, stress distribution and fatigue safety factor of connecting rod bolts</w:t>
      </w:r>
      <w:r w:rsidRPr="009B5DEC">
        <w:t xml:space="preserve">, Scientific Reports, 15, Article number: 11903795. Available at: </w:t>
      </w:r>
      <w:r w:rsidRPr="00D165B6">
        <w:t>https://pmc.ncbi.nlm.nih.gov/articles/PMC11903795/</w:t>
      </w:r>
      <w:r w:rsidRPr="009B5DEC">
        <w:t xml:space="preserve"> </w:t>
      </w:r>
    </w:p>
    <w:p w14:paraId="2CF45CBE" w14:textId="50430B42" w:rsidR="00FA1351" w:rsidRPr="00FA1351" w:rsidRDefault="00FA1351" w:rsidP="00340D4A">
      <w:pPr>
        <w:rPr>
          <w:lang w:val="en-GB"/>
        </w:rPr>
      </w:pPr>
      <w:r w:rsidRPr="00FA1351">
        <w:rPr>
          <w:lang w:val="en-GB"/>
        </w:rPr>
        <w:t xml:space="preserve">LF-BJMB (2026) </w:t>
      </w:r>
      <w:r w:rsidRPr="00FA1351">
        <w:rPr>
          <w:i/>
          <w:iCs/>
          <w:lang w:val="en-GB"/>
        </w:rPr>
        <w:t xml:space="preserve">How to enhance bolted joint </w:t>
      </w:r>
      <w:proofErr w:type="gramStart"/>
      <w:r w:rsidRPr="00FA1351">
        <w:rPr>
          <w:i/>
          <w:iCs/>
          <w:lang w:val="en-GB"/>
        </w:rPr>
        <w:t>strength?</w:t>
      </w:r>
      <w:r w:rsidRPr="00FA1351">
        <w:rPr>
          <w:lang w:val="en-GB"/>
        </w:rPr>
        <w:t>,</w:t>
      </w:r>
      <w:proofErr w:type="gramEnd"/>
      <w:r w:rsidRPr="00FA1351">
        <w:rPr>
          <w:lang w:val="en-GB"/>
        </w:rPr>
        <w:t xml:space="preserve"> </w:t>
      </w:r>
      <w:r w:rsidRPr="00FA1351">
        <w:rPr>
          <w:i/>
          <w:iCs/>
          <w:lang w:val="en-GB"/>
        </w:rPr>
        <w:t>Bolt Joint Modular Building</w:t>
      </w:r>
      <w:r w:rsidRPr="00FA1351">
        <w:rPr>
          <w:lang w:val="en-GB"/>
        </w:rPr>
        <w:t xml:space="preserve">. Available at: https://www.cnxzlf.com/news/how-to-enhance-bolted-joint-strength/#:~:text=When%20the%20maximum%20stress%20on,rings%20is%20a%20superior%20choice.  </w:t>
      </w:r>
    </w:p>
    <w:p w14:paraId="4E642A12" w14:textId="020FEEDA" w:rsidR="00AE23B4" w:rsidRDefault="00340D4A" w:rsidP="00340D4A">
      <w:r w:rsidRPr="00340D4A">
        <w:t xml:space="preserve">Mahle GmbH (2016) </w:t>
      </w:r>
      <w:r w:rsidRPr="00340D4A">
        <w:rPr>
          <w:i/>
          <w:iCs/>
        </w:rPr>
        <w:t>Cylinder components: Properties, applications, materials</w:t>
      </w:r>
      <w:r w:rsidRPr="00340D4A">
        <w:t xml:space="preserve">. Wiesbaden: Springer Vieweg. </w:t>
      </w:r>
    </w:p>
    <w:p w14:paraId="5BC1B369" w14:textId="2121E291" w:rsidR="00EA6CF5" w:rsidRDefault="00EA6CF5" w:rsidP="00340D4A">
      <w:r w:rsidRPr="00EA6CF5">
        <w:t xml:space="preserve">Peterson, R.E., 1974. </w:t>
      </w:r>
      <w:r w:rsidRPr="00EA6CF5">
        <w:rPr>
          <w:i/>
          <w:iCs/>
        </w:rPr>
        <w:t>Stress Concentration Factors</w:t>
      </w:r>
      <w:r w:rsidRPr="00EA6CF5">
        <w:t>. Wiley.</w:t>
      </w:r>
    </w:p>
    <w:p w14:paraId="45DF2759" w14:textId="7C00EE90" w:rsidR="0087461F" w:rsidRDefault="0087461F" w:rsidP="00340D4A">
      <w:r w:rsidRPr="0087461F">
        <w:lastRenderedPageBreak/>
        <w:t>Pulkrabek, W.W. (2004) Engineering Fundamentals of the Internal Combustion Engine. 2nd ed. Pearson.</w:t>
      </w:r>
    </w:p>
    <w:p w14:paraId="321B9870" w14:textId="1DD7E86A" w:rsidR="00B63787" w:rsidRDefault="00B63787" w:rsidP="00340D4A">
      <w:r w:rsidRPr="00B63787">
        <w:t xml:space="preserve">Stone, R., 2012. </w:t>
      </w:r>
      <w:r w:rsidRPr="00B63787">
        <w:rPr>
          <w:i/>
          <w:iCs/>
        </w:rPr>
        <w:t>Introduction to Internal Combustion Engines.</w:t>
      </w:r>
      <w:r w:rsidRPr="00B63787">
        <w:t xml:space="preserve"> 4th ed. London: Palgrave Macmillan.</w:t>
      </w:r>
    </w:p>
    <w:p w14:paraId="785975CF" w14:textId="24E2B459" w:rsidR="004C5952" w:rsidRPr="00B63787" w:rsidRDefault="004C5952" w:rsidP="00340D4A">
      <w:r w:rsidRPr="004C5952">
        <w:t xml:space="preserve">Stephens, R.I., Fatemi, A., Stephens, R.R., Fuchs, H.O. (2001). </w:t>
      </w:r>
      <w:r w:rsidRPr="004C5952">
        <w:rPr>
          <w:i/>
          <w:iCs/>
        </w:rPr>
        <w:t>Metal Fatigue in Engineering</w:t>
      </w:r>
      <w:r w:rsidRPr="004C5952">
        <w:t>. Wiley.</w:t>
      </w:r>
    </w:p>
    <w:p w14:paraId="10E34BD7" w14:textId="0A41CAEE" w:rsidR="00167FB5" w:rsidRPr="00167FB5" w:rsidRDefault="00167FB5" w:rsidP="00340D4A">
      <w:pPr>
        <w:rPr>
          <w:lang w:val="en-GB"/>
        </w:rPr>
      </w:pPr>
      <w:r w:rsidRPr="00167FB5">
        <w:rPr>
          <w:lang w:val="en-GB"/>
        </w:rPr>
        <w:t xml:space="preserve">Wan, M. (2017) </w:t>
      </w:r>
      <w:r w:rsidRPr="00167FB5">
        <w:rPr>
          <w:i/>
          <w:iCs/>
          <w:lang w:val="en-GB"/>
        </w:rPr>
        <w:t>Engine Configuration and Smoothness</w:t>
      </w:r>
      <w:r w:rsidRPr="00167FB5">
        <w:rPr>
          <w:lang w:val="en-GB"/>
        </w:rPr>
        <w:t xml:space="preserve">, </w:t>
      </w:r>
      <w:proofErr w:type="spellStart"/>
      <w:r w:rsidRPr="00167FB5">
        <w:rPr>
          <w:i/>
          <w:iCs/>
          <w:lang w:val="en-GB"/>
        </w:rPr>
        <w:t>AutoZine</w:t>
      </w:r>
      <w:proofErr w:type="spellEnd"/>
      <w:r w:rsidRPr="00167FB5">
        <w:rPr>
          <w:i/>
          <w:iCs/>
          <w:lang w:val="en-GB"/>
        </w:rPr>
        <w:t xml:space="preserve"> Technical School</w:t>
      </w:r>
      <w:r w:rsidRPr="00167FB5">
        <w:rPr>
          <w:lang w:val="en-GB"/>
        </w:rPr>
        <w:t>. Available at: https://www.autozine.org/technical_school/engine/Smoothness1.html</w:t>
      </w:r>
      <w:r>
        <w:rPr>
          <w:lang w:val="en-GB"/>
        </w:rPr>
        <w:t>.</w:t>
      </w:r>
      <w:r w:rsidRPr="00167FB5">
        <w:rPr>
          <w:lang w:val="en-GB"/>
        </w:rPr>
        <w:t xml:space="preserve"> </w:t>
      </w:r>
    </w:p>
    <w:p w14:paraId="10127517" w14:textId="33C4A6BE" w:rsidR="008D4EF9" w:rsidRPr="008D4EF9" w:rsidRDefault="008D4EF9" w:rsidP="00340D4A">
      <w:pPr>
        <w:rPr>
          <w:lang w:val="en-GB"/>
        </w:rPr>
      </w:pPr>
      <w:r w:rsidRPr="008D4EF9">
        <w:rPr>
          <w:lang w:val="en-GB"/>
        </w:rPr>
        <w:t xml:space="preserve">Witek, L. (2019) </w:t>
      </w:r>
      <w:r w:rsidRPr="008D4EF9">
        <w:rPr>
          <w:i/>
          <w:iCs/>
          <w:lang w:val="en-GB"/>
        </w:rPr>
        <w:t xml:space="preserve">Stress and failure analysis of the connecting rod of diesel engine - </w:t>
      </w:r>
      <w:proofErr w:type="spellStart"/>
      <w:r w:rsidRPr="008D4EF9">
        <w:rPr>
          <w:i/>
          <w:iCs/>
          <w:lang w:val="en-GB"/>
        </w:rPr>
        <w:t>sciencedirect</w:t>
      </w:r>
      <w:proofErr w:type="spellEnd"/>
      <w:r w:rsidRPr="008D4EF9">
        <w:rPr>
          <w:lang w:val="en-GB"/>
        </w:rPr>
        <w:t xml:space="preserve">, </w:t>
      </w:r>
      <w:r w:rsidRPr="008D4EF9">
        <w:rPr>
          <w:i/>
          <w:iCs/>
          <w:lang w:val="en-GB"/>
        </w:rPr>
        <w:t>Science Direct</w:t>
      </w:r>
      <w:r w:rsidRPr="008D4EF9">
        <w:rPr>
          <w:lang w:val="en-GB"/>
        </w:rPr>
        <w:t xml:space="preserve">. Available at: https://www.sciencedirect.com/science/article/abs/pii/S1350630718312378 </w:t>
      </w:r>
    </w:p>
    <w:p w14:paraId="7223A78A" w14:textId="5785DE33" w:rsidR="00062C2E" w:rsidRDefault="00062C2E" w:rsidP="00062C2E">
      <w:r w:rsidRPr="00062C2E">
        <w:t xml:space="preserve">Yang, D. </w:t>
      </w:r>
      <w:r w:rsidRPr="00062C2E">
        <w:rPr>
          <w:i/>
          <w:iCs/>
        </w:rPr>
        <w:t>et al.</w:t>
      </w:r>
      <w:r w:rsidRPr="00062C2E">
        <w:t xml:space="preserve"> (2017) </w:t>
      </w:r>
      <w:r w:rsidRPr="00062C2E">
        <w:rPr>
          <w:i/>
          <w:iCs/>
        </w:rPr>
        <w:t>Fatigue analysis of engine connecting rod based on Workbench</w:t>
      </w:r>
      <w:r w:rsidRPr="00062C2E">
        <w:t xml:space="preserve">, </w:t>
      </w:r>
      <w:r w:rsidRPr="00062C2E">
        <w:rPr>
          <w:i/>
          <w:iCs/>
        </w:rPr>
        <w:t>Atlantis Press</w:t>
      </w:r>
      <w:r w:rsidRPr="00062C2E">
        <w:t xml:space="preserve">. Available at: https://www.atlantis-press.com/proceedings/mcei-17/25887580 </w:t>
      </w:r>
    </w:p>
    <w:p w14:paraId="47702874" w14:textId="77777777" w:rsidR="00B847D8" w:rsidRDefault="00B847D8" w:rsidP="00062C2E"/>
    <w:p w14:paraId="2C737DC8" w14:textId="77777777" w:rsidR="00B847D8" w:rsidRDefault="00B847D8" w:rsidP="00062C2E"/>
    <w:p w14:paraId="6BA94A48" w14:textId="77777777" w:rsidR="00B847D8" w:rsidRDefault="00B847D8" w:rsidP="00062C2E"/>
    <w:p w14:paraId="3798F2F9" w14:textId="77777777" w:rsidR="00B847D8" w:rsidRDefault="00B847D8" w:rsidP="00062C2E"/>
    <w:p w14:paraId="16517DEF" w14:textId="77777777" w:rsidR="00B847D8" w:rsidRDefault="00B847D8" w:rsidP="00062C2E"/>
    <w:p w14:paraId="570FC6FB" w14:textId="77777777" w:rsidR="00B847D8" w:rsidRDefault="00B847D8" w:rsidP="00062C2E"/>
    <w:p w14:paraId="48FF3986" w14:textId="77777777" w:rsidR="00B847D8" w:rsidRDefault="00B847D8" w:rsidP="00062C2E"/>
    <w:p w14:paraId="4C945FFA" w14:textId="77777777" w:rsidR="00B847D8" w:rsidRDefault="00B847D8" w:rsidP="00062C2E"/>
    <w:p w14:paraId="2A21E4FF" w14:textId="77777777" w:rsidR="00B847D8" w:rsidRDefault="00B847D8" w:rsidP="00062C2E"/>
    <w:p w14:paraId="113A1738" w14:textId="77777777" w:rsidR="00B847D8" w:rsidRDefault="00B847D8" w:rsidP="00062C2E"/>
    <w:p w14:paraId="5938FADF" w14:textId="77777777" w:rsidR="00B847D8" w:rsidRDefault="00B847D8" w:rsidP="00062C2E"/>
    <w:p w14:paraId="74F74F86" w14:textId="77777777" w:rsidR="00B847D8" w:rsidRDefault="00B847D8" w:rsidP="00062C2E"/>
    <w:p w14:paraId="77812E6F" w14:textId="760AD8DA" w:rsidR="009A3648" w:rsidRDefault="009A3648" w:rsidP="009A3648">
      <w:pPr>
        <w:pStyle w:val="Heading1"/>
      </w:pPr>
      <w:bookmarkStart w:id="48" w:name="_Toc225020415"/>
      <w:r>
        <w:lastRenderedPageBreak/>
        <w:t>Appendix</w:t>
      </w:r>
      <w:bookmarkEnd w:id="48"/>
      <w:r>
        <w:t xml:space="preserve"> </w:t>
      </w:r>
    </w:p>
    <w:p w14:paraId="7740A147" w14:textId="3BBCDC16" w:rsidR="001F5FCD" w:rsidRPr="001F5FCD" w:rsidRDefault="001F5FCD" w:rsidP="002F3497">
      <w:pPr>
        <w:jc w:val="center"/>
      </w:pPr>
      <w:r>
        <w:rPr>
          <w:noProof/>
        </w:rPr>
        <w:drawing>
          <wp:inline distT="0" distB="0" distL="0" distR="0" wp14:anchorId="57541EA5" wp14:editId="0DAB40C9">
            <wp:extent cx="4514883" cy="3381400"/>
            <wp:effectExtent l="0" t="0" r="0" b="9525"/>
            <wp:docPr id="22150300" name="Picture 1" descr="The diagram illustrates a Goodman diagram, showing the relationship between mean stress and alternating stress for a connecting rod cap, indicating the allowable and endurance lim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0300" name="Picture 1" descr="The diagram illustrates a Goodman diagram, showing the relationship between mean stress and alternating stress for a connecting rod cap, indicating the allowable and endurance limits.&#10;&#10;AI-generated content may be incorrect."/>
                    <pic:cNvPicPr/>
                  </pic:nvPicPr>
                  <pic:blipFill>
                    <a:blip r:embed="rId35"/>
                    <a:stretch>
                      <a:fillRect/>
                    </a:stretch>
                  </pic:blipFill>
                  <pic:spPr>
                    <a:xfrm>
                      <a:off x="0" y="0"/>
                      <a:ext cx="4514883" cy="3381400"/>
                    </a:xfrm>
                    <a:prstGeom prst="rect">
                      <a:avLst/>
                    </a:prstGeom>
                  </pic:spPr>
                </pic:pic>
              </a:graphicData>
            </a:graphic>
          </wp:inline>
        </w:drawing>
      </w:r>
    </w:p>
    <w:p w14:paraId="0858B534" w14:textId="14C67AA8" w:rsidR="002F3497" w:rsidRPr="001F5FCD" w:rsidRDefault="002F3497" w:rsidP="002F3497">
      <w:pPr>
        <w:jc w:val="center"/>
      </w:pPr>
      <w:r>
        <w:t>Figure A1 – Goodman diagram for the connecting rod cap.</w:t>
      </w:r>
    </w:p>
    <w:p w14:paraId="1B4743D6" w14:textId="30A32588" w:rsidR="009A3648" w:rsidRPr="00062C2E" w:rsidRDefault="00262D55" w:rsidP="002F3497">
      <w:pPr>
        <w:jc w:val="center"/>
      </w:pPr>
      <w:r w:rsidRPr="00262D55">
        <w:rPr>
          <w:noProof/>
        </w:rPr>
        <w:drawing>
          <wp:inline distT="0" distB="0" distL="0" distR="0" wp14:anchorId="7DE38DE5" wp14:editId="1B58915C">
            <wp:extent cx="5257838" cy="1514486"/>
            <wp:effectExtent l="0" t="0" r="0" b="9525"/>
            <wp:docPr id="1409064722" name="Picture 1" descr="The text appears to be a mathematical formula or set of equations involving variables HR, D, and constants C1, C2, C3, C4, and Kt, which seem to be related to a scientific or engineering calcul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064722" name="Picture 1" descr="The text appears to be a mathematical formula or set of equations involving variables HR, D, and constants C1, C2, C3, C4, and Kt, which seem to be related to a scientific or engineering calculation.&#10;&#10;AI-generated content may be incorrect."/>
                    <pic:cNvPicPr/>
                  </pic:nvPicPr>
                  <pic:blipFill>
                    <a:blip r:embed="rId36"/>
                    <a:stretch>
                      <a:fillRect/>
                    </a:stretch>
                  </pic:blipFill>
                  <pic:spPr>
                    <a:xfrm>
                      <a:off x="0" y="0"/>
                      <a:ext cx="5257838" cy="1514486"/>
                    </a:xfrm>
                    <a:prstGeom prst="rect">
                      <a:avLst/>
                    </a:prstGeom>
                  </pic:spPr>
                </pic:pic>
              </a:graphicData>
            </a:graphic>
          </wp:inline>
        </w:drawing>
      </w:r>
    </w:p>
    <w:p w14:paraId="77211ED7" w14:textId="3EE7DBCD" w:rsidR="002F3497" w:rsidRDefault="002F3497" w:rsidP="002F3497">
      <w:pPr>
        <w:jc w:val="center"/>
      </w:pPr>
      <w:r>
        <w:t xml:space="preserve">Figure A2 </w:t>
      </w:r>
      <w:r w:rsidR="007C1BA7">
        <w:t>–</w:t>
      </w:r>
      <w:r>
        <w:t xml:space="preserve"> </w:t>
      </w:r>
      <w:r w:rsidR="007C1BA7">
        <w:t>Stress concentration factor calculation applied to the bolt using 8x0.75mm dimensions.</w:t>
      </w:r>
    </w:p>
    <w:p w14:paraId="17B80007" w14:textId="08E5C74A" w:rsidR="00DB5F84" w:rsidRDefault="00DB5F84" w:rsidP="002F3497">
      <w:pPr>
        <w:jc w:val="center"/>
      </w:pPr>
      <w:r>
        <w:rPr>
          <w:noProof/>
        </w:rPr>
        <w:lastRenderedPageBreak/>
        <w:drawing>
          <wp:inline distT="0" distB="0" distL="0" distR="0" wp14:anchorId="721B24F1" wp14:editId="16652132">
            <wp:extent cx="5086387" cy="3486175"/>
            <wp:effectExtent l="0" t="0" r="0" b="0"/>
            <wp:docPr id="2144335368" name="Picture 1" descr="The diagram illustrates a Goodman diagram for connecting rod bolts, showing the relationship between mean stress and alternating stress, with specified parameters for maximum and minimum allowable stresses, and safety fac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60544" name="Picture 1" descr="The diagram illustrates a Goodman diagram for connecting rod bolts, showing the relationship between mean stress and alternating stress, with specified parameters for maximum and minimum allowable stresses, and safety factor.&#10;&#10;AI-generated content may be incorrect."/>
                    <pic:cNvPicPr/>
                  </pic:nvPicPr>
                  <pic:blipFill>
                    <a:blip r:embed="rId37"/>
                    <a:stretch>
                      <a:fillRect/>
                    </a:stretch>
                  </pic:blipFill>
                  <pic:spPr>
                    <a:xfrm>
                      <a:off x="0" y="0"/>
                      <a:ext cx="5086387" cy="3486175"/>
                    </a:xfrm>
                    <a:prstGeom prst="rect">
                      <a:avLst/>
                    </a:prstGeom>
                  </pic:spPr>
                </pic:pic>
              </a:graphicData>
            </a:graphic>
          </wp:inline>
        </w:drawing>
      </w:r>
    </w:p>
    <w:p w14:paraId="5E708B6E" w14:textId="02CC5018" w:rsidR="00DB5F84" w:rsidRDefault="00DB5F84" w:rsidP="002F3497">
      <w:pPr>
        <w:jc w:val="center"/>
      </w:pPr>
      <w:r>
        <w:t>Figure A3 – Goodman diagram of 10% reduction in wasted shank diameter.</w:t>
      </w:r>
    </w:p>
    <w:p w14:paraId="64676D5B" w14:textId="77777777" w:rsidR="007C1BA7" w:rsidRPr="00062C2E" w:rsidRDefault="007C1BA7" w:rsidP="002F3497">
      <w:pPr>
        <w:jc w:val="center"/>
      </w:pPr>
    </w:p>
    <w:p w14:paraId="6B2AED71" w14:textId="7BCC2AAC" w:rsidR="00793392" w:rsidRPr="007C1BA7" w:rsidRDefault="00793392" w:rsidP="007C1BA7">
      <w:pPr>
        <w:jc w:val="center"/>
      </w:pPr>
    </w:p>
    <w:sectPr w:rsidR="00793392" w:rsidRPr="007C1BA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8046F" w14:textId="77777777" w:rsidR="001B0858" w:rsidRDefault="001B0858" w:rsidP="00A16D5E">
      <w:pPr>
        <w:spacing w:after="0" w:line="240" w:lineRule="auto"/>
      </w:pPr>
      <w:r>
        <w:separator/>
      </w:r>
    </w:p>
  </w:endnote>
  <w:endnote w:type="continuationSeparator" w:id="0">
    <w:p w14:paraId="24C97FA1" w14:textId="77777777" w:rsidR="001B0858" w:rsidRDefault="001B0858" w:rsidP="00A16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0EC00" w14:textId="77777777" w:rsidR="001B0858" w:rsidRDefault="001B0858" w:rsidP="00A16D5E">
      <w:pPr>
        <w:spacing w:after="0" w:line="240" w:lineRule="auto"/>
      </w:pPr>
      <w:r>
        <w:separator/>
      </w:r>
    </w:p>
  </w:footnote>
  <w:footnote w:type="continuationSeparator" w:id="0">
    <w:p w14:paraId="7043D2AA" w14:textId="77777777" w:rsidR="001B0858" w:rsidRDefault="001B0858" w:rsidP="00A16D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440DD"/>
    <w:multiLevelType w:val="multilevel"/>
    <w:tmpl w:val="295029D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492770"/>
    <w:multiLevelType w:val="hybridMultilevel"/>
    <w:tmpl w:val="44C232E6"/>
    <w:lvl w:ilvl="0" w:tplc="0B3439E4">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33C65"/>
    <w:multiLevelType w:val="hybridMultilevel"/>
    <w:tmpl w:val="4286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F7180"/>
    <w:multiLevelType w:val="hybridMultilevel"/>
    <w:tmpl w:val="3AF8C484"/>
    <w:lvl w:ilvl="0" w:tplc="53AA11FC">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762E53"/>
    <w:multiLevelType w:val="hybridMultilevel"/>
    <w:tmpl w:val="D0DE79F0"/>
    <w:lvl w:ilvl="0" w:tplc="53AA11FC">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962CD9"/>
    <w:multiLevelType w:val="multilevel"/>
    <w:tmpl w:val="5442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5B23E8"/>
    <w:multiLevelType w:val="multilevel"/>
    <w:tmpl w:val="86BAED3A"/>
    <w:lvl w:ilvl="0">
      <w:start w:val="1"/>
      <w:numFmt w:val="decimal"/>
      <w:lvlText w:val="%1"/>
      <w:lvlJc w:val="left"/>
      <w:pPr>
        <w:ind w:left="383" w:hanging="383"/>
      </w:pPr>
      <w:rPr>
        <w:rFonts w:hint="default"/>
      </w:rPr>
    </w:lvl>
    <w:lvl w:ilvl="1">
      <w:start w:val="1"/>
      <w:numFmt w:val="decimal"/>
      <w:lvlText w:val="%1.%2"/>
      <w:lvlJc w:val="left"/>
      <w:pPr>
        <w:ind w:left="383" w:hanging="38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0F12C84"/>
    <w:multiLevelType w:val="multilevel"/>
    <w:tmpl w:val="EB6E6C1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A584F28"/>
    <w:multiLevelType w:val="hybridMultilevel"/>
    <w:tmpl w:val="5F9EA3D8"/>
    <w:lvl w:ilvl="0" w:tplc="334E9F80">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3004264">
    <w:abstractNumId w:val="8"/>
  </w:num>
  <w:num w:numId="2" w16cid:durableId="1518501602">
    <w:abstractNumId w:val="1"/>
  </w:num>
  <w:num w:numId="3" w16cid:durableId="2051879475">
    <w:abstractNumId w:val="0"/>
  </w:num>
  <w:num w:numId="4" w16cid:durableId="824513428">
    <w:abstractNumId w:val="6"/>
  </w:num>
  <w:num w:numId="5" w16cid:durableId="1299454617">
    <w:abstractNumId w:val="7"/>
  </w:num>
  <w:num w:numId="6" w16cid:durableId="298074466">
    <w:abstractNumId w:val="2"/>
  </w:num>
  <w:num w:numId="7" w16cid:durableId="141121062">
    <w:abstractNumId w:val="3"/>
  </w:num>
  <w:num w:numId="8" w16cid:durableId="1045640733">
    <w:abstractNumId w:val="4"/>
  </w:num>
  <w:num w:numId="9" w16cid:durableId="309585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12864E"/>
    <w:rsid w:val="00000174"/>
    <w:rsid w:val="00002172"/>
    <w:rsid w:val="000044F0"/>
    <w:rsid w:val="00007F49"/>
    <w:rsid w:val="00013A50"/>
    <w:rsid w:val="00015096"/>
    <w:rsid w:val="000150F5"/>
    <w:rsid w:val="000165E1"/>
    <w:rsid w:val="00020042"/>
    <w:rsid w:val="0002140E"/>
    <w:rsid w:val="00021C7C"/>
    <w:rsid w:val="00022B9D"/>
    <w:rsid w:val="00022EDE"/>
    <w:rsid w:val="000235D0"/>
    <w:rsid w:val="000268E8"/>
    <w:rsid w:val="000272C9"/>
    <w:rsid w:val="0003012D"/>
    <w:rsid w:val="00031F51"/>
    <w:rsid w:val="00032213"/>
    <w:rsid w:val="0003430C"/>
    <w:rsid w:val="00034C83"/>
    <w:rsid w:val="00035DDA"/>
    <w:rsid w:val="000360F3"/>
    <w:rsid w:val="000374EB"/>
    <w:rsid w:val="0004194F"/>
    <w:rsid w:val="000420C8"/>
    <w:rsid w:val="0004331E"/>
    <w:rsid w:val="00044FD5"/>
    <w:rsid w:val="000524ED"/>
    <w:rsid w:val="00052BF1"/>
    <w:rsid w:val="0005389B"/>
    <w:rsid w:val="00054DE2"/>
    <w:rsid w:val="000603CE"/>
    <w:rsid w:val="00062B54"/>
    <w:rsid w:val="00062C2E"/>
    <w:rsid w:val="00066AC5"/>
    <w:rsid w:val="00066DBD"/>
    <w:rsid w:val="00066FC3"/>
    <w:rsid w:val="000677B9"/>
    <w:rsid w:val="00072E8B"/>
    <w:rsid w:val="00074385"/>
    <w:rsid w:val="00076BA7"/>
    <w:rsid w:val="000807DF"/>
    <w:rsid w:val="0008424B"/>
    <w:rsid w:val="000845D9"/>
    <w:rsid w:val="00085A56"/>
    <w:rsid w:val="000861A6"/>
    <w:rsid w:val="000878E1"/>
    <w:rsid w:val="0009000B"/>
    <w:rsid w:val="000902C3"/>
    <w:rsid w:val="000910CD"/>
    <w:rsid w:val="00092388"/>
    <w:rsid w:val="00095D3A"/>
    <w:rsid w:val="00096308"/>
    <w:rsid w:val="0009633C"/>
    <w:rsid w:val="00096675"/>
    <w:rsid w:val="00096FA6"/>
    <w:rsid w:val="000972EB"/>
    <w:rsid w:val="000A2275"/>
    <w:rsid w:val="000A2F92"/>
    <w:rsid w:val="000A38F4"/>
    <w:rsid w:val="000A4E37"/>
    <w:rsid w:val="000A56C5"/>
    <w:rsid w:val="000A5756"/>
    <w:rsid w:val="000A5BE0"/>
    <w:rsid w:val="000A5E76"/>
    <w:rsid w:val="000A5F03"/>
    <w:rsid w:val="000B0E5B"/>
    <w:rsid w:val="000B15AF"/>
    <w:rsid w:val="000B1C53"/>
    <w:rsid w:val="000B2FF7"/>
    <w:rsid w:val="000B5327"/>
    <w:rsid w:val="000C06F1"/>
    <w:rsid w:val="000C1C2F"/>
    <w:rsid w:val="000C27B5"/>
    <w:rsid w:val="000C29CF"/>
    <w:rsid w:val="000C2C4D"/>
    <w:rsid w:val="000C3490"/>
    <w:rsid w:val="000C3AC6"/>
    <w:rsid w:val="000C703E"/>
    <w:rsid w:val="000C7B0A"/>
    <w:rsid w:val="000C7DA1"/>
    <w:rsid w:val="000D5527"/>
    <w:rsid w:val="000E0E5A"/>
    <w:rsid w:val="000E28B0"/>
    <w:rsid w:val="000E2D89"/>
    <w:rsid w:val="000E63C0"/>
    <w:rsid w:val="000E6786"/>
    <w:rsid w:val="000E69DF"/>
    <w:rsid w:val="000E6B35"/>
    <w:rsid w:val="000F0296"/>
    <w:rsid w:val="000F2489"/>
    <w:rsid w:val="000F7BF1"/>
    <w:rsid w:val="00101348"/>
    <w:rsid w:val="00101418"/>
    <w:rsid w:val="00101FF3"/>
    <w:rsid w:val="0010213A"/>
    <w:rsid w:val="001035E2"/>
    <w:rsid w:val="00107682"/>
    <w:rsid w:val="00107D96"/>
    <w:rsid w:val="001110C0"/>
    <w:rsid w:val="001124AF"/>
    <w:rsid w:val="00116CD4"/>
    <w:rsid w:val="001206AB"/>
    <w:rsid w:val="00121281"/>
    <w:rsid w:val="00124C20"/>
    <w:rsid w:val="001251F2"/>
    <w:rsid w:val="00126156"/>
    <w:rsid w:val="001271C9"/>
    <w:rsid w:val="00133287"/>
    <w:rsid w:val="00134215"/>
    <w:rsid w:val="0013468E"/>
    <w:rsid w:val="0013686F"/>
    <w:rsid w:val="00137DD0"/>
    <w:rsid w:val="001421EF"/>
    <w:rsid w:val="001444A4"/>
    <w:rsid w:val="0014671A"/>
    <w:rsid w:val="00147BCD"/>
    <w:rsid w:val="00150EE5"/>
    <w:rsid w:val="00151EE6"/>
    <w:rsid w:val="001538A9"/>
    <w:rsid w:val="0015434F"/>
    <w:rsid w:val="0015476E"/>
    <w:rsid w:val="00155BE7"/>
    <w:rsid w:val="00155DF6"/>
    <w:rsid w:val="001609E0"/>
    <w:rsid w:val="00161012"/>
    <w:rsid w:val="001611DC"/>
    <w:rsid w:val="00163F53"/>
    <w:rsid w:val="00165321"/>
    <w:rsid w:val="00166EF1"/>
    <w:rsid w:val="00167D40"/>
    <w:rsid w:val="00167FB5"/>
    <w:rsid w:val="00171238"/>
    <w:rsid w:val="001748C2"/>
    <w:rsid w:val="00176509"/>
    <w:rsid w:val="00176E89"/>
    <w:rsid w:val="0017790C"/>
    <w:rsid w:val="00180870"/>
    <w:rsid w:val="0018187C"/>
    <w:rsid w:val="00182146"/>
    <w:rsid w:val="00184CEC"/>
    <w:rsid w:val="00184E32"/>
    <w:rsid w:val="0018539B"/>
    <w:rsid w:val="001876CE"/>
    <w:rsid w:val="0019238C"/>
    <w:rsid w:val="00193240"/>
    <w:rsid w:val="00194460"/>
    <w:rsid w:val="0019489A"/>
    <w:rsid w:val="00195ECD"/>
    <w:rsid w:val="00197855"/>
    <w:rsid w:val="001A22D0"/>
    <w:rsid w:val="001A341C"/>
    <w:rsid w:val="001A59AB"/>
    <w:rsid w:val="001A6D37"/>
    <w:rsid w:val="001A6E51"/>
    <w:rsid w:val="001B0756"/>
    <w:rsid w:val="001B0858"/>
    <w:rsid w:val="001B1813"/>
    <w:rsid w:val="001B20D7"/>
    <w:rsid w:val="001B3885"/>
    <w:rsid w:val="001B3B66"/>
    <w:rsid w:val="001B44ED"/>
    <w:rsid w:val="001B48F3"/>
    <w:rsid w:val="001B5A71"/>
    <w:rsid w:val="001C13E4"/>
    <w:rsid w:val="001C29DC"/>
    <w:rsid w:val="001C67B5"/>
    <w:rsid w:val="001D10AF"/>
    <w:rsid w:val="001D1814"/>
    <w:rsid w:val="001D1F37"/>
    <w:rsid w:val="001D1FE0"/>
    <w:rsid w:val="001D6000"/>
    <w:rsid w:val="001D6512"/>
    <w:rsid w:val="001D79B3"/>
    <w:rsid w:val="001D7CAA"/>
    <w:rsid w:val="001E192F"/>
    <w:rsid w:val="001E3DC2"/>
    <w:rsid w:val="001E6486"/>
    <w:rsid w:val="001E64A8"/>
    <w:rsid w:val="001E6D9A"/>
    <w:rsid w:val="001E7586"/>
    <w:rsid w:val="001F0D89"/>
    <w:rsid w:val="001F4F1C"/>
    <w:rsid w:val="001F522C"/>
    <w:rsid w:val="001F5ED6"/>
    <w:rsid w:val="001F5FCD"/>
    <w:rsid w:val="00200479"/>
    <w:rsid w:val="0020180B"/>
    <w:rsid w:val="002019B9"/>
    <w:rsid w:val="0020352D"/>
    <w:rsid w:val="0020433C"/>
    <w:rsid w:val="00205536"/>
    <w:rsid w:val="0020570D"/>
    <w:rsid w:val="00206DB4"/>
    <w:rsid w:val="00206DC4"/>
    <w:rsid w:val="0020743A"/>
    <w:rsid w:val="00210E6D"/>
    <w:rsid w:val="002116C2"/>
    <w:rsid w:val="00211EC8"/>
    <w:rsid w:val="002128D6"/>
    <w:rsid w:val="00212CF2"/>
    <w:rsid w:val="00215B2C"/>
    <w:rsid w:val="002170E6"/>
    <w:rsid w:val="0022097C"/>
    <w:rsid w:val="00220EF4"/>
    <w:rsid w:val="00221363"/>
    <w:rsid w:val="00222DDD"/>
    <w:rsid w:val="00222E3B"/>
    <w:rsid w:val="00223685"/>
    <w:rsid w:val="0023022D"/>
    <w:rsid w:val="0023178C"/>
    <w:rsid w:val="00231913"/>
    <w:rsid w:val="002333B4"/>
    <w:rsid w:val="00234A97"/>
    <w:rsid w:val="00235984"/>
    <w:rsid w:val="00236266"/>
    <w:rsid w:val="0023634D"/>
    <w:rsid w:val="002371C8"/>
    <w:rsid w:val="00241259"/>
    <w:rsid w:val="00241E77"/>
    <w:rsid w:val="00244083"/>
    <w:rsid w:val="00247491"/>
    <w:rsid w:val="002476A0"/>
    <w:rsid w:val="00247803"/>
    <w:rsid w:val="00251694"/>
    <w:rsid w:val="002577CF"/>
    <w:rsid w:val="00260962"/>
    <w:rsid w:val="0026256A"/>
    <w:rsid w:val="00262D55"/>
    <w:rsid w:val="00271704"/>
    <w:rsid w:val="00272187"/>
    <w:rsid w:val="0027234B"/>
    <w:rsid w:val="0027350B"/>
    <w:rsid w:val="0027447A"/>
    <w:rsid w:val="00277FC5"/>
    <w:rsid w:val="00281971"/>
    <w:rsid w:val="00281EED"/>
    <w:rsid w:val="002820C9"/>
    <w:rsid w:val="00282113"/>
    <w:rsid w:val="00283F60"/>
    <w:rsid w:val="002907A6"/>
    <w:rsid w:val="0029152B"/>
    <w:rsid w:val="0029175A"/>
    <w:rsid w:val="00292A10"/>
    <w:rsid w:val="00292AA2"/>
    <w:rsid w:val="00292CCB"/>
    <w:rsid w:val="002934F2"/>
    <w:rsid w:val="00293E08"/>
    <w:rsid w:val="002942E5"/>
    <w:rsid w:val="00295131"/>
    <w:rsid w:val="00297CA1"/>
    <w:rsid w:val="002A00E8"/>
    <w:rsid w:val="002A11EB"/>
    <w:rsid w:val="002A2190"/>
    <w:rsid w:val="002A3B56"/>
    <w:rsid w:val="002A48ED"/>
    <w:rsid w:val="002A584C"/>
    <w:rsid w:val="002A69C8"/>
    <w:rsid w:val="002B07A1"/>
    <w:rsid w:val="002B49E4"/>
    <w:rsid w:val="002B5E0C"/>
    <w:rsid w:val="002B66AF"/>
    <w:rsid w:val="002B72BF"/>
    <w:rsid w:val="002B7B02"/>
    <w:rsid w:val="002C1324"/>
    <w:rsid w:val="002C18A5"/>
    <w:rsid w:val="002C1D1A"/>
    <w:rsid w:val="002C59CE"/>
    <w:rsid w:val="002C6379"/>
    <w:rsid w:val="002C74C3"/>
    <w:rsid w:val="002C7C19"/>
    <w:rsid w:val="002D07EE"/>
    <w:rsid w:val="002D19BD"/>
    <w:rsid w:val="002D24D6"/>
    <w:rsid w:val="002D2983"/>
    <w:rsid w:val="002D3C76"/>
    <w:rsid w:val="002D72E1"/>
    <w:rsid w:val="002E0522"/>
    <w:rsid w:val="002E0FAF"/>
    <w:rsid w:val="002E15BB"/>
    <w:rsid w:val="002E1C14"/>
    <w:rsid w:val="002E5C35"/>
    <w:rsid w:val="002E6D18"/>
    <w:rsid w:val="002F3497"/>
    <w:rsid w:val="002F54DA"/>
    <w:rsid w:val="002F6F88"/>
    <w:rsid w:val="003017C7"/>
    <w:rsid w:val="00302E01"/>
    <w:rsid w:val="00303126"/>
    <w:rsid w:val="00304546"/>
    <w:rsid w:val="00306505"/>
    <w:rsid w:val="00306BE3"/>
    <w:rsid w:val="00307C14"/>
    <w:rsid w:val="003116F9"/>
    <w:rsid w:val="00313793"/>
    <w:rsid w:val="00313B5D"/>
    <w:rsid w:val="00316FC6"/>
    <w:rsid w:val="0031777C"/>
    <w:rsid w:val="00320411"/>
    <w:rsid w:val="00321D5C"/>
    <w:rsid w:val="00322172"/>
    <w:rsid w:val="00322BA5"/>
    <w:rsid w:val="003240A6"/>
    <w:rsid w:val="00324471"/>
    <w:rsid w:val="0032574C"/>
    <w:rsid w:val="00327DE4"/>
    <w:rsid w:val="00334FA1"/>
    <w:rsid w:val="0033757C"/>
    <w:rsid w:val="00340D4A"/>
    <w:rsid w:val="00341493"/>
    <w:rsid w:val="00341DB4"/>
    <w:rsid w:val="003446C9"/>
    <w:rsid w:val="003450F4"/>
    <w:rsid w:val="00346670"/>
    <w:rsid w:val="00346DBC"/>
    <w:rsid w:val="00347E61"/>
    <w:rsid w:val="00350A40"/>
    <w:rsid w:val="00351BE3"/>
    <w:rsid w:val="0035254A"/>
    <w:rsid w:val="00355844"/>
    <w:rsid w:val="00355AE2"/>
    <w:rsid w:val="00356D70"/>
    <w:rsid w:val="0035783F"/>
    <w:rsid w:val="00360CBD"/>
    <w:rsid w:val="003610DD"/>
    <w:rsid w:val="003658B5"/>
    <w:rsid w:val="003663F8"/>
    <w:rsid w:val="00366425"/>
    <w:rsid w:val="00370B2A"/>
    <w:rsid w:val="00370BBB"/>
    <w:rsid w:val="00371658"/>
    <w:rsid w:val="00371A6B"/>
    <w:rsid w:val="00371C73"/>
    <w:rsid w:val="00375B5D"/>
    <w:rsid w:val="0037614E"/>
    <w:rsid w:val="00376A2B"/>
    <w:rsid w:val="003770A5"/>
    <w:rsid w:val="003802C6"/>
    <w:rsid w:val="003809C4"/>
    <w:rsid w:val="00382919"/>
    <w:rsid w:val="00384290"/>
    <w:rsid w:val="00391CE2"/>
    <w:rsid w:val="00391D5A"/>
    <w:rsid w:val="00391EE0"/>
    <w:rsid w:val="003943D6"/>
    <w:rsid w:val="0039699E"/>
    <w:rsid w:val="00396C76"/>
    <w:rsid w:val="003A0CDC"/>
    <w:rsid w:val="003A23FD"/>
    <w:rsid w:val="003A3A7D"/>
    <w:rsid w:val="003A5211"/>
    <w:rsid w:val="003A65A2"/>
    <w:rsid w:val="003B02C2"/>
    <w:rsid w:val="003B101A"/>
    <w:rsid w:val="003B1EB9"/>
    <w:rsid w:val="003B2203"/>
    <w:rsid w:val="003B296E"/>
    <w:rsid w:val="003B5EE6"/>
    <w:rsid w:val="003B67A1"/>
    <w:rsid w:val="003B7B45"/>
    <w:rsid w:val="003C21EB"/>
    <w:rsid w:val="003C2CE3"/>
    <w:rsid w:val="003C2E74"/>
    <w:rsid w:val="003C3C9C"/>
    <w:rsid w:val="003C4208"/>
    <w:rsid w:val="003C467E"/>
    <w:rsid w:val="003C4B8A"/>
    <w:rsid w:val="003C5FF5"/>
    <w:rsid w:val="003C7A90"/>
    <w:rsid w:val="003D018A"/>
    <w:rsid w:val="003D0348"/>
    <w:rsid w:val="003D1136"/>
    <w:rsid w:val="003D1713"/>
    <w:rsid w:val="003D2410"/>
    <w:rsid w:val="003D7898"/>
    <w:rsid w:val="003D799C"/>
    <w:rsid w:val="003E04CF"/>
    <w:rsid w:val="003E054B"/>
    <w:rsid w:val="003E0DE8"/>
    <w:rsid w:val="003E0DED"/>
    <w:rsid w:val="003E2A7A"/>
    <w:rsid w:val="003E2CE6"/>
    <w:rsid w:val="003E7564"/>
    <w:rsid w:val="003F031E"/>
    <w:rsid w:val="003F0B61"/>
    <w:rsid w:val="003F0E77"/>
    <w:rsid w:val="003F2EFC"/>
    <w:rsid w:val="003F52EF"/>
    <w:rsid w:val="003F590A"/>
    <w:rsid w:val="003F596B"/>
    <w:rsid w:val="003F72C4"/>
    <w:rsid w:val="003F75CC"/>
    <w:rsid w:val="00402B3E"/>
    <w:rsid w:val="004031AD"/>
    <w:rsid w:val="004035B7"/>
    <w:rsid w:val="00403E73"/>
    <w:rsid w:val="004059AD"/>
    <w:rsid w:val="00405F21"/>
    <w:rsid w:val="004063FE"/>
    <w:rsid w:val="00406F0A"/>
    <w:rsid w:val="0040772D"/>
    <w:rsid w:val="004103FD"/>
    <w:rsid w:val="00411058"/>
    <w:rsid w:val="00411A17"/>
    <w:rsid w:val="0041202D"/>
    <w:rsid w:val="00413352"/>
    <w:rsid w:val="00414B7C"/>
    <w:rsid w:val="00423070"/>
    <w:rsid w:val="00423FF2"/>
    <w:rsid w:val="00424BD8"/>
    <w:rsid w:val="004307B3"/>
    <w:rsid w:val="0043202B"/>
    <w:rsid w:val="00432DD7"/>
    <w:rsid w:val="00432FD0"/>
    <w:rsid w:val="00436905"/>
    <w:rsid w:val="00436F28"/>
    <w:rsid w:val="00437004"/>
    <w:rsid w:val="0043796F"/>
    <w:rsid w:val="00441577"/>
    <w:rsid w:val="00444D49"/>
    <w:rsid w:val="00444FAA"/>
    <w:rsid w:val="0044652B"/>
    <w:rsid w:val="00446E19"/>
    <w:rsid w:val="004472CE"/>
    <w:rsid w:val="004473A6"/>
    <w:rsid w:val="00447503"/>
    <w:rsid w:val="00452CDE"/>
    <w:rsid w:val="00453607"/>
    <w:rsid w:val="0045461E"/>
    <w:rsid w:val="00455313"/>
    <w:rsid w:val="00456891"/>
    <w:rsid w:val="00460B66"/>
    <w:rsid w:val="0046103C"/>
    <w:rsid w:val="004611D3"/>
    <w:rsid w:val="00461370"/>
    <w:rsid w:val="00461C9B"/>
    <w:rsid w:val="00463128"/>
    <w:rsid w:val="00463162"/>
    <w:rsid w:val="00465848"/>
    <w:rsid w:val="0046590F"/>
    <w:rsid w:val="00466B47"/>
    <w:rsid w:val="00467788"/>
    <w:rsid w:val="004749A9"/>
    <w:rsid w:val="00475D01"/>
    <w:rsid w:val="00475EE5"/>
    <w:rsid w:val="00476212"/>
    <w:rsid w:val="0048099E"/>
    <w:rsid w:val="004832FE"/>
    <w:rsid w:val="00483375"/>
    <w:rsid w:val="0048400C"/>
    <w:rsid w:val="0048681D"/>
    <w:rsid w:val="00486FB6"/>
    <w:rsid w:val="00491F63"/>
    <w:rsid w:val="00492AAE"/>
    <w:rsid w:val="004932AD"/>
    <w:rsid w:val="004948CC"/>
    <w:rsid w:val="00495F31"/>
    <w:rsid w:val="004963AB"/>
    <w:rsid w:val="00496B30"/>
    <w:rsid w:val="00496E01"/>
    <w:rsid w:val="004A0E6C"/>
    <w:rsid w:val="004A2D1C"/>
    <w:rsid w:val="004A3724"/>
    <w:rsid w:val="004A4199"/>
    <w:rsid w:val="004A4397"/>
    <w:rsid w:val="004A50FE"/>
    <w:rsid w:val="004A5436"/>
    <w:rsid w:val="004A6929"/>
    <w:rsid w:val="004A6C24"/>
    <w:rsid w:val="004A6E87"/>
    <w:rsid w:val="004A7017"/>
    <w:rsid w:val="004A7D71"/>
    <w:rsid w:val="004B007B"/>
    <w:rsid w:val="004B0A0B"/>
    <w:rsid w:val="004B0FDD"/>
    <w:rsid w:val="004B13AC"/>
    <w:rsid w:val="004B19E3"/>
    <w:rsid w:val="004B364F"/>
    <w:rsid w:val="004B50A1"/>
    <w:rsid w:val="004C1822"/>
    <w:rsid w:val="004C236B"/>
    <w:rsid w:val="004C2535"/>
    <w:rsid w:val="004C5952"/>
    <w:rsid w:val="004C6785"/>
    <w:rsid w:val="004D045D"/>
    <w:rsid w:val="004D3A71"/>
    <w:rsid w:val="004D51CA"/>
    <w:rsid w:val="004D69FB"/>
    <w:rsid w:val="004E0034"/>
    <w:rsid w:val="004E0BD9"/>
    <w:rsid w:val="004E0ECA"/>
    <w:rsid w:val="004E1F3F"/>
    <w:rsid w:val="004E1FA4"/>
    <w:rsid w:val="004E30DF"/>
    <w:rsid w:val="004E388D"/>
    <w:rsid w:val="004E4F8D"/>
    <w:rsid w:val="004E6C2D"/>
    <w:rsid w:val="004F0F01"/>
    <w:rsid w:val="004F4D02"/>
    <w:rsid w:val="004F5CE6"/>
    <w:rsid w:val="004F67EF"/>
    <w:rsid w:val="0050044F"/>
    <w:rsid w:val="00500DAC"/>
    <w:rsid w:val="00502191"/>
    <w:rsid w:val="00503830"/>
    <w:rsid w:val="00503A99"/>
    <w:rsid w:val="00504147"/>
    <w:rsid w:val="005051A8"/>
    <w:rsid w:val="005060C9"/>
    <w:rsid w:val="0050611B"/>
    <w:rsid w:val="00507477"/>
    <w:rsid w:val="00512DB3"/>
    <w:rsid w:val="00513EF5"/>
    <w:rsid w:val="00515366"/>
    <w:rsid w:val="0051622A"/>
    <w:rsid w:val="00516571"/>
    <w:rsid w:val="005224AB"/>
    <w:rsid w:val="00522BC4"/>
    <w:rsid w:val="00525716"/>
    <w:rsid w:val="00526A7C"/>
    <w:rsid w:val="0053465C"/>
    <w:rsid w:val="00535812"/>
    <w:rsid w:val="0053694C"/>
    <w:rsid w:val="00540C10"/>
    <w:rsid w:val="005411CF"/>
    <w:rsid w:val="00542801"/>
    <w:rsid w:val="00545D63"/>
    <w:rsid w:val="00546ABE"/>
    <w:rsid w:val="00550AFE"/>
    <w:rsid w:val="00550D95"/>
    <w:rsid w:val="005521F8"/>
    <w:rsid w:val="005526AE"/>
    <w:rsid w:val="00552A5F"/>
    <w:rsid w:val="00552C7F"/>
    <w:rsid w:val="00553170"/>
    <w:rsid w:val="00555166"/>
    <w:rsid w:val="00556B10"/>
    <w:rsid w:val="005627AD"/>
    <w:rsid w:val="00563A1C"/>
    <w:rsid w:val="00565C0E"/>
    <w:rsid w:val="005660BC"/>
    <w:rsid w:val="00570F87"/>
    <w:rsid w:val="00571030"/>
    <w:rsid w:val="00571AA9"/>
    <w:rsid w:val="00572613"/>
    <w:rsid w:val="005744B7"/>
    <w:rsid w:val="0057589C"/>
    <w:rsid w:val="005759F8"/>
    <w:rsid w:val="00575BFC"/>
    <w:rsid w:val="00575D18"/>
    <w:rsid w:val="0057651B"/>
    <w:rsid w:val="0058279A"/>
    <w:rsid w:val="00582FC4"/>
    <w:rsid w:val="005838F3"/>
    <w:rsid w:val="00584BD1"/>
    <w:rsid w:val="0058677E"/>
    <w:rsid w:val="005873DA"/>
    <w:rsid w:val="005923F1"/>
    <w:rsid w:val="00592A98"/>
    <w:rsid w:val="0059309F"/>
    <w:rsid w:val="0059343B"/>
    <w:rsid w:val="00594140"/>
    <w:rsid w:val="0059589E"/>
    <w:rsid w:val="005A0180"/>
    <w:rsid w:val="005A2C01"/>
    <w:rsid w:val="005A2C18"/>
    <w:rsid w:val="005A4683"/>
    <w:rsid w:val="005A6B27"/>
    <w:rsid w:val="005A6EAD"/>
    <w:rsid w:val="005A7BB7"/>
    <w:rsid w:val="005B1629"/>
    <w:rsid w:val="005B5079"/>
    <w:rsid w:val="005C1EF6"/>
    <w:rsid w:val="005C3DF3"/>
    <w:rsid w:val="005C4235"/>
    <w:rsid w:val="005C7D49"/>
    <w:rsid w:val="005C7DE4"/>
    <w:rsid w:val="005D0291"/>
    <w:rsid w:val="005D1E67"/>
    <w:rsid w:val="005D23ED"/>
    <w:rsid w:val="005D2AA5"/>
    <w:rsid w:val="005D31FE"/>
    <w:rsid w:val="005D3B6B"/>
    <w:rsid w:val="005D73AD"/>
    <w:rsid w:val="005E001C"/>
    <w:rsid w:val="005E0961"/>
    <w:rsid w:val="005E1419"/>
    <w:rsid w:val="005E16E9"/>
    <w:rsid w:val="005E17C0"/>
    <w:rsid w:val="005E3803"/>
    <w:rsid w:val="005E3840"/>
    <w:rsid w:val="005E63F6"/>
    <w:rsid w:val="005E6792"/>
    <w:rsid w:val="005F1B00"/>
    <w:rsid w:val="005F2EDA"/>
    <w:rsid w:val="005F5BA7"/>
    <w:rsid w:val="005F5BB0"/>
    <w:rsid w:val="005F5C26"/>
    <w:rsid w:val="005F602A"/>
    <w:rsid w:val="0060140A"/>
    <w:rsid w:val="00601E3D"/>
    <w:rsid w:val="006027C6"/>
    <w:rsid w:val="006033EA"/>
    <w:rsid w:val="00603FA5"/>
    <w:rsid w:val="0060604C"/>
    <w:rsid w:val="0060764C"/>
    <w:rsid w:val="00611466"/>
    <w:rsid w:val="00611F22"/>
    <w:rsid w:val="00613905"/>
    <w:rsid w:val="00615339"/>
    <w:rsid w:val="00616185"/>
    <w:rsid w:val="00616853"/>
    <w:rsid w:val="006172A7"/>
    <w:rsid w:val="00621867"/>
    <w:rsid w:val="006225BF"/>
    <w:rsid w:val="006236D3"/>
    <w:rsid w:val="006242A6"/>
    <w:rsid w:val="006243B6"/>
    <w:rsid w:val="00625228"/>
    <w:rsid w:val="006257F7"/>
    <w:rsid w:val="00630DA5"/>
    <w:rsid w:val="00632A2E"/>
    <w:rsid w:val="00633665"/>
    <w:rsid w:val="00633A05"/>
    <w:rsid w:val="00634B8D"/>
    <w:rsid w:val="00635637"/>
    <w:rsid w:val="006362A7"/>
    <w:rsid w:val="00637D8F"/>
    <w:rsid w:val="0064171C"/>
    <w:rsid w:val="00642D16"/>
    <w:rsid w:val="0064657A"/>
    <w:rsid w:val="0064701B"/>
    <w:rsid w:val="0064735F"/>
    <w:rsid w:val="00650B67"/>
    <w:rsid w:val="006536E8"/>
    <w:rsid w:val="00655911"/>
    <w:rsid w:val="00655BAC"/>
    <w:rsid w:val="00656CBF"/>
    <w:rsid w:val="0065714D"/>
    <w:rsid w:val="006576B6"/>
    <w:rsid w:val="00657D28"/>
    <w:rsid w:val="006613B9"/>
    <w:rsid w:val="00661D26"/>
    <w:rsid w:val="006637F1"/>
    <w:rsid w:val="00663A83"/>
    <w:rsid w:val="006660D9"/>
    <w:rsid w:val="006662CD"/>
    <w:rsid w:val="00673855"/>
    <w:rsid w:val="00674A84"/>
    <w:rsid w:val="0068083F"/>
    <w:rsid w:val="00681034"/>
    <w:rsid w:val="00684117"/>
    <w:rsid w:val="00685B14"/>
    <w:rsid w:val="00686E55"/>
    <w:rsid w:val="00687406"/>
    <w:rsid w:val="006876FA"/>
    <w:rsid w:val="00690027"/>
    <w:rsid w:val="0069247F"/>
    <w:rsid w:val="00692EA4"/>
    <w:rsid w:val="006931C7"/>
    <w:rsid w:val="006953C8"/>
    <w:rsid w:val="0069564A"/>
    <w:rsid w:val="00695CD1"/>
    <w:rsid w:val="00696261"/>
    <w:rsid w:val="00696CD1"/>
    <w:rsid w:val="0069754A"/>
    <w:rsid w:val="00697F9D"/>
    <w:rsid w:val="006A13F8"/>
    <w:rsid w:val="006A22DC"/>
    <w:rsid w:val="006A2BD4"/>
    <w:rsid w:val="006A4AE5"/>
    <w:rsid w:val="006A55B0"/>
    <w:rsid w:val="006A5990"/>
    <w:rsid w:val="006A6077"/>
    <w:rsid w:val="006A67A5"/>
    <w:rsid w:val="006A67B1"/>
    <w:rsid w:val="006A70B0"/>
    <w:rsid w:val="006B0576"/>
    <w:rsid w:val="006B1792"/>
    <w:rsid w:val="006B452A"/>
    <w:rsid w:val="006C07D2"/>
    <w:rsid w:val="006C6280"/>
    <w:rsid w:val="006D0122"/>
    <w:rsid w:val="006D497B"/>
    <w:rsid w:val="006E098D"/>
    <w:rsid w:val="006E1A49"/>
    <w:rsid w:val="006E3849"/>
    <w:rsid w:val="006E4BAA"/>
    <w:rsid w:val="006E5DE7"/>
    <w:rsid w:val="006F1ADD"/>
    <w:rsid w:val="006F2757"/>
    <w:rsid w:val="006F2A84"/>
    <w:rsid w:val="006F393C"/>
    <w:rsid w:val="006F43A0"/>
    <w:rsid w:val="006F46F4"/>
    <w:rsid w:val="006F5085"/>
    <w:rsid w:val="00700114"/>
    <w:rsid w:val="00700E89"/>
    <w:rsid w:val="007010D8"/>
    <w:rsid w:val="00701985"/>
    <w:rsid w:val="007025FA"/>
    <w:rsid w:val="00703298"/>
    <w:rsid w:val="007035F1"/>
    <w:rsid w:val="00703EB3"/>
    <w:rsid w:val="007044A2"/>
    <w:rsid w:val="00705AB0"/>
    <w:rsid w:val="0070618E"/>
    <w:rsid w:val="007111F7"/>
    <w:rsid w:val="00713834"/>
    <w:rsid w:val="00713E5F"/>
    <w:rsid w:val="00714DAA"/>
    <w:rsid w:val="00715467"/>
    <w:rsid w:val="00716281"/>
    <w:rsid w:val="00716C10"/>
    <w:rsid w:val="007179E6"/>
    <w:rsid w:val="00720661"/>
    <w:rsid w:val="007223B7"/>
    <w:rsid w:val="00722C66"/>
    <w:rsid w:val="00722CED"/>
    <w:rsid w:val="00723D9D"/>
    <w:rsid w:val="00724E63"/>
    <w:rsid w:val="007264A7"/>
    <w:rsid w:val="00730C4C"/>
    <w:rsid w:val="00732675"/>
    <w:rsid w:val="00732963"/>
    <w:rsid w:val="0073336B"/>
    <w:rsid w:val="007359E2"/>
    <w:rsid w:val="00736F04"/>
    <w:rsid w:val="00740E03"/>
    <w:rsid w:val="0074104A"/>
    <w:rsid w:val="00741433"/>
    <w:rsid w:val="00741EE1"/>
    <w:rsid w:val="00743795"/>
    <w:rsid w:val="0074473A"/>
    <w:rsid w:val="00745EE7"/>
    <w:rsid w:val="007460D2"/>
    <w:rsid w:val="007467C0"/>
    <w:rsid w:val="00747E96"/>
    <w:rsid w:val="00752720"/>
    <w:rsid w:val="00752C09"/>
    <w:rsid w:val="00754E64"/>
    <w:rsid w:val="007561CA"/>
    <w:rsid w:val="00757E76"/>
    <w:rsid w:val="00760147"/>
    <w:rsid w:val="00761A81"/>
    <w:rsid w:val="00763328"/>
    <w:rsid w:val="00763712"/>
    <w:rsid w:val="00763AA5"/>
    <w:rsid w:val="00764986"/>
    <w:rsid w:val="00766078"/>
    <w:rsid w:val="00766DF6"/>
    <w:rsid w:val="007671E6"/>
    <w:rsid w:val="007677A4"/>
    <w:rsid w:val="00773472"/>
    <w:rsid w:val="007735C1"/>
    <w:rsid w:val="0077376A"/>
    <w:rsid w:val="007737F0"/>
    <w:rsid w:val="00773BB3"/>
    <w:rsid w:val="00774B51"/>
    <w:rsid w:val="00774B53"/>
    <w:rsid w:val="00775B55"/>
    <w:rsid w:val="00776554"/>
    <w:rsid w:val="00776F3F"/>
    <w:rsid w:val="00777EAD"/>
    <w:rsid w:val="00777F3F"/>
    <w:rsid w:val="007811BA"/>
    <w:rsid w:val="00781D4A"/>
    <w:rsid w:val="0078262D"/>
    <w:rsid w:val="007853A5"/>
    <w:rsid w:val="00786CD6"/>
    <w:rsid w:val="0079049B"/>
    <w:rsid w:val="00791BF0"/>
    <w:rsid w:val="00793392"/>
    <w:rsid w:val="00794701"/>
    <w:rsid w:val="00795A71"/>
    <w:rsid w:val="00797032"/>
    <w:rsid w:val="007A0CD0"/>
    <w:rsid w:val="007A4137"/>
    <w:rsid w:val="007A45DD"/>
    <w:rsid w:val="007A53E6"/>
    <w:rsid w:val="007A543C"/>
    <w:rsid w:val="007A7839"/>
    <w:rsid w:val="007B0389"/>
    <w:rsid w:val="007B1A97"/>
    <w:rsid w:val="007B4512"/>
    <w:rsid w:val="007B5707"/>
    <w:rsid w:val="007B6320"/>
    <w:rsid w:val="007B7FF0"/>
    <w:rsid w:val="007C0021"/>
    <w:rsid w:val="007C0150"/>
    <w:rsid w:val="007C1BA7"/>
    <w:rsid w:val="007C29D0"/>
    <w:rsid w:val="007C3891"/>
    <w:rsid w:val="007C47E3"/>
    <w:rsid w:val="007C4925"/>
    <w:rsid w:val="007C5962"/>
    <w:rsid w:val="007C670D"/>
    <w:rsid w:val="007D0140"/>
    <w:rsid w:val="007D0E62"/>
    <w:rsid w:val="007D3087"/>
    <w:rsid w:val="007D39B7"/>
    <w:rsid w:val="007D3CB1"/>
    <w:rsid w:val="007D4B60"/>
    <w:rsid w:val="007D5E53"/>
    <w:rsid w:val="007D70AB"/>
    <w:rsid w:val="007E0C25"/>
    <w:rsid w:val="007E1D48"/>
    <w:rsid w:val="007E1D95"/>
    <w:rsid w:val="007E5801"/>
    <w:rsid w:val="007E5D1E"/>
    <w:rsid w:val="007E6896"/>
    <w:rsid w:val="007E765C"/>
    <w:rsid w:val="007E77FF"/>
    <w:rsid w:val="007E7E73"/>
    <w:rsid w:val="007F0D8A"/>
    <w:rsid w:val="007F5370"/>
    <w:rsid w:val="00802380"/>
    <w:rsid w:val="008057C5"/>
    <w:rsid w:val="00807AE0"/>
    <w:rsid w:val="0081107A"/>
    <w:rsid w:val="00811A8A"/>
    <w:rsid w:val="0081212D"/>
    <w:rsid w:val="00814281"/>
    <w:rsid w:val="008155E9"/>
    <w:rsid w:val="00820CF3"/>
    <w:rsid w:val="00820DBC"/>
    <w:rsid w:val="008213DC"/>
    <w:rsid w:val="00821DD2"/>
    <w:rsid w:val="008251C2"/>
    <w:rsid w:val="008262AF"/>
    <w:rsid w:val="00830F11"/>
    <w:rsid w:val="008322C8"/>
    <w:rsid w:val="00832539"/>
    <w:rsid w:val="00832B8D"/>
    <w:rsid w:val="00832C08"/>
    <w:rsid w:val="00835C40"/>
    <w:rsid w:val="008366A0"/>
    <w:rsid w:val="00837F14"/>
    <w:rsid w:val="008407C4"/>
    <w:rsid w:val="00844529"/>
    <w:rsid w:val="008459CA"/>
    <w:rsid w:val="0085070C"/>
    <w:rsid w:val="0085459C"/>
    <w:rsid w:val="00855328"/>
    <w:rsid w:val="00855936"/>
    <w:rsid w:val="008569E9"/>
    <w:rsid w:val="00861AAF"/>
    <w:rsid w:val="008630E6"/>
    <w:rsid w:val="008648B4"/>
    <w:rsid w:val="00864F4E"/>
    <w:rsid w:val="008700E4"/>
    <w:rsid w:val="00871580"/>
    <w:rsid w:val="008728A6"/>
    <w:rsid w:val="0087347B"/>
    <w:rsid w:val="0087461F"/>
    <w:rsid w:val="00875ABE"/>
    <w:rsid w:val="00876017"/>
    <w:rsid w:val="00876C1A"/>
    <w:rsid w:val="00877160"/>
    <w:rsid w:val="00880B83"/>
    <w:rsid w:val="00881BE3"/>
    <w:rsid w:val="00881FD3"/>
    <w:rsid w:val="0088340F"/>
    <w:rsid w:val="008835F7"/>
    <w:rsid w:val="008836F4"/>
    <w:rsid w:val="008845B7"/>
    <w:rsid w:val="00885F91"/>
    <w:rsid w:val="008870EA"/>
    <w:rsid w:val="00887BEB"/>
    <w:rsid w:val="00891AE9"/>
    <w:rsid w:val="00891B9E"/>
    <w:rsid w:val="0089282C"/>
    <w:rsid w:val="0089301E"/>
    <w:rsid w:val="008939CF"/>
    <w:rsid w:val="00895776"/>
    <w:rsid w:val="0089581F"/>
    <w:rsid w:val="00896C4B"/>
    <w:rsid w:val="00897AF3"/>
    <w:rsid w:val="008A010E"/>
    <w:rsid w:val="008A11CC"/>
    <w:rsid w:val="008A2DDA"/>
    <w:rsid w:val="008A6633"/>
    <w:rsid w:val="008B220B"/>
    <w:rsid w:val="008B2F4A"/>
    <w:rsid w:val="008B3BA4"/>
    <w:rsid w:val="008B5CD8"/>
    <w:rsid w:val="008C2369"/>
    <w:rsid w:val="008C38E7"/>
    <w:rsid w:val="008C5691"/>
    <w:rsid w:val="008C7101"/>
    <w:rsid w:val="008D031F"/>
    <w:rsid w:val="008D28AF"/>
    <w:rsid w:val="008D3081"/>
    <w:rsid w:val="008D38E7"/>
    <w:rsid w:val="008D4EF9"/>
    <w:rsid w:val="008D5BD4"/>
    <w:rsid w:val="008D6C37"/>
    <w:rsid w:val="008D7EB1"/>
    <w:rsid w:val="008E0430"/>
    <w:rsid w:val="008E1285"/>
    <w:rsid w:val="008E25A3"/>
    <w:rsid w:val="008E3F73"/>
    <w:rsid w:val="008E42EE"/>
    <w:rsid w:val="008E60F2"/>
    <w:rsid w:val="008F09D5"/>
    <w:rsid w:val="008F14E7"/>
    <w:rsid w:val="008F3BA5"/>
    <w:rsid w:val="008F3ED4"/>
    <w:rsid w:val="008F42D1"/>
    <w:rsid w:val="008F6767"/>
    <w:rsid w:val="008F6E9E"/>
    <w:rsid w:val="008F7D29"/>
    <w:rsid w:val="00900914"/>
    <w:rsid w:val="00902638"/>
    <w:rsid w:val="00902B87"/>
    <w:rsid w:val="009032E9"/>
    <w:rsid w:val="009071F6"/>
    <w:rsid w:val="00907D70"/>
    <w:rsid w:val="009106B2"/>
    <w:rsid w:val="00911BAE"/>
    <w:rsid w:val="009122C3"/>
    <w:rsid w:val="00914AEF"/>
    <w:rsid w:val="0091526F"/>
    <w:rsid w:val="009152AB"/>
    <w:rsid w:val="0091627E"/>
    <w:rsid w:val="009218F2"/>
    <w:rsid w:val="00927388"/>
    <w:rsid w:val="0093291E"/>
    <w:rsid w:val="00932D51"/>
    <w:rsid w:val="00933494"/>
    <w:rsid w:val="009416B2"/>
    <w:rsid w:val="00942B5E"/>
    <w:rsid w:val="00942E89"/>
    <w:rsid w:val="00945C79"/>
    <w:rsid w:val="009468B4"/>
    <w:rsid w:val="009502CD"/>
    <w:rsid w:val="009506EE"/>
    <w:rsid w:val="00951844"/>
    <w:rsid w:val="00952F97"/>
    <w:rsid w:val="00953701"/>
    <w:rsid w:val="00954D11"/>
    <w:rsid w:val="009554CF"/>
    <w:rsid w:val="00955FC5"/>
    <w:rsid w:val="00956614"/>
    <w:rsid w:val="00957491"/>
    <w:rsid w:val="00957CA0"/>
    <w:rsid w:val="00960C8F"/>
    <w:rsid w:val="00961836"/>
    <w:rsid w:val="00965D0C"/>
    <w:rsid w:val="009712CD"/>
    <w:rsid w:val="00973701"/>
    <w:rsid w:val="009745A5"/>
    <w:rsid w:val="00974DB1"/>
    <w:rsid w:val="00980E0B"/>
    <w:rsid w:val="0098241D"/>
    <w:rsid w:val="009824B5"/>
    <w:rsid w:val="00983D4D"/>
    <w:rsid w:val="00985FC6"/>
    <w:rsid w:val="009928C2"/>
    <w:rsid w:val="00992D5C"/>
    <w:rsid w:val="00994416"/>
    <w:rsid w:val="00995119"/>
    <w:rsid w:val="0099590D"/>
    <w:rsid w:val="009A30E3"/>
    <w:rsid w:val="009A310B"/>
    <w:rsid w:val="009A3648"/>
    <w:rsid w:val="009A5BD2"/>
    <w:rsid w:val="009A7EC4"/>
    <w:rsid w:val="009B136C"/>
    <w:rsid w:val="009B383E"/>
    <w:rsid w:val="009B562E"/>
    <w:rsid w:val="009B5DEC"/>
    <w:rsid w:val="009B6A6B"/>
    <w:rsid w:val="009C2C2F"/>
    <w:rsid w:val="009C6B00"/>
    <w:rsid w:val="009C73B9"/>
    <w:rsid w:val="009D0CB8"/>
    <w:rsid w:val="009D1E14"/>
    <w:rsid w:val="009D423B"/>
    <w:rsid w:val="009D5888"/>
    <w:rsid w:val="009D6300"/>
    <w:rsid w:val="009E13F5"/>
    <w:rsid w:val="009E2E52"/>
    <w:rsid w:val="009E32FC"/>
    <w:rsid w:val="009E37E5"/>
    <w:rsid w:val="009E4965"/>
    <w:rsid w:val="009F000F"/>
    <w:rsid w:val="009F01A4"/>
    <w:rsid w:val="009F0291"/>
    <w:rsid w:val="009F14B4"/>
    <w:rsid w:val="009F4A97"/>
    <w:rsid w:val="009F6F93"/>
    <w:rsid w:val="009F71D6"/>
    <w:rsid w:val="00A00DAD"/>
    <w:rsid w:val="00A03BA3"/>
    <w:rsid w:val="00A0409C"/>
    <w:rsid w:val="00A048B5"/>
    <w:rsid w:val="00A048E5"/>
    <w:rsid w:val="00A05BF0"/>
    <w:rsid w:val="00A1083F"/>
    <w:rsid w:val="00A12737"/>
    <w:rsid w:val="00A12FAD"/>
    <w:rsid w:val="00A14CBA"/>
    <w:rsid w:val="00A16D5E"/>
    <w:rsid w:val="00A17FE6"/>
    <w:rsid w:val="00A215DF"/>
    <w:rsid w:val="00A225FE"/>
    <w:rsid w:val="00A22F2A"/>
    <w:rsid w:val="00A24174"/>
    <w:rsid w:val="00A269CD"/>
    <w:rsid w:val="00A27CE2"/>
    <w:rsid w:val="00A27FD2"/>
    <w:rsid w:val="00A31E6C"/>
    <w:rsid w:val="00A31FDD"/>
    <w:rsid w:val="00A3526A"/>
    <w:rsid w:val="00A356A1"/>
    <w:rsid w:val="00A367B3"/>
    <w:rsid w:val="00A37820"/>
    <w:rsid w:val="00A3789F"/>
    <w:rsid w:val="00A3795C"/>
    <w:rsid w:val="00A4081F"/>
    <w:rsid w:val="00A4129C"/>
    <w:rsid w:val="00A4398A"/>
    <w:rsid w:val="00A43CBC"/>
    <w:rsid w:val="00A444E0"/>
    <w:rsid w:val="00A453C9"/>
    <w:rsid w:val="00A4552C"/>
    <w:rsid w:val="00A45AFC"/>
    <w:rsid w:val="00A46265"/>
    <w:rsid w:val="00A47344"/>
    <w:rsid w:val="00A5293D"/>
    <w:rsid w:val="00A5473E"/>
    <w:rsid w:val="00A56A97"/>
    <w:rsid w:val="00A57A4A"/>
    <w:rsid w:val="00A62E63"/>
    <w:rsid w:val="00A63DEE"/>
    <w:rsid w:val="00A63E58"/>
    <w:rsid w:val="00A64457"/>
    <w:rsid w:val="00A65738"/>
    <w:rsid w:val="00A65BB1"/>
    <w:rsid w:val="00A66338"/>
    <w:rsid w:val="00A6678C"/>
    <w:rsid w:val="00A7000B"/>
    <w:rsid w:val="00A7201E"/>
    <w:rsid w:val="00A72776"/>
    <w:rsid w:val="00A73267"/>
    <w:rsid w:val="00A832C9"/>
    <w:rsid w:val="00A85EFC"/>
    <w:rsid w:val="00A8601C"/>
    <w:rsid w:val="00A86A38"/>
    <w:rsid w:val="00A87AD4"/>
    <w:rsid w:val="00A87BC1"/>
    <w:rsid w:val="00A87ED3"/>
    <w:rsid w:val="00A90966"/>
    <w:rsid w:val="00A91492"/>
    <w:rsid w:val="00A9394C"/>
    <w:rsid w:val="00A95703"/>
    <w:rsid w:val="00A95FFD"/>
    <w:rsid w:val="00A96838"/>
    <w:rsid w:val="00A97588"/>
    <w:rsid w:val="00AA2D1E"/>
    <w:rsid w:val="00AA2DEB"/>
    <w:rsid w:val="00AA4300"/>
    <w:rsid w:val="00AA459F"/>
    <w:rsid w:val="00AA4C38"/>
    <w:rsid w:val="00AA638F"/>
    <w:rsid w:val="00AA77F6"/>
    <w:rsid w:val="00AB0C1C"/>
    <w:rsid w:val="00AB16F8"/>
    <w:rsid w:val="00AB33A5"/>
    <w:rsid w:val="00AB40F2"/>
    <w:rsid w:val="00AB467F"/>
    <w:rsid w:val="00AB5F4F"/>
    <w:rsid w:val="00AB608F"/>
    <w:rsid w:val="00AB6127"/>
    <w:rsid w:val="00AB663B"/>
    <w:rsid w:val="00AC0E11"/>
    <w:rsid w:val="00AC21AB"/>
    <w:rsid w:val="00AC2B3F"/>
    <w:rsid w:val="00AC3412"/>
    <w:rsid w:val="00AC3987"/>
    <w:rsid w:val="00AC497E"/>
    <w:rsid w:val="00AC4AD2"/>
    <w:rsid w:val="00AC5A98"/>
    <w:rsid w:val="00AD01A3"/>
    <w:rsid w:val="00AD3459"/>
    <w:rsid w:val="00AD3FEF"/>
    <w:rsid w:val="00AD453B"/>
    <w:rsid w:val="00AD501D"/>
    <w:rsid w:val="00AD6584"/>
    <w:rsid w:val="00AE23B4"/>
    <w:rsid w:val="00AE655F"/>
    <w:rsid w:val="00AE7FFA"/>
    <w:rsid w:val="00AF1C82"/>
    <w:rsid w:val="00AF4E77"/>
    <w:rsid w:val="00AF5BCF"/>
    <w:rsid w:val="00AF6497"/>
    <w:rsid w:val="00AF6E40"/>
    <w:rsid w:val="00AF743C"/>
    <w:rsid w:val="00B012EC"/>
    <w:rsid w:val="00B02BE5"/>
    <w:rsid w:val="00B03E77"/>
    <w:rsid w:val="00B0643A"/>
    <w:rsid w:val="00B147D2"/>
    <w:rsid w:val="00B15C43"/>
    <w:rsid w:val="00B17219"/>
    <w:rsid w:val="00B20ACF"/>
    <w:rsid w:val="00B2148C"/>
    <w:rsid w:val="00B21B22"/>
    <w:rsid w:val="00B21B63"/>
    <w:rsid w:val="00B22434"/>
    <w:rsid w:val="00B24B28"/>
    <w:rsid w:val="00B37B33"/>
    <w:rsid w:val="00B42E10"/>
    <w:rsid w:val="00B43595"/>
    <w:rsid w:val="00B447D9"/>
    <w:rsid w:val="00B45638"/>
    <w:rsid w:val="00B46465"/>
    <w:rsid w:val="00B46EF2"/>
    <w:rsid w:val="00B47251"/>
    <w:rsid w:val="00B50D0C"/>
    <w:rsid w:val="00B51441"/>
    <w:rsid w:val="00B53DA2"/>
    <w:rsid w:val="00B5421F"/>
    <w:rsid w:val="00B54A78"/>
    <w:rsid w:val="00B5501D"/>
    <w:rsid w:val="00B57301"/>
    <w:rsid w:val="00B5778F"/>
    <w:rsid w:val="00B63787"/>
    <w:rsid w:val="00B6549D"/>
    <w:rsid w:val="00B66C52"/>
    <w:rsid w:val="00B67DCF"/>
    <w:rsid w:val="00B67F61"/>
    <w:rsid w:val="00B76BBF"/>
    <w:rsid w:val="00B76D71"/>
    <w:rsid w:val="00B7717F"/>
    <w:rsid w:val="00B80800"/>
    <w:rsid w:val="00B81D76"/>
    <w:rsid w:val="00B833CE"/>
    <w:rsid w:val="00B8361D"/>
    <w:rsid w:val="00B847D8"/>
    <w:rsid w:val="00B86468"/>
    <w:rsid w:val="00B914A8"/>
    <w:rsid w:val="00B94AAC"/>
    <w:rsid w:val="00B94B8E"/>
    <w:rsid w:val="00B96A83"/>
    <w:rsid w:val="00B9798E"/>
    <w:rsid w:val="00BA2861"/>
    <w:rsid w:val="00BA4560"/>
    <w:rsid w:val="00BA6357"/>
    <w:rsid w:val="00BB53F1"/>
    <w:rsid w:val="00BB795B"/>
    <w:rsid w:val="00BC0627"/>
    <w:rsid w:val="00BC1A3F"/>
    <w:rsid w:val="00BC61B6"/>
    <w:rsid w:val="00BD0793"/>
    <w:rsid w:val="00BD26D2"/>
    <w:rsid w:val="00BD4607"/>
    <w:rsid w:val="00BD57FE"/>
    <w:rsid w:val="00BD5B4F"/>
    <w:rsid w:val="00BD5BBA"/>
    <w:rsid w:val="00BE061E"/>
    <w:rsid w:val="00BE33A2"/>
    <w:rsid w:val="00BE482B"/>
    <w:rsid w:val="00BE5275"/>
    <w:rsid w:val="00BE6C0F"/>
    <w:rsid w:val="00BE7428"/>
    <w:rsid w:val="00BE7EF8"/>
    <w:rsid w:val="00BF073E"/>
    <w:rsid w:val="00BF109F"/>
    <w:rsid w:val="00BF1F7C"/>
    <w:rsid w:val="00BF22B3"/>
    <w:rsid w:val="00BF2322"/>
    <w:rsid w:val="00BF6DBD"/>
    <w:rsid w:val="00BF72A5"/>
    <w:rsid w:val="00BF7599"/>
    <w:rsid w:val="00C009FF"/>
    <w:rsid w:val="00C02178"/>
    <w:rsid w:val="00C038C9"/>
    <w:rsid w:val="00C03AB7"/>
    <w:rsid w:val="00C055D6"/>
    <w:rsid w:val="00C05759"/>
    <w:rsid w:val="00C061B1"/>
    <w:rsid w:val="00C1135F"/>
    <w:rsid w:val="00C113D6"/>
    <w:rsid w:val="00C1158E"/>
    <w:rsid w:val="00C15374"/>
    <w:rsid w:val="00C21373"/>
    <w:rsid w:val="00C2161F"/>
    <w:rsid w:val="00C229B2"/>
    <w:rsid w:val="00C309EF"/>
    <w:rsid w:val="00C33D22"/>
    <w:rsid w:val="00C33DF7"/>
    <w:rsid w:val="00C33EED"/>
    <w:rsid w:val="00C357A8"/>
    <w:rsid w:val="00C3641D"/>
    <w:rsid w:val="00C37FB2"/>
    <w:rsid w:val="00C417F6"/>
    <w:rsid w:val="00C45B46"/>
    <w:rsid w:val="00C45F44"/>
    <w:rsid w:val="00C47046"/>
    <w:rsid w:val="00C500C8"/>
    <w:rsid w:val="00C5209C"/>
    <w:rsid w:val="00C521D2"/>
    <w:rsid w:val="00C579F4"/>
    <w:rsid w:val="00C6032A"/>
    <w:rsid w:val="00C6136F"/>
    <w:rsid w:val="00C6272F"/>
    <w:rsid w:val="00C62884"/>
    <w:rsid w:val="00C62FC3"/>
    <w:rsid w:val="00C63D6D"/>
    <w:rsid w:val="00C65A52"/>
    <w:rsid w:val="00C70409"/>
    <w:rsid w:val="00C71E2C"/>
    <w:rsid w:val="00C740D5"/>
    <w:rsid w:val="00C7726B"/>
    <w:rsid w:val="00C80255"/>
    <w:rsid w:val="00C814B9"/>
    <w:rsid w:val="00C81705"/>
    <w:rsid w:val="00C8184C"/>
    <w:rsid w:val="00C82ADB"/>
    <w:rsid w:val="00C84177"/>
    <w:rsid w:val="00C854C7"/>
    <w:rsid w:val="00C864CE"/>
    <w:rsid w:val="00C91C96"/>
    <w:rsid w:val="00C921E3"/>
    <w:rsid w:val="00C93EC0"/>
    <w:rsid w:val="00C946E9"/>
    <w:rsid w:val="00C94DEB"/>
    <w:rsid w:val="00C96606"/>
    <w:rsid w:val="00C96C1D"/>
    <w:rsid w:val="00C9769B"/>
    <w:rsid w:val="00CA0983"/>
    <w:rsid w:val="00CA1430"/>
    <w:rsid w:val="00CA328D"/>
    <w:rsid w:val="00CA3B22"/>
    <w:rsid w:val="00CA404C"/>
    <w:rsid w:val="00CA4C9E"/>
    <w:rsid w:val="00CB0465"/>
    <w:rsid w:val="00CB28FC"/>
    <w:rsid w:val="00CB61FE"/>
    <w:rsid w:val="00CB7584"/>
    <w:rsid w:val="00CB782C"/>
    <w:rsid w:val="00CC0507"/>
    <w:rsid w:val="00CC1EDC"/>
    <w:rsid w:val="00CC2401"/>
    <w:rsid w:val="00CC2F90"/>
    <w:rsid w:val="00CC4909"/>
    <w:rsid w:val="00CC4DAA"/>
    <w:rsid w:val="00CD1D8F"/>
    <w:rsid w:val="00CD2A37"/>
    <w:rsid w:val="00CD5201"/>
    <w:rsid w:val="00CD5C63"/>
    <w:rsid w:val="00CD72EF"/>
    <w:rsid w:val="00CD73FE"/>
    <w:rsid w:val="00CD75B9"/>
    <w:rsid w:val="00CE042C"/>
    <w:rsid w:val="00CE21C6"/>
    <w:rsid w:val="00CE2F1B"/>
    <w:rsid w:val="00CF214E"/>
    <w:rsid w:val="00CF5546"/>
    <w:rsid w:val="00CF676E"/>
    <w:rsid w:val="00CF68EB"/>
    <w:rsid w:val="00D0015F"/>
    <w:rsid w:val="00D005A3"/>
    <w:rsid w:val="00D0061D"/>
    <w:rsid w:val="00D00E8E"/>
    <w:rsid w:val="00D024F9"/>
    <w:rsid w:val="00D04F7A"/>
    <w:rsid w:val="00D05CAF"/>
    <w:rsid w:val="00D06940"/>
    <w:rsid w:val="00D07785"/>
    <w:rsid w:val="00D1063B"/>
    <w:rsid w:val="00D11F79"/>
    <w:rsid w:val="00D13040"/>
    <w:rsid w:val="00D13741"/>
    <w:rsid w:val="00D14D8D"/>
    <w:rsid w:val="00D165B6"/>
    <w:rsid w:val="00D175EF"/>
    <w:rsid w:val="00D2362F"/>
    <w:rsid w:val="00D243E6"/>
    <w:rsid w:val="00D244F5"/>
    <w:rsid w:val="00D25E1D"/>
    <w:rsid w:val="00D26248"/>
    <w:rsid w:val="00D26451"/>
    <w:rsid w:val="00D30740"/>
    <w:rsid w:val="00D309FA"/>
    <w:rsid w:val="00D3308C"/>
    <w:rsid w:val="00D34181"/>
    <w:rsid w:val="00D352A2"/>
    <w:rsid w:val="00D37183"/>
    <w:rsid w:val="00D37E76"/>
    <w:rsid w:val="00D37F2E"/>
    <w:rsid w:val="00D40F3A"/>
    <w:rsid w:val="00D412F6"/>
    <w:rsid w:val="00D4148E"/>
    <w:rsid w:val="00D416AC"/>
    <w:rsid w:val="00D4236E"/>
    <w:rsid w:val="00D42878"/>
    <w:rsid w:val="00D42CFB"/>
    <w:rsid w:val="00D4352C"/>
    <w:rsid w:val="00D43849"/>
    <w:rsid w:val="00D43EB6"/>
    <w:rsid w:val="00D4648F"/>
    <w:rsid w:val="00D46C35"/>
    <w:rsid w:val="00D502AE"/>
    <w:rsid w:val="00D50C1A"/>
    <w:rsid w:val="00D51017"/>
    <w:rsid w:val="00D5210E"/>
    <w:rsid w:val="00D525EF"/>
    <w:rsid w:val="00D53B28"/>
    <w:rsid w:val="00D55D4B"/>
    <w:rsid w:val="00D56C74"/>
    <w:rsid w:val="00D56E7C"/>
    <w:rsid w:val="00D60853"/>
    <w:rsid w:val="00D61185"/>
    <w:rsid w:val="00D61CE8"/>
    <w:rsid w:val="00D6316C"/>
    <w:rsid w:val="00D641E7"/>
    <w:rsid w:val="00D6509E"/>
    <w:rsid w:val="00D6589C"/>
    <w:rsid w:val="00D72B4C"/>
    <w:rsid w:val="00D72BDA"/>
    <w:rsid w:val="00D73C5E"/>
    <w:rsid w:val="00D81617"/>
    <w:rsid w:val="00D81A56"/>
    <w:rsid w:val="00D8275F"/>
    <w:rsid w:val="00D83DDE"/>
    <w:rsid w:val="00D851C0"/>
    <w:rsid w:val="00D875FE"/>
    <w:rsid w:val="00D87D3D"/>
    <w:rsid w:val="00D911C1"/>
    <w:rsid w:val="00D918E4"/>
    <w:rsid w:val="00D91DAC"/>
    <w:rsid w:val="00D93AC4"/>
    <w:rsid w:val="00D94832"/>
    <w:rsid w:val="00D9486D"/>
    <w:rsid w:val="00D96794"/>
    <w:rsid w:val="00DA17F0"/>
    <w:rsid w:val="00DA1A5F"/>
    <w:rsid w:val="00DA1A89"/>
    <w:rsid w:val="00DA2F81"/>
    <w:rsid w:val="00DA4D07"/>
    <w:rsid w:val="00DA7401"/>
    <w:rsid w:val="00DA7CED"/>
    <w:rsid w:val="00DB1A22"/>
    <w:rsid w:val="00DB473E"/>
    <w:rsid w:val="00DB5F84"/>
    <w:rsid w:val="00DB7C94"/>
    <w:rsid w:val="00DB7F72"/>
    <w:rsid w:val="00DC0764"/>
    <w:rsid w:val="00DC181C"/>
    <w:rsid w:val="00DC18F1"/>
    <w:rsid w:val="00DC1E59"/>
    <w:rsid w:val="00DC2C80"/>
    <w:rsid w:val="00DC3B04"/>
    <w:rsid w:val="00DC44EB"/>
    <w:rsid w:val="00DC4C9F"/>
    <w:rsid w:val="00DC5110"/>
    <w:rsid w:val="00DC56F5"/>
    <w:rsid w:val="00DC57A3"/>
    <w:rsid w:val="00DC5838"/>
    <w:rsid w:val="00DC5E4E"/>
    <w:rsid w:val="00DC690C"/>
    <w:rsid w:val="00DC7D88"/>
    <w:rsid w:val="00DC7F53"/>
    <w:rsid w:val="00DD3580"/>
    <w:rsid w:val="00DD5087"/>
    <w:rsid w:val="00DD6D52"/>
    <w:rsid w:val="00DD7073"/>
    <w:rsid w:val="00DD784E"/>
    <w:rsid w:val="00DD7C2A"/>
    <w:rsid w:val="00DE002B"/>
    <w:rsid w:val="00DE0781"/>
    <w:rsid w:val="00DE1AD4"/>
    <w:rsid w:val="00DE3D7A"/>
    <w:rsid w:val="00DE41BA"/>
    <w:rsid w:val="00DE50D8"/>
    <w:rsid w:val="00DE68E3"/>
    <w:rsid w:val="00DE7368"/>
    <w:rsid w:val="00DE7F95"/>
    <w:rsid w:val="00DF0475"/>
    <w:rsid w:val="00DF0E5B"/>
    <w:rsid w:val="00DF36B4"/>
    <w:rsid w:val="00DF67C2"/>
    <w:rsid w:val="00E004E3"/>
    <w:rsid w:val="00E0325D"/>
    <w:rsid w:val="00E03ADD"/>
    <w:rsid w:val="00E03E8D"/>
    <w:rsid w:val="00E04175"/>
    <w:rsid w:val="00E041F8"/>
    <w:rsid w:val="00E06415"/>
    <w:rsid w:val="00E06626"/>
    <w:rsid w:val="00E11870"/>
    <w:rsid w:val="00E11DCD"/>
    <w:rsid w:val="00E12145"/>
    <w:rsid w:val="00E1238A"/>
    <w:rsid w:val="00E2335E"/>
    <w:rsid w:val="00E23EA2"/>
    <w:rsid w:val="00E26F2C"/>
    <w:rsid w:val="00E3460A"/>
    <w:rsid w:val="00E34821"/>
    <w:rsid w:val="00E362B0"/>
    <w:rsid w:val="00E434EA"/>
    <w:rsid w:val="00E442E5"/>
    <w:rsid w:val="00E466C1"/>
    <w:rsid w:val="00E51328"/>
    <w:rsid w:val="00E54287"/>
    <w:rsid w:val="00E542AE"/>
    <w:rsid w:val="00E54457"/>
    <w:rsid w:val="00E561AC"/>
    <w:rsid w:val="00E56554"/>
    <w:rsid w:val="00E66FAF"/>
    <w:rsid w:val="00E71EB6"/>
    <w:rsid w:val="00E74F55"/>
    <w:rsid w:val="00E7668C"/>
    <w:rsid w:val="00E76BC5"/>
    <w:rsid w:val="00E77232"/>
    <w:rsid w:val="00E77D27"/>
    <w:rsid w:val="00E8066C"/>
    <w:rsid w:val="00E80788"/>
    <w:rsid w:val="00E817D5"/>
    <w:rsid w:val="00E81B7F"/>
    <w:rsid w:val="00E837C0"/>
    <w:rsid w:val="00E84AF5"/>
    <w:rsid w:val="00E84F58"/>
    <w:rsid w:val="00E85469"/>
    <w:rsid w:val="00E862C5"/>
    <w:rsid w:val="00E87426"/>
    <w:rsid w:val="00E903C0"/>
    <w:rsid w:val="00E948F0"/>
    <w:rsid w:val="00E958DB"/>
    <w:rsid w:val="00EA002D"/>
    <w:rsid w:val="00EA446B"/>
    <w:rsid w:val="00EA4E66"/>
    <w:rsid w:val="00EA5220"/>
    <w:rsid w:val="00EA56D7"/>
    <w:rsid w:val="00EA6CF5"/>
    <w:rsid w:val="00EB38D6"/>
    <w:rsid w:val="00EB49B4"/>
    <w:rsid w:val="00EB5474"/>
    <w:rsid w:val="00EB5E98"/>
    <w:rsid w:val="00EB6389"/>
    <w:rsid w:val="00EC0475"/>
    <w:rsid w:val="00EC072E"/>
    <w:rsid w:val="00EC2A87"/>
    <w:rsid w:val="00EC2F5D"/>
    <w:rsid w:val="00EC3395"/>
    <w:rsid w:val="00EC360D"/>
    <w:rsid w:val="00EC5B1D"/>
    <w:rsid w:val="00EC74F4"/>
    <w:rsid w:val="00ED0DB5"/>
    <w:rsid w:val="00ED3CCD"/>
    <w:rsid w:val="00ED6640"/>
    <w:rsid w:val="00ED7B11"/>
    <w:rsid w:val="00ED7CD7"/>
    <w:rsid w:val="00ED7CFE"/>
    <w:rsid w:val="00ED7FEB"/>
    <w:rsid w:val="00EE2653"/>
    <w:rsid w:val="00EE2CCE"/>
    <w:rsid w:val="00EE59BB"/>
    <w:rsid w:val="00EE5E15"/>
    <w:rsid w:val="00EE76BA"/>
    <w:rsid w:val="00EF0012"/>
    <w:rsid w:val="00EF0F09"/>
    <w:rsid w:val="00EF40B9"/>
    <w:rsid w:val="00EF59FB"/>
    <w:rsid w:val="00EF7BD9"/>
    <w:rsid w:val="00F006DD"/>
    <w:rsid w:val="00F00E7E"/>
    <w:rsid w:val="00F031C6"/>
    <w:rsid w:val="00F04E17"/>
    <w:rsid w:val="00F06477"/>
    <w:rsid w:val="00F06525"/>
    <w:rsid w:val="00F1016E"/>
    <w:rsid w:val="00F1110D"/>
    <w:rsid w:val="00F1135C"/>
    <w:rsid w:val="00F1279F"/>
    <w:rsid w:val="00F14065"/>
    <w:rsid w:val="00F14905"/>
    <w:rsid w:val="00F14BCE"/>
    <w:rsid w:val="00F1585B"/>
    <w:rsid w:val="00F17770"/>
    <w:rsid w:val="00F1784E"/>
    <w:rsid w:val="00F17F11"/>
    <w:rsid w:val="00F22183"/>
    <w:rsid w:val="00F23B65"/>
    <w:rsid w:val="00F259AC"/>
    <w:rsid w:val="00F25A82"/>
    <w:rsid w:val="00F3009A"/>
    <w:rsid w:val="00F30B20"/>
    <w:rsid w:val="00F3355E"/>
    <w:rsid w:val="00F35449"/>
    <w:rsid w:val="00F36E61"/>
    <w:rsid w:val="00F37187"/>
    <w:rsid w:val="00F46696"/>
    <w:rsid w:val="00F476A7"/>
    <w:rsid w:val="00F47EA3"/>
    <w:rsid w:val="00F54610"/>
    <w:rsid w:val="00F60A00"/>
    <w:rsid w:val="00F60C16"/>
    <w:rsid w:val="00F61FA7"/>
    <w:rsid w:val="00F62CDE"/>
    <w:rsid w:val="00F63329"/>
    <w:rsid w:val="00F63FDC"/>
    <w:rsid w:val="00F64378"/>
    <w:rsid w:val="00F65564"/>
    <w:rsid w:val="00F66F88"/>
    <w:rsid w:val="00F67117"/>
    <w:rsid w:val="00F72395"/>
    <w:rsid w:val="00F7306B"/>
    <w:rsid w:val="00F733CF"/>
    <w:rsid w:val="00F7681B"/>
    <w:rsid w:val="00F778D5"/>
    <w:rsid w:val="00F80438"/>
    <w:rsid w:val="00F81E2F"/>
    <w:rsid w:val="00F8202D"/>
    <w:rsid w:val="00F86320"/>
    <w:rsid w:val="00F871BA"/>
    <w:rsid w:val="00F90079"/>
    <w:rsid w:val="00F9022C"/>
    <w:rsid w:val="00F91CEA"/>
    <w:rsid w:val="00F96D18"/>
    <w:rsid w:val="00F97DA1"/>
    <w:rsid w:val="00FA1351"/>
    <w:rsid w:val="00FA2E7A"/>
    <w:rsid w:val="00FA7C98"/>
    <w:rsid w:val="00FB0AF0"/>
    <w:rsid w:val="00FB38FF"/>
    <w:rsid w:val="00FB40B2"/>
    <w:rsid w:val="00FB4BB6"/>
    <w:rsid w:val="00FB6B37"/>
    <w:rsid w:val="00FB6CA8"/>
    <w:rsid w:val="00FC1AC1"/>
    <w:rsid w:val="00FC2144"/>
    <w:rsid w:val="00FC4A82"/>
    <w:rsid w:val="00FC4CA5"/>
    <w:rsid w:val="00FC507F"/>
    <w:rsid w:val="00FC5883"/>
    <w:rsid w:val="00FC6163"/>
    <w:rsid w:val="00FC6647"/>
    <w:rsid w:val="00FC77C1"/>
    <w:rsid w:val="00FD1384"/>
    <w:rsid w:val="00FD231F"/>
    <w:rsid w:val="00FD2828"/>
    <w:rsid w:val="00FD2B69"/>
    <w:rsid w:val="00FD5528"/>
    <w:rsid w:val="00FD591A"/>
    <w:rsid w:val="00FD5A33"/>
    <w:rsid w:val="00FD5FEE"/>
    <w:rsid w:val="00FD6067"/>
    <w:rsid w:val="00FE0687"/>
    <w:rsid w:val="00FE09AB"/>
    <w:rsid w:val="00FE4252"/>
    <w:rsid w:val="00FE47EF"/>
    <w:rsid w:val="00FE5CA3"/>
    <w:rsid w:val="00FE688C"/>
    <w:rsid w:val="00FE74BE"/>
    <w:rsid w:val="00FE7B16"/>
    <w:rsid w:val="00FF7170"/>
    <w:rsid w:val="064F2C6E"/>
    <w:rsid w:val="10F92EAE"/>
    <w:rsid w:val="153BCB1F"/>
    <w:rsid w:val="4504D614"/>
    <w:rsid w:val="45CFE629"/>
    <w:rsid w:val="5B24C600"/>
    <w:rsid w:val="5F4EE70E"/>
    <w:rsid w:val="7A1286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2864E"/>
  <w15:chartTrackingRefBased/>
  <w15:docId w15:val="{7DB18F38-3FC8-44BF-8F71-C0D4AF67B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3E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A367B3"/>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A367B3"/>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unhideWhenUsed/>
    <w:qFormat/>
    <w:rsid w:val="001F5FCD"/>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D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D5E"/>
  </w:style>
  <w:style w:type="paragraph" w:styleId="Footer">
    <w:name w:val="footer"/>
    <w:basedOn w:val="Normal"/>
    <w:link w:val="FooterChar"/>
    <w:uiPriority w:val="99"/>
    <w:unhideWhenUsed/>
    <w:rsid w:val="00A16D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D5E"/>
  </w:style>
  <w:style w:type="character" w:customStyle="1" w:styleId="TitleChar">
    <w:name w:val="Title Char"/>
    <w:basedOn w:val="DefaultParagraphFont"/>
    <w:link w:val="Title"/>
    <w:uiPriority w:val="10"/>
    <w:rsid w:val="00A16D5E"/>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A16D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uiPriority w:val="10"/>
    <w:rsid w:val="00A16D5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243E6"/>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A367B3"/>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A367B3"/>
    <w:rPr>
      <w:rFonts w:asciiTheme="majorHAnsi" w:eastAsiaTheme="majorEastAsia" w:hAnsiTheme="majorHAnsi" w:cstheme="majorBidi"/>
      <w:color w:val="0A2F40" w:themeColor="accent1" w:themeShade="7F"/>
    </w:rPr>
  </w:style>
  <w:style w:type="paragraph" w:styleId="ListParagraph">
    <w:name w:val="List Paragraph"/>
    <w:basedOn w:val="Normal"/>
    <w:uiPriority w:val="34"/>
    <w:qFormat/>
    <w:rsid w:val="00C33D22"/>
    <w:pPr>
      <w:ind w:left="720"/>
      <w:contextualSpacing/>
    </w:pPr>
  </w:style>
  <w:style w:type="table" w:styleId="TableGrid">
    <w:name w:val="Table Grid"/>
    <w:basedOn w:val="TableNormal"/>
    <w:uiPriority w:val="39"/>
    <w:rsid w:val="00B53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434EA"/>
    <w:rPr>
      <w:color w:val="666666"/>
    </w:rPr>
  </w:style>
  <w:style w:type="paragraph" w:styleId="Caption">
    <w:name w:val="caption"/>
    <w:basedOn w:val="Normal"/>
    <w:next w:val="Normal"/>
    <w:uiPriority w:val="35"/>
    <w:unhideWhenUsed/>
    <w:qFormat/>
    <w:rsid w:val="00E434EA"/>
    <w:pPr>
      <w:spacing w:after="200" w:line="240" w:lineRule="auto"/>
    </w:pPr>
    <w:rPr>
      <w:i/>
      <w:iCs/>
      <w:color w:val="0E2841" w:themeColor="text2"/>
      <w:sz w:val="18"/>
      <w:szCs w:val="18"/>
      <w:lang w:val="en-GB"/>
    </w:rPr>
  </w:style>
  <w:style w:type="character" w:styleId="Hyperlink">
    <w:name w:val="Hyperlink"/>
    <w:basedOn w:val="DefaultParagraphFont"/>
    <w:uiPriority w:val="99"/>
    <w:unhideWhenUsed/>
    <w:rsid w:val="00B17219"/>
    <w:rPr>
      <w:color w:val="467886" w:themeColor="hyperlink"/>
      <w:u w:val="single"/>
    </w:rPr>
  </w:style>
  <w:style w:type="character" w:styleId="UnresolvedMention">
    <w:name w:val="Unresolved Mention"/>
    <w:basedOn w:val="DefaultParagraphFont"/>
    <w:uiPriority w:val="99"/>
    <w:semiHidden/>
    <w:unhideWhenUsed/>
    <w:rsid w:val="00B17219"/>
    <w:rPr>
      <w:color w:val="605E5C"/>
      <w:shd w:val="clear" w:color="auto" w:fill="E1DFDD"/>
    </w:rPr>
  </w:style>
  <w:style w:type="paragraph" w:styleId="TOCHeading">
    <w:name w:val="TOC Heading"/>
    <w:basedOn w:val="Heading1"/>
    <w:next w:val="Normal"/>
    <w:uiPriority w:val="39"/>
    <w:unhideWhenUsed/>
    <w:qFormat/>
    <w:rsid w:val="001F5FCD"/>
    <w:pPr>
      <w:spacing w:line="259" w:lineRule="auto"/>
      <w:outlineLvl w:val="9"/>
    </w:pPr>
    <w:rPr>
      <w:lang w:val="en-GB" w:eastAsia="en-GB"/>
    </w:rPr>
  </w:style>
  <w:style w:type="paragraph" w:styleId="TOC1">
    <w:name w:val="toc 1"/>
    <w:basedOn w:val="Normal"/>
    <w:next w:val="Normal"/>
    <w:autoRedefine/>
    <w:uiPriority w:val="39"/>
    <w:unhideWhenUsed/>
    <w:rsid w:val="001F5FCD"/>
    <w:pPr>
      <w:spacing w:after="100"/>
    </w:pPr>
  </w:style>
  <w:style w:type="paragraph" w:styleId="TOC2">
    <w:name w:val="toc 2"/>
    <w:basedOn w:val="Normal"/>
    <w:next w:val="Normal"/>
    <w:autoRedefine/>
    <w:uiPriority w:val="39"/>
    <w:unhideWhenUsed/>
    <w:rsid w:val="001F5FCD"/>
    <w:pPr>
      <w:spacing w:after="100"/>
      <w:ind w:left="240"/>
    </w:pPr>
  </w:style>
  <w:style w:type="paragraph" w:styleId="TOC3">
    <w:name w:val="toc 3"/>
    <w:basedOn w:val="Normal"/>
    <w:next w:val="Normal"/>
    <w:autoRedefine/>
    <w:uiPriority w:val="39"/>
    <w:unhideWhenUsed/>
    <w:rsid w:val="001F5FCD"/>
    <w:pPr>
      <w:spacing w:after="100"/>
      <w:ind w:left="480"/>
    </w:pPr>
  </w:style>
  <w:style w:type="character" w:customStyle="1" w:styleId="Heading4Char">
    <w:name w:val="Heading 4 Char"/>
    <w:basedOn w:val="DefaultParagraphFont"/>
    <w:link w:val="Heading4"/>
    <w:uiPriority w:val="9"/>
    <w:rsid w:val="001F5FCD"/>
    <w:rPr>
      <w:rFonts w:asciiTheme="majorHAnsi" w:eastAsiaTheme="majorEastAsia" w:hAnsiTheme="majorHAnsi" w:cstheme="majorBidi"/>
      <w:i/>
      <w:iCs/>
      <w:color w:val="0F4761" w:themeColor="accent1" w:themeShade="BF"/>
    </w:rPr>
  </w:style>
  <w:style w:type="paragraph" w:styleId="TableofFigures">
    <w:name w:val="table of figures"/>
    <w:basedOn w:val="Normal"/>
    <w:next w:val="Normal"/>
    <w:uiPriority w:val="99"/>
    <w:unhideWhenUsed/>
    <w:rsid w:val="001F5FCD"/>
    <w:pPr>
      <w:spacing w:after="0"/>
    </w:pPr>
  </w:style>
  <w:style w:type="character" w:styleId="FollowedHyperlink">
    <w:name w:val="FollowedHyperlink"/>
    <w:basedOn w:val="DefaultParagraphFont"/>
    <w:uiPriority w:val="99"/>
    <w:semiHidden/>
    <w:unhideWhenUsed/>
    <w:rsid w:val="00F23B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323548143bef6da3d7683681b897e25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79052c73644099f083b30178352a47a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41FE63-3A55-4CF5-BAEF-9ABB0B9E120A}">
  <ds:schemaRefs>
    <ds:schemaRef ds:uri="bd2b2a82-bc2e-4fcc-b8ad-fd63686c78d2"/>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elements/1.1/"/>
    <ds:schemaRef ds:uri="http://purl.org/dc/dcmitype/"/>
    <ds:schemaRef ds:uri="ad7316b1-23f1-480c-8fa6-cbf037f4db9c"/>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A70F2970-1D8C-4CE3-BC6D-05FD26DC370B}">
  <ds:schemaRefs>
    <ds:schemaRef ds:uri="http://schemas.openxmlformats.org/officeDocument/2006/bibliography"/>
  </ds:schemaRefs>
</ds:datastoreItem>
</file>

<file path=customXml/itemProps3.xml><?xml version="1.0" encoding="utf-8"?>
<ds:datastoreItem xmlns:ds="http://schemas.openxmlformats.org/officeDocument/2006/customXml" ds:itemID="{6E34AE8D-791C-4558-8B26-8A7ECE889C36}">
  <ds:schemaRefs>
    <ds:schemaRef ds:uri="http://schemas.microsoft.com/sharepoint/v3/contenttype/forms"/>
  </ds:schemaRefs>
</ds:datastoreItem>
</file>

<file path=customXml/itemProps4.xml><?xml version="1.0" encoding="utf-8"?>
<ds:datastoreItem xmlns:ds="http://schemas.openxmlformats.org/officeDocument/2006/customXml" ds:itemID="{E9690566-AA3C-4D92-A479-C78C60E34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26</Pages>
  <Words>3946</Words>
  <Characters>22695</Characters>
  <Application>Microsoft Office Word</Application>
  <DocSecurity>0</DocSecurity>
  <Lines>1134</Lines>
  <Paragraphs>1024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25617</CharactersWithSpaces>
  <SharedDoc>false</SharedDoc>
  <HLinks>
    <vt:vector size="138" baseType="variant">
      <vt:variant>
        <vt:i4>1769522</vt:i4>
      </vt:variant>
      <vt:variant>
        <vt:i4>134</vt:i4>
      </vt:variant>
      <vt:variant>
        <vt:i4>0</vt:i4>
      </vt:variant>
      <vt:variant>
        <vt:i4>5</vt:i4>
      </vt:variant>
      <vt:variant>
        <vt:lpwstr/>
      </vt:variant>
      <vt:variant>
        <vt:lpwstr>_Toc224834727</vt:lpwstr>
      </vt:variant>
      <vt:variant>
        <vt:i4>1769522</vt:i4>
      </vt:variant>
      <vt:variant>
        <vt:i4>128</vt:i4>
      </vt:variant>
      <vt:variant>
        <vt:i4>0</vt:i4>
      </vt:variant>
      <vt:variant>
        <vt:i4>5</vt:i4>
      </vt:variant>
      <vt:variant>
        <vt:lpwstr/>
      </vt:variant>
      <vt:variant>
        <vt:lpwstr>_Toc224834726</vt:lpwstr>
      </vt:variant>
      <vt:variant>
        <vt:i4>1769522</vt:i4>
      </vt:variant>
      <vt:variant>
        <vt:i4>122</vt:i4>
      </vt:variant>
      <vt:variant>
        <vt:i4>0</vt:i4>
      </vt:variant>
      <vt:variant>
        <vt:i4>5</vt:i4>
      </vt:variant>
      <vt:variant>
        <vt:lpwstr/>
      </vt:variant>
      <vt:variant>
        <vt:lpwstr>_Toc224834725</vt:lpwstr>
      </vt:variant>
      <vt:variant>
        <vt:i4>1769522</vt:i4>
      </vt:variant>
      <vt:variant>
        <vt:i4>116</vt:i4>
      </vt:variant>
      <vt:variant>
        <vt:i4>0</vt:i4>
      </vt:variant>
      <vt:variant>
        <vt:i4>5</vt:i4>
      </vt:variant>
      <vt:variant>
        <vt:lpwstr/>
      </vt:variant>
      <vt:variant>
        <vt:lpwstr>_Toc224834724</vt:lpwstr>
      </vt:variant>
      <vt:variant>
        <vt:i4>1769522</vt:i4>
      </vt:variant>
      <vt:variant>
        <vt:i4>110</vt:i4>
      </vt:variant>
      <vt:variant>
        <vt:i4>0</vt:i4>
      </vt:variant>
      <vt:variant>
        <vt:i4>5</vt:i4>
      </vt:variant>
      <vt:variant>
        <vt:lpwstr/>
      </vt:variant>
      <vt:variant>
        <vt:lpwstr>_Toc224834723</vt:lpwstr>
      </vt:variant>
      <vt:variant>
        <vt:i4>1769522</vt:i4>
      </vt:variant>
      <vt:variant>
        <vt:i4>104</vt:i4>
      </vt:variant>
      <vt:variant>
        <vt:i4>0</vt:i4>
      </vt:variant>
      <vt:variant>
        <vt:i4>5</vt:i4>
      </vt:variant>
      <vt:variant>
        <vt:lpwstr/>
      </vt:variant>
      <vt:variant>
        <vt:lpwstr>_Toc224834722</vt:lpwstr>
      </vt:variant>
      <vt:variant>
        <vt:i4>1769522</vt:i4>
      </vt:variant>
      <vt:variant>
        <vt:i4>98</vt:i4>
      </vt:variant>
      <vt:variant>
        <vt:i4>0</vt:i4>
      </vt:variant>
      <vt:variant>
        <vt:i4>5</vt:i4>
      </vt:variant>
      <vt:variant>
        <vt:lpwstr/>
      </vt:variant>
      <vt:variant>
        <vt:lpwstr>_Toc224834721</vt:lpwstr>
      </vt:variant>
      <vt:variant>
        <vt:i4>1769522</vt:i4>
      </vt:variant>
      <vt:variant>
        <vt:i4>92</vt:i4>
      </vt:variant>
      <vt:variant>
        <vt:i4>0</vt:i4>
      </vt:variant>
      <vt:variant>
        <vt:i4>5</vt:i4>
      </vt:variant>
      <vt:variant>
        <vt:lpwstr/>
      </vt:variant>
      <vt:variant>
        <vt:lpwstr>_Toc224834720</vt:lpwstr>
      </vt:variant>
      <vt:variant>
        <vt:i4>1572914</vt:i4>
      </vt:variant>
      <vt:variant>
        <vt:i4>86</vt:i4>
      </vt:variant>
      <vt:variant>
        <vt:i4>0</vt:i4>
      </vt:variant>
      <vt:variant>
        <vt:i4>5</vt:i4>
      </vt:variant>
      <vt:variant>
        <vt:lpwstr/>
      </vt:variant>
      <vt:variant>
        <vt:lpwstr>_Toc224834719</vt:lpwstr>
      </vt:variant>
      <vt:variant>
        <vt:i4>1572914</vt:i4>
      </vt:variant>
      <vt:variant>
        <vt:i4>80</vt:i4>
      </vt:variant>
      <vt:variant>
        <vt:i4>0</vt:i4>
      </vt:variant>
      <vt:variant>
        <vt:i4>5</vt:i4>
      </vt:variant>
      <vt:variant>
        <vt:lpwstr/>
      </vt:variant>
      <vt:variant>
        <vt:lpwstr>_Toc224834718</vt:lpwstr>
      </vt:variant>
      <vt:variant>
        <vt:i4>1572914</vt:i4>
      </vt:variant>
      <vt:variant>
        <vt:i4>74</vt:i4>
      </vt:variant>
      <vt:variant>
        <vt:i4>0</vt:i4>
      </vt:variant>
      <vt:variant>
        <vt:i4>5</vt:i4>
      </vt:variant>
      <vt:variant>
        <vt:lpwstr/>
      </vt:variant>
      <vt:variant>
        <vt:lpwstr>_Toc224834717</vt:lpwstr>
      </vt:variant>
      <vt:variant>
        <vt:i4>1572914</vt:i4>
      </vt:variant>
      <vt:variant>
        <vt:i4>68</vt:i4>
      </vt:variant>
      <vt:variant>
        <vt:i4>0</vt:i4>
      </vt:variant>
      <vt:variant>
        <vt:i4>5</vt:i4>
      </vt:variant>
      <vt:variant>
        <vt:lpwstr/>
      </vt:variant>
      <vt:variant>
        <vt:lpwstr>_Toc224834716</vt:lpwstr>
      </vt:variant>
      <vt:variant>
        <vt:i4>1572914</vt:i4>
      </vt:variant>
      <vt:variant>
        <vt:i4>62</vt:i4>
      </vt:variant>
      <vt:variant>
        <vt:i4>0</vt:i4>
      </vt:variant>
      <vt:variant>
        <vt:i4>5</vt:i4>
      </vt:variant>
      <vt:variant>
        <vt:lpwstr/>
      </vt:variant>
      <vt:variant>
        <vt:lpwstr>_Toc224834715</vt:lpwstr>
      </vt:variant>
      <vt:variant>
        <vt:i4>1572914</vt:i4>
      </vt:variant>
      <vt:variant>
        <vt:i4>56</vt:i4>
      </vt:variant>
      <vt:variant>
        <vt:i4>0</vt:i4>
      </vt:variant>
      <vt:variant>
        <vt:i4>5</vt:i4>
      </vt:variant>
      <vt:variant>
        <vt:lpwstr/>
      </vt:variant>
      <vt:variant>
        <vt:lpwstr>_Toc224834714</vt:lpwstr>
      </vt:variant>
      <vt:variant>
        <vt:i4>1572914</vt:i4>
      </vt:variant>
      <vt:variant>
        <vt:i4>50</vt:i4>
      </vt:variant>
      <vt:variant>
        <vt:i4>0</vt:i4>
      </vt:variant>
      <vt:variant>
        <vt:i4>5</vt:i4>
      </vt:variant>
      <vt:variant>
        <vt:lpwstr/>
      </vt:variant>
      <vt:variant>
        <vt:lpwstr>_Toc224834713</vt:lpwstr>
      </vt:variant>
      <vt:variant>
        <vt:i4>1572914</vt:i4>
      </vt:variant>
      <vt:variant>
        <vt:i4>44</vt:i4>
      </vt:variant>
      <vt:variant>
        <vt:i4>0</vt:i4>
      </vt:variant>
      <vt:variant>
        <vt:i4>5</vt:i4>
      </vt:variant>
      <vt:variant>
        <vt:lpwstr/>
      </vt:variant>
      <vt:variant>
        <vt:lpwstr>_Toc224834712</vt:lpwstr>
      </vt:variant>
      <vt:variant>
        <vt:i4>1572914</vt:i4>
      </vt:variant>
      <vt:variant>
        <vt:i4>38</vt:i4>
      </vt:variant>
      <vt:variant>
        <vt:i4>0</vt:i4>
      </vt:variant>
      <vt:variant>
        <vt:i4>5</vt:i4>
      </vt:variant>
      <vt:variant>
        <vt:lpwstr/>
      </vt:variant>
      <vt:variant>
        <vt:lpwstr>_Toc224834711</vt:lpwstr>
      </vt:variant>
      <vt:variant>
        <vt:i4>1572914</vt:i4>
      </vt:variant>
      <vt:variant>
        <vt:i4>32</vt:i4>
      </vt:variant>
      <vt:variant>
        <vt:i4>0</vt:i4>
      </vt:variant>
      <vt:variant>
        <vt:i4>5</vt:i4>
      </vt:variant>
      <vt:variant>
        <vt:lpwstr/>
      </vt:variant>
      <vt:variant>
        <vt:lpwstr>_Toc224834710</vt:lpwstr>
      </vt:variant>
      <vt:variant>
        <vt:i4>1638450</vt:i4>
      </vt:variant>
      <vt:variant>
        <vt:i4>26</vt:i4>
      </vt:variant>
      <vt:variant>
        <vt:i4>0</vt:i4>
      </vt:variant>
      <vt:variant>
        <vt:i4>5</vt:i4>
      </vt:variant>
      <vt:variant>
        <vt:lpwstr/>
      </vt:variant>
      <vt:variant>
        <vt:lpwstr>_Toc224834709</vt:lpwstr>
      </vt:variant>
      <vt:variant>
        <vt:i4>1638450</vt:i4>
      </vt:variant>
      <vt:variant>
        <vt:i4>20</vt:i4>
      </vt:variant>
      <vt:variant>
        <vt:i4>0</vt:i4>
      </vt:variant>
      <vt:variant>
        <vt:i4>5</vt:i4>
      </vt:variant>
      <vt:variant>
        <vt:lpwstr/>
      </vt:variant>
      <vt:variant>
        <vt:lpwstr>_Toc224834708</vt:lpwstr>
      </vt:variant>
      <vt:variant>
        <vt:i4>1638450</vt:i4>
      </vt:variant>
      <vt:variant>
        <vt:i4>14</vt:i4>
      </vt:variant>
      <vt:variant>
        <vt:i4>0</vt:i4>
      </vt:variant>
      <vt:variant>
        <vt:i4>5</vt:i4>
      </vt:variant>
      <vt:variant>
        <vt:lpwstr/>
      </vt:variant>
      <vt:variant>
        <vt:lpwstr>_Toc224834707</vt:lpwstr>
      </vt:variant>
      <vt:variant>
        <vt:i4>1638450</vt:i4>
      </vt:variant>
      <vt:variant>
        <vt:i4>8</vt:i4>
      </vt:variant>
      <vt:variant>
        <vt:i4>0</vt:i4>
      </vt:variant>
      <vt:variant>
        <vt:i4>5</vt:i4>
      </vt:variant>
      <vt:variant>
        <vt:lpwstr/>
      </vt:variant>
      <vt:variant>
        <vt:lpwstr>_Toc224834706</vt:lpwstr>
      </vt:variant>
      <vt:variant>
        <vt:i4>1638450</vt:i4>
      </vt:variant>
      <vt:variant>
        <vt:i4>2</vt:i4>
      </vt:variant>
      <vt:variant>
        <vt:i4>0</vt:i4>
      </vt:variant>
      <vt:variant>
        <vt:i4>5</vt:i4>
      </vt:variant>
      <vt:variant>
        <vt:lpwstr/>
      </vt:variant>
      <vt:variant>
        <vt:lpwstr>_Toc224834705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Tamzin Cooper (2300764)</dc:creator>
  <cp:keywords/>
  <dc:description/>
  <cp:lastModifiedBy>Tamzin Cooper (2300764)</cp:lastModifiedBy>
  <cp:revision>36</cp:revision>
  <cp:lastPrinted>2026-03-20T12:43:00Z</cp:lastPrinted>
  <dcterms:created xsi:type="dcterms:W3CDTF">2026-03-21T21:09:00Z</dcterms:created>
  <dcterms:modified xsi:type="dcterms:W3CDTF">2026-03-21T21:53:00Z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