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02">
      <w:pPr>
        <w:pStyle w:val="Title"/>
        <w:jc w:val="center"/>
        <w:rPr>
          <w:rFonts w:ascii="Times New Roman" w:cs="Times New Roman" w:eastAsia="Times New Roman" w:hAnsi="Times New Roman"/>
          <w:b w:val="1"/>
          <w:sz w:val="48"/>
          <w:szCs w:val="48"/>
          <w:u w:val="single"/>
        </w:rPr>
      </w:pPr>
      <w:r w:rsidDel="00000000" w:rsidR="00000000" w:rsidRPr="00000000">
        <w:rPr>
          <w:rFonts w:ascii="Times New Roman" w:cs="Times New Roman" w:eastAsia="Times New Roman" w:hAnsi="Times New Roman"/>
          <w:b w:val="1"/>
          <w:sz w:val="48"/>
          <w:szCs w:val="48"/>
          <w:u w:val="single"/>
          <w:rtl w:val="0"/>
        </w:rPr>
        <w:t xml:space="preserve">ACADEMIC AND EMPLOYABILITY SKILLS</w:t>
      </w:r>
    </w:p>
    <w:p w:rsidR="00000000" w:rsidDel="00000000" w:rsidP="00000000" w:rsidRDefault="00000000" w:rsidRPr="00000000" w14:paraId="00000003">
      <w:pPr>
        <w:rPr>
          <w:rFonts w:ascii="Times New Roman" w:cs="Times New Roman" w:eastAsia="Times New Roman" w:hAnsi="Times New Roman"/>
          <w:b w:val="1"/>
          <w:sz w:val="48"/>
          <w:szCs w:val="48"/>
          <w:u w:val="single"/>
        </w:rPr>
      </w:pPr>
      <w:r w:rsidDel="00000000" w:rsidR="00000000" w:rsidRPr="00000000">
        <w:rPr>
          <w:rFonts w:ascii="Times New Roman" w:cs="Times New Roman" w:eastAsia="Times New Roman" w:hAnsi="Times New Roman"/>
          <w:b w:val="1"/>
          <w:sz w:val="48"/>
          <w:szCs w:val="48"/>
          <w:u w:val="single"/>
          <w:rtl w:val="0"/>
        </w:rPr>
        <w:t xml:space="preserve">University of Wales Trinity Saint David</w:t>
      </w:r>
    </w:p>
    <w:p w:rsidR="00000000" w:rsidDel="00000000" w:rsidP="00000000" w:rsidRDefault="00000000" w:rsidRPr="00000000" w14:paraId="00000004">
      <w:pPr>
        <w:rPr>
          <w:rFonts w:ascii="Times New Roman" w:cs="Times New Roman" w:eastAsia="Times New Roman" w:hAnsi="Times New Roman"/>
          <w:b w:val="1"/>
          <w:sz w:val="48"/>
          <w:szCs w:val="48"/>
          <w:u w:val="single"/>
        </w:rPr>
      </w:pPr>
      <w:r w:rsidDel="00000000" w:rsidR="00000000" w:rsidRPr="00000000">
        <w:rPr>
          <w:rFonts w:ascii="Times New Roman" w:cs="Times New Roman" w:eastAsia="Times New Roman" w:hAnsi="Times New Roman"/>
          <w:b w:val="1"/>
          <w:sz w:val="48"/>
          <w:szCs w:val="48"/>
          <w:u w:val="single"/>
          <w:rtl w:val="0"/>
        </w:rPr>
        <w:t xml:space="preserve">Jitaru Florin Alexandru</w:t>
      </w:r>
    </w:p>
    <w:p w:rsidR="00000000" w:rsidDel="00000000" w:rsidP="00000000" w:rsidRDefault="00000000" w:rsidRPr="00000000" w14:paraId="00000005">
      <w:pPr>
        <w:rPr>
          <w:rFonts w:ascii="Times New Roman" w:cs="Times New Roman" w:eastAsia="Times New Roman" w:hAnsi="Times New Roman"/>
          <w:b w:val="1"/>
          <w:sz w:val="48"/>
          <w:szCs w:val="48"/>
          <w:u w:val="single"/>
        </w:rPr>
      </w:pPr>
      <w:r w:rsidDel="00000000" w:rsidR="00000000" w:rsidRPr="00000000">
        <w:rPr>
          <w:rFonts w:ascii="Times New Roman" w:cs="Times New Roman" w:eastAsia="Times New Roman" w:hAnsi="Times New Roman"/>
          <w:b w:val="1"/>
          <w:sz w:val="48"/>
          <w:szCs w:val="48"/>
          <w:u w:val="single"/>
          <w:rtl w:val="0"/>
        </w:rPr>
        <w:t xml:space="preserve">1817443</w:t>
      </w: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mbria" w:cs="Cambria" w:eastAsia="Cambria" w:hAnsi="Cambria"/>
          <w:b w:val="0"/>
          <w:i w:val="0"/>
          <w:smallCaps w:val="0"/>
          <w:strike w:val="0"/>
          <w:color w:val="366091"/>
          <w:sz w:val="32"/>
          <w:szCs w:val="32"/>
          <w:u w:val="none"/>
          <w:shd w:fill="auto" w:val="clear"/>
          <w:vertAlign w:val="baseline"/>
        </w:rPr>
      </w:pPr>
      <w:r w:rsidDel="00000000" w:rsidR="00000000" w:rsidRPr="00000000">
        <w:rPr>
          <w:rFonts w:ascii="Cambria" w:cs="Cambria" w:eastAsia="Cambria" w:hAnsi="Cambria"/>
          <w:b w:val="0"/>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SELF-ASSESSMENT</w:t>
              <w:tab/>
              <w:t xml:space="preserve">4</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PERSONAL SWOT</w:t>
              <w:tab/>
              <w:t xml:space="preserve">4</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GIBBS REFLETIVE CYCLE:  Online learning experience</w:t>
              <w:tab/>
              <w:t xml:space="preserve">5</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KOLB’S LEARNING CYCLE</w:t>
              <w:tab/>
              <w:t xml:space="preserve">7</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0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2">
      <w:pPr>
        <w:spacing w:line="360" w:lineRule="auto"/>
        <w:jc w:val="both"/>
        <w:rPr/>
      </w:pPr>
      <w:r w:rsidDel="00000000" w:rsidR="00000000" w:rsidRPr="00000000">
        <w:rPr>
          <w:rtl w:val="0"/>
        </w:rPr>
        <w:t xml:space="preserve"> Employability skills are particular those transferable skills that are acquired by a person to become ‘employable’. Academic skills on the other hand associated to ‘career readiness’ that allows a person to enroll successfully in postsecondary education. These key skills are needed to be applied by the individuals to concrete situations in a way to function properly in their daily-routine tasks and in the workplace. The employability skills such as problem-solving, critical-thinking and responsibility allows individuals to enter their specific career pathways that further provide them opportunities and family-sustaining wages for advancement (Suleman, 2018). Besides academic and employability skills, technical skills are further required to be possessed by an individual to be ready to enter a career with some degree of job-specific knowledge. In this report, I will explore my academic &amp; employability skills by applying reflective models and learning styles along with conducting self-assessment with the help of Personal SWOT. </w:t>
      </w:r>
    </w:p>
    <w:p w:rsidR="00000000" w:rsidDel="00000000" w:rsidP="00000000" w:rsidRDefault="00000000" w:rsidRPr="00000000" w14:paraId="00000013">
      <w:pPr>
        <w:spacing w:line="360" w:lineRule="auto"/>
        <w:jc w:val="both"/>
        <w:rPr/>
      </w:pPr>
      <w:r w:rsidDel="00000000" w:rsidR="00000000" w:rsidRPr="00000000">
        <w:rPr>
          <w:rtl w:val="0"/>
        </w:rPr>
        <w:t xml:space="preserve">At present, the biggest causality of the coronavirus outbreak and the resultant lockdown is the institutionalized education. Schools and Universities have been shut since March 2020 to stop the spread of Covid-19 which has given rise to online classes (Verawardina et al., 2020). I have observed that learning &amp; teaching remotely is a learning experience for everyone. I will share my online learning experience with the application of Gibbs Reflective cycle and Kolb’s learning styles. </w:t>
      </w: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30j0zll" w:id="1"/>
      <w:bookmarkEnd w:id="1"/>
      <w:r w:rsidDel="00000000" w:rsidR="00000000" w:rsidRPr="00000000">
        <w:rPr>
          <w:rtl w:val="0"/>
        </w:rPr>
        <w:t xml:space="preserve">SELF-ASSESSMENT</w:t>
      </w:r>
    </w:p>
    <w:p w:rsidR="00000000" w:rsidDel="00000000" w:rsidP="00000000" w:rsidRDefault="00000000" w:rsidRPr="00000000" w14:paraId="00000015">
      <w:pPr>
        <w:spacing w:line="360" w:lineRule="auto"/>
        <w:jc w:val="both"/>
        <w:rPr/>
      </w:pPr>
      <w:r w:rsidDel="00000000" w:rsidR="00000000" w:rsidRPr="00000000">
        <w:rPr>
          <w:rtl w:val="0"/>
        </w:rPr>
        <w:t xml:space="preserve">To identify the employability skills which the companies need, there are many tools of self-assessment such as Time Management assessment, Personal Development Plan, Personal SWOT etc. I will make use of personal SWOT. It is an investigative tool which helps in reviewing the readiness of a person. The main aim is to get crucial employability capabilities to superimpose a path for career in business administration. </w:t>
      </w:r>
    </w:p>
    <w:p w:rsidR="00000000" w:rsidDel="00000000" w:rsidP="00000000" w:rsidRDefault="00000000" w:rsidRPr="00000000" w14:paraId="00000016">
      <w:pPr>
        <w:pStyle w:val="Heading2"/>
        <w:rPr>
          <w:rFonts w:ascii="Calibri" w:cs="Calibri" w:eastAsia="Calibri" w:hAnsi="Calibri"/>
          <w:sz w:val="22"/>
          <w:szCs w:val="22"/>
        </w:rPr>
      </w:pPr>
      <w:bookmarkStart w:colFirst="0" w:colLast="0" w:name="_1fob9te" w:id="2"/>
      <w:bookmarkEnd w:id="2"/>
      <w:r w:rsidDel="00000000" w:rsidR="00000000" w:rsidRPr="00000000">
        <w:rPr>
          <w:rFonts w:ascii="Calibri" w:cs="Calibri" w:eastAsia="Calibri" w:hAnsi="Calibri"/>
          <w:sz w:val="22"/>
          <w:szCs w:val="22"/>
          <w:rtl w:val="0"/>
        </w:rPr>
        <w:t xml:space="preserve">PERSONAL SWOT</w:t>
      </w:r>
    </w:p>
    <w:p w:rsidR="00000000" w:rsidDel="00000000" w:rsidP="00000000" w:rsidRDefault="00000000" w:rsidRPr="00000000" w14:paraId="00000017">
      <w:pPr>
        <w:spacing w:line="360" w:lineRule="auto"/>
        <w:jc w:val="both"/>
        <w:rPr>
          <w:b w:val="1"/>
        </w:rPr>
      </w:pPr>
      <w:r w:rsidDel="00000000" w:rsidR="00000000" w:rsidRPr="00000000">
        <w:rPr>
          <w:b w:val="1"/>
          <w:rtl w:val="0"/>
        </w:rPr>
        <w:t xml:space="preserve">Strengths</w:t>
      </w:r>
    </w:p>
    <w:p w:rsidR="00000000" w:rsidDel="00000000" w:rsidP="00000000" w:rsidRDefault="00000000" w:rsidRPr="00000000" w14:paraId="0000001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good at digital work. In simple words, I have the capability to review, assess, share and generate the content with the help of internet. </w:t>
      </w:r>
      <w:r w:rsidDel="00000000" w:rsidR="00000000" w:rsidRPr="00000000">
        <w:rPr>
          <w:rtl w:val="0"/>
        </w:rPr>
      </w:r>
    </w:p>
    <w:p w:rsidR="00000000" w:rsidDel="00000000" w:rsidP="00000000" w:rsidRDefault="00000000" w:rsidRPr="00000000" w14:paraId="0000001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good at managing my time. I can manage the time properly by setting a proper time table and then working in accordance with that. I set priorities and then do the work which is most urgent first and then do other work (Rangkuti, 2015). </w:t>
      </w:r>
      <w:r w:rsidDel="00000000" w:rsidR="00000000" w:rsidRPr="00000000">
        <w:rPr>
          <w:rtl w:val="0"/>
        </w:rPr>
      </w:r>
    </w:p>
    <w:p w:rsidR="00000000" w:rsidDel="00000000" w:rsidP="00000000" w:rsidRDefault="00000000" w:rsidRPr="00000000" w14:paraId="0000001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good at working in group. Also, I have good leadership qualities, so when I work in team, I become the leader and assign the task well as per their capabilities. </w:t>
      </w:r>
      <w:r w:rsidDel="00000000" w:rsidR="00000000" w:rsidRPr="00000000">
        <w:rPr>
          <w:rtl w:val="0"/>
        </w:rPr>
      </w:r>
    </w:p>
    <w:p w:rsidR="00000000" w:rsidDel="00000000" w:rsidP="00000000" w:rsidRDefault="00000000" w:rsidRPr="00000000" w14:paraId="0000001B">
      <w:pPr>
        <w:spacing w:line="360" w:lineRule="auto"/>
        <w:jc w:val="both"/>
        <w:rPr>
          <w:b w:val="1"/>
        </w:rPr>
      </w:pPr>
      <w:r w:rsidDel="00000000" w:rsidR="00000000" w:rsidRPr="00000000">
        <w:rPr>
          <w:b w:val="1"/>
          <w:rtl w:val="0"/>
        </w:rPr>
        <w:t xml:space="preserve">Weaknesses</w:t>
      </w:r>
    </w:p>
    <w:p w:rsidR="00000000" w:rsidDel="00000000" w:rsidP="00000000" w:rsidRDefault="00000000" w:rsidRPr="00000000" w14:paraId="0000001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do not possess good research skills (Suleman, 2016). </w:t>
      </w:r>
      <w:r w:rsidDel="00000000" w:rsidR="00000000" w:rsidRPr="00000000">
        <w:rPr>
          <w:rtl w:val="0"/>
        </w:rPr>
      </w:r>
    </w:p>
    <w:p w:rsidR="00000000" w:rsidDel="00000000" w:rsidP="00000000" w:rsidRDefault="00000000" w:rsidRPr="00000000" w14:paraId="0000001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don’t have any experience in service sector due to which I lack some employment skills. </w:t>
      </w:r>
      <w:r w:rsidDel="00000000" w:rsidR="00000000" w:rsidRPr="00000000">
        <w:rPr>
          <w:rtl w:val="0"/>
        </w:rPr>
      </w:r>
    </w:p>
    <w:p w:rsidR="00000000" w:rsidDel="00000000" w:rsidP="00000000" w:rsidRDefault="00000000" w:rsidRPr="00000000" w14:paraId="0000001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not an extrovert because of which I do not speak much to those whom I don’t know. </w:t>
      </w:r>
      <w:r w:rsidDel="00000000" w:rsidR="00000000" w:rsidRPr="00000000">
        <w:rPr>
          <w:rtl w:val="0"/>
        </w:rPr>
      </w:r>
    </w:p>
    <w:p w:rsidR="00000000" w:rsidDel="00000000" w:rsidP="00000000" w:rsidRDefault="00000000" w:rsidRPr="00000000" w14:paraId="0000001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poor at solving the problems. When I face any kind of issue, then I just be negative and I am unable to look at the positive side of the problem (Rangkuti, 2015). </w:t>
      </w:r>
      <w:r w:rsidDel="00000000" w:rsidR="00000000" w:rsidRPr="00000000">
        <w:rPr>
          <w:rtl w:val="0"/>
        </w:rPr>
      </w:r>
    </w:p>
    <w:p w:rsidR="00000000" w:rsidDel="00000000" w:rsidP="00000000" w:rsidRDefault="00000000" w:rsidRPr="00000000" w14:paraId="00000020">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1">
      <w:pPr>
        <w:spacing w:line="360" w:lineRule="auto"/>
        <w:jc w:val="both"/>
        <w:rPr>
          <w:b w:val="1"/>
        </w:rPr>
      </w:pPr>
      <w:r w:rsidDel="00000000" w:rsidR="00000000" w:rsidRPr="00000000">
        <w:rPr>
          <w:b w:val="1"/>
          <w:rtl w:val="0"/>
        </w:rPr>
        <w:t xml:space="preserve">Opportunities</w:t>
      </w:r>
    </w:p>
    <w:p w:rsidR="00000000" w:rsidDel="00000000" w:rsidP="00000000" w:rsidRDefault="00000000" w:rsidRPr="00000000" w14:paraId="0000002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 I am a fresher, therefore, I have chance of going for job which may be either for full time or part time (Suleman, 2016). </w:t>
      </w:r>
      <w:r w:rsidDel="00000000" w:rsidR="00000000" w:rsidRPr="00000000">
        <w:rPr>
          <w:rtl w:val="0"/>
        </w:rPr>
      </w:r>
    </w:p>
    <w:p w:rsidR="00000000" w:rsidDel="00000000" w:rsidP="00000000" w:rsidRDefault="00000000" w:rsidRPr="00000000" w14:paraId="0000002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have the opportunity to go for higher education, gain more knowledge and learn new skills. </w:t>
      </w:r>
      <w:r w:rsidDel="00000000" w:rsidR="00000000" w:rsidRPr="00000000">
        <w:rPr>
          <w:rtl w:val="0"/>
        </w:rPr>
      </w:r>
    </w:p>
    <w:p w:rsidR="00000000" w:rsidDel="00000000" w:rsidP="00000000" w:rsidRDefault="00000000" w:rsidRPr="00000000" w14:paraId="00000024">
      <w:pPr>
        <w:spacing w:line="360" w:lineRule="auto"/>
        <w:jc w:val="both"/>
        <w:rPr>
          <w:b w:val="1"/>
        </w:rPr>
      </w:pPr>
      <w:r w:rsidDel="00000000" w:rsidR="00000000" w:rsidRPr="00000000">
        <w:rPr>
          <w:b w:val="1"/>
          <w:rtl w:val="0"/>
        </w:rPr>
        <w:t xml:space="preserve">Threats</w:t>
      </w:r>
    </w:p>
    <w:p w:rsidR="00000000" w:rsidDel="00000000" w:rsidP="00000000" w:rsidRDefault="00000000" w:rsidRPr="00000000" w14:paraId="0000002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Competition serves as a major threat. There are many individuals who have just completed graduation (Addams and Allfred, 2013). This must that when I will be looking for new job, I will have to possess exceptional communication skills and also other capabilities through which I can attain competitive benefit. </w:t>
      </w:r>
    </w:p>
    <w:p w:rsidR="00000000" w:rsidDel="00000000" w:rsidP="00000000" w:rsidRDefault="00000000" w:rsidRPr="00000000" w14:paraId="0000002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When the stress level for employment is high, then anxiety increases. If individuals do not get job then they get disappointed, lose hope and make the situation worse. </w:t>
      </w:r>
    </w:p>
    <w:p w:rsidR="00000000" w:rsidDel="00000000" w:rsidP="00000000" w:rsidRDefault="00000000" w:rsidRPr="00000000" w14:paraId="0000002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risk of covid-19 is another threat because this will have a negative impact at the whole country and this will result in loss of job for people (Pluchevckaya et al., 2017). </w:t>
      </w:r>
    </w:p>
    <w:p w:rsidR="00000000" w:rsidDel="00000000" w:rsidP="00000000" w:rsidRDefault="00000000" w:rsidRPr="00000000" w14:paraId="00000028">
      <w:pPr>
        <w:pStyle w:val="Heading2"/>
        <w:rPr/>
      </w:pPr>
      <w:bookmarkStart w:colFirst="0" w:colLast="0" w:name="_3znysh7" w:id="3"/>
      <w:bookmarkEnd w:id="3"/>
      <w:r w:rsidDel="00000000" w:rsidR="00000000" w:rsidRPr="00000000">
        <w:rPr>
          <w:rtl w:val="0"/>
        </w:rPr>
        <w:t xml:space="preserve">GIBBS REFLETIVE CYCLE:  Online learning experience  </w:t>
      </w:r>
    </w:p>
    <w:p w:rsidR="00000000" w:rsidDel="00000000" w:rsidP="00000000" w:rsidRDefault="00000000" w:rsidRPr="00000000" w14:paraId="00000029">
      <w:pPr>
        <w:spacing w:line="360" w:lineRule="auto"/>
        <w:jc w:val="both"/>
        <w:rPr/>
      </w:pPr>
      <w:r w:rsidDel="00000000" w:rsidR="00000000" w:rsidRPr="00000000">
        <w:rPr>
          <w:rtl w:val="0"/>
        </w:rPr>
        <w:t xml:space="preserve">This cycle was given by Graham Gibbs in 1988 to provide structure to learning from experiences. It provides a framework for scrutinizing the experiences. Due to the spread of covid-19 all across the world, we had online classes. So, I have chosen the topic of e-learning and I will explain the entire cycle in that context:</w:t>
      </w:r>
    </w:p>
    <w:p w:rsidR="00000000" w:rsidDel="00000000" w:rsidP="00000000" w:rsidRDefault="00000000" w:rsidRPr="00000000" w14:paraId="0000002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Description: With the help of this module, I was able to recognize the skills which are vital for attaining development in career. Also, I got knowledge about tools and techniques which I can apply for getting the skills which are essential for getting job in various sectors. Prior to having comprehension of this module, I thought I am well versed with the skills that are needed by the managers. But I realized that e-learning is extremely important in today’s era (Markkanen et al., 2020). </w:t>
      </w:r>
    </w:p>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Feelings: I feel that scope of this part is extremely broad. If I see at bigger scale, then I feel that I have learnt a lot from this module regarding the necessities of employer. I learnt the manner in which I can scrutinize my positive points and weak points for building my career. </w:t>
      </w:r>
    </w:p>
    <w:p w:rsidR="00000000" w:rsidDel="00000000" w:rsidP="00000000" w:rsidRDefault="00000000" w:rsidRPr="00000000" w14:paraId="0000002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Evaluation: I evaluated that this section will help me to face the problems in future duration of time. I had significant participation in this element from start to end. Through e-learning I can get access to content from anywhere at any point of time (Markkanen et al., 2020). These classes also help me to improve my skills. </w:t>
      </w:r>
    </w:p>
    <w:p w:rsidR="00000000" w:rsidDel="00000000" w:rsidP="00000000" w:rsidRDefault="00000000" w:rsidRPr="00000000" w14:paraId="0000002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Analysis: I investigated that e-learning is very important for academics. It helps to increase the retention level and also helps to attain consistency. Every mentor has their own style of teaching. These problems can be eradicated with the help of e-learning. This learning helps to provides continuous training at every point of time (Dhaliwal et al., 2018). </w:t>
      </w:r>
    </w:p>
    <w:p w:rsidR="00000000" w:rsidDel="00000000" w:rsidP="00000000" w:rsidRDefault="00000000" w:rsidRPr="00000000" w14:paraId="0000002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 It can be concluded that e-learning has been part of life of every person in today’s era. It does not require must cost in comparison with traditional learning forms for increasing employability and academic capabilities. </w:t>
      </w:r>
    </w:p>
    <w:p w:rsidR="00000000" w:rsidDel="00000000" w:rsidP="00000000" w:rsidRDefault="00000000" w:rsidRPr="00000000" w14:paraId="0000003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Action Plan: I will take online class from as many as platforms possible to increase my skills set and overcome my negative points. For improving my communication capabilities, I will actively participate in online workshops so that I can interrelate well with the individuals (Dhaliwal et al., 2018). </w:t>
      </w:r>
    </w:p>
    <w:p w:rsidR="00000000" w:rsidDel="00000000" w:rsidP="00000000" w:rsidRDefault="00000000" w:rsidRPr="00000000" w14:paraId="00000031">
      <w:pPr>
        <w:rPr>
          <w:rFonts w:ascii="Cambria" w:cs="Cambria" w:eastAsia="Cambria" w:hAnsi="Cambria"/>
          <w:color w:val="366091"/>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2"/>
        <w:rPr/>
      </w:pPr>
      <w:bookmarkStart w:colFirst="0" w:colLast="0" w:name="_2et92p0" w:id="4"/>
      <w:bookmarkEnd w:id="4"/>
      <w:r w:rsidDel="00000000" w:rsidR="00000000" w:rsidRPr="00000000">
        <w:rPr>
          <w:rtl w:val="0"/>
        </w:rPr>
        <w:t xml:space="preserve">KOLB’S LEARNING CYCLE</w:t>
      </w:r>
    </w:p>
    <w:p w:rsidR="00000000" w:rsidDel="00000000" w:rsidP="00000000" w:rsidRDefault="00000000" w:rsidRPr="00000000" w14:paraId="00000033">
      <w:pPr>
        <w:spacing w:line="360" w:lineRule="auto"/>
        <w:jc w:val="both"/>
        <w:rPr/>
      </w:pPr>
      <w:r w:rsidDel="00000000" w:rsidR="00000000" w:rsidRPr="00000000">
        <w:rPr>
          <w:rtl w:val="0"/>
        </w:rPr>
        <w:t xml:space="preserve">A famous American educational theorist- David Allen Kolb has developed his learning styles by publishing a model called “Kolb’s learning cycle” in 1984 that works on four different learning styles. This framework is associated with the internal cognitive process of a leaner and involves the acquisition of abstract concepts applicable to range of situations. According to Kolb, learning is that process whereby knowledge is formulated through experience transformation (Schultz et al., 2016). By the below four stages, I will share my academic experience that will further explore my interpersonal, note-making and listening skills, altogether this will evaluate the aspect of the quality of my study during the online lectures. </w:t>
      </w:r>
    </w:p>
    <w:p w:rsidR="00000000" w:rsidDel="00000000" w:rsidP="00000000" w:rsidRDefault="00000000" w:rsidRPr="00000000" w14:paraId="0000003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Concrete experience: I will reflect on the situation where I wasn’t able to cope up with online lectures due to several hurdles. It was the incident took place during this covid-19 period from March-June. However, the benefits were undeniable, I encountered many difficulties as well that I cannot neglect. The major issue I have recognized was associated with the technicalities of the systems: I have faced many compatibility issues with browsers, smartphones and operating systems which added frustration and reduced my engagement towards learning. Secondly, I found that online classes come up with high degree of boredom that further discourage me and other students as well towards learning. I thought it was like e-reading, rather than e-learning (Schultz et al., 2016). </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Reflective observation:  I have observed that the whole world was moving towards online world of education, the benefits may include greater flexibility, reduced cost and the ability to train large number of students simultaneously living at any corner of the world with only the availability of internet. However, I felt that e-learning come up with several negative characteristics which can further limit the success of teaching &amp; learning as well. It can be seen as a panacea if the students utilize it to its full potential (Tomkins and Ulus., 2016). Despite boredom and technical difficulties, I did not have time for online training and to complete the full course by accessing all training platforms. Overall, I have observed that I need to improve my note-making, time-management, communication and digital skills. I can improve this through attending more academic sessions and through the derived experiences. For e.g. the electronic portfolio for interpersonal skills has practical and theoretical approaches for academic work. I was suggested to meet the module criteria by going through the academic routine and lecture information. </w:t>
      </w:r>
    </w:p>
    <w:p w:rsidR="00000000" w:rsidDel="00000000" w:rsidP="00000000" w:rsidRDefault="00000000" w:rsidRPr="00000000" w14:paraId="00000037">
      <w:pPr>
        <w:rPr/>
      </w:pPr>
      <w:r w:rsidDel="00000000" w:rsidR="00000000" w:rsidRPr="00000000">
        <w:br w:type="page"/>
      </w:r>
      <w:r w:rsidDel="00000000" w:rsidR="00000000" w:rsidRPr="00000000">
        <w:rPr>
          <w:rtl w:val="0"/>
        </w:rPr>
      </w:r>
    </w:p>
    <w:p w:rsidR="00000000" w:rsidDel="00000000" w:rsidP="00000000" w:rsidRDefault="00000000" w:rsidRPr="00000000" w14:paraId="0000003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Abstract conceptualization: From my online learning experience, I have learned that I must first set my learning goals and then align the goals with specific online courses, this would help me in getting the training which is aligned to the interest of my own and the company and will ultimately enhance my academic and employability skills. Sometimes, I feel that e-learning is able to resolve all mentioned issues. Being a student, many times I have accessed the training platforms and completed the course without encountering any technical issues and that too within the deadline. I could further improve my skills by practicing what I have learned. Overall, the e-learning projects could help me achieving my full potential (Wallace, 2019).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Active Experimentation: Now, I have to incorporate what I have learned through my experience in the world around me to observe the consequences. All thanks to Microsoft teams and Google hangouts to make the education so easy through virtual classrooms. This period of covid-19 is expected to terminate after a year or two, until this pattern of online teaching and learning will continue. On one hand, I feel e-learning is not a good option to improve my academic skills and hasn’t helping me in any way, teachers are only rushing to finish the syllabus but at the same time, I have observed that by choosing the right platform, I could feel more engaging towards online learning than regular classrooms (Aparicio et al., 2016). Also, a survey has shown that students are more engaged, active and responsive in online classrooms when comparing it to physical classrooms, this is because students are getting the ability to grasp new learning technique. </w:t>
      </w: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tyjcwt" w:id="5"/>
      <w:bookmarkEnd w:id="5"/>
      <w:r w:rsidDel="00000000" w:rsidR="00000000" w:rsidRPr="00000000">
        <w:rPr>
          <w:rtl w:val="0"/>
        </w:rPr>
        <w:t xml:space="preserve">CONCLUSION </w:t>
      </w:r>
    </w:p>
    <w:p w:rsidR="00000000" w:rsidDel="00000000" w:rsidP="00000000" w:rsidRDefault="00000000" w:rsidRPr="00000000" w14:paraId="0000003C">
      <w:pPr>
        <w:spacing w:line="360" w:lineRule="auto"/>
        <w:jc w:val="both"/>
        <w:rPr>
          <w:rFonts w:ascii="Cambria" w:cs="Cambria" w:eastAsia="Cambria" w:hAnsi="Cambria"/>
          <w:b w:val="1"/>
          <w:color w:val="366091"/>
          <w:sz w:val="28"/>
          <w:szCs w:val="28"/>
        </w:rPr>
      </w:pPr>
      <w:r w:rsidDel="00000000" w:rsidR="00000000" w:rsidRPr="00000000">
        <w:rPr>
          <w:rtl w:val="0"/>
        </w:rPr>
        <w:t xml:space="preserve">Since students require some kind of postsecondary education to access most of the career opportunities, there are many times when they wouldn’t be able to access necessary academic or employability skills in higher school that would make them career ready. I have observed from the overall analysis that there is a need for additional specialization and knowledge in any particular or number of areas depending on the career choices of a student to acquire employability skills. In spite of the student’s path, to become career ready, it requires acquiring all these broad skills: academic, employability and technical. However, in this time of covid-19, Universities do not have any other option than organizing online classes, yet it is offering a strong foundation to the students across all these three areas so that they will be prepared for whatever their lives may bring. </w:t>
      </w: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3dy6vkm" w:id="6"/>
      <w:bookmarkEnd w:id="6"/>
      <w:r w:rsidDel="00000000" w:rsidR="00000000" w:rsidRPr="00000000">
        <w:rPr>
          <w:rtl w:val="0"/>
        </w:rPr>
        <w:t xml:space="preserve">REFERENCES </w:t>
      </w:r>
    </w:p>
    <w:p w:rsidR="00000000" w:rsidDel="00000000" w:rsidP="00000000" w:rsidRDefault="00000000" w:rsidRPr="00000000" w14:paraId="0000003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Addams, L. and Allfred, A.T., 2013. THE FIRST STEP IN PROACTIVELY MANAGING STUDENTS'CAREERS: TEACHING SELF-SWOT ANALYSIS. Academy of Educational Leadership Journal, 17(4), p.43.</w:t>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Aparicio, M., Bacao, F. and Oliveira, T., 2016. An e-learning theoretical framework. An e-learning theoretical framework, (1), pp.292-307.</w:t>
      </w:r>
    </w:p>
    <w:p w:rsidR="00000000" w:rsidDel="00000000" w:rsidP="00000000" w:rsidRDefault="00000000" w:rsidRPr="00000000" w14:paraId="0000004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Dhaliwal, U., Singh, S. and Singh, N., 2018. Reflective student narratives: honing professionalism and empathy. Indian J Med Ethics, 3, pp.9-15.</w:t>
      </w:r>
    </w:p>
    <w:p w:rsidR="00000000" w:rsidDel="00000000" w:rsidP="00000000" w:rsidRDefault="00000000" w:rsidRPr="00000000" w14:paraId="0000004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Markkanen, P., Välimäki, M., Anttila, M. and Kuuskorpi, M., 2020. A reflective cycle: Understanding challenging situations in a school setting. Educational Research, 62(1), pp.46-62.</w:t>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Pluchevckaya, E.V., Varlacheva, N.V. and Andrienko, O.V., 2017. SWOT-Analysis as a Tool to Achieve a State of Personal Well-Being. The European Proceedings of Social &amp; Behavioural Sciences (EpSBS). Vol. 19: Lifelong Wellbeing in the World (WELLSO 2016).—Nicosia, 2017., 192016, pp.548-553.</w:t>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Rangkuti, F., 2015. Personal SWOT analysis. Gramedia Pustaka Utama.</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Schultz, K., McEwen, L. and Griffiths, J., 2016. Applying Kolb’s learning cycle to competency-based residency education. Academic Medicine, 91(2), p.284.</w:t>
      </w:r>
    </w:p>
    <w:p w:rsidR="00000000" w:rsidDel="00000000" w:rsidP="00000000" w:rsidRDefault="00000000" w:rsidRPr="00000000" w14:paraId="0000004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Suleman, F., 2016. Employability skills of higher education graduates: Little consensus on a much-discussed subject. Procedia-Social and Behavioral Sciences, 228, pp.169-174.</w:t>
      </w:r>
    </w:p>
    <w:p w:rsidR="00000000" w:rsidDel="00000000" w:rsidP="00000000" w:rsidRDefault="00000000" w:rsidRPr="00000000" w14:paraId="0000004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Suleman, F., 2018. The employability skills of higher education graduates: insights into conceptual frameworks and methodological options. Higher Education, 76(2), pp.263-278.</w:t>
      </w:r>
    </w:p>
    <w:p w:rsidR="00000000" w:rsidDel="00000000" w:rsidP="00000000" w:rsidRDefault="00000000" w:rsidRPr="00000000" w14:paraId="0000004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Tomkins, L. and Ulus, E., 2016. ‘Oh, was that “experiential learning”?!’Spaces, synergies and surprises with Kolb’s learning cycle. Management Learning, 47(2), pp.158-178.</w:t>
      </w:r>
    </w:p>
    <w:p w:rsidR="00000000" w:rsidDel="00000000" w:rsidP="00000000" w:rsidRDefault="00000000" w:rsidRPr="00000000" w14:paraId="0000004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Verawardina, U., Asnur, L., Lubis, A.L., Hendriyani, Y., Ramadhani, D., Dewi, I.P., Darni, R., Betri, T.J., Susanti, W. and Sriwahyuni, T., 2020. Reviewing Online Learning Facing the Covid-19 Outbreak. Talent Development &amp; Excellence, 12.</w:t>
      </w:r>
    </w:p>
    <w:p w:rsidR="00000000" w:rsidDel="00000000" w:rsidP="00000000" w:rsidRDefault="00000000" w:rsidRPr="00000000" w14:paraId="0000004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Wallace, D., 2019. Parts of the Whole: Theories of Pedagogy and Kolb's Learning Cycle. Numeracy: Advancing Education in Quantitative Literacy, 12(1).</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mbria" w:cs="Cambria" w:eastAsia="Cambria" w:hAnsi="Cambria"/>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