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631509523"/>
        <w:docPartObj>
          <w:docPartGallery w:val="Cover Pages"/>
          <w:docPartUnique/>
        </w:docPartObj>
      </w:sdtPr>
      <w:sdtEndPr>
        <w:rPr>
          <w:rFonts w:ascii="Times New Roman" w:hAnsi="Times New Roman" w:cs="Times New Roman"/>
          <w:sz w:val="24"/>
          <w:szCs w:val="24"/>
        </w:rPr>
      </w:sdtEndPr>
      <w:sdtContent>
        <w:p w14:paraId="731AB726" w14:textId="7618CDE3" w:rsidR="00AF78CA" w:rsidRDefault="00AF78CA">
          <w:pPr>
            <w:pStyle w:val="NoSpacing"/>
            <w:rPr>
              <w:sz w:val="2"/>
            </w:rPr>
          </w:pPr>
        </w:p>
        <w:p w14:paraId="62F11747" w14:textId="77777777" w:rsidR="00AF78CA" w:rsidRDefault="00AF78CA">
          <w:r>
            <w:rPr>
              <w:noProof/>
            </w:rPr>
            <mc:AlternateContent>
              <mc:Choice Requires="wps">
                <w:drawing>
                  <wp:anchor distT="0" distB="0" distL="114300" distR="114300" simplePos="0" relativeHeight="251661312" behindDoc="0" locked="0" layoutInCell="1" allowOverlap="1" wp14:anchorId="5616DCFA" wp14:editId="462849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55BF2331" w:rsidR="001C5870" w:rsidRPr="00102D28" w:rsidRDefault="00D64F71">
                                    <w:pPr>
                                      <w:pStyle w:val="NoSpacing"/>
                                      <w:rPr>
                                        <w:rFonts w:asciiTheme="majorHAnsi" w:eastAsiaTheme="majorEastAsia" w:hAnsiTheme="majorHAnsi" w:cstheme="majorBidi"/>
                                        <w:caps/>
                                        <w:color w:val="8496B0" w:themeColor="text2" w:themeTint="99"/>
                                        <w:sz w:val="72"/>
                                        <w:szCs w:val="72"/>
                                      </w:rPr>
                                    </w:pPr>
                                    <w:r w:rsidRPr="00102D28">
                                      <w:rPr>
                                        <w:rFonts w:asciiTheme="majorHAnsi" w:eastAsiaTheme="majorEastAsia" w:hAnsiTheme="majorHAnsi" w:cstheme="majorBidi"/>
                                        <w:caps/>
                                        <w:color w:val="8496B0" w:themeColor="text2" w:themeTint="99"/>
                                        <w:sz w:val="72"/>
                                        <w:szCs w:val="72"/>
                                      </w:rPr>
                                      <w:t>Governance, legislation &amp; Ethics ACCA5016</w:t>
                                    </w:r>
                                  </w:p>
                                </w:sdtContent>
                              </w:sdt>
                              <w:p w14:paraId="777A9452" w14:textId="05706626" w:rsidR="001C5870" w:rsidRDefault="00EE4E6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4F71">
                                      <w:rPr>
                                        <w:color w:val="4472C4" w:themeColor="accent1"/>
                                        <w:sz w:val="36"/>
                                        <w:szCs w:val="36"/>
                                      </w:rPr>
                                      <w:t>Work-Based Project</w:t>
                                    </w:r>
                                  </w:sdtContent>
                                </w:sdt>
                                <w:r w:rsidR="001C5870">
                                  <w:rPr>
                                    <w:noProof/>
                                  </w:rPr>
                                  <w:t xml:space="preserve"> </w:t>
                                </w:r>
                              </w:p>
                              <w:p w14:paraId="3498F497" w14:textId="77777777" w:rsidR="001C5870" w:rsidRDefault="001C5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16DC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55BF2331" w:rsidR="001C5870" w:rsidRPr="00102D28" w:rsidRDefault="00D64F71">
                              <w:pPr>
                                <w:pStyle w:val="NoSpacing"/>
                                <w:rPr>
                                  <w:rFonts w:asciiTheme="majorHAnsi" w:eastAsiaTheme="majorEastAsia" w:hAnsiTheme="majorHAnsi" w:cstheme="majorBidi"/>
                                  <w:caps/>
                                  <w:color w:val="8496B0" w:themeColor="text2" w:themeTint="99"/>
                                  <w:sz w:val="72"/>
                                  <w:szCs w:val="72"/>
                                </w:rPr>
                              </w:pPr>
                              <w:r w:rsidRPr="00102D28">
                                <w:rPr>
                                  <w:rFonts w:asciiTheme="majorHAnsi" w:eastAsiaTheme="majorEastAsia" w:hAnsiTheme="majorHAnsi" w:cstheme="majorBidi"/>
                                  <w:caps/>
                                  <w:color w:val="8496B0" w:themeColor="text2" w:themeTint="99"/>
                                  <w:sz w:val="72"/>
                                  <w:szCs w:val="72"/>
                                </w:rPr>
                                <w:t>Governance, legislation &amp; Ethics ACCA5016</w:t>
                              </w:r>
                            </w:p>
                          </w:sdtContent>
                        </w:sdt>
                        <w:p w14:paraId="777A9452" w14:textId="05706626" w:rsidR="001C5870" w:rsidRDefault="00EE4E6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4F71">
                                <w:rPr>
                                  <w:color w:val="4472C4" w:themeColor="accent1"/>
                                  <w:sz w:val="36"/>
                                  <w:szCs w:val="36"/>
                                </w:rPr>
                                <w:t>Work-Based Project</w:t>
                              </w:r>
                            </w:sdtContent>
                          </w:sdt>
                          <w:r w:rsidR="001C5870">
                            <w:rPr>
                              <w:noProof/>
                            </w:rPr>
                            <w:t xml:space="preserve"> </w:t>
                          </w:r>
                        </w:p>
                        <w:p w14:paraId="3498F497" w14:textId="77777777" w:rsidR="001C5870" w:rsidRDefault="001C587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2863BBB" wp14:editId="42AE32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BECE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D5245C" wp14:editId="1EE0A38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8D65F" w14:textId="0C825523" w:rsidR="001C5870" w:rsidRDefault="00EE4E6E">
                                <w:pPr>
                                  <w:pStyle w:val="NoSpacing"/>
                                  <w:jc w:val="right"/>
                                  <w:rPr>
                                    <w:color w:val="4472C4" w:themeColor="accent1"/>
                                    <w:sz w:val="36"/>
                                    <w:szCs w:val="36"/>
                                  </w:rPr>
                                </w:pPr>
                                <w:sdt>
                                  <w:sdtPr>
                                    <w:rPr>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4F71" w:rsidRPr="00D64F71">
                                      <w:rPr>
                                        <w:color w:val="4472C4" w:themeColor="accent1"/>
                                        <w:sz w:val="32"/>
                                        <w:szCs w:val="32"/>
                                      </w:rPr>
                                      <w:t>Governance, Legislation and Ethics</w:t>
                                    </w:r>
                                    <w:r w:rsidR="001C5870" w:rsidRPr="00D64F71">
                                      <w:rPr>
                                        <w:color w:val="4472C4" w:themeColor="accent1"/>
                                        <w:sz w:val="32"/>
                                        <w:szCs w:val="32"/>
                                      </w:rPr>
                                      <w:t xml:space="preserve"> </w:t>
                                    </w:r>
                                    <w:r w:rsidR="00D64F71" w:rsidRPr="00D64F71">
                                      <w:rPr>
                                        <w:color w:val="4472C4" w:themeColor="accent1"/>
                                        <w:sz w:val="32"/>
                                        <w:szCs w:val="32"/>
                                      </w:rPr>
                                      <w:t>–</w:t>
                                    </w:r>
                                    <w:r w:rsidR="001C5870" w:rsidRPr="00D64F71">
                                      <w:rPr>
                                        <w:color w:val="4472C4" w:themeColor="accent1"/>
                                        <w:sz w:val="32"/>
                                        <w:szCs w:val="32"/>
                                      </w:rPr>
                                      <w:t xml:space="preserve"> ACC</w:t>
                                    </w:r>
                                    <w:r w:rsidR="00D64F71" w:rsidRPr="00D64F71">
                                      <w:rPr>
                                        <w:color w:val="4472C4" w:themeColor="accent1"/>
                                        <w:sz w:val="32"/>
                                        <w:szCs w:val="32"/>
                                      </w:rPr>
                                      <w:t>A5016</w:t>
                                    </w:r>
                                  </w:sdtContent>
                                </w:sdt>
                              </w:p>
                              <w:sdt>
                                <w:sdtPr>
                                  <w:rPr>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C5870" w:rsidRDefault="001C5870">
                                    <w:pPr>
                                      <w:pStyle w:val="NoSpacing"/>
                                      <w:jc w:val="right"/>
                                      <w:rPr>
                                        <w:color w:val="4472C4" w:themeColor="accent1"/>
                                        <w:sz w:val="36"/>
                                        <w:szCs w:val="36"/>
                                      </w:rPr>
                                    </w:pPr>
                                    <w:r w:rsidRPr="00D64F71">
                                      <w:rPr>
                                        <w:color w:val="4472C4" w:themeColor="accent1"/>
                                        <w:sz w:val="32"/>
                                        <w:szCs w:val="32"/>
                                      </w:rPr>
                                      <w:t>Sarah Rule - 1810755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D524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098D65F" w14:textId="0C825523" w:rsidR="001C5870" w:rsidRDefault="00EE4E6E">
                          <w:pPr>
                            <w:pStyle w:val="NoSpacing"/>
                            <w:jc w:val="right"/>
                            <w:rPr>
                              <w:color w:val="4472C4" w:themeColor="accent1"/>
                              <w:sz w:val="36"/>
                              <w:szCs w:val="36"/>
                            </w:rPr>
                          </w:pPr>
                          <w:sdt>
                            <w:sdtPr>
                              <w:rPr>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4F71" w:rsidRPr="00D64F71">
                                <w:rPr>
                                  <w:color w:val="4472C4" w:themeColor="accent1"/>
                                  <w:sz w:val="32"/>
                                  <w:szCs w:val="32"/>
                                </w:rPr>
                                <w:t>Governance, Legislation and Ethics</w:t>
                              </w:r>
                              <w:r w:rsidR="001C5870" w:rsidRPr="00D64F71">
                                <w:rPr>
                                  <w:color w:val="4472C4" w:themeColor="accent1"/>
                                  <w:sz w:val="32"/>
                                  <w:szCs w:val="32"/>
                                </w:rPr>
                                <w:t xml:space="preserve"> </w:t>
                              </w:r>
                              <w:r w:rsidR="00D64F71" w:rsidRPr="00D64F71">
                                <w:rPr>
                                  <w:color w:val="4472C4" w:themeColor="accent1"/>
                                  <w:sz w:val="32"/>
                                  <w:szCs w:val="32"/>
                                </w:rPr>
                                <w:t>–</w:t>
                              </w:r>
                              <w:r w:rsidR="001C5870" w:rsidRPr="00D64F71">
                                <w:rPr>
                                  <w:color w:val="4472C4" w:themeColor="accent1"/>
                                  <w:sz w:val="32"/>
                                  <w:szCs w:val="32"/>
                                </w:rPr>
                                <w:t xml:space="preserve"> ACC</w:t>
                              </w:r>
                              <w:r w:rsidR="00D64F71" w:rsidRPr="00D64F71">
                                <w:rPr>
                                  <w:color w:val="4472C4" w:themeColor="accent1"/>
                                  <w:sz w:val="32"/>
                                  <w:szCs w:val="32"/>
                                </w:rPr>
                                <w:t>A5016</w:t>
                              </w:r>
                            </w:sdtContent>
                          </w:sdt>
                        </w:p>
                        <w:sdt>
                          <w:sdtPr>
                            <w:rPr>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C5870" w:rsidRDefault="001C5870">
                              <w:pPr>
                                <w:pStyle w:val="NoSpacing"/>
                                <w:jc w:val="right"/>
                                <w:rPr>
                                  <w:color w:val="4472C4" w:themeColor="accent1"/>
                                  <w:sz w:val="36"/>
                                  <w:szCs w:val="36"/>
                                </w:rPr>
                              </w:pPr>
                              <w:r w:rsidRPr="00D64F71">
                                <w:rPr>
                                  <w:color w:val="4472C4" w:themeColor="accent1"/>
                                  <w:sz w:val="32"/>
                                  <w:szCs w:val="32"/>
                                </w:rPr>
                                <w:t>Sarah Rule - 1810755</w:t>
                              </w:r>
                            </w:p>
                          </w:sdtContent>
                        </w:sdt>
                      </w:txbxContent>
                    </v:textbox>
                    <w10:wrap anchorx="page" anchory="margin"/>
                  </v:shape>
                </w:pict>
              </mc:Fallback>
            </mc:AlternateContent>
          </w:r>
        </w:p>
        <w:p w14:paraId="0B5653DE" w14:textId="77777777" w:rsidR="00504A04" w:rsidRDefault="00AF78CA" w:rsidP="00D64F71">
          <w:pPr>
            <w:rPr>
              <w:rFonts w:ascii="Times New Roman" w:hAnsi="Times New Roman" w:cs="Times New Roman"/>
              <w:sz w:val="24"/>
              <w:szCs w:val="24"/>
            </w:rPr>
          </w:pPr>
          <w:r>
            <w:rPr>
              <w:rFonts w:ascii="Times New Roman" w:hAnsi="Times New Roman" w:cs="Times New Roman"/>
              <w:sz w:val="24"/>
              <w:szCs w:val="24"/>
            </w:rPr>
            <w:br w:type="page"/>
          </w:r>
        </w:p>
        <w:p w14:paraId="5C7AA21B" w14:textId="77777777" w:rsidR="00504A04" w:rsidRDefault="00504A04" w:rsidP="00D64F71">
          <w:pPr>
            <w:rPr>
              <w:rFonts w:ascii="Times New Roman" w:hAnsi="Times New Roman" w:cs="Times New Roman"/>
              <w:sz w:val="24"/>
              <w:szCs w:val="24"/>
            </w:rPr>
          </w:pPr>
        </w:p>
        <w:sdt>
          <w:sdtPr>
            <w:id w:val="-476174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F0597D" w14:textId="57D0C150" w:rsidR="00504A04" w:rsidRDefault="00504A04">
              <w:pPr>
                <w:pStyle w:val="TOCHeading"/>
              </w:pPr>
              <w:r>
                <w:t>Table of Contents</w:t>
              </w:r>
            </w:p>
            <w:p w14:paraId="1C899E6C" w14:textId="10EA9926" w:rsidR="002B74B4" w:rsidRDefault="00504A0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0573577" w:history="1">
                <w:r w:rsidR="002B74B4" w:rsidRPr="008D4B62">
                  <w:rPr>
                    <w:rStyle w:val="Hyperlink"/>
                    <w:noProof/>
                  </w:rPr>
                  <w:t>1.</w:t>
                </w:r>
                <w:r w:rsidR="002B74B4">
                  <w:rPr>
                    <w:rFonts w:eastAsiaTheme="minorEastAsia"/>
                    <w:noProof/>
                    <w:lang w:eastAsia="en-GB"/>
                  </w:rPr>
                  <w:tab/>
                </w:r>
                <w:r w:rsidR="002B74B4" w:rsidRPr="008D4B62">
                  <w:rPr>
                    <w:rStyle w:val="Hyperlink"/>
                    <w:noProof/>
                  </w:rPr>
                  <w:t>Introduction</w:t>
                </w:r>
                <w:r w:rsidR="002B74B4">
                  <w:rPr>
                    <w:noProof/>
                    <w:webHidden/>
                  </w:rPr>
                  <w:tab/>
                </w:r>
                <w:r w:rsidR="002B74B4">
                  <w:rPr>
                    <w:noProof/>
                    <w:webHidden/>
                  </w:rPr>
                  <w:fldChar w:fldCharType="begin"/>
                </w:r>
                <w:r w:rsidR="002B74B4">
                  <w:rPr>
                    <w:noProof/>
                    <w:webHidden/>
                  </w:rPr>
                  <w:instrText xml:space="preserve"> PAGEREF _Toc90573577 \h </w:instrText>
                </w:r>
                <w:r w:rsidR="002B74B4">
                  <w:rPr>
                    <w:noProof/>
                    <w:webHidden/>
                  </w:rPr>
                </w:r>
                <w:r w:rsidR="002B74B4">
                  <w:rPr>
                    <w:noProof/>
                    <w:webHidden/>
                  </w:rPr>
                  <w:fldChar w:fldCharType="separate"/>
                </w:r>
                <w:r w:rsidR="002B74B4">
                  <w:rPr>
                    <w:noProof/>
                    <w:webHidden/>
                  </w:rPr>
                  <w:t>2</w:t>
                </w:r>
                <w:r w:rsidR="002B74B4">
                  <w:rPr>
                    <w:noProof/>
                    <w:webHidden/>
                  </w:rPr>
                  <w:fldChar w:fldCharType="end"/>
                </w:r>
              </w:hyperlink>
            </w:p>
            <w:p w14:paraId="668F4809" w14:textId="75DF8F43" w:rsidR="002B74B4" w:rsidRDefault="002B74B4">
              <w:pPr>
                <w:pStyle w:val="TOC1"/>
                <w:tabs>
                  <w:tab w:val="left" w:pos="440"/>
                  <w:tab w:val="right" w:leader="dot" w:pos="9016"/>
                </w:tabs>
                <w:rPr>
                  <w:rFonts w:eastAsiaTheme="minorEastAsia"/>
                  <w:noProof/>
                  <w:lang w:eastAsia="en-GB"/>
                </w:rPr>
              </w:pPr>
              <w:hyperlink w:anchor="_Toc90573578" w:history="1">
                <w:r w:rsidRPr="008D4B62">
                  <w:rPr>
                    <w:rStyle w:val="Hyperlink"/>
                    <w:noProof/>
                  </w:rPr>
                  <w:t>2.</w:t>
                </w:r>
                <w:r>
                  <w:rPr>
                    <w:rFonts w:eastAsiaTheme="minorEastAsia"/>
                    <w:noProof/>
                    <w:lang w:eastAsia="en-GB"/>
                  </w:rPr>
                  <w:tab/>
                </w:r>
                <w:r w:rsidRPr="008D4B62">
                  <w:rPr>
                    <w:rStyle w:val="Hyperlink"/>
                    <w:noProof/>
                  </w:rPr>
                  <w:t>Background</w:t>
                </w:r>
                <w:r>
                  <w:rPr>
                    <w:noProof/>
                    <w:webHidden/>
                  </w:rPr>
                  <w:tab/>
                </w:r>
                <w:r>
                  <w:rPr>
                    <w:noProof/>
                    <w:webHidden/>
                  </w:rPr>
                  <w:fldChar w:fldCharType="begin"/>
                </w:r>
                <w:r>
                  <w:rPr>
                    <w:noProof/>
                    <w:webHidden/>
                  </w:rPr>
                  <w:instrText xml:space="preserve"> PAGEREF _Toc90573578 \h </w:instrText>
                </w:r>
                <w:r>
                  <w:rPr>
                    <w:noProof/>
                    <w:webHidden/>
                  </w:rPr>
                </w:r>
                <w:r>
                  <w:rPr>
                    <w:noProof/>
                    <w:webHidden/>
                  </w:rPr>
                  <w:fldChar w:fldCharType="separate"/>
                </w:r>
                <w:r>
                  <w:rPr>
                    <w:noProof/>
                    <w:webHidden/>
                  </w:rPr>
                  <w:t>2</w:t>
                </w:r>
                <w:r>
                  <w:rPr>
                    <w:noProof/>
                    <w:webHidden/>
                  </w:rPr>
                  <w:fldChar w:fldCharType="end"/>
                </w:r>
              </w:hyperlink>
            </w:p>
            <w:p w14:paraId="21CB60F5" w14:textId="4AA17F0E" w:rsidR="002B74B4" w:rsidRDefault="002B74B4">
              <w:pPr>
                <w:pStyle w:val="TOC1"/>
                <w:tabs>
                  <w:tab w:val="left" w:pos="440"/>
                  <w:tab w:val="right" w:leader="dot" w:pos="9016"/>
                </w:tabs>
                <w:rPr>
                  <w:rFonts w:eastAsiaTheme="minorEastAsia"/>
                  <w:noProof/>
                  <w:lang w:eastAsia="en-GB"/>
                </w:rPr>
              </w:pPr>
              <w:hyperlink w:anchor="_Toc90573579" w:history="1">
                <w:r w:rsidRPr="008D4B62">
                  <w:rPr>
                    <w:rStyle w:val="Hyperlink"/>
                    <w:noProof/>
                  </w:rPr>
                  <w:t>3.</w:t>
                </w:r>
                <w:r>
                  <w:rPr>
                    <w:rFonts w:eastAsiaTheme="minorEastAsia"/>
                    <w:noProof/>
                    <w:lang w:eastAsia="en-GB"/>
                  </w:rPr>
                  <w:tab/>
                </w:r>
                <w:r w:rsidRPr="008D4B62">
                  <w:rPr>
                    <w:rStyle w:val="Hyperlink"/>
                    <w:noProof/>
                  </w:rPr>
                  <w:t>What is GDPR?</w:t>
                </w:r>
                <w:r>
                  <w:rPr>
                    <w:noProof/>
                    <w:webHidden/>
                  </w:rPr>
                  <w:tab/>
                </w:r>
                <w:r>
                  <w:rPr>
                    <w:noProof/>
                    <w:webHidden/>
                  </w:rPr>
                  <w:fldChar w:fldCharType="begin"/>
                </w:r>
                <w:r>
                  <w:rPr>
                    <w:noProof/>
                    <w:webHidden/>
                  </w:rPr>
                  <w:instrText xml:space="preserve"> PAGEREF _Toc90573579 \h </w:instrText>
                </w:r>
                <w:r>
                  <w:rPr>
                    <w:noProof/>
                    <w:webHidden/>
                  </w:rPr>
                </w:r>
                <w:r>
                  <w:rPr>
                    <w:noProof/>
                    <w:webHidden/>
                  </w:rPr>
                  <w:fldChar w:fldCharType="separate"/>
                </w:r>
                <w:r>
                  <w:rPr>
                    <w:noProof/>
                    <w:webHidden/>
                  </w:rPr>
                  <w:t>2</w:t>
                </w:r>
                <w:r>
                  <w:rPr>
                    <w:noProof/>
                    <w:webHidden/>
                  </w:rPr>
                  <w:fldChar w:fldCharType="end"/>
                </w:r>
              </w:hyperlink>
            </w:p>
            <w:p w14:paraId="125348C2" w14:textId="31B936B3" w:rsidR="002B74B4" w:rsidRDefault="002B74B4">
              <w:pPr>
                <w:pStyle w:val="TOC1"/>
                <w:tabs>
                  <w:tab w:val="left" w:pos="440"/>
                  <w:tab w:val="right" w:leader="dot" w:pos="9016"/>
                </w:tabs>
                <w:rPr>
                  <w:rFonts w:eastAsiaTheme="minorEastAsia"/>
                  <w:noProof/>
                  <w:lang w:eastAsia="en-GB"/>
                </w:rPr>
              </w:pPr>
              <w:hyperlink w:anchor="_Toc90573580" w:history="1">
                <w:r w:rsidRPr="008D4B62">
                  <w:rPr>
                    <w:rStyle w:val="Hyperlink"/>
                    <w:noProof/>
                  </w:rPr>
                  <w:t>4.</w:t>
                </w:r>
                <w:r>
                  <w:rPr>
                    <w:rFonts w:eastAsiaTheme="minorEastAsia"/>
                    <w:noProof/>
                    <w:lang w:eastAsia="en-GB"/>
                  </w:rPr>
                  <w:tab/>
                </w:r>
                <w:r w:rsidRPr="008D4B62">
                  <w:rPr>
                    <w:rStyle w:val="Hyperlink"/>
                    <w:noProof/>
                  </w:rPr>
                  <w:t>Report – FAO: Head of Information Governance</w:t>
                </w:r>
                <w:r>
                  <w:rPr>
                    <w:noProof/>
                    <w:webHidden/>
                  </w:rPr>
                  <w:tab/>
                </w:r>
                <w:r>
                  <w:rPr>
                    <w:noProof/>
                    <w:webHidden/>
                  </w:rPr>
                  <w:fldChar w:fldCharType="begin"/>
                </w:r>
                <w:r>
                  <w:rPr>
                    <w:noProof/>
                    <w:webHidden/>
                  </w:rPr>
                  <w:instrText xml:space="preserve"> PAGEREF _Toc90573580 \h </w:instrText>
                </w:r>
                <w:r>
                  <w:rPr>
                    <w:noProof/>
                    <w:webHidden/>
                  </w:rPr>
                </w:r>
                <w:r>
                  <w:rPr>
                    <w:noProof/>
                    <w:webHidden/>
                  </w:rPr>
                  <w:fldChar w:fldCharType="separate"/>
                </w:r>
                <w:r>
                  <w:rPr>
                    <w:noProof/>
                    <w:webHidden/>
                  </w:rPr>
                  <w:t>3</w:t>
                </w:r>
                <w:r>
                  <w:rPr>
                    <w:noProof/>
                    <w:webHidden/>
                  </w:rPr>
                  <w:fldChar w:fldCharType="end"/>
                </w:r>
              </w:hyperlink>
            </w:p>
            <w:p w14:paraId="201B0555" w14:textId="42A44256" w:rsidR="002B74B4" w:rsidRDefault="002B74B4">
              <w:pPr>
                <w:pStyle w:val="TOC1"/>
                <w:tabs>
                  <w:tab w:val="left" w:pos="440"/>
                  <w:tab w:val="right" w:leader="dot" w:pos="9016"/>
                </w:tabs>
                <w:rPr>
                  <w:rFonts w:eastAsiaTheme="minorEastAsia"/>
                  <w:noProof/>
                  <w:lang w:eastAsia="en-GB"/>
                </w:rPr>
              </w:pPr>
              <w:hyperlink w:anchor="_Toc90573581" w:history="1">
                <w:r w:rsidRPr="008D4B62">
                  <w:rPr>
                    <w:rStyle w:val="Hyperlink"/>
                    <w:noProof/>
                  </w:rPr>
                  <w:t>5.</w:t>
                </w:r>
                <w:r>
                  <w:rPr>
                    <w:rFonts w:eastAsiaTheme="minorEastAsia"/>
                    <w:noProof/>
                    <w:lang w:eastAsia="en-GB"/>
                  </w:rPr>
                  <w:tab/>
                </w:r>
                <w:r w:rsidRPr="008D4B62">
                  <w:rPr>
                    <w:rStyle w:val="Hyperlink"/>
                    <w:noProof/>
                  </w:rPr>
                  <w:t>Report: FAO: Executive Board</w:t>
                </w:r>
                <w:r>
                  <w:rPr>
                    <w:noProof/>
                    <w:webHidden/>
                  </w:rPr>
                  <w:tab/>
                </w:r>
                <w:r>
                  <w:rPr>
                    <w:noProof/>
                    <w:webHidden/>
                  </w:rPr>
                  <w:fldChar w:fldCharType="begin"/>
                </w:r>
                <w:r>
                  <w:rPr>
                    <w:noProof/>
                    <w:webHidden/>
                  </w:rPr>
                  <w:instrText xml:space="preserve"> PAGEREF _Toc90573581 \h </w:instrText>
                </w:r>
                <w:r>
                  <w:rPr>
                    <w:noProof/>
                    <w:webHidden/>
                  </w:rPr>
                </w:r>
                <w:r>
                  <w:rPr>
                    <w:noProof/>
                    <w:webHidden/>
                  </w:rPr>
                  <w:fldChar w:fldCharType="separate"/>
                </w:r>
                <w:r>
                  <w:rPr>
                    <w:noProof/>
                    <w:webHidden/>
                  </w:rPr>
                  <w:t>5</w:t>
                </w:r>
                <w:r>
                  <w:rPr>
                    <w:noProof/>
                    <w:webHidden/>
                  </w:rPr>
                  <w:fldChar w:fldCharType="end"/>
                </w:r>
              </w:hyperlink>
            </w:p>
            <w:p w14:paraId="47A852F6" w14:textId="300A4154" w:rsidR="002B74B4" w:rsidRDefault="002B74B4">
              <w:pPr>
                <w:pStyle w:val="TOC1"/>
                <w:tabs>
                  <w:tab w:val="left" w:pos="440"/>
                  <w:tab w:val="right" w:leader="dot" w:pos="9016"/>
                </w:tabs>
                <w:rPr>
                  <w:rFonts w:eastAsiaTheme="minorEastAsia"/>
                  <w:noProof/>
                  <w:lang w:eastAsia="en-GB"/>
                </w:rPr>
              </w:pPr>
              <w:hyperlink w:anchor="_Toc90573582" w:history="1">
                <w:r w:rsidRPr="008D4B62">
                  <w:rPr>
                    <w:rStyle w:val="Hyperlink"/>
                    <w:noProof/>
                  </w:rPr>
                  <w:t>6.</w:t>
                </w:r>
                <w:r>
                  <w:rPr>
                    <w:rFonts w:eastAsiaTheme="minorEastAsia"/>
                    <w:noProof/>
                    <w:lang w:eastAsia="en-GB"/>
                  </w:rPr>
                  <w:tab/>
                </w:r>
                <w:r w:rsidRPr="008D4B62">
                  <w:rPr>
                    <w:rStyle w:val="Hyperlink"/>
                    <w:noProof/>
                  </w:rPr>
                  <w:t>Discussion Notes – Organisations Governance Committee</w:t>
                </w:r>
                <w:r>
                  <w:rPr>
                    <w:noProof/>
                    <w:webHidden/>
                  </w:rPr>
                  <w:tab/>
                </w:r>
                <w:r>
                  <w:rPr>
                    <w:noProof/>
                    <w:webHidden/>
                  </w:rPr>
                  <w:fldChar w:fldCharType="begin"/>
                </w:r>
                <w:r>
                  <w:rPr>
                    <w:noProof/>
                    <w:webHidden/>
                  </w:rPr>
                  <w:instrText xml:space="preserve"> PAGEREF _Toc90573582 \h </w:instrText>
                </w:r>
                <w:r>
                  <w:rPr>
                    <w:noProof/>
                    <w:webHidden/>
                  </w:rPr>
                </w:r>
                <w:r>
                  <w:rPr>
                    <w:noProof/>
                    <w:webHidden/>
                  </w:rPr>
                  <w:fldChar w:fldCharType="separate"/>
                </w:r>
                <w:r>
                  <w:rPr>
                    <w:noProof/>
                    <w:webHidden/>
                  </w:rPr>
                  <w:t>5</w:t>
                </w:r>
                <w:r>
                  <w:rPr>
                    <w:noProof/>
                    <w:webHidden/>
                  </w:rPr>
                  <w:fldChar w:fldCharType="end"/>
                </w:r>
              </w:hyperlink>
            </w:p>
            <w:p w14:paraId="1F839357" w14:textId="4C7216CC" w:rsidR="002B74B4" w:rsidRDefault="002B74B4">
              <w:pPr>
                <w:pStyle w:val="TOC1"/>
                <w:tabs>
                  <w:tab w:val="left" w:pos="440"/>
                  <w:tab w:val="right" w:leader="dot" w:pos="9016"/>
                </w:tabs>
                <w:rPr>
                  <w:rFonts w:eastAsiaTheme="minorEastAsia"/>
                  <w:noProof/>
                  <w:lang w:eastAsia="en-GB"/>
                </w:rPr>
              </w:pPr>
              <w:hyperlink w:anchor="_Toc90573583" w:history="1">
                <w:r w:rsidRPr="008D4B62">
                  <w:rPr>
                    <w:rStyle w:val="Hyperlink"/>
                    <w:noProof/>
                  </w:rPr>
                  <w:t>7.</w:t>
                </w:r>
                <w:r>
                  <w:rPr>
                    <w:rFonts w:eastAsiaTheme="minorEastAsia"/>
                    <w:noProof/>
                    <w:lang w:eastAsia="en-GB"/>
                  </w:rPr>
                  <w:tab/>
                </w:r>
                <w:r w:rsidRPr="008D4B62">
                  <w:rPr>
                    <w:rStyle w:val="Hyperlink"/>
                    <w:noProof/>
                  </w:rPr>
                  <w:t>References</w:t>
                </w:r>
                <w:r>
                  <w:rPr>
                    <w:noProof/>
                    <w:webHidden/>
                  </w:rPr>
                  <w:tab/>
                </w:r>
                <w:r>
                  <w:rPr>
                    <w:noProof/>
                    <w:webHidden/>
                  </w:rPr>
                  <w:fldChar w:fldCharType="begin"/>
                </w:r>
                <w:r>
                  <w:rPr>
                    <w:noProof/>
                    <w:webHidden/>
                  </w:rPr>
                  <w:instrText xml:space="preserve"> PAGEREF _Toc90573583 \h </w:instrText>
                </w:r>
                <w:r>
                  <w:rPr>
                    <w:noProof/>
                    <w:webHidden/>
                  </w:rPr>
                </w:r>
                <w:r>
                  <w:rPr>
                    <w:noProof/>
                    <w:webHidden/>
                  </w:rPr>
                  <w:fldChar w:fldCharType="separate"/>
                </w:r>
                <w:r>
                  <w:rPr>
                    <w:noProof/>
                    <w:webHidden/>
                  </w:rPr>
                  <w:t>6</w:t>
                </w:r>
                <w:r>
                  <w:rPr>
                    <w:noProof/>
                    <w:webHidden/>
                  </w:rPr>
                  <w:fldChar w:fldCharType="end"/>
                </w:r>
              </w:hyperlink>
            </w:p>
            <w:p w14:paraId="15B840A2" w14:textId="103B0C3E" w:rsidR="002B74B4" w:rsidRDefault="002B74B4">
              <w:pPr>
                <w:pStyle w:val="TOC1"/>
                <w:tabs>
                  <w:tab w:val="left" w:pos="440"/>
                  <w:tab w:val="right" w:leader="dot" w:pos="9016"/>
                </w:tabs>
                <w:rPr>
                  <w:rFonts w:eastAsiaTheme="minorEastAsia"/>
                  <w:noProof/>
                  <w:lang w:eastAsia="en-GB"/>
                </w:rPr>
              </w:pPr>
              <w:hyperlink w:anchor="_Toc90573584" w:history="1">
                <w:r w:rsidRPr="008D4B62">
                  <w:rPr>
                    <w:rStyle w:val="Hyperlink"/>
                    <w:noProof/>
                  </w:rPr>
                  <w:t>8.</w:t>
                </w:r>
                <w:r>
                  <w:rPr>
                    <w:rFonts w:eastAsiaTheme="minorEastAsia"/>
                    <w:noProof/>
                    <w:lang w:eastAsia="en-GB"/>
                  </w:rPr>
                  <w:tab/>
                </w:r>
                <w:r w:rsidRPr="008D4B62">
                  <w:rPr>
                    <w:rStyle w:val="Hyperlink"/>
                    <w:noProof/>
                  </w:rPr>
                  <w:t>Acronyms</w:t>
                </w:r>
                <w:r>
                  <w:rPr>
                    <w:noProof/>
                    <w:webHidden/>
                  </w:rPr>
                  <w:tab/>
                </w:r>
                <w:r>
                  <w:rPr>
                    <w:noProof/>
                    <w:webHidden/>
                  </w:rPr>
                  <w:fldChar w:fldCharType="begin"/>
                </w:r>
                <w:r>
                  <w:rPr>
                    <w:noProof/>
                    <w:webHidden/>
                  </w:rPr>
                  <w:instrText xml:space="preserve"> PAGEREF _Toc90573584 \h </w:instrText>
                </w:r>
                <w:r>
                  <w:rPr>
                    <w:noProof/>
                    <w:webHidden/>
                  </w:rPr>
                </w:r>
                <w:r>
                  <w:rPr>
                    <w:noProof/>
                    <w:webHidden/>
                  </w:rPr>
                  <w:fldChar w:fldCharType="separate"/>
                </w:r>
                <w:r>
                  <w:rPr>
                    <w:noProof/>
                    <w:webHidden/>
                  </w:rPr>
                  <w:t>7</w:t>
                </w:r>
                <w:r>
                  <w:rPr>
                    <w:noProof/>
                    <w:webHidden/>
                  </w:rPr>
                  <w:fldChar w:fldCharType="end"/>
                </w:r>
              </w:hyperlink>
            </w:p>
            <w:p w14:paraId="0FA5D9FE" w14:textId="58943A07" w:rsidR="00504A04" w:rsidRDefault="00504A04">
              <w:r>
                <w:rPr>
                  <w:b/>
                  <w:bCs/>
                  <w:noProof/>
                </w:rPr>
                <w:fldChar w:fldCharType="end"/>
              </w:r>
            </w:p>
          </w:sdtContent>
        </w:sdt>
        <w:p w14:paraId="73CC6029" w14:textId="77777777" w:rsidR="002B74B4" w:rsidRDefault="002B74B4" w:rsidP="00D64F71">
          <w:pPr>
            <w:rPr>
              <w:rFonts w:ascii="Times New Roman" w:hAnsi="Times New Roman" w:cs="Times New Roman"/>
              <w:sz w:val="24"/>
              <w:szCs w:val="24"/>
            </w:rPr>
          </w:pPr>
        </w:p>
        <w:p w14:paraId="326DD4C9" w14:textId="77777777" w:rsidR="002B74B4" w:rsidRDefault="002B74B4" w:rsidP="00D64F71">
          <w:pPr>
            <w:rPr>
              <w:rFonts w:ascii="Times New Roman" w:hAnsi="Times New Roman" w:cs="Times New Roman"/>
              <w:sz w:val="24"/>
              <w:szCs w:val="24"/>
            </w:rPr>
          </w:pPr>
        </w:p>
        <w:p w14:paraId="3170EE18" w14:textId="77777777" w:rsidR="002B74B4" w:rsidRDefault="002B74B4" w:rsidP="00D64F71">
          <w:pPr>
            <w:rPr>
              <w:rFonts w:ascii="Times New Roman" w:hAnsi="Times New Roman" w:cs="Times New Roman"/>
              <w:sz w:val="24"/>
              <w:szCs w:val="24"/>
            </w:rPr>
          </w:pPr>
        </w:p>
        <w:p w14:paraId="21F5E3D1" w14:textId="77777777" w:rsidR="002B74B4" w:rsidRDefault="002B74B4" w:rsidP="00D64F71">
          <w:pPr>
            <w:rPr>
              <w:rFonts w:ascii="Times New Roman" w:hAnsi="Times New Roman" w:cs="Times New Roman"/>
              <w:sz w:val="24"/>
              <w:szCs w:val="24"/>
            </w:rPr>
          </w:pPr>
        </w:p>
        <w:p w14:paraId="14D43231" w14:textId="77777777" w:rsidR="002B74B4" w:rsidRDefault="002B74B4" w:rsidP="00D64F71">
          <w:pPr>
            <w:rPr>
              <w:rFonts w:ascii="Times New Roman" w:hAnsi="Times New Roman" w:cs="Times New Roman"/>
              <w:sz w:val="24"/>
              <w:szCs w:val="24"/>
            </w:rPr>
          </w:pPr>
        </w:p>
        <w:p w14:paraId="40410B87" w14:textId="77777777" w:rsidR="002B74B4" w:rsidRDefault="002B74B4" w:rsidP="00D64F71">
          <w:pPr>
            <w:rPr>
              <w:rFonts w:ascii="Times New Roman" w:hAnsi="Times New Roman" w:cs="Times New Roman"/>
              <w:sz w:val="24"/>
              <w:szCs w:val="24"/>
            </w:rPr>
          </w:pPr>
        </w:p>
        <w:p w14:paraId="0E38C14F" w14:textId="77777777" w:rsidR="002B74B4" w:rsidRDefault="002B74B4" w:rsidP="00D64F71">
          <w:pPr>
            <w:rPr>
              <w:rFonts w:ascii="Times New Roman" w:hAnsi="Times New Roman" w:cs="Times New Roman"/>
              <w:sz w:val="24"/>
              <w:szCs w:val="24"/>
            </w:rPr>
          </w:pPr>
        </w:p>
        <w:p w14:paraId="286C30AD" w14:textId="77777777" w:rsidR="002B74B4" w:rsidRDefault="002B74B4" w:rsidP="00D64F71">
          <w:pPr>
            <w:rPr>
              <w:rFonts w:ascii="Times New Roman" w:hAnsi="Times New Roman" w:cs="Times New Roman"/>
              <w:sz w:val="24"/>
              <w:szCs w:val="24"/>
            </w:rPr>
          </w:pPr>
        </w:p>
        <w:p w14:paraId="2287B7B4" w14:textId="77777777" w:rsidR="002B74B4" w:rsidRDefault="002B74B4" w:rsidP="00D64F71">
          <w:pPr>
            <w:rPr>
              <w:rFonts w:ascii="Times New Roman" w:hAnsi="Times New Roman" w:cs="Times New Roman"/>
              <w:sz w:val="24"/>
              <w:szCs w:val="24"/>
            </w:rPr>
          </w:pPr>
        </w:p>
        <w:p w14:paraId="3572AE2E" w14:textId="77777777" w:rsidR="002B74B4" w:rsidRDefault="002B74B4" w:rsidP="00D64F71">
          <w:pPr>
            <w:rPr>
              <w:rFonts w:ascii="Times New Roman" w:hAnsi="Times New Roman" w:cs="Times New Roman"/>
              <w:sz w:val="24"/>
              <w:szCs w:val="24"/>
            </w:rPr>
          </w:pPr>
        </w:p>
        <w:p w14:paraId="5386D0F2" w14:textId="77777777" w:rsidR="002B74B4" w:rsidRDefault="002B74B4" w:rsidP="00D64F71">
          <w:pPr>
            <w:rPr>
              <w:rFonts w:ascii="Times New Roman" w:hAnsi="Times New Roman" w:cs="Times New Roman"/>
              <w:sz w:val="24"/>
              <w:szCs w:val="24"/>
            </w:rPr>
          </w:pPr>
        </w:p>
        <w:p w14:paraId="12FD93AF" w14:textId="77777777" w:rsidR="002B74B4" w:rsidRDefault="002B74B4" w:rsidP="00D64F71">
          <w:pPr>
            <w:rPr>
              <w:rFonts w:ascii="Times New Roman" w:hAnsi="Times New Roman" w:cs="Times New Roman"/>
              <w:sz w:val="24"/>
              <w:szCs w:val="24"/>
            </w:rPr>
          </w:pPr>
        </w:p>
        <w:p w14:paraId="0D61ACFB" w14:textId="77777777" w:rsidR="002B74B4" w:rsidRDefault="002B74B4" w:rsidP="00D64F71">
          <w:pPr>
            <w:rPr>
              <w:rFonts w:ascii="Times New Roman" w:hAnsi="Times New Roman" w:cs="Times New Roman"/>
              <w:sz w:val="24"/>
              <w:szCs w:val="24"/>
            </w:rPr>
          </w:pPr>
        </w:p>
        <w:p w14:paraId="673572D7" w14:textId="77777777" w:rsidR="002B74B4" w:rsidRDefault="002B74B4" w:rsidP="00D64F71">
          <w:pPr>
            <w:rPr>
              <w:rFonts w:ascii="Times New Roman" w:hAnsi="Times New Roman" w:cs="Times New Roman"/>
              <w:sz w:val="24"/>
              <w:szCs w:val="24"/>
            </w:rPr>
          </w:pPr>
        </w:p>
        <w:p w14:paraId="3833B935" w14:textId="77777777" w:rsidR="002B74B4" w:rsidRDefault="002B74B4" w:rsidP="00D64F71">
          <w:pPr>
            <w:rPr>
              <w:rFonts w:ascii="Times New Roman" w:hAnsi="Times New Roman" w:cs="Times New Roman"/>
              <w:sz w:val="24"/>
              <w:szCs w:val="24"/>
            </w:rPr>
          </w:pPr>
        </w:p>
        <w:p w14:paraId="5C45492B" w14:textId="77777777" w:rsidR="002B74B4" w:rsidRDefault="002B74B4" w:rsidP="00D64F71">
          <w:pPr>
            <w:rPr>
              <w:rFonts w:ascii="Times New Roman" w:hAnsi="Times New Roman" w:cs="Times New Roman"/>
              <w:sz w:val="24"/>
              <w:szCs w:val="24"/>
            </w:rPr>
          </w:pPr>
        </w:p>
        <w:p w14:paraId="61BE6BCF" w14:textId="77777777" w:rsidR="002B74B4" w:rsidRDefault="002B74B4" w:rsidP="00D64F71">
          <w:pPr>
            <w:rPr>
              <w:rFonts w:ascii="Times New Roman" w:hAnsi="Times New Roman" w:cs="Times New Roman"/>
              <w:sz w:val="24"/>
              <w:szCs w:val="24"/>
            </w:rPr>
          </w:pPr>
        </w:p>
        <w:p w14:paraId="285C777E" w14:textId="77777777" w:rsidR="002B74B4" w:rsidRDefault="002B74B4" w:rsidP="00D64F71">
          <w:pPr>
            <w:rPr>
              <w:rFonts w:ascii="Times New Roman" w:hAnsi="Times New Roman" w:cs="Times New Roman"/>
              <w:sz w:val="24"/>
              <w:szCs w:val="24"/>
            </w:rPr>
          </w:pPr>
        </w:p>
        <w:p w14:paraId="63672766" w14:textId="613AD078" w:rsidR="00D64F71" w:rsidRPr="00D64F71" w:rsidRDefault="00EE4E6E" w:rsidP="00D64F71">
          <w:pPr>
            <w:rPr>
              <w:rFonts w:ascii="Times New Roman" w:hAnsi="Times New Roman" w:cs="Times New Roman"/>
              <w:sz w:val="24"/>
              <w:szCs w:val="24"/>
            </w:rPr>
          </w:pPr>
        </w:p>
      </w:sdtContent>
    </w:sdt>
    <w:p w14:paraId="4CF815F2" w14:textId="6D6CF911" w:rsidR="001C5870" w:rsidRDefault="008E56A5" w:rsidP="003C444E">
      <w:pPr>
        <w:pStyle w:val="Heading1"/>
        <w:numPr>
          <w:ilvl w:val="0"/>
          <w:numId w:val="3"/>
        </w:numPr>
      </w:pPr>
      <w:bookmarkStart w:id="0" w:name="_Toc90573577"/>
      <w:r>
        <w:t>Introduction</w:t>
      </w:r>
      <w:bookmarkEnd w:id="0"/>
    </w:p>
    <w:p w14:paraId="7A9FDA79" w14:textId="327F3BE6" w:rsidR="008E56A5" w:rsidRDefault="00517FD8" w:rsidP="002B0730">
      <w:pPr>
        <w:rPr>
          <w:rFonts w:ascii="Times New Roman" w:hAnsi="Times New Roman" w:cs="Times New Roman"/>
          <w:sz w:val="24"/>
          <w:szCs w:val="24"/>
        </w:rPr>
      </w:pPr>
      <w:r>
        <w:rPr>
          <w:rFonts w:ascii="Times New Roman" w:hAnsi="Times New Roman" w:cs="Times New Roman"/>
          <w:sz w:val="24"/>
          <w:szCs w:val="24"/>
        </w:rPr>
        <w:t xml:space="preserve">The following report will </w:t>
      </w:r>
      <w:r w:rsidR="00020F6B">
        <w:rPr>
          <w:rFonts w:ascii="Times New Roman" w:hAnsi="Times New Roman" w:cs="Times New Roman"/>
          <w:sz w:val="24"/>
          <w:szCs w:val="24"/>
        </w:rPr>
        <w:t>consist of three elements</w:t>
      </w:r>
      <w:r>
        <w:rPr>
          <w:rFonts w:ascii="Times New Roman" w:hAnsi="Times New Roman" w:cs="Times New Roman"/>
          <w:sz w:val="24"/>
          <w:szCs w:val="24"/>
        </w:rPr>
        <w:t>. Following a recent Data Breach within the Organisation, a report detailing the incident will be sent to the Head of Information Governance</w:t>
      </w:r>
      <w:r w:rsidR="00020F6B">
        <w:rPr>
          <w:rFonts w:ascii="Times New Roman" w:hAnsi="Times New Roman" w:cs="Times New Roman"/>
          <w:sz w:val="24"/>
          <w:szCs w:val="24"/>
        </w:rPr>
        <w:t xml:space="preserve"> for the Organisation. </w:t>
      </w:r>
    </w:p>
    <w:p w14:paraId="7375DDAA" w14:textId="6C6A8647" w:rsidR="008E56A5" w:rsidRPr="002B0730" w:rsidRDefault="002B0730" w:rsidP="002B0730">
      <w:pPr>
        <w:rPr>
          <w:rFonts w:ascii="Times New Roman" w:hAnsi="Times New Roman" w:cs="Times New Roman"/>
          <w:sz w:val="24"/>
          <w:szCs w:val="24"/>
        </w:rPr>
      </w:pPr>
      <w:r>
        <w:rPr>
          <w:rFonts w:ascii="Times New Roman" w:hAnsi="Times New Roman" w:cs="Times New Roman"/>
          <w:sz w:val="24"/>
          <w:szCs w:val="24"/>
        </w:rPr>
        <w:t xml:space="preserve">The second report will be sent to the Executive Board </w:t>
      </w:r>
      <w:r w:rsidR="00020F6B">
        <w:rPr>
          <w:rFonts w:ascii="Times New Roman" w:hAnsi="Times New Roman" w:cs="Times New Roman"/>
          <w:sz w:val="24"/>
          <w:szCs w:val="24"/>
        </w:rPr>
        <w:t xml:space="preserve">of the Organisation, </w:t>
      </w:r>
      <w:r>
        <w:rPr>
          <w:rFonts w:ascii="Times New Roman" w:hAnsi="Times New Roman" w:cs="Times New Roman"/>
          <w:sz w:val="24"/>
          <w:szCs w:val="24"/>
        </w:rPr>
        <w:t xml:space="preserve">outlining the incident and potential risk exposure </w:t>
      </w:r>
      <w:r w:rsidR="008E56A5">
        <w:rPr>
          <w:rFonts w:ascii="Times New Roman" w:hAnsi="Times New Roman" w:cs="Times New Roman"/>
          <w:sz w:val="24"/>
          <w:szCs w:val="24"/>
        </w:rPr>
        <w:t>resulting from the incident</w:t>
      </w:r>
      <w:r w:rsidR="00020F6B">
        <w:rPr>
          <w:rFonts w:ascii="Times New Roman" w:hAnsi="Times New Roman" w:cs="Times New Roman"/>
          <w:sz w:val="24"/>
          <w:szCs w:val="24"/>
        </w:rPr>
        <w:t>. The report will</w:t>
      </w:r>
      <w:r w:rsidR="00153697">
        <w:rPr>
          <w:rFonts w:ascii="Times New Roman" w:hAnsi="Times New Roman" w:cs="Times New Roman"/>
          <w:sz w:val="24"/>
          <w:szCs w:val="24"/>
        </w:rPr>
        <w:t xml:space="preserve"> document all actions that have been taken up until that point, and further actions, including lessons learnt to be completed. </w:t>
      </w:r>
    </w:p>
    <w:p w14:paraId="040B0FDB" w14:textId="2B32553A" w:rsidR="008E56A5" w:rsidRDefault="008E56A5" w:rsidP="00E22F9E">
      <w:pPr>
        <w:rPr>
          <w:rFonts w:ascii="Times New Roman" w:hAnsi="Times New Roman" w:cs="Times New Roman"/>
          <w:sz w:val="24"/>
          <w:szCs w:val="24"/>
        </w:rPr>
      </w:pPr>
      <w:r>
        <w:rPr>
          <w:rFonts w:ascii="Times New Roman" w:hAnsi="Times New Roman" w:cs="Times New Roman"/>
          <w:sz w:val="24"/>
          <w:szCs w:val="24"/>
        </w:rPr>
        <w:t>The third report will detail any discussion notes in readiness for the Organisations Governance Committee</w:t>
      </w:r>
      <w:r w:rsidR="00020F6B">
        <w:rPr>
          <w:rFonts w:ascii="Times New Roman" w:hAnsi="Times New Roman" w:cs="Times New Roman"/>
          <w:sz w:val="24"/>
          <w:szCs w:val="24"/>
        </w:rPr>
        <w:t xml:space="preserve"> meeting. </w:t>
      </w:r>
      <w:r>
        <w:rPr>
          <w:rFonts w:ascii="Times New Roman" w:hAnsi="Times New Roman" w:cs="Times New Roman"/>
          <w:sz w:val="24"/>
          <w:szCs w:val="24"/>
        </w:rPr>
        <w:t xml:space="preserve"> </w:t>
      </w:r>
    </w:p>
    <w:p w14:paraId="3EFEF121" w14:textId="55754CC3" w:rsidR="008E56A5" w:rsidRDefault="008E56A5" w:rsidP="00E22F9E">
      <w:pPr>
        <w:rPr>
          <w:rFonts w:ascii="Times New Roman" w:hAnsi="Times New Roman" w:cs="Times New Roman"/>
          <w:sz w:val="24"/>
          <w:szCs w:val="24"/>
        </w:rPr>
      </w:pPr>
    </w:p>
    <w:p w14:paraId="59C63A6A" w14:textId="77EC0736" w:rsidR="008E56A5" w:rsidRDefault="008E56A5" w:rsidP="008E56A5">
      <w:pPr>
        <w:pStyle w:val="Heading1"/>
        <w:numPr>
          <w:ilvl w:val="0"/>
          <w:numId w:val="3"/>
        </w:numPr>
      </w:pPr>
      <w:bookmarkStart w:id="1" w:name="_Toc90573578"/>
      <w:r>
        <w:t>Background</w:t>
      </w:r>
      <w:bookmarkEnd w:id="1"/>
    </w:p>
    <w:p w14:paraId="55CDC826" w14:textId="1F7E9905" w:rsidR="008E56A5" w:rsidRDefault="008E56A5" w:rsidP="008E56A5">
      <w:pPr>
        <w:rPr>
          <w:rFonts w:ascii="Times New Roman" w:hAnsi="Times New Roman" w:cs="Times New Roman"/>
          <w:sz w:val="24"/>
          <w:szCs w:val="24"/>
        </w:rPr>
      </w:pPr>
      <w:r>
        <w:rPr>
          <w:rFonts w:ascii="Times New Roman" w:hAnsi="Times New Roman" w:cs="Times New Roman"/>
          <w:sz w:val="24"/>
          <w:szCs w:val="24"/>
        </w:rPr>
        <w:t>Th</w:t>
      </w:r>
      <w:r w:rsidR="00312635">
        <w:rPr>
          <w:rFonts w:ascii="Times New Roman" w:hAnsi="Times New Roman" w:cs="Times New Roman"/>
          <w:sz w:val="24"/>
          <w:szCs w:val="24"/>
        </w:rPr>
        <w:t xml:space="preserve">e </w:t>
      </w:r>
      <w:r w:rsidR="00BE6E29">
        <w:rPr>
          <w:rFonts w:ascii="Times New Roman" w:hAnsi="Times New Roman" w:cs="Times New Roman"/>
          <w:sz w:val="24"/>
          <w:szCs w:val="24"/>
        </w:rPr>
        <w:t>M</w:t>
      </w:r>
      <w:r w:rsidR="00312635">
        <w:rPr>
          <w:rFonts w:ascii="Times New Roman" w:hAnsi="Times New Roman" w:cs="Times New Roman"/>
          <w:sz w:val="24"/>
          <w:szCs w:val="24"/>
        </w:rPr>
        <w:t xml:space="preserve">anger of Networking has informed the Information Governance manager that they have emailed the names and addresses of several members of their staff to a member of the public accidentally. </w:t>
      </w:r>
    </w:p>
    <w:p w14:paraId="3A3CFADC" w14:textId="6B2D9C29" w:rsidR="00312635" w:rsidRDefault="00312635" w:rsidP="008E56A5">
      <w:pPr>
        <w:rPr>
          <w:rFonts w:ascii="Times New Roman" w:hAnsi="Times New Roman" w:cs="Times New Roman"/>
          <w:sz w:val="24"/>
          <w:szCs w:val="24"/>
        </w:rPr>
      </w:pPr>
      <w:r>
        <w:rPr>
          <w:rFonts w:ascii="Times New Roman" w:hAnsi="Times New Roman" w:cs="Times New Roman"/>
          <w:sz w:val="24"/>
          <w:szCs w:val="24"/>
        </w:rPr>
        <w:t xml:space="preserve">The Information Governance manger recognises that this is a breach of the Data Protection Legislation and investigates. Upon further investigation it is evident that the manager in question has not been following organisational procedures, when an accumulation of staff sick notes and occupational health reports were located on their desktop. </w:t>
      </w:r>
    </w:p>
    <w:p w14:paraId="4FCCBF0A" w14:textId="77777777" w:rsidR="00C67018" w:rsidRDefault="00C67018" w:rsidP="008E56A5">
      <w:pPr>
        <w:rPr>
          <w:rFonts w:ascii="Times New Roman" w:hAnsi="Times New Roman" w:cs="Times New Roman"/>
          <w:sz w:val="24"/>
          <w:szCs w:val="24"/>
        </w:rPr>
      </w:pPr>
    </w:p>
    <w:p w14:paraId="75FD2728" w14:textId="576F6103" w:rsidR="008E56A5" w:rsidRDefault="00C67018" w:rsidP="008E56A5">
      <w:pPr>
        <w:pStyle w:val="Heading1"/>
        <w:numPr>
          <w:ilvl w:val="0"/>
          <w:numId w:val="3"/>
        </w:numPr>
      </w:pPr>
      <w:bookmarkStart w:id="2" w:name="_Toc90573579"/>
      <w:r>
        <w:t>What is GDPR?</w:t>
      </w:r>
      <w:bookmarkEnd w:id="2"/>
      <w:r>
        <w:t xml:space="preserve"> </w:t>
      </w:r>
    </w:p>
    <w:p w14:paraId="64F5E72E" w14:textId="24EBA63E" w:rsidR="008E56A5" w:rsidRDefault="008E56A5" w:rsidP="008E56A5">
      <w:pPr>
        <w:rPr>
          <w:rFonts w:ascii="Times New Roman" w:hAnsi="Times New Roman" w:cs="Times New Roman"/>
          <w:sz w:val="24"/>
          <w:szCs w:val="24"/>
        </w:rPr>
      </w:pPr>
      <w:r>
        <w:rPr>
          <w:rFonts w:ascii="Times New Roman" w:hAnsi="Times New Roman" w:cs="Times New Roman"/>
          <w:sz w:val="24"/>
          <w:szCs w:val="24"/>
        </w:rPr>
        <w:t>T</w:t>
      </w:r>
      <w:r w:rsidR="00B875E0">
        <w:rPr>
          <w:rFonts w:ascii="Times New Roman" w:hAnsi="Times New Roman" w:cs="Times New Roman"/>
          <w:sz w:val="24"/>
          <w:szCs w:val="24"/>
        </w:rPr>
        <w:t xml:space="preserve">he Data Protection Act 2018 is the UK’s implementation of the General Data Protection Regulation (GDPR). </w:t>
      </w:r>
      <w:sdt>
        <w:sdtPr>
          <w:rPr>
            <w:rFonts w:ascii="Times New Roman" w:hAnsi="Times New Roman" w:cs="Times New Roman"/>
            <w:sz w:val="24"/>
            <w:szCs w:val="24"/>
          </w:rPr>
          <w:id w:val="-355665949"/>
          <w:citation/>
        </w:sdtPr>
        <w:sdtEndPr/>
        <w:sdtContent>
          <w:r w:rsidR="00B875E0">
            <w:rPr>
              <w:rFonts w:ascii="Times New Roman" w:hAnsi="Times New Roman" w:cs="Times New Roman"/>
              <w:sz w:val="24"/>
              <w:szCs w:val="24"/>
            </w:rPr>
            <w:fldChar w:fldCharType="begin"/>
          </w:r>
          <w:r w:rsidR="00B875E0">
            <w:rPr>
              <w:rFonts w:ascii="Times New Roman" w:hAnsi="Times New Roman" w:cs="Times New Roman"/>
              <w:sz w:val="24"/>
              <w:szCs w:val="24"/>
            </w:rPr>
            <w:instrText xml:space="preserve"> CITATION GOV21 \l 2057 </w:instrText>
          </w:r>
          <w:r w:rsidR="00B875E0">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[1]</w:t>
          </w:r>
          <w:r w:rsidR="00B875E0">
            <w:rPr>
              <w:rFonts w:ascii="Times New Roman" w:hAnsi="Times New Roman" w:cs="Times New Roman"/>
              <w:sz w:val="24"/>
              <w:szCs w:val="24"/>
            </w:rPr>
            <w:fldChar w:fldCharType="end"/>
          </w:r>
        </w:sdtContent>
      </w:sdt>
    </w:p>
    <w:p w14:paraId="31C55EC0" w14:textId="459B6F1E" w:rsidR="005D5338" w:rsidRDefault="002769BE" w:rsidP="008E56A5">
      <w:pPr>
        <w:rPr>
          <w:rFonts w:ascii="Times New Roman" w:hAnsi="Times New Roman" w:cs="Times New Roman"/>
          <w:sz w:val="24"/>
          <w:szCs w:val="24"/>
        </w:rPr>
      </w:pPr>
      <w:r>
        <w:rPr>
          <w:rFonts w:ascii="Times New Roman" w:hAnsi="Times New Roman" w:cs="Times New Roman"/>
          <w:sz w:val="24"/>
          <w:szCs w:val="24"/>
        </w:rPr>
        <w:t xml:space="preserve">The UK </w:t>
      </w:r>
      <w:r w:rsidR="002951FC">
        <w:rPr>
          <w:rFonts w:ascii="Times New Roman" w:hAnsi="Times New Roman" w:cs="Times New Roman"/>
          <w:sz w:val="24"/>
          <w:szCs w:val="24"/>
        </w:rPr>
        <w:t>General Data Protection Regulation (</w:t>
      </w:r>
      <w:r>
        <w:rPr>
          <w:rFonts w:ascii="Times New Roman" w:hAnsi="Times New Roman" w:cs="Times New Roman"/>
          <w:sz w:val="24"/>
          <w:szCs w:val="24"/>
        </w:rPr>
        <w:t>GDPR</w:t>
      </w:r>
      <w:r w:rsidR="002951FC">
        <w:rPr>
          <w:rFonts w:ascii="Times New Roman" w:hAnsi="Times New Roman" w:cs="Times New Roman"/>
          <w:sz w:val="24"/>
          <w:szCs w:val="24"/>
        </w:rPr>
        <w:t>)</w:t>
      </w:r>
      <w:r>
        <w:rPr>
          <w:rFonts w:ascii="Times New Roman" w:hAnsi="Times New Roman" w:cs="Times New Roman"/>
          <w:sz w:val="24"/>
          <w:szCs w:val="24"/>
        </w:rPr>
        <w:t xml:space="preserve"> sets out seven key principles:</w:t>
      </w:r>
    </w:p>
    <w:p w14:paraId="08EB0FBE" w14:textId="5A54A062"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Lawfulness, </w:t>
      </w:r>
      <w:r w:rsidR="00BE1980">
        <w:rPr>
          <w:rFonts w:ascii="Times New Roman" w:hAnsi="Times New Roman" w:cs="Times New Roman"/>
          <w:sz w:val="24"/>
          <w:szCs w:val="24"/>
        </w:rPr>
        <w:t>fairness,</w:t>
      </w:r>
      <w:r>
        <w:rPr>
          <w:rFonts w:ascii="Times New Roman" w:hAnsi="Times New Roman" w:cs="Times New Roman"/>
          <w:sz w:val="24"/>
          <w:szCs w:val="24"/>
        </w:rPr>
        <w:t xml:space="preserve"> and transparency</w:t>
      </w:r>
    </w:p>
    <w:p w14:paraId="255093F1" w14:textId="69EF4EE4"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Purpose limitation</w:t>
      </w:r>
    </w:p>
    <w:p w14:paraId="1CB26F0D" w14:textId="09CB62C7"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Data minimisation</w:t>
      </w:r>
    </w:p>
    <w:p w14:paraId="5A9920AB" w14:textId="124465A6"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Accuracy</w:t>
      </w:r>
    </w:p>
    <w:p w14:paraId="64FC5D94" w14:textId="4527E4A8"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Storage limitation</w:t>
      </w:r>
    </w:p>
    <w:p w14:paraId="267BD195" w14:textId="12FB34B8"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Integrity and confidentiality (security) </w:t>
      </w:r>
    </w:p>
    <w:p w14:paraId="4A2235C9" w14:textId="23755737" w:rsidR="002769BE" w:rsidRDefault="002769BE" w:rsidP="002769B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Accountability</w:t>
      </w:r>
    </w:p>
    <w:p w14:paraId="679F9C30" w14:textId="439FACDD" w:rsidR="002769BE" w:rsidRPr="002769BE" w:rsidRDefault="002769BE" w:rsidP="002769BE">
      <w:pPr>
        <w:rPr>
          <w:rFonts w:ascii="Times New Roman" w:hAnsi="Times New Roman" w:cs="Times New Roman"/>
          <w:sz w:val="24"/>
          <w:szCs w:val="24"/>
        </w:rPr>
      </w:pPr>
      <w:r>
        <w:rPr>
          <w:rFonts w:ascii="Times New Roman" w:hAnsi="Times New Roman" w:cs="Times New Roman"/>
          <w:sz w:val="24"/>
          <w:szCs w:val="24"/>
        </w:rPr>
        <w:t>These principles should be carefully considered</w:t>
      </w:r>
      <w:r w:rsidR="002951FC">
        <w:rPr>
          <w:rFonts w:ascii="Times New Roman" w:hAnsi="Times New Roman" w:cs="Times New Roman"/>
          <w:sz w:val="24"/>
          <w:szCs w:val="24"/>
        </w:rPr>
        <w:t xml:space="preserve"> in any approach to processing personal data and further information can be found in Article 5 of the UK GDPR. </w:t>
      </w:r>
      <w:sdt>
        <w:sdtPr>
          <w:rPr>
            <w:rFonts w:ascii="Times New Roman" w:hAnsi="Times New Roman" w:cs="Times New Roman"/>
            <w:sz w:val="24"/>
            <w:szCs w:val="24"/>
          </w:rPr>
          <w:id w:val="-1000576028"/>
          <w:citation/>
        </w:sdtPr>
        <w:sdtEndPr/>
        <w:sdtContent>
          <w:r w:rsidR="002951FC">
            <w:rPr>
              <w:rFonts w:ascii="Times New Roman" w:hAnsi="Times New Roman" w:cs="Times New Roman"/>
              <w:sz w:val="24"/>
              <w:szCs w:val="24"/>
            </w:rPr>
            <w:fldChar w:fldCharType="begin"/>
          </w:r>
          <w:r w:rsidR="002951FC">
            <w:rPr>
              <w:rFonts w:ascii="Times New Roman" w:hAnsi="Times New Roman" w:cs="Times New Roman"/>
              <w:sz w:val="24"/>
              <w:szCs w:val="24"/>
            </w:rPr>
            <w:instrText xml:space="preserve"> CITATION Inf21 \l 2057 </w:instrText>
          </w:r>
          <w:r w:rsidR="002951FC">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[2]</w:t>
          </w:r>
          <w:r w:rsidR="002951FC">
            <w:rPr>
              <w:rFonts w:ascii="Times New Roman" w:hAnsi="Times New Roman" w:cs="Times New Roman"/>
              <w:sz w:val="24"/>
              <w:szCs w:val="24"/>
            </w:rPr>
            <w:fldChar w:fldCharType="end"/>
          </w:r>
        </w:sdtContent>
      </w:sdt>
    </w:p>
    <w:p w14:paraId="04667FF0" w14:textId="472EFFF6" w:rsidR="00585187" w:rsidRDefault="002951FC" w:rsidP="008E56A5">
      <w:pPr>
        <w:rPr>
          <w:rFonts w:ascii="Times New Roman" w:hAnsi="Times New Roman" w:cs="Times New Roman"/>
          <w:sz w:val="24"/>
          <w:szCs w:val="24"/>
        </w:rPr>
      </w:pPr>
      <w:r>
        <w:rPr>
          <w:rFonts w:ascii="Times New Roman" w:hAnsi="Times New Roman" w:cs="Times New Roman"/>
          <w:sz w:val="24"/>
          <w:szCs w:val="24"/>
        </w:rPr>
        <w:t xml:space="preserve">Failure to comply with the principles of the UK GDPR </w:t>
      </w:r>
      <w:r w:rsidR="00AD05A7">
        <w:rPr>
          <w:rFonts w:ascii="Times New Roman" w:hAnsi="Times New Roman" w:cs="Times New Roman"/>
          <w:sz w:val="24"/>
          <w:szCs w:val="24"/>
        </w:rPr>
        <w:t xml:space="preserve">listed above, </w:t>
      </w:r>
      <w:r>
        <w:rPr>
          <w:rFonts w:ascii="Times New Roman" w:hAnsi="Times New Roman" w:cs="Times New Roman"/>
          <w:sz w:val="24"/>
          <w:szCs w:val="24"/>
        </w:rPr>
        <w:t>will result in a substantial fine depend</w:t>
      </w:r>
      <w:r w:rsidR="00BE1980">
        <w:rPr>
          <w:rFonts w:ascii="Times New Roman" w:hAnsi="Times New Roman" w:cs="Times New Roman"/>
          <w:sz w:val="24"/>
          <w:szCs w:val="24"/>
        </w:rPr>
        <w:t>in</w:t>
      </w:r>
      <w:r>
        <w:rPr>
          <w:rFonts w:ascii="Times New Roman" w:hAnsi="Times New Roman" w:cs="Times New Roman"/>
          <w:sz w:val="24"/>
          <w:szCs w:val="24"/>
        </w:rPr>
        <w:t>g on the breach</w:t>
      </w:r>
      <w:r w:rsidR="00585187">
        <w:rPr>
          <w:rFonts w:ascii="Times New Roman" w:hAnsi="Times New Roman" w:cs="Times New Roman"/>
          <w:sz w:val="24"/>
          <w:szCs w:val="24"/>
        </w:rPr>
        <w:t xml:space="preserve">. The UK GDPR and DPA 2018 set a maximum fine of £17.5 million or 4% of the company’s annual global turnover, whichever is greater, for GDPR infringements. </w:t>
      </w:r>
      <w:sdt>
        <w:sdtPr>
          <w:rPr>
            <w:rFonts w:ascii="Times New Roman" w:hAnsi="Times New Roman" w:cs="Times New Roman"/>
            <w:sz w:val="24"/>
            <w:szCs w:val="24"/>
          </w:rPr>
          <w:id w:val="262968919"/>
          <w:citation/>
        </w:sdtPr>
        <w:sdtEndPr/>
        <w:sdtContent>
          <w:r w:rsidR="00585187">
            <w:rPr>
              <w:rFonts w:ascii="Times New Roman" w:hAnsi="Times New Roman" w:cs="Times New Roman"/>
              <w:sz w:val="24"/>
              <w:szCs w:val="24"/>
            </w:rPr>
            <w:fldChar w:fldCharType="begin"/>
          </w:r>
          <w:r w:rsidR="00585187">
            <w:rPr>
              <w:rFonts w:ascii="Times New Roman" w:hAnsi="Times New Roman" w:cs="Times New Roman"/>
              <w:sz w:val="24"/>
              <w:szCs w:val="24"/>
            </w:rPr>
            <w:instrText xml:space="preserve"> CITATION itg21 \l 2057 </w:instrText>
          </w:r>
          <w:r w:rsidR="00585187">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[3]</w:t>
          </w:r>
          <w:r w:rsidR="00585187">
            <w:rPr>
              <w:rFonts w:ascii="Times New Roman" w:hAnsi="Times New Roman" w:cs="Times New Roman"/>
              <w:sz w:val="24"/>
              <w:szCs w:val="24"/>
            </w:rPr>
            <w:fldChar w:fldCharType="end"/>
          </w:r>
        </w:sdtContent>
      </w:sdt>
    </w:p>
    <w:p w14:paraId="0CA5C2F0" w14:textId="77777777" w:rsidR="00E1096E" w:rsidRDefault="00E1096E" w:rsidP="008E56A5">
      <w:pPr>
        <w:rPr>
          <w:rFonts w:ascii="Times New Roman" w:hAnsi="Times New Roman" w:cs="Times New Roman"/>
          <w:sz w:val="24"/>
          <w:szCs w:val="24"/>
        </w:rPr>
      </w:pPr>
      <w:r>
        <w:rPr>
          <w:rFonts w:ascii="Times New Roman" w:hAnsi="Times New Roman" w:cs="Times New Roman"/>
          <w:sz w:val="24"/>
          <w:szCs w:val="24"/>
        </w:rPr>
        <w:t xml:space="preserve">Not all GDPR infringements lead to a fine. The Information Commissioners Office (ICO) and other supervisory authorities can take a range of other actions including: </w:t>
      </w:r>
    </w:p>
    <w:p w14:paraId="0D1DACAA" w14:textId="798A19BA" w:rsidR="008E56A5" w:rsidRDefault="00E1096E" w:rsidP="00E1096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Issuing warnings and </w:t>
      </w:r>
      <w:proofErr w:type="gramStart"/>
      <w:r>
        <w:rPr>
          <w:rFonts w:ascii="Times New Roman" w:hAnsi="Times New Roman" w:cs="Times New Roman"/>
          <w:sz w:val="24"/>
          <w:szCs w:val="24"/>
        </w:rPr>
        <w:t>reprimands;</w:t>
      </w:r>
      <w:proofErr w:type="gramEnd"/>
    </w:p>
    <w:p w14:paraId="4209DDFF" w14:textId="189C17D5" w:rsidR="00E1096E" w:rsidRDefault="00E1096E" w:rsidP="00E1096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Imposing a temporary or permanent ban on data </w:t>
      </w:r>
      <w:proofErr w:type="gramStart"/>
      <w:r>
        <w:rPr>
          <w:rFonts w:ascii="Times New Roman" w:hAnsi="Times New Roman" w:cs="Times New Roman"/>
          <w:sz w:val="24"/>
          <w:szCs w:val="24"/>
        </w:rPr>
        <w:t>processing;</w:t>
      </w:r>
      <w:proofErr w:type="gramEnd"/>
    </w:p>
    <w:p w14:paraId="374AFA4E" w14:textId="33F48DF8" w:rsidR="00E1096E" w:rsidRDefault="00E1096E" w:rsidP="00E1096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Ordering the rectification, restriction, or erasure of data; and</w:t>
      </w:r>
    </w:p>
    <w:p w14:paraId="10A4D8A1" w14:textId="183486CF" w:rsidR="00AD05A7" w:rsidRPr="00E1096E" w:rsidRDefault="00E1096E" w:rsidP="008E56A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Suspending data transfers to third countries. </w:t>
      </w:r>
      <w:sdt>
        <w:sdtPr>
          <w:rPr>
            <w:rFonts w:ascii="Times New Roman" w:hAnsi="Times New Roman" w:cs="Times New Roman"/>
            <w:sz w:val="24"/>
            <w:szCs w:val="24"/>
          </w:rPr>
          <w:id w:val="114231322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itg21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342FDACE" w14:textId="77777777" w:rsidR="00AD05A7" w:rsidRDefault="00AD05A7" w:rsidP="008E56A5">
      <w:pPr>
        <w:rPr>
          <w:rFonts w:ascii="Times New Roman" w:hAnsi="Times New Roman" w:cs="Times New Roman"/>
          <w:sz w:val="24"/>
          <w:szCs w:val="24"/>
        </w:rPr>
      </w:pPr>
    </w:p>
    <w:p w14:paraId="4BC59FDC" w14:textId="14A68F0F" w:rsidR="008E56A5" w:rsidRDefault="008E56A5" w:rsidP="008E56A5">
      <w:pPr>
        <w:pStyle w:val="Heading1"/>
        <w:numPr>
          <w:ilvl w:val="0"/>
          <w:numId w:val="3"/>
        </w:numPr>
      </w:pPr>
      <w:bookmarkStart w:id="3" w:name="_Toc90573580"/>
      <w:r>
        <w:t>Report – FAO: Head of Information Governance</w:t>
      </w:r>
      <w:bookmarkEnd w:id="3"/>
    </w:p>
    <w:p w14:paraId="4D08B285" w14:textId="4F7EBE5F" w:rsidR="008E56A5" w:rsidRDefault="008E56A5" w:rsidP="008E56A5">
      <w:pPr>
        <w:rPr>
          <w:rFonts w:ascii="Times New Roman" w:hAnsi="Times New Roman" w:cs="Times New Roman"/>
          <w:sz w:val="24"/>
          <w:szCs w:val="24"/>
        </w:rPr>
      </w:pPr>
    </w:p>
    <w:p w14:paraId="4C5A2CD6" w14:textId="67FE2B33" w:rsidR="00AD05A7" w:rsidRDefault="00AD05A7" w:rsidP="008E56A5">
      <w:pPr>
        <w:rPr>
          <w:rFonts w:ascii="Times New Roman" w:hAnsi="Times New Roman" w:cs="Times New Roman"/>
          <w:sz w:val="24"/>
          <w:szCs w:val="24"/>
        </w:rPr>
      </w:pPr>
      <w:r>
        <w:rPr>
          <w:rFonts w:ascii="Times New Roman" w:hAnsi="Times New Roman" w:cs="Times New Roman"/>
          <w:sz w:val="24"/>
          <w:szCs w:val="24"/>
        </w:rPr>
        <w:t>FAO: Head of Information Governance</w:t>
      </w:r>
    </w:p>
    <w:p w14:paraId="1CCC24A3" w14:textId="348CD56B" w:rsidR="00BB43AC" w:rsidRDefault="00BB43AC" w:rsidP="008E56A5">
      <w:pPr>
        <w:rPr>
          <w:rFonts w:ascii="Times New Roman" w:hAnsi="Times New Roman" w:cs="Times New Roman"/>
          <w:sz w:val="24"/>
          <w:szCs w:val="24"/>
        </w:rPr>
      </w:pPr>
      <w:r>
        <w:rPr>
          <w:rFonts w:ascii="Times New Roman" w:hAnsi="Times New Roman" w:cs="Times New Roman"/>
          <w:sz w:val="24"/>
          <w:szCs w:val="24"/>
        </w:rPr>
        <w:t>Re: Data Breach Alert</w:t>
      </w:r>
    </w:p>
    <w:p w14:paraId="19E43F4B" w14:textId="77777777" w:rsidR="00BB43AC" w:rsidRDefault="00BB43AC" w:rsidP="008E56A5">
      <w:pPr>
        <w:rPr>
          <w:rFonts w:ascii="Times New Roman" w:hAnsi="Times New Roman" w:cs="Times New Roman"/>
          <w:sz w:val="24"/>
          <w:szCs w:val="24"/>
        </w:rPr>
      </w:pPr>
    </w:p>
    <w:p w14:paraId="4F234C27" w14:textId="77777777" w:rsidR="004D64F0" w:rsidRDefault="00AD05A7" w:rsidP="00DE7673">
      <w:pPr>
        <w:rPr>
          <w:rFonts w:ascii="Times New Roman" w:hAnsi="Times New Roman" w:cs="Times New Roman"/>
          <w:sz w:val="24"/>
          <w:szCs w:val="24"/>
        </w:rPr>
      </w:pPr>
      <w:r>
        <w:rPr>
          <w:rFonts w:ascii="Times New Roman" w:hAnsi="Times New Roman" w:cs="Times New Roman"/>
          <w:sz w:val="24"/>
          <w:szCs w:val="24"/>
        </w:rPr>
        <w:t xml:space="preserve">A </w:t>
      </w:r>
      <w:r w:rsidR="00410968">
        <w:rPr>
          <w:rFonts w:ascii="Times New Roman" w:hAnsi="Times New Roman" w:cs="Times New Roman"/>
          <w:sz w:val="24"/>
          <w:szCs w:val="24"/>
        </w:rPr>
        <w:t>D</w:t>
      </w:r>
      <w:r>
        <w:rPr>
          <w:rFonts w:ascii="Times New Roman" w:hAnsi="Times New Roman" w:cs="Times New Roman"/>
          <w:sz w:val="24"/>
          <w:szCs w:val="24"/>
        </w:rPr>
        <w:t xml:space="preserve">ata </w:t>
      </w:r>
      <w:r w:rsidR="00410968">
        <w:rPr>
          <w:rFonts w:ascii="Times New Roman" w:hAnsi="Times New Roman" w:cs="Times New Roman"/>
          <w:sz w:val="24"/>
          <w:szCs w:val="24"/>
        </w:rPr>
        <w:t>B</w:t>
      </w:r>
      <w:r>
        <w:rPr>
          <w:rFonts w:ascii="Times New Roman" w:hAnsi="Times New Roman" w:cs="Times New Roman"/>
          <w:sz w:val="24"/>
          <w:szCs w:val="24"/>
        </w:rPr>
        <w:t xml:space="preserve">reach has occurred involving the manager of </w:t>
      </w:r>
      <w:r w:rsidR="00410968">
        <w:rPr>
          <w:rFonts w:ascii="Times New Roman" w:hAnsi="Times New Roman" w:cs="Times New Roman"/>
          <w:sz w:val="24"/>
          <w:szCs w:val="24"/>
        </w:rPr>
        <w:t>N</w:t>
      </w:r>
      <w:r>
        <w:rPr>
          <w:rFonts w:ascii="Times New Roman" w:hAnsi="Times New Roman" w:cs="Times New Roman"/>
          <w:sz w:val="24"/>
          <w:szCs w:val="24"/>
        </w:rPr>
        <w:t>etworking</w:t>
      </w:r>
      <w:r w:rsidR="005944B2">
        <w:rPr>
          <w:rFonts w:ascii="Times New Roman" w:hAnsi="Times New Roman" w:cs="Times New Roman"/>
          <w:sz w:val="24"/>
          <w:szCs w:val="24"/>
        </w:rPr>
        <w:t xml:space="preserve">. The incident occurred </w:t>
      </w:r>
      <w:r w:rsidR="001936CC">
        <w:rPr>
          <w:rFonts w:ascii="Times New Roman" w:hAnsi="Times New Roman" w:cs="Times New Roman"/>
          <w:sz w:val="24"/>
          <w:szCs w:val="24"/>
        </w:rPr>
        <w:t>on Monday 16</w:t>
      </w:r>
      <w:r w:rsidR="001936CC" w:rsidRPr="001936CC">
        <w:rPr>
          <w:rFonts w:ascii="Times New Roman" w:hAnsi="Times New Roman" w:cs="Times New Roman"/>
          <w:sz w:val="24"/>
          <w:szCs w:val="24"/>
          <w:vertAlign w:val="superscript"/>
        </w:rPr>
        <w:t>th</w:t>
      </w:r>
      <w:r w:rsidR="001936CC">
        <w:rPr>
          <w:rFonts w:ascii="Times New Roman" w:hAnsi="Times New Roman" w:cs="Times New Roman"/>
          <w:sz w:val="24"/>
          <w:szCs w:val="24"/>
        </w:rPr>
        <w:t xml:space="preserve"> </w:t>
      </w:r>
      <w:r w:rsidR="001A324C">
        <w:rPr>
          <w:rFonts w:ascii="Times New Roman" w:hAnsi="Times New Roman" w:cs="Times New Roman"/>
          <w:sz w:val="24"/>
          <w:szCs w:val="24"/>
        </w:rPr>
        <w:t xml:space="preserve">October 2021 at 9.45am, </w:t>
      </w:r>
      <w:r w:rsidR="005944B2">
        <w:rPr>
          <w:rFonts w:ascii="Times New Roman" w:hAnsi="Times New Roman" w:cs="Times New Roman"/>
          <w:sz w:val="24"/>
          <w:szCs w:val="24"/>
        </w:rPr>
        <w:t xml:space="preserve">when the manager attached a document containing the emails and addresses of </w:t>
      </w:r>
      <w:r w:rsidR="001936CC">
        <w:rPr>
          <w:rFonts w:ascii="Times New Roman" w:hAnsi="Times New Roman" w:cs="Times New Roman"/>
          <w:sz w:val="24"/>
          <w:szCs w:val="24"/>
        </w:rPr>
        <w:t xml:space="preserve">some of </w:t>
      </w:r>
      <w:r w:rsidR="005944B2">
        <w:rPr>
          <w:rFonts w:ascii="Times New Roman" w:hAnsi="Times New Roman" w:cs="Times New Roman"/>
          <w:sz w:val="24"/>
          <w:szCs w:val="24"/>
        </w:rPr>
        <w:t xml:space="preserve">their staff </w:t>
      </w:r>
      <w:r w:rsidR="00410968">
        <w:rPr>
          <w:rFonts w:ascii="Times New Roman" w:hAnsi="Times New Roman" w:cs="Times New Roman"/>
          <w:sz w:val="24"/>
          <w:szCs w:val="24"/>
        </w:rPr>
        <w:t xml:space="preserve">members </w:t>
      </w:r>
      <w:r w:rsidR="005944B2">
        <w:rPr>
          <w:rFonts w:ascii="Times New Roman" w:hAnsi="Times New Roman" w:cs="Times New Roman"/>
          <w:sz w:val="24"/>
          <w:szCs w:val="24"/>
        </w:rPr>
        <w:t>to a</w:t>
      </w:r>
      <w:r w:rsidR="00410968">
        <w:rPr>
          <w:rFonts w:ascii="Times New Roman" w:hAnsi="Times New Roman" w:cs="Times New Roman"/>
          <w:sz w:val="24"/>
          <w:szCs w:val="24"/>
        </w:rPr>
        <w:t>n unknown</w:t>
      </w:r>
      <w:r w:rsidR="005944B2">
        <w:rPr>
          <w:rFonts w:ascii="Times New Roman" w:hAnsi="Times New Roman" w:cs="Times New Roman"/>
          <w:sz w:val="24"/>
          <w:szCs w:val="24"/>
        </w:rPr>
        <w:t xml:space="preserve"> member of the public.</w:t>
      </w:r>
      <w:r w:rsidR="001A324C">
        <w:rPr>
          <w:rFonts w:ascii="Times New Roman" w:hAnsi="Times New Roman" w:cs="Times New Roman"/>
          <w:sz w:val="24"/>
          <w:szCs w:val="24"/>
        </w:rPr>
        <w:t xml:space="preserve"> </w:t>
      </w:r>
      <w:r w:rsidR="0039036C">
        <w:rPr>
          <w:rFonts w:ascii="Times New Roman" w:hAnsi="Times New Roman" w:cs="Times New Roman"/>
          <w:sz w:val="24"/>
          <w:szCs w:val="24"/>
        </w:rPr>
        <w:t xml:space="preserve">A recall message for the email was sent within 5 minutes of </w:t>
      </w:r>
      <w:r w:rsidR="004D64F0">
        <w:rPr>
          <w:rFonts w:ascii="Times New Roman" w:hAnsi="Times New Roman" w:cs="Times New Roman"/>
          <w:sz w:val="24"/>
          <w:szCs w:val="24"/>
        </w:rPr>
        <w:t xml:space="preserve">the initial email being sent out, which was successful. </w:t>
      </w:r>
    </w:p>
    <w:p w14:paraId="6101E01C" w14:textId="4F850CFB" w:rsidR="00410968" w:rsidRDefault="005944B2" w:rsidP="00DE7673">
      <w:pPr>
        <w:rPr>
          <w:rFonts w:ascii="Times New Roman" w:hAnsi="Times New Roman" w:cs="Times New Roman"/>
          <w:sz w:val="24"/>
          <w:szCs w:val="24"/>
        </w:rPr>
      </w:pPr>
      <w:r>
        <w:rPr>
          <w:rFonts w:ascii="Times New Roman" w:hAnsi="Times New Roman" w:cs="Times New Roman"/>
          <w:sz w:val="24"/>
          <w:szCs w:val="24"/>
        </w:rPr>
        <w:t xml:space="preserve">After </w:t>
      </w:r>
      <w:r w:rsidR="001A324C">
        <w:rPr>
          <w:rFonts w:ascii="Times New Roman" w:hAnsi="Times New Roman" w:cs="Times New Roman"/>
          <w:sz w:val="24"/>
          <w:szCs w:val="24"/>
        </w:rPr>
        <w:t>discussing the incident with the manager</w:t>
      </w:r>
      <w:r>
        <w:rPr>
          <w:rFonts w:ascii="Times New Roman" w:hAnsi="Times New Roman" w:cs="Times New Roman"/>
          <w:sz w:val="24"/>
          <w:szCs w:val="24"/>
        </w:rPr>
        <w:t>,</w:t>
      </w:r>
      <w:r w:rsidR="001A324C">
        <w:rPr>
          <w:rFonts w:ascii="Times New Roman" w:hAnsi="Times New Roman" w:cs="Times New Roman"/>
          <w:sz w:val="24"/>
          <w:szCs w:val="24"/>
        </w:rPr>
        <w:t xml:space="preserve"> he said that the incident was accidental, and he was supposed to have attached a leaflet to the email for the member of the public. </w:t>
      </w:r>
      <w:r w:rsidR="004D64F0">
        <w:rPr>
          <w:rFonts w:ascii="Times New Roman" w:hAnsi="Times New Roman" w:cs="Times New Roman"/>
          <w:sz w:val="24"/>
          <w:szCs w:val="24"/>
        </w:rPr>
        <w:t>F</w:t>
      </w:r>
      <w:r w:rsidR="00D84E4A">
        <w:rPr>
          <w:rFonts w:ascii="Times New Roman" w:hAnsi="Times New Roman" w:cs="Times New Roman"/>
          <w:sz w:val="24"/>
          <w:szCs w:val="24"/>
        </w:rPr>
        <w:t>urther investigation</w:t>
      </w:r>
      <w:r w:rsidR="004D64F0">
        <w:rPr>
          <w:rFonts w:ascii="Times New Roman" w:hAnsi="Times New Roman" w:cs="Times New Roman"/>
          <w:sz w:val="24"/>
          <w:szCs w:val="24"/>
        </w:rPr>
        <w:t xml:space="preserve"> </w:t>
      </w:r>
      <w:r>
        <w:rPr>
          <w:rFonts w:ascii="Times New Roman" w:hAnsi="Times New Roman" w:cs="Times New Roman"/>
          <w:sz w:val="24"/>
          <w:szCs w:val="24"/>
        </w:rPr>
        <w:t>found that the manage</w:t>
      </w:r>
      <w:r w:rsidR="005C536C">
        <w:rPr>
          <w:rFonts w:ascii="Times New Roman" w:hAnsi="Times New Roman" w:cs="Times New Roman"/>
          <w:sz w:val="24"/>
          <w:szCs w:val="24"/>
        </w:rPr>
        <w:t>r</w:t>
      </w:r>
      <w:r>
        <w:rPr>
          <w:rFonts w:ascii="Times New Roman" w:hAnsi="Times New Roman" w:cs="Times New Roman"/>
          <w:sz w:val="24"/>
          <w:szCs w:val="24"/>
        </w:rPr>
        <w:t xml:space="preserve"> in question has also breached</w:t>
      </w:r>
      <w:r w:rsidR="00410968">
        <w:rPr>
          <w:rFonts w:ascii="Times New Roman" w:hAnsi="Times New Roman" w:cs="Times New Roman"/>
          <w:sz w:val="24"/>
          <w:szCs w:val="24"/>
        </w:rPr>
        <w:t xml:space="preserve"> several</w:t>
      </w:r>
      <w:r>
        <w:rPr>
          <w:rFonts w:ascii="Times New Roman" w:hAnsi="Times New Roman" w:cs="Times New Roman"/>
          <w:sz w:val="24"/>
          <w:szCs w:val="24"/>
        </w:rPr>
        <w:t xml:space="preserve"> </w:t>
      </w:r>
      <w:r w:rsidR="00D84E4A">
        <w:rPr>
          <w:rFonts w:ascii="Times New Roman" w:hAnsi="Times New Roman" w:cs="Times New Roman"/>
          <w:sz w:val="24"/>
          <w:szCs w:val="24"/>
        </w:rPr>
        <w:t xml:space="preserve">other </w:t>
      </w:r>
      <w:r>
        <w:rPr>
          <w:rFonts w:ascii="Times New Roman" w:hAnsi="Times New Roman" w:cs="Times New Roman"/>
          <w:sz w:val="24"/>
          <w:szCs w:val="24"/>
        </w:rPr>
        <w:t>organisational policies</w:t>
      </w:r>
      <w:r w:rsidR="00D84E4A">
        <w:rPr>
          <w:rFonts w:ascii="Times New Roman" w:hAnsi="Times New Roman" w:cs="Times New Roman"/>
          <w:sz w:val="24"/>
          <w:szCs w:val="24"/>
        </w:rPr>
        <w:t xml:space="preserve"> listed below.</w:t>
      </w:r>
    </w:p>
    <w:p w14:paraId="6AE31CD1" w14:textId="31907C54" w:rsidR="00410968" w:rsidRDefault="00410968" w:rsidP="00DE7673">
      <w:pPr>
        <w:rPr>
          <w:rFonts w:ascii="Times New Roman" w:hAnsi="Times New Roman" w:cs="Times New Roman"/>
          <w:sz w:val="24"/>
          <w:szCs w:val="24"/>
        </w:rPr>
      </w:pPr>
      <w:r>
        <w:rPr>
          <w:rFonts w:ascii="Times New Roman" w:hAnsi="Times New Roman" w:cs="Times New Roman"/>
          <w:sz w:val="24"/>
          <w:szCs w:val="24"/>
        </w:rPr>
        <w:t xml:space="preserve">The </w:t>
      </w:r>
      <w:r w:rsidR="001936CC">
        <w:rPr>
          <w:rFonts w:ascii="Times New Roman" w:hAnsi="Times New Roman" w:cs="Times New Roman"/>
          <w:sz w:val="24"/>
          <w:szCs w:val="24"/>
        </w:rPr>
        <w:t>n</w:t>
      </w:r>
      <w:r>
        <w:rPr>
          <w:rFonts w:ascii="Times New Roman" w:hAnsi="Times New Roman" w:cs="Times New Roman"/>
          <w:sz w:val="24"/>
          <w:szCs w:val="24"/>
        </w:rPr>
        <w:t xml:space="preserve">etworking manager </w:t>
      </w:r>
      <w:r w:rsidR="00153697">
        <w:rPr>
          <w:rFonts w:ascii="Times New Roman" w:hAnsi="Times New Roman" w:cs="Times New Roman"/>
          <w:sz w:val="24"/>
          <w:szCs w:val="24"/>
        </w:rPr>
        <w:t xml:space="preserve">also </w:t>
      </w:r>
      <w:r>
        <w:rPr>
          <w:rFonts w:ascii="Times New Roman" w:hAnsi="Times New Roman" w:cs="Times New Roman"/>
          <w:sz w:val="24"/>
          <w:szCs w:val="24"/>
        </w:rPr>
        <w:t>had various scanned copies of staff sick notes and occupational health reports stored on his desktop. The reason given was so tasks can be completed more efficiently</w:t>
      </w:r>
      <w:r w:rsidR="004D64F0">
        <w:rPr>
          <w:rFonts w:ascii="Times New Roman" w:hAnsi="Times New Roman" w:cs="Times New Roman"/>
          <w:sz w:val="24"/>
          <w:szCs w:val="24"/>
        </w:rPr>
        <w:t xml:space="preserve"> instead of having to export a copy of the information from the employee system, which takes a while and requires logging into several systems</w:t>
      </w:r>
      <w:r>
        <w:rPr>
          <w:rFonts w:ascii="Times New Roman" w:hAnsi="Times New Roman" w:cs="Times New Roman"/>
          <w:sz w:val="24"/>
          <w:szCs w:val="24"/>
        </w:rPr>
        <w:t>.</w:t>
      </w:r>
      <w:r w:rsidR="00153697">
        <w:rPr>
          <w:rFonts w:ascii="Times New Roman" w:hAnsi="Times New Roman" w:cs="Times New Roman"/>
          <w:sz w:val="24"/>
          <w:szCs w:val="24"/>
        </w:rPr>
        <w:t xml:space="preserve"> These documents were not removed once the task had been completed and have been sat longer than required on the desktop</w:t>
      </w:r>
      <w:r w:rsidR="004D64F0">
        <w:rPr>
          <w:rFonts w:ascii="Times New Roman" w:hAnsi="Times New Roman" w:cs="Times New Roman"/>
          <w:sz w:val="24"/>
          <w:szCs w:val="24"/>
        </w:rPr>
        <w:t>.</w:t>
      </w:r>
    </w:p>
    <w:p w14:paraId="1AB53E4E" w14:textId="52C409B0" w:rsidR="00410968" w:rsidRDefault="00410968" w:rsidP="00DE7673">
      <w:pPr>
        <w:rPr>
          <w:rFonts w:ascii="Times New Roman" w:hAnsi="Times New Roman" w:cs="Times New Roman"/>
          <w:sz w:val="24"/>
          <w:szCs w:val="24"/>
        </w:rPr>
      </w:pPr>
      <w:r>
        <w:rPr>
          <w:rFonts w:ascii="Times New Roman" w:hAnsi="Times New Roman" w:cs="Times New Roman"/>
          <w:sz w:val="24"/>
          <w:szCs w:val="24"/>
        </w:rPr>
        <w:t xml:space="preserve">Of the </w:t>
      </w:r>
      <w:r w:rsidR="00282AFB">
        <w:rPr>
          <w:rFonts w:ascii="Times New Roman" w:hAnsi="Times New Roman" w:cs="Times New Roman"/>
          <w:sz w:val="24"/>
          <w:szCs w:val="24"/>
        </w:rPr>
        <w:t>s</w:t>
      </w:r>
      <w:r>
        <w:rPr>
          <w:rFonts w:ascii="Times New Roman" w:hAnsi="Times New Roman" w:cs="Times New Roman"/>
          <w:sz w:val="24"/>
          <w:szCs w:val="24"/>
        </w:rPr>
        <w:t xml:space="preserve">even Key Principles of the UK GDPR, the following are found to have been breached: </w:t>
      </w:r>
    </w:p>
    <w:p w14:paraId="00C1A8F7" w14:textId="5AD522A1" w:rsidR="00410968" w:rsidRDefault="00F9266C" w:rsidP="0041096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Lawfulness, </w:t>
      </w:r>
      <w:r w:rsidR="00282AFB">
        <w:rPr>
          <w:rFonts w:ascii="Times New Roman" w:hAnsi="Times New Roman" w:cs="Times New Roman"/>
          <w:sz w:val="24"/>
          <w:szCs w:val="24"/>
        </w:rPr>
        <w:t>fairness,</w:t>
      </w:r>
      <w:r>
        <w:rPr>
          <w:rFonts w:ascii="Times New Roman" w:hAnsi="Times New Roman" w:cs="Times New Roman"/>
          <w:sz w:val="24"/>
          <w:szCs w:val="24"/>
        </w:rPr>
        <w:t xml:space="preserve"> and transparency</w:t>
      </w:r>
      <w:r>
        <w:rPr>
          <w:rFonts w:ascii="Times New Roman" w:hAnsi="Times New Roman" w:cs="Times New Roman"/>
          <w:sz w:val="24"/>
          <w:szCs w:val="24"/>
        </w:rPr>
        <w:br/>
        <w:t>(The Data should not be stored on personal machines and should be stored in accordance with the law)</w:t>
      </w:r>
    </w:p>
    <w:p w14:paraId="140671E5" w14:textId="65F42F7B" w:rsidR="00F9266C" w:rsidRDefault="00F9266C" w:rsidP="0041096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Purpose Limitation</w:t>
      </w:r>
      <w:r>
        <w:rPr>
          <w:rFonts w:ascii="Times New Roman" w:hAnsi="Times New Roman" w:cs="Times New Roman"/>
          <w:sz w:val="24"/>
          <w:szCs w:val="24"/>
        </w:rPr>
        <w:br/>
        <w:t>(The Data is not being used for the intended purpose by keeping it available longer than required)</w:t>
      </w:r>
    </w:p>
    <w:p w14:paraId="5AA6E6A7" w14:textId="0F7B671B" w:rsidR="00F9266C" w:rsidRDefault="00F9266C" w:rsidP="0041096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Storage Limitation</w:t>
      </w:r>
      <w:r>
        <w:rPr>
          <w:rFonts w:ascii="Times New Roman" w:hAnsi="Times New Roman" w:cs="Times New Roman"/>
          <w:sz w:val="24"/>
          <w:szCs w:val="24"/>
        </w:rPr>
        <w:br/>
        <w:t>(The Data has been stored long after its intended use)</w:t>
      </w:r>
    </w:p>
    <w:p w14:paraId="34E6C963" w14:textId="5A5701CB" w:rsidR="00F9266C" w:rsidRPr="00F9266C" w:rsidRDefault="00F9266C" w:rsidP="00F9266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Accountability</w:t>
      </w:r>
      <w:r>
        <w:rPr>
          <w:rFonts w:ascii="Times New Roman" w:hAnsi="Times New Roman" w:cs="Times New Roman"/>
          <w:sz w:val="24"/>
          <w:szCs w:val="24"/>
        </w:rPr>
        <w:br/>
        <w:t>(A Breach has occurred</w:t>
      </w:r>
      <w:r w:rsidRPr="00F9266C">
        <w:rPr>
          <w:rFonts w:ascii="Times New Roman" w:hAnsi="Times New Roman" w:cs="Times New Roman"/>
          <w:sz w:val="24"/>
          <w:szCs w:val="24"/>
        </w:rPr>
        <w:t xml:space="preserve"> indicating that there is non-compliance of GDPR within the Organisation)</w:t>
      </w:r>
    </w:p>
    <w:p w14:paraId="1D25781B" w14:textId="08F97F79" w:rsidR="008E56A5" w:rsidRDefault="00F9266C" w:rsidP="00DE7673">
      <w:pPr>
        <w:rPr>
          <w:rFonts w:ascii="Times New Roman" w:hAnsi="Times New Roman" w:cs="Times New Roman"/>
          <w:sz w:val="24"/>
          <w:szCs w:val="24"/>
        </w:rPr>
      </w:pPr>
      <w:r>
        <w:rPr>
          <w:rFonts w:ascii="Times New Roman" w:hAnsi="Times New Roman" w:cs="Times New Roman"/>
          <w:sz w:val="24"/>
          <w:szCs w:val="24"/>
        </w:rPr>
        <w:t>The</w:t>
      </w:r>
      <w:r w:rsidR="00BF47B0">
        <w:rPr>
          <w:rFonts w:ascii="Times New Roman" w:hAnsi="Times New Roman" w:cs="Times New Roman"/>
          <w:sz w:val="24"/>
          <w:szCs w:val="24"/>
        </w:rPr>
        <w:t>re are various organisational policies in place that employees are required to follow to prevent any data breaches, these are:</w:t>
      </w:r>
    </w:p>
    <w:p w14:paraId="669BF489" w14:textId="6008111F" w:rsidR="00BF47B0" w:rsidRDefault="00BF47B0"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IG Risk Register </w:t>
      </w:r>
      <w:sdt>
        <w:sdtPr>
          <w:rPr>
            <w:rFonts w:ascii="Times New Roman" w:hAnsi="Times New Roman" w:cs="Times New Roman"/>
            <w:sz w:val="24"/>
            <w:szCs w:val="24"/>
          </w:rPr>
          <w:id w:val="-6110458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14:paraId="54D03B03" w14:textId="34C942F8" w:rsidR="00BF47B0" w:rsidRDefault="00BF47B0"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Right to be Informed </w:t>
      </w:r>
      <w:sdt>
        <w:sdtPr>
          <w:rPr>
            <w:rFonts w:ascii="Times New Roman" w:hAnsi="Times New Roman" w:cs="Times New Roman"/>
            <w:sz w:val="24"/>
            <w:szCs w:val="24"/>
          </w:rPr>
          <w:id w:val="-17999847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Dig211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[5]</w:t>
          </w:r>
          <w:r>
            <w:rPr>
              <w:rFonts w:ascii="Times New Roman" w:hAnsi="Times New Roman" w:cs="Times New Roman"/>
              <w:sz w:val="24"/>
              <w:szCs w:val="24"/>
            </w:rPr>
            <w:fldChar w:fldCharType="end"/>
          </w:r>
        </w:sdtContent>
      </w:sdt>
    </w:p>
    <w:p w14:paraId="0B7AA942" w14:textId="3BE2894B" w:rsidR="00BF47B0" w:rsidRDefault="00812BAC"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Retention Schedules, Secure Destruction and Disposal </w:t>
      </w:r>
      <w:sdt>
        <w:sdtPr>
          <w:rPr>
            <w:rFonts w:ascii="Times New Roman" w:hAnsi="Times New Roman" w:cs="Times New Roman"/>
            <w:sz w:val="24"/>
            <w:szCs w:val="24"/>
          </w:rPr>
          <w:id w:val="12333534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Dig212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[6]</w:t>
          </w:r>
          <w:r>
            <w:rPr>
              <w:rFonts w:ascii="Times New Roman" w:hAnsi="Times New Roman" w:cs="Times New Roman"/>
              <w:sz w:val="24"/>
              <w:szCs w:val="24"/>
            </w:rPr>
            <w:fldChar w:fldCharType="end"/>
          </w:r>
        </w:sdtContent>
      </w:sdt>
    </w:p>
    <w:p w14:paraId="75EAB145" w14:textId="5C1C7069" w:rsidR="00812BAC" w:rsidRDefault="00812BAC"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Physical Security Measures </w:t>
      </w:r>
      <w:sdt>
        <w:sdtPr>
          <w:rPr>
            <w:rFonts w:ascii="Times New Roman" w:hAnsi="Times New Roman" w:cs="Times New Roman"/>
            <w:sz w:val="24"/>
            <w:szCs w:val="24"/>
          </w:rPr>
          <w:id w:val="-6285429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Dig213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0D0B789D" w14:textId="7534163F" w:rsidR="00812BAC" w:rsidRDefault="00812BAC"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Information Asset Register </w:t>
      </w:r>
      <w:sdt>
        <w:sdtPr>
          <w:rPr>
            <w:rFonts w:ascii="Times New Roman" w:hAnsi="Times New Roman" w:cs="Times New Roman"/>
            <w:sz w:val="24"/>
            <w:szCs w:val="24"/>
          </w:rPr>
          <w:id w:val="5844585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Dig214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14:paraId="68B4AAF8" w14:textId="69ABFFF0" w:rsidR="00F55A28" w:rsidRDefault="00F55A28"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Reporting Data Breaches </w:t>
      </w:r>
      <w:sdt>
        <w:sdtPr>
          <w:rPr>
            <w:rFonts w:ascii="Times New Roman" w:hAnsi="Times New Roman" w:cs="Times New Roman"/>
            <w:sz w:val="24"/>
            <w:szCs w:val="24"/>
          </w:rPr>
          <w:id w:val="-11645504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Dig215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[9]</w:t>
          </w:r>
          <w:r>
            <w:rPr>
              <w:rFonts w:ascii="Times New Roman" w:hAnsi="Times New Roman" w:cs="Times New Roman"/>
              <w:sz w:val="24"/>
              <w:szCs w:val="24"/>
            </w:rPr>
            <w:fldChar w:fldCharType="end"/>
          </w:r>
        </w:sdtContent>
      </w:sdt>
    </w:p>
    <w:p w14:paraId="5AB71504" w14:textId="7C951BFA" w:rsidR="00F55A28" w:rsidRDefault="00F55A28" w:rsidP="00BF47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Incident Management and Reporting Data Breaches </w:t>
      </w:r>
      <w:sdt>
        <w:sdtPr>
          <w:rPr>
            <w:rFonts w:ascii="Times New Roman" w:hAnsi="Times New Roman" w:cs="Times New Roman"/>
            <w:sz w:val="24"/>
            <w:szCs w:val="24"/>
          </w:rPr>
          <w:id w:val="17076832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Dig216 \l 2057 </w:instrText>
          </w:r>
          <w:r>
            <w:rPr>
              <w:rFonts w:ascii="Times New Roman" w:hAnsi="Times New Roman" w:cs="Times New Roman"/>
              <w:sz w:val="24"/>
              <w:szCs w:val="24"/>
            </w:rPr>
            <w:fldChar w:fldCharType="separate"/>
          </w:r>
          <w:r w:rsidR="00504A04" w:rsidRPr="00504A04">
            <w:rPr>
              <w:rFonts w:ascii="Times New Roman" w:hAnsi="Times New Roman" w:cs="Times New Roman"/>
              <w:noProof/>
              <w:sz w:val="24"/>
              <w:szCs w:val="24"/>
            </w:rPr>
            <w:t>[10]</w:t>
          </w:r>
          <w:r>
            <w:rPr>
              <w:rFonts w:ascii="Times New Roman" w:hAnsi="Times New Roman" w:cs="Times New Roman"/>
              <w:sz w:val="24"/>
              <w:szCs w:val="24"/>
            </w:rPr>
            <w:fldChar w:fldCharType="end"/>
          </w:r>
        </w:sdtContent>
      </w:sdt>
    </w:p>
    <w:p w14:paraId="214BC02F" w14:textId="7794816C" w:rsidR="00F9266C" w:rsidRDefault="00F55A28" w:rsidP="00DE7673">
      <w:pPr>
        <w:rPr>
          <w:rFonts w:ascii="Times New Roman" w:hAnsi="Times New Roman" w:cs="Times New Roman"/>
          <w:sz w:val="24"/>
          <w:szCs w:val="24"/>
        </w:rPr>
      </w:pPr>
      <w:r>
        <w:rPr>
          <w:rFonts w:ascii="Times New Roman" w:hAnsi="Times New Roman" w:cs="Times New Roman"/>
          <w:sz w:val="24"/>
          <w:szCs w:val="24"/>
        </w:rPr>
        <w:t xml:space="preserve">The Incident Management and Reporting Data Breaches Policy states that: </w:t>
      </w:r>
    </w:p>
    <w:p w14:paraId="1900C75D" w14:textId="77777777" w:rsidR="00F55A28" w:rsidRDefault="00F55A28" w:rsidP="00F55A28">
      <w:pPr>
        <w:pStyle w:val="NormalWeb"/>
        <w:shd w:val="clear" w:color="auto" w:fill="FFFFFF"/>
        <w:spacing w:before="0" w:beforeAutospacing="0"/>
        <w:rPr>
          <w:rFonts w:ascii="Segoe UI" w:hAnsi="Segoe UI" w:cs="Segoe UI"/>
          <w:color w:val="212529"/>
        </w:rPr>
      </w:pPr>
      <w:r>
        <w:t>“</w:t>
      </w:r>
      <w:r w:rsidRPr="00F55A28">
        <w:rPr>
          <w:rFonts w:eastAsiaTheme="minorHAnsi"/>
          <w:lang w:eastAsia="en-US"/>
        </w:rPr>
        <w:t xml:space="preserve">A personal data breach (information incident) means a breach of security leading to the accidental or unlawful destruction, loss, alteration, unauthorised disclosure of, or access to personal data. This includes breaches that are the result of both accidental and deliberate causes. It also means that a breach is more than just about losing personal data. All incidents and near misses should be reported, </w:t>
      </w:r>
      <w:proofErr w:type="gramStart"/>
      <w:r w:rsidRPr="00F55A28">
        <w:rPr>
          <w:rFonts w:eastAsiaTheme="minorHAnsi"/>
          <w:lang w:eastAsia="en-US"/>
        </w:rPr>
        <w:t>recorded</w:t>
      </w:r>
      <w:proofErr w:type="gramEnd"/>
      <w:r w:rsidRPr="00F55A28">
        <w:rPr>
          <w:rFonts w:eastAsiaTheme="minorHAnsi"/>
          <w:lang w:eastAsia="en-US"/>
        </w:rPr>
        <w:t xml:space="preserve"> and appropriately managed so that where incidents do occur, the damage from them is minimised and lessons are learnt from them.</w:t>
      </w:r>
    </w:p>
    <w:p w14:paraId="4DECEABD" w14:textId="77777777" w:rsidR="00F55A28" w:rsidRPr="00F55A28" w:rsidRDefault="00F55A28" w:rsidP="00F55A28">
      <w:pPr>
        <w:pStyle w:val="NormalWeb"/>
        <w:shd w:val="clear" w:color="auto" w:fill="FFFFFF"/>
        <w:spacing w:before="240" w:beforeAutospacing="0" w:after="240" w:afterAutospacing="0"/>
        <w:rPr>
          <w:rFonts w:eastAsiaTheme="minorHAnsi"/>
          <w:lang w:eastAsia="en-US"/>
        </w:rPr>
      </w:pPr>
      <w:r w:rsidRPr="00F55A28">
        <w:rPr>
          <w:rFonts w:eastAsiaTheme="minorHAnsi"/>
          <w:lang w:eastAsia="en-US"/>
        </w:rPr>
        <w:t>The organisation should be aware that the GDPR has introduced a duty on all organisations to report certain types of data breaches to the Information Commissioner’s Office (ICO) and the individuals affected. If the organisation experiences a personal data breach you need to consider whether this poses a risk to people. You will need to consider the likelihood and severity of the risk to the rights and freedoms of individuals following the breach.</w:t>
      </w:r>
    </w:p>
    <w:p w14:paraId="2D63B476" w14:textId="25D29250" w:rsidR="00F55A28" w:rsidRDefault="00F55A28" w:rsidP="00F55A28">
      <w:pPr>
        <w:pStyle w:val="NormalWeb"/>
        <w:shd w:val="clear" w:color="auto" w:fill="FFFFFF"/>
        <w:spacing w:before="240" w:beforeAutospacing="0" w:after="240" w:afterAutospacing="0"/>
        <w:rPr>
          <w:rFonts w:eastAsiaTheme="minorHAnsi"/>
          <w:lang w:eastAsia="en-US"/>
        </w:rPr>
      </w:pPr>
      <w:r w:rsidRPr="00F55A28">
        <w:rPr>
          <w:rFonts w:eastAsiaTheme="minorHAnsi"/>
          <w:lang w:eastAsia="en-US"/>
        </w:rPr>
        <w:t>Certain incidents must be reported within 72 hours of the organisation becoming aware of the breach. If the breach is likely to result in a high risk of adversely affecting individuals’ rights and freedoms, you must also inform those individuals without undue delay.</w:t>
      </w:r>
      <w:r>
        <w:rPr>
          <w:rFonts w:eastAsiaTheme="minorHAnsi"/>
          <w:lang w:eastAsia="en-US"/>
        </w:rPr>
        <w:t xml:space="preserve">” </w:t>
      </w:r>
      <w:sdt>
        <w:sdtPr>
          <w:rPr>
            <w:rFonts w:eastAsiaTheme="minorHAnsi"/>
            <w:lang w:eastAsia="en-US"/>
          </w:rPr>
          <w:id w:val="156509161"/>
          <w:citation/>
        </w:sdtPr>
        <w:sdtEndPr/>
        <w:sdtContent>
          <w:r>
            <w:rPr>
              <w:rFonts w:eastAsiaTheme="minorHAnsi"/>
              <w:lang w:eastAsia="en-US"/>
            </w:rPr>
            <w:fldChar w:fldCharType="begin"/>
          </w:r>
          <w:r>
            <w:rPr>
              <w:rFonts w:eastAsiaTheme="minorHAnsi"/>
              <w:lang w:eastAsia="en-US"/>
            </w:rPr>
            <w:instrText xml:space="preserve"> CITATION Dig216 \l 2057 </w:instrText>
          </w:r>
          <w:r>
            <w:rPr>
              <w:rFonts w:eastAsiaTheme="minorHAnsi"/>
              <w:lang w:eastAsia="en-US"/>
            </w:rPr>
            <w:fldChar w:fldCharType="separate"/>
          </w:r>
          <w:r w:rsidR="00504A04" w:rsidRPr="00504A04">
            <w:rPr>
              <w:rFonts w:eastAsiaTheme="minorHAnsi"/>
              <w:noProof/>
              <w:lang w:eastAsia="en-US"/>
            </w:rPr>
            <w:t>[10]</w:t>
          </w:r>
          <w:r>
            <w:rPr>
              <w:rFonts w:eastAsiaTheme="minorHAnsi"/>
              <w:lang w:eastAsia="en-US"/>
            </w:rPr>
            <w:fldChar w:fldCharType="end"/>
          </w:r>
        </w:sdtContent>
      </w:sdt>
    </w:p>
    <w:p w14:paraId="0A38D6DC" w14:textId="1105D131" w:rsidR="00BE1980" w:rsidRDefault="00153697" w:rsidP="00F55A28">
      <w:pPr>
        <w:pStyle w:val="NormalWeb"/>
        <w:shd w:val="clear" w:color="auto" w:fill="FFFFFF"/>
        <w:spacing w:before="240" w:beforeAutospacing="0" w:after="240" w:afterAutospacing="0"/>
        <w:rPr>
          <w:rFonts w:eastAsiaTheme="minorHAnsi"/>
          <w:lang w:eastAsia="en-US"/>
        </w:rPr>
      </w:pPr>
      <w:r>
        <w:rPr>
          <w:rFonts w:eastAsiaTheme="minorHAnsi"/>
          <w:lang w:eastAsia="en-US"/>
        </w:rPr>
        <w:t xml:space="preserve">In line with the Organisations Data Breach Policy, the incident was reported, assessed, and actioned within 24 hours of taking place. This is quicker than the policy states. </w:t>
      </w:r>
      <w:r w:rsidR="00BE1980">
        <w:rPr>
          <w:rFonts w:eastAsiaTheme="minorHAnsi"/>
          <w:lang w:eastAsia="en-US"/>
        </w:rPr>
        <w:t xml:space="preserve">A Risk Assessment has been completed </w:t>
      </w:r>
      <w:r w:rsidR="00AF11DD">
        <w:rPr>
          <w:rFonts w:eastAsiaTheme="minorHAnsi"/>
          <w:lang w:eastAsia="en-US"/>
        </w:rPr>
        <w:t>to</w:t>
      </w:r>
      <w:r w:rsidR="00BE1980">
        <w:rPr>
          <w:rFonts w:eastAsiaTheme="minorHAnsi"/>
          <w:lang w:eastAsia="en-US"/>
        </w:rPr>
        <w:t xml:space="preserve"> determine the severity level of the breach, and whether it needed to be reported to the ICO within the 72 Hour </w:t>
      </w:r>
      <w:r w:rsidR="00DE7673">
        <w:rPr>
          <w:rFonts w:eastAsiaTheme="minorHAnsi"/>
          <w:lang w:eastAsia="en-US"/>
        </w:rPr>
        <w:t>w</w:t>
      </w:r>
      <w:r w:rsidR="00BE1980">
        <w:rPr>
          <w:rFonts w:eastAsiaTheme="minorHAnsi"/>
          <w:lang w:eastAsia="en-US"/>
        </w:rPr>
        <w:t>indow of being made aware of the breach</w:t>
      </w:r>
      <w:r w:rsidR="000B54F5">
        <w:rPr>
          <w:rFonts w:eastAsiaTheme="minorHAnsi"/>
          <w:lang w:eastAsia="en-US"/>
        </w:rPr>
        <w:t xml:space="preserve">. </w:t>
      </w:r>
    </w:p>
    <w:p w14:paraId="27370803" w14:textId="731F5962" w:rsidR="00477237" w:rsidRDefault="00477237" w:rsidP="00F55A28">
      <w:pPr>
        <w:pStyle w:val="NormalWeb"/>
        <w:shd w:val="clear" w:color="auto" w:fill="FFFFFF"/>
        <w:spacing w:before="240" w:beforeAutospacing="0" w:after="240" w:afterAutospacing="0"/>
        <w:rPr>
          <w:rFonts w:eastAsiaTheme="minorHAnsi"/>
          <w:lang w:eastAsia="en-US"/>
        </w:rPr>
      </w:pPr>
      <w:r>
        <w:rPr>
          <w:rFonts w:eastAsiaTheme="minorHAnsi"/>
          <w:lang w:eastAsia="en-US"/>
        </w:rPr>
        <w:t>The outcome of this assessment was that the incident did not need reporting to the Information Commissioners Office, instead, the incident will be logged and recorded internally on DATIX for our records</w:t>
      </w:r>
      <w:r w:rsidR="009451C2">
        <w:rPr>
          <w:rFonts w:eastAsiaTheme="minorHAnsi"/>
          <w:lang w:eastAsia="en-US"/>
        </w:rPr>
        <w:t>. The incident will also be raised in the next Executive Board Meeting</w:t>
      </w:r>
      <w:r w:rsidR="00282F98">
        <w:rPr>
          <w:rFonts w:eastAsiaTheme="minorHAnsi"/>
          <w:lang w:eastAsia="en-US"/>
        </w:rPr>
        <w:t xml:space="preserve"> for informational purposes</w:t>
      </w:r>
      <w:r w:rsidR="00963A07">
        <w:rPr>
          <w:rFonts w:eastAsiaTheme="minorHAnsi"/>
          <w:lang w:eastAsia="en-US"/>
        </w:rPr>
        <w:t xml:space="preserve"> and lessons learnt. </w:t>
      </w:r>
    </w:p>
    <w:p w14:paraId="14B4F020" w14:textId="76417D3E" w:rsidR="00963A07" w:rsidRDefault="00483B38" w:rsidP="00F55A28">
      <w:pPr>
        <w:pStyle w:val="NormalWeb"/>
        <w:shd w:val="clear" w:color="auto" w:fill="FFFFFF"/>
        <w:spacing w:before="240" w:beforeAutospacing="0" w:after="240" w:afterAutospacing="0"/>
        <w:rPr>
          <w:rFonts w:eastAsiaTheme="minorHAnsi"/>
          <w:lang w:eastAsia="en-US"/>
        </w:rPr>
      </w:pPr>
      <w:r>
        <w:rPr>
          <w:rFonts w:eastAsiaTheme="minorHAnsi"/>
          <w:lang w:eastAsia="en-US"/>
        </w:rPr>
        <w:t>Lessons learnt will be carried out and further in-house training will be run to ensure managers are aware of the Organisational Policies as a whole, and specifically GDPR Laws. This training will be mandato</w:t>
      </w:r>
      <w:r w:rsidR="0093358C">
        <w:rPr>
          <w:rFonts w:eastAsiaTheme="minorHAnsi"/>
          <w:lang w:eastAsia="en-US"/>
        </w:rPr>
        <w:t xml:space="preserve">ry and run yearly. </w:t>
      </w:r>
    </w:p>
    <w:p w14:paraId="0DB77A6A" w14:textId="77777777" w:rsidR="00BE1980" w:rsidRPr="00F55A28" w:rsidRDefault="00BE1980" w:rsidP="00F55A28">
      <w:pPr>
        <w:pStyle w:val="NormalWeb"/>
        <w:shd w:val="clear" w:color="auto" w:fill="FFFFFF"/>
        <w:spacing w:before="240" w:beforeAutospacing="0" w:after="240" w:afterAutospacing="0"/>
        <w:rPr>
          <w:rFonts w:eastAsiaTheme="minorHAnsi"/>
          <w:lang w:eastAsia="en-US"/>
        </w:rPr>
      </w:pPr>
    </w:p>
    <w:p w14:paraId="00F4B869" w14:textId="4F9435EF" w:rsidR="008E56A5" w:rsidRDefault="008E56A5" w:rsidP="008E56A5">
      <w:pPr>
        <w:pStyle w:val="Heading1"/>
        <w:numPr>
          <w:ilvl w:val="0"/>
          <w:numId w:val="3"/>
        </w:numPr>
      </w:pPr>
      <w:bookmarkStart w:id="4" w:name="_Toc90573581"/>
      <w:r>
        <w:t>Report: FAO: Executive Board</w:t>
      </w:r>
      <w:bookmarkEnd w:id="4"/>
    </w:p>
    <w:p w14:paraId="40E49695" w14:textId="77777777" w:rsidR="00BB43AC" w:rsidRDefault="00BB43AC" w:rsidP="008E56A5">
      <w:pPr>
        <w:rPr>
          <w:rFonts w:ascii="Times New Roman" w:hAnsi="Times New Roman" w:cs="Times New Roman"/>
          <w:sz w:val="24"/>
          <w:szCs w:val="24"/>
        </w:rPr>
      </w:pPr>
    </w:p>
    <w:p w14:paraId="33DC3067" w14:textId="77777777" w:rsidR="00BB43AC" w:rsidRDefault="00BB43AC" w:rsidP="008E56A5">
      <w:pPr>
        <w:rPr>
          <w:rFonts w:ascii="Times New Roman" w:hAnsi="Times New Roman" w:cs="Times New Roman"/>
          <w:sz w:val="24"/>
          <w:szCs w:val="24"/>
        </w:rPr>
      </w:pPr>
      <w:r>
        <w:rPr>
          <w:rFonts w:ascii="Times New Roman" w:hAnsi="Times New Roman" w:cs="Times New Roman"/>
          <w:sz w:val="24"/>
          <w:szCs w:val="24"/>
        </w:rPr>
        <w:t>FAO: Executive Board</w:t>
      </w:r>
    </w:p>
    <w:p w14:paraId="505E37F8" w14:textId="7C6CC846" w:rsidR="008E56A5" w:rsidRDefault="00BB43AC" w:rsidP="008E56A5">
      <w:pPr>
        <w:rPr>
          <w:rFonts w:ascii="Times New Roman" w:hAnsi="Times New Roman" w:cs="Times New Roman"/>
          <w:sz w:val="24"/>
          <w:szCs w:val="24"/>
        </w:rPr>
      </w:pPr>
      <w:r>
        <w:rPr>
          <w:rFonts w:ascii="Times New Roman" w:hAnsi="Times New Roman" w:cs="Times New Roman"/>
          <w:sz w:val="24"/>
          <w:szCs w:val="24"/>
        </w:rPr>
        <w:t xml:space="preserve">Re: Data Breach </w:t>
      </w:r>
      <w:r w:rsidR="008E56A5">
        <w:rPr>
          <w:rFonts w:ascii="Times New Roman" w:hAnsi="Times New Roman" w:cs="Times New Roman"/>
          <w:sz w:val="24"/>
          <w:szCs w:val="24"/>
        </w:rPr>
        <w:t xml:space="preserve"> </w:t>
      </w:r>
    </w:p>
    <w:p w14:paraId="0BB5FB0F" w14:textId="24D54928" w:rsidR="00963A07" w:rsidRDefault="009239BB" w:rsidP="008E56A5">
      <w:pPr>
        <w:rPr>
          <w:rFonts w:ascii="Times New Roman" w:hAnsi="Times New Roman" w:cs="Times New Roman"/>
          <w:sz w:val="24"/>
          <w:szCs w:val="24"/>
        </w:rPr>
      </w:pPr>
      <w:r>
        <w:rPr>
          <w:rFonts w:ascii="Times New Roman" w:hAnsi="Times New Roman" w:cs="Times New Roman"/>
          <w:sz w:val="24"/>
          <w:szCs w:val="24"/>
        </w:rPr>
        <w:t>A Data Breach has occurred involving the manager of Networking. The incident occurred on Monday 16</w:t>
      </w:r>
      <w:r w:rsidRPr="001936C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 at 9.45am, when the manager attached a document containing the emails and addresses of some of their staff members to an unknown member of the public. A recall message for the email was sent within 5 minutes of the initial email being sent out, which was successful</w:t>
      </w:r>
      <w:r>
        <w:rPr>
          <w:rFonts w:ascii="Times New Roman" w:hAnsi="Times New Roman" w:cs="Times New Roman"/>
          <w:sz w:val="24"/>
          <w:szCs w:val="24"/>
        </w:rPr>
        <w:t>.</w:t>
      </w:r>
    </w:p>
    <w:p w14:paraId="256454FB" w14:textId="0A3CE33D" w:rsidR="009239BB" w:rsidRDefault="009239BB" w:rsidP="008E56A5">
      <w:pPr>
        <w:rPr>
          <w:rFonts w:ascii="Times New Roman" w:hAnsi="Times New Roman" w:cs="Times New Roman"/>
          <w:sz w:val="24"/>
          <w:szCs w:val="24"/>
        </w:rPr>
      </w:pPr>
      <w:r>
        <w:rPr>
          <w:rFonts w:ascii="Times New Roman" w:hAnsi="Times New Roman" w:cs="Times New Roman"/>
          <w:sz w:val="24"/>
          <w:szCs w:val="24"/>
        </w:rPr>
        <w:t>The networking manager also had various scanned copies of staff sick notes and occupational health reports stored on his desktop.</w:t>
      </w:r>
      <w:r>
        <w:rPr>
          <w:rFonts w:ascii="Times New Roman" w:hAnsi="Times New Roman" w:cs="Times New Roman"/>
          <w:sz w:val="24"/>
          <w:szCs w:val="24"/>
        </w:rPr>
        <w:t xml:space="preserve"> This breached several of our Organisational Policies. </w:t>
      </w:r>
    </w:p>
    <w:p w14:paraId="36CCB849" w14:textId="17B75E54" w:rsidR="009239BB" w:rsidRDefault="009239BB" w:rsidP="009239BB">
      <w:pPr>
        <w:pStyle w:val="NormalWeb"/>
        <w:shd w:val="clear" w:color="auto" w:fill="FFFFFF"/>
        <w:spacing w:before="240" w:beforeAutospacing="0" w:after="240" w:afterAutospacing="0"/>
        <w:rPr>
          <w:rFonts w:eastAsiaTheme="minorHAnsi"/>
          <w:lang w:eastAsia="en-US"/>
        </w:rPr>
      </w:pPr>
      <w:r>
        <w:rPr>
          <w:rFonts w:eastAsiaTheme="minorHAnsi"/>
          <w:lang w:eastAsia="en-US"/>
        </w:rPr>
        <w:t xml:space="preserve">In line with the Organisations Data Breach Policy, the incident was reported, assessed, and actioned within 24 hours of taking place. A Risk Assessment has been completed to determine the severity level of the breach, and whether it needed to be reported to the ICO within the </w:t>
      </w:r>
      <w:r w:rsidR="00A52DF9">
        <w:rPr>
          <w:rFonts w:eastAsiaTheme="minorHAnsi"/>
          <w:lang w:eastAsia="en-US"/>
        </w:rPr>
        <w:t>24-hour</w:t>
      </w:r>
      <w:r>
        <w:rPr>
          <w:rFonts w:eastAsiaTheme="minorHAnsi"/>
          <w:lang w:eastAsia="en-US"/>
        </w:rPr>
        <w:t xml:space="preserve"> window of being made aware of the breach. </w:t>
      </w:r>
    </w:p>
    <w:p w14:paraId="10A3ABB6" w14:textId="1406D6B3" w:rsidR="009239BB" w:rsidRDefault="009239BB" w:rsidP="009239BB">
      <w:pPr>
        <w:rPr>
          <w:rFonts w:ascii="Times New Roman" w:hAnsi="Times New Roman" w:cs="Times New Roman"/>
          <w:sz w:val="24"/>
          <w:szCs w:val="24"/>
        </w:rPr>
      </w:pPr>
      <w:r w:rsidRPr="009962CB">
        <w:rPr>
          <w:rFonts w:ascii="Times New Roman" w:hAnsi="Times New Roman" w:cs="Times New Roman"/>
          <w:sz w:val="24"/>
          <w:szCs w:val="24"/>
        </w:rPr>
        <w:t>The outcome of this assessment was that the incident did not need reporting to the Information Commissioners Office, instead, the incident will</w:t>
      </w:r>
      <w:r w:rsidR="002F49F5">
        <w:rPr>
          <w:rFonts w:ascii="Times New Roman" w:hAnsi="Times New Roman" w:cs="Times New Roman"/>
          <w:sz w:val="24"/>
          <w:szCs w:val="24"/>
        </w:rPr>
        <w:t xml:space="preserve"> be </w:t>
      </w:r>
      <w:r w:rsidRPr="009962CB">
        <w:rPr>
          <w:rFonts w:ascii="Times New Roman" w:hAnsi="Times New Roman" w:cs="Times New Roman"/>
          <w:sz w:val="24"/>
          <w:szCs w:val="24"/>
        </w:rPr>
        <w:t>logged and recorded internally on DATIX for our records</w:t>
      </w:r>
      <w:r w:rsidR="00A52DF9">
        <w:rPr>
          <w:rFonts w:ascii="Times New Roman" w:hAnsi="Times New Roman" w:cs="Times New Roman"/>
          <w:sz w:val="24"/>
          <w:szCs w:val="24"/>
        </w:rPr>
        <w:t xml:space="preserve"> and the affected staff members made aware of the incident. </w:t>
      </w:r>
    </w:p>
    <w:p w14:paraId="18ACB72B" w14:textId="12598797" w:rsidR="00DE7673" w:rsidRDefault="00DE7673" w:rsidP="008E56A5">
      <w:pPr>
        <w:rPr>
          <w:rFonts w:ascii="Times New Roman" w:hAnsi="Times New Roman" w:cs="Times New Roman"/>
          <w:sz w:val="24"/>
          <w:szCs w:val="24"/>
        </w:rPr>
      </w:pPr>
      <w:r>
        <w:rPr>
          <w:rFonts w:ascii="Times New Roman" w:hAnsi="Times New Roman" w:cs="Times New Roman"/>
          <w:sz w:val="24"/>
          <w:szCs w:val="24"/>
        </w:rPr>
        <w:t xml:space="preserve">Had one of the several sick notes, or occupational health reports been sent in error, the incident would require several different actions, and would also need to be reported to the ICO within the </w:t>
      </w:r>
      <w:r w:rsidR="002F49F5">
        <w:rPr>
          <w:rFonts w:ascii="Times New Roman" w:hAnsi="Times New Roman" w:cs="Times New Roman"/>
          <w:sz w:val="24"/>
          <w:szCs w:val="24"/>
        </w:rPr>
        <w:t>required</w:t>
      </w:r>
      <w:r>
        <w:rPr>
          <w:rFonts w:ascii="Times New Roman" w:hAnsi="Times New Roman" w:cs="Times New Roman"/>
          <w:sz w:val="24"/>
          <w:szCs w:val="24"/>
        </w:rPr>
        <w:t xml:space="preserve"> timeframe. </w:t>
      </w:r>
    </w:p>
    <w:p w14:paraId="3E889D98" w14:textId="37A394E7" w:rsidR="00B643AA" w:rsidRDefault="00B643AA" w:rsidP="008E56A5">
      <w:pPr>
        <w:rPr>
          <w:rFonts w:ascii="Times New Roman" w:hAnsi="Times New Roman" w:cs="Times New Roman"/>
          <w:sz w:val="24"/>
          <w:szCs w:val="24"/>
        </w:rPr>
      </w:pPr>
    </w:p>
    <w:p w14:paraId="7D3F54B7" w14:textId="1A88118B" w:rsidR="008E56A5" w:rsidRDefault="008E56A5" w:rsidP="008E56A5">
      <w:pPr>
        <w:pStyle w:val="Heading1"/>
        <w:numPr>
          <w:ilvl w:val="0"/>
          <w:numId w:val="3"/>
        </w:numPr>
      </w:pPr>
      <w:bookmarkStart w:id="5" w:name="_Toc90573582"/>
      <w:r>
        <w:t>Discussion Notes – Organisations Governance Committee</w:t>
      </w:r>
      <w:bookmarkEnd w:id="5"/>
    </w:p>
    <w:p w14:paraId="777621CE" w14:textId="77777777" w:rsidR="00B85295" w:rsidRDefault="00B85295" w:rsidP="00B85295">
      <w:pPr>
        <w:rPr>
          <w:rFonts w:ascii="Times New Roman" w:hAnsi="Times New Roman" w:cs="Times New Roman"/>
          <w:sz w:val="24"/>
          <w:szCs w:val="24"/>
        </w:rPr>
      </w:pPr>
    </w:p>
    <w:p w14:paraId="5BE8D957" w14:textId="7112E3BC" w:rsidR="00B85295" w:rsidRDefault="004E3629" w:rsidP="00B85295">
      <w:pPr>
        <w:rPr>
          <w:rFonts w:ascii="Times New Roman" w:hAnsi="Times New Roman" w:cs="Times New Roman"/>
          <w:sz w:val="24"/>
          <w:szCs w:val="24"/>
        </w:rPr>
      </w:pPr>
      <w:r>
        <w:rPr>
          <w:rFonts w:ascii="Times New Roman" w:hAnsi="Times New Roman" w:cs="Times New Roman"/>
          <w:sz w:val="24"/>
          <w:szCs w:val="24"/>
        </w:rPr>
        <w:t>A recent data breach and investigation identified that there are areas that need improving on within the Organisation to mitigate the chances of any f</w:t>
      </w:r>
      <w:r w:rsidR="00384F12">
        <w:rPr>
          <w:rFonts w:ascii="Times New Roman" w:hAnsi="Times New Roman" w:cs="Times New Roman"/>
          <w:sz w:val="24"/>
          <w:szCs w:val="24"/>
        </w:rPr>
        <w:t>urther incidents</w:t>
      </w:r>
      <w:r>
        <w:rPr>
          <w:rFonts w:ascii="Times New Roman" w:hAnsi="Times New Roman" w:cs="Times New Roman"/>
          <w:sz w:val="24"/>
          <w:szCs w:val="24"/>
        </w:rPr>
        <w:t xml:space="preserve">. </w:t>
      </w:r>
      <w:r w:rsidR="00533681">
        <w:rPr>
          <w:rFonts w:ascii="Times New Roman" w:hAnsi="Times New Roman" w:cs="Times New Roman"/>
          <w:sz w:val="24"/>
          <w:szCs w:val="24"/>
        </w:rPr>
        <w:t xml:space="preserve">The breach involved </w:t>
      </w:r>
      <w:r w:rsidR="00384F12">
        <w:rPr>
          <w:rFonts w:ascii="Times New Roman" w:hAnsi="Times New Roman" w:cs="Times New Roman"/>
          <w:sz w:val="24"/>
          <w:szCs w:val="24"/>
        </w:rPr>
        <w:t xml:space="preserve">a document containing </w:t>
      </w:r>
      <w:r w:rsidR="00533681">
        <w:rPr>
          <w:rFonts w:ascii="Times New Roman" w:hAnsi="Times New Roman" w:cs="Times New Roman"/>
          <w:sz w:val="24"/>
          <w:szCs w:val="24"/>
        </w:rPr>
        <w:t>several names and email addresses of member</w:t>
      </w:r>
      <w:r w:rsidR="00384F12">
        <w:rPr>
          <w:rFonts w:ascii="Times New Roman" w:hAnsi="Times New Roman" w:cs="Times New Roman"/>
          <w:sz w:val="24"/>
          <w:szCs w:val="24"/>
        </w:rPr>
        <w:t>s</w:t>
      </w:r>
      <w:r w:rsidR="00533681">
        <w:rPr>
          <w:rFonts w:ascii="Times New Roman" w:hAnsi="Times New Roman" w:cs="Times New Roman"/>
          <w:sz w:val="24"/>
          <w:szCs w:val="24"/>
        </w:rPr>
        <w:t xml:space="preserve"> of the Network team</w:t>
      </w:r>
      <w:r w:rsidR="00384F12">
        <w:rPr>
          <w:rFonts w:ascii="Times New Roman" w:hAnsi="Times New Roman" w:cs="Times New Roman"/>
          <w:sz w:val="24"/>
          <w:szCs w:val="24"/>
        </w:rPr>
        <w:t xml:space="preserve"> being emailed out to</w:t>
      </w:r>
      <w:r w:rsidR="00533681">
        <w:rPr>
          <w:rFonts w:ascii="Times New Roman" w:hAnsi="Times New Roman" w:cs="Times New Roman"/>
          <w:sz w:val="24"/>
          <w:szCs w:val="24"/>
        </w:rPr>
        <w:t xml:space="preserve"> </w:t>
      </w:r>
      <w:r w:rsidR="00384F12">
        <w:rPr>
          <w:rFonts w:ascii="Times New Roman" w:hAnsi="Times New Roman" w:cs="Times New Roman"/>
          <w:sz w:val="24"/>
          <w:szCs w:val="24"/>
        </w:rPr>
        <w:t xml:space="preserve">a member of the public. </w:t>
      </w:r>
    </w:p>
    <w:p w14:paraId="7CB7908A" w14:textId="19EA34CC" w:rsidR="00384F12" w:rsidRDefault="00120910" w:rsidP="00B85295">
      <w:pPr>
        <w:rPr>
          <w:rFonts w:ascii="Times New Roman" w:hAnsi="Times New Roman" w:cs="Times New Roman"/>
          <w:sz w:val="24"/>
          <w:szCs w:val="24"/>
        </w:rPr>
      </w:pPr>
      <w:r>
        <w:rPr>
          <w:rFonts w:ascii="Times New Roman" w:hAnsi="Times New Roman" w:cs="Times New Roman"/>
          <w:sz w:val="24"/>
          <w:szCs w:val="24"/>
        </w:rPr>
        <w:t>The incident has been documented and the findings suggest that Organisational policies are not being followed and/or poor management is leading to personal data being exposed to the public, accidental or not, educating management on what is standard practice and good housekeeping</w:t>
      </w:r>
      <w:r w:rsidR="00EC4D97">
        <w:rPr>
          <w:rFonts w:ascii="Times New Roman" w:hAnsi="Times New Roman" w:cs="Times New Roman"/>
          <w:sz w:val="24"/>
          <w:szCs w:val="24"/>
        </w:rPr>
        <w:t xml:space="preserve"> is required regularly as a reminder. </w:t>
      </w:r>
    </w:p>
    <w:p w14:paraId="48F82E61" w14:textId="3EFEC3E3" w:rsidR="00EC4D97" w:rsidRDefault="00EC4D97" w:rsidP="00B85295">
      <w:pPr>
        <w:rPr>
          <w:rFonts w:ascii="Times New Roman" w:hAnsi="Times New Roman" w:cs="Times New Roman"/>
          <w:sz w:val="24"/>
          <w:szCs w:val="24"/>
        </w:rPr>
      </w:pPr>
      <w:r>
        <w:rPr>
          <w:rFonts w:ascii="Times New Roman" w:hAnsi="Times New Roman" w:cs="Times New Roman"/>
          <w:sz w:val="24"/>
          <w:szCs w:val="24"/>
        </w:rPr>
        <w:t xml:space="preserve">The following suggestions could allow all staff to keep updated on policies and procedures within the workplace, reminding them what is acceptable </w:t>
      </w:r>
      <w:r w:rsidR="00450964">
        <w:rPr>
          <w:rFonts w:ascii="Times New Roman" w:hAnsi="Times New Roman" w:cs="Times New Roman"/>
          <w:sz w:val="24"/>
          <w:szCs w:val="24"/>
        </w:rPr>
        <w:t>and unacceptable:</w:t>
      </w:r>
    </w:p>
    <w:p w14:paraId="5A949B0A" w14:textId="16B07E0A" w:rsidR="00EC4D97" w:rsidRDefault="00EC4D97" w:rsidP="00EC4D9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Management training of employee data and how to store</w:t>
      </w:r>
    </w:p>
    <w:p w14:paraId="0BE0095F" w14:textId="5DC34ED2" w:rsidR="00EC4D97" w:rsidRDefault="00EC4D97" w:rsidP="00EC4D9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staff training on GDPR</w:t>
      </w:r>
    </w:p>
    <w:p w14:paraId="28B3A91B" w14:textId="7C7D27BD" w:rsidR="00EC4D97" w:rsidRDefault="00EC4D97" w:rsidP="00EC4D9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Regular </w:t>
      </w:r>
      <w:r w:rsidR="00450964">
        <w:rPr>
          <w:rFonts w:ascii="Times New Roman" w:hAnsi="Times New Roman" w:cs="Times New Roman"/>
          <w:sz w:val="24"/>
          <w:szCs w:val="24"/>
        </w:rPr>
        <w:t>refresher training</w:t>
      </w:r>
    </w:p>
    <w:p w14:paraId="686A6822" w14:textId="4C0DC269" w:rsidR="00450964" w:rsidRDefault="00450964" w:rsidP="00EC4D9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Random audits of desktops to ensure </w:t>
      </w:r>
      <w:r w:rsidR="00B05811">
        <w:rPr>
          <w:rFonts w:ascii="Times New Roman" w:hAnsi="Times New Roman" w:cs="Times New Roman"/>
          <w:sz w:val="24"/>
          <w:szCs w:val="24"/>
        </w:rPr>
        <w:t>policies are being followed</w:t>
      </w:r>
    </w:p>
    <w:p w14:paraId="46E82590" w14:textId="6932FB76" w:rsidR="00B05811" w:rsidRDefault="00B05811" w:rsidP="00EC4D9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Disciplinary action if users continually break policies</w:t>
      </w:r>
    </w:p>
    <w:p w14:paraId="2A934591" w14:textId="6EE09D58" w:rsidR="00DC4904" w:rsidRDefault="00DC4904" w:rsidP="00DC4904">
      <w:pPr>
        <w:rPr>
          <w:rFonts w:ascii="Times New Roman" w:hAnsi="Times New Roman" w:cs="Times New Roman"/>
          <w:sz w:val="24"/>
          <w:szCs w:val="24"/>
        </w:rPr>
      </w:pPr>
    </w:p>
    <w:p w14:paraId="6A5BA9AD" w14:textId="77777777" w:rsidR="00120910" w:rsidRPr="00B85295" w:rsidRDefault="00120910" w:rsidP="00B85295">
      <w:pPr>
        <w:rPr>
          <w:rFonts w:ascii="Times New Roman" w:hAnsi="Times New Roman" w:cs="Times New Roman"/>
          <w:sz w:val="24"/>
          <w:szCs w:val="24"/>
        </w:rPr>
      </w:pPr>
    </w:p>
    <w:bookmarkStart w:id="6" w:name="_Toc90573583" w:displacedByCustomXml="next"/>
    <w:sdt>
      <w:sdtPr>
        <w:rPr>
          <w:rFonts w:asciiTheme="minorHAnsi" w:eastAsiaTheme="minorHAnsi" w:hAnsiTheme="minorHAnsi" w:cstheme="minorBidi"/>
          <w:color w:val="auto"/>
          <w:sz w:val="22"/>
          <w:szCs w:val="22"/>
        </w:rPr>
        <w:id w:val="-895357512"/>
        <w:docPartObj>
          <w:docPartGallery w:val="Bibliographies"/>
          <w:docPartUnique/>
        </w:docPartObj>
      </w:sdtPr>
      <w:sdtEndPr/>
      <w:sdtContent>
        <w:p w14:paraId="2A220F75" w14:textId="3B9362C9" w:rsidR="00BB43AC" w:rsidRDefault="00BB43AC" w:rsidP="00BB43AC">
          <w:pPr>
            <w:pStyle w:val="Heading1"/>
            <w:numPr>
              <w:ilvl w:val="0"/>
              <w:numId w:val="3"/>
            </w:numPr>
          </w:pPr>
          <w:r>
            <w:t>References</w:t>
          </w:r>
          <w:bookmarkEnd w:id="6"/>
        </w:p>
        <w:sdt>
          <w:sdtPr>
            <w:id w:val="-573587230"/>
            <w:bibliography/>
          </w:sdtPr>
          <w:sdtEndPr/>
          <w:sdtContent>
            <w:p w14:paraId="737A662F" w14:textId="77777777" w:rsidR="00504A04" w:rsidRDefault="00BB43AC" w:rsidP="008E56A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04A04" w14:paraId="1D36F2D4" w14:textId="77777777">
                <w:trPr>
                  <w:divId w:val="1850095528"/>
                  <w:tblCellSpacing w:w="15" w:type="dxa"/>
                </w:trPr>
                <w:tc>
                  <w:tcPr>
                    <w:tcW w:w="50" w:type="pct"/>
                    <w:hideMark/>
                  </w:tcPr>
                  <w:p w14:paraId="3C0EB66E" w14:textId="0E01BB48" w:rsidR="00504A04" w:rsidRDefault="00504A04">
                    <w:pPr>
                      <w:pStyle w:val="Bibliography"/>
                      <w:rPr>
                        <w:noProof/>
                        <w:sz w:val="24"/>
                        <w:szCs w:val="24"/>
                      </w:rPr>
                    </w:pPr>
                    <w:r>
                      <w:rPr>
                        <w:noProof/>
                      </w:rPr>
                      <w:t xml:space="preserve">[1] </w:t>
                    </w:r>
                  </w:p>
                </w:tc>
                <w:tc>
                  <w:tcPr>
                    <w:tcW w:w="0" w:type="auto"/>
                    <w:hideMark/>
                  </w:tcPr>
                  <w:p w14:paraId="1B7972D4" w14:textId="77777777" w:rsidR="00504A04" w:rsidRDefault="00504A04">
                    <w:pPr>
                      <w:pStyle w:val="Bibliography"/>
                      <w:rPr>
                        <w:noProof/>
                      </w:rPr>
                    </w:pPr>
                    <w:r>
                      <w:rPr>
                        <w:noProof/>
                      </w:rPr>
                      <w:t>GOV.UK, “Data Protection,” [Online]. Available: https://www.gov.uk/data-protection. [Accessed October 2021].</w:t>
                    </w:r>
                  </w:p>
                </w:tc>
              </w:tr>
              <w:tr w:rsidR="00504A04" w14:paraId="2E086444" w14:textId="77777777">
                <w:trPr>
                  <w:divId w:val="1850095528"/>
                  <w:tblCellSpacing w:w="15" w:type="dxa"/>
                </w:trPr>
                <w:tc>
                  <w:tcPr>
                    <w:tcW w:w="50" w:type="pct"/>
                    <w:hideMark/>
                  </w:tcPr>
                  <w:p w14:paraId="600E7140" w14:textId="77777777" w:rsidR="00504A04" w:rsidRDefault="00504A04">
                    <w:pPr>
                      <w:pStyle w:val="Bibliography"/>
                      <w:rPr>
                        <w:noProof/>
                      </w:rPr>
                    </w:pPr>
                    <w:r>
                      <w:rPr>
                        <w:noProof/>
                      </w:rPr>
                      <w:t xml:space="preserve">[2] </w:t>
                    </w:r>
                  </w:p>
                </w:tc>
                <w:tc>
                  <w:tcPr>
                    <w:tcW w:w="0" w:type="auto"/>
                    <w:hideMark/>
                  </w:tcPr>
                  <w:p w14:paraId="251B93F8" w14:textId="77777777" w:rsidR="00504A04" w:rsidRDefault="00504A04">
                    <w:pPr>
                      <w:pStyle w:val="Bibliography"/>
                      <w:rPr>
                        <w:noProof/>
                      </w:rPr>
                    </w:pPr>
                    <w:r>
                      <w:rPr>
                        <w:noProof/>
                      </w:rPr>
                      <w:t>Information Commissioners Office , “The Principles,” ICO, [Online]. Available: https://ico.org.uk/for-organisations/guide-to-data-protection/guide-to-the-general-data-protection-regulation-gdpr/principles/. [Accessed 31 October 2021].</w:t>
                    </w:r>
                  </w:p>
                </w:tc>
              </w:tr>
              <w:tr w:rsidR="00504A04" w14:paraId="0157283A" w14:textId="77777777">
                <w:trPr>
                  <w:divId w:val="1850095528"/>
                  <w:tblCellSpacing w:w="15" w:type="dxa"/>
                </w:trPr>
                <w:tc>
                  <w:tcPr>
                    <w:tcW w:w="50" w:type="pct"/>
                    <w:hideMark/>
                  </w:tcPr>
                  <w:p w14:paraId="12FB5002" w14:textId="77777777" w:rsidR="00504A04" w:rsidRDefault="00504A04">
                    <w:pPr>
                      <w:pStyle w:val="Bibliography"/>
                      <w:rPr>
                        <w:noProof/>
                      </w:rPr>
                    </w:pPr>
                    <w:r>
                      <w:rPr>
                        <w:noProof/>
                      </w:rPr>
                      <w:t xml:space="preserve">[3] </w:t>
                    </w:r>
                  </w:p>
                </w:tc>
                <w:tc>
                  <w:tcPr>
                    <w:tcW w:w="0" w:type="auto"/>
                    <w:hideMark/>
                  </w:tcPr>
                  <w:p w14:paraId="4E392542" w14:textId="77777777" w:rsidR="00504A04" w:rsidRDefault="00504A04">
                    <w:pPr>
                      <w:pStyle w:val="Bibliography"/>
                      <w:rPr>
                        <w:noProof/>
                      </w:rPr>
                    </w:pPr>
                    <w:r>
                      <w:rPr>
                        <w:noProof/>
                      </w:rPr>
                      <w:t>it governance, “GDPR Penalties,” [Online]. Available: https://www.itgovernance.co.uk/dpa-and-gdpr-penalties. [Accessed 08 2021].</w:t>
                    </w:r>
                  </w:p>
                </w:tc>
              </w:tr>
              <w:tr w:rsidR="00504A04" w14:paraId="397BE757" w14:textId="77777777">
                <w:trPr>
                  <w:divId w:val="1850095528"/>
                  <w:tblCellSpacing w:w="15" w:type="dxa"/>
                </w:trPr>
                <w:tc>
                  <w:tcPr>
                    <w:tcW w:w="50" w:type="pct"/>
                    <w:hideMark/>
                  </w:tcPr>
                  <w:p w14:paraId="07AEE4FB" w14:textId="77777777" w:rsidR="00504A04" w:rsidRDefault="00504A04">
                    <w:pPr>
                      <w:pStyle w:val="Bibliography"/>
                      <w:rPr>
                        <w:noProof/>
                      </w:rPr>
                    </w:pPr>
                    <w:r>
                      <w:rPr>
                        <w:noProof/>
                      </w:rPr>
                      <w:t xml:space="preserve">[4] </w:t>
                    </w:r>
                  </w:p>
                </w:tc>
                <w:tc>
                  <w:tcPr>
                    <w:tcW w:w="0" w:type="auto"/>
                    <w:hideMark/>
                  </w:tcPr>
                  <w:p w14:paraId="5B933598" w14:textId="77777777" w:rsidR="00504A04" w:rsidRDefault="00504A04">
                    <w:pPr>
                      <w:pStyle w:val="Bibliography"/>
                      <w:rPr>
                        <w:noProof/>
                      </w:rPr>
                    </w:pPr>
                    <w:r>
                      <w:rPr>
                        <w:noProof/>
                      </w:rPr>
                      <w:t>Digital Health and Care Wales, “Home &gt; Information Governance &gt; Welsh Information Governance Toolkit,” [Online]. Available: https://dhcw.nhs.wales/ig/information-governance/welsh-information-governance-toolkit/ig-toolkit-requirements/ig-risk-register/. [Accessed 20 October 2021].</w:t>
                    </w:r>
                  </w:p>
                </w:tc>
              </w:tr>
              <w:tr w:rsidR="00504A04" w14:paraId="35F23F3E" w14:textId="77777777">
                <w:trPr>
                  <w:divId w:val="1850095528"/>
                  <w:tblCellSpacing w:w="15" w:type="dxa"/>
                </w:trPr>
                <w:tc>
                  <w:tcPr>
                    <w:tcW w:w="50" w:type="pct"/>
                    <w:hideMark/>
                  </w:tcPr>
                  <w:p w14:paraId="6166D1F7" w14:textId="77777777" w:rsidR="00504A04" w:rsidRDefault="00504A04">
                    <w:pPr>
                      <w:pStyle w:val="Bibliography"/>
                      <w:rPr>
                        <w:noProof/>
                      </w:rPr>
                    </w:pPr>
                    <w:r>
                      <w:rPr>
                        <w:noProof/>
                      </w:rPr>
                      <w:t xml:space="preserve">[5] </w:t>
                    </w:r>
                  </w:p>
                </w:tc>
                <w:tc>
                  <w:tcPr>
                    <w:tcW w:w="0" w:type="auto"/>
                    <w:hideMark/>
                  </w:tcPr>
                  <w:p w14:paraId="4091D702" w14:textId="77777777" w:rsidR="00504A04" w:rsidRDefault="00504A04">
                    <w:pPr>
                      <w:pStyle w:val="Bibliography"/>
                      <w:rPr>
                        <w:noProof/>
                      </w:rPr>
                    </w:pPr>
                    <w:r>
                      <w:rPr>
                        <w:noProof/>
                      </w:rPr>
                      <w:t>Digital Health and Care Wales, “Home &gt; Information Governance &gt; Welsh Information Governance Toolkit &gt; Right to be Informed,” [Online]. Available: https://dhcw.nhs.wales/ig/information-governance/welsh-information-governance-toolkit/ig-toolkit-requirements/right-to-be-informed/. [Accessed 20 October 2021].</w:t>
                    </w:r>
                  </w:p>
                </w:tc>
              </w:tr>
              <w:tr w:rsidR="00504A04" w14:paraId="17671526" w14:textId="77777777">
                <w:trPr>
                  <w:divId w:val="1850095528"/>
                  <w:tblCellSpacing w:w="15" w:type="dxa"/>
                </w:trPr>
                <w:tc>
                  <w:tcPr>
                    <w:tcW w:w="50" w:type="pct"/>
                    <w:hideMark/>
                  </w:tcPr>
                  <w:p w14:paraId="29710D5C" w14:textId="77777777" w:rsidR="00504A04" w:rsidRDefault="00504A04">
                    <w:pPr>
                      <w:pStyle w:val="Bibliography"/>
                      <w:rPr>
                        <w:noProof/>
                      </w:rPr>
                    </w:pPr>
                    <w:r>
                      <w:rPr>
                        <w:noProof/>
                      </w:rPr>
                      <w:t xml:space="preserve">[6] </w:t>
                    </w:r>
                  </w:p>
                </w:tc>
                <w:tc>
                  <w:tcPr>
                    <w:tcW w:w="0" w:type="auto"/>
                    <w:hideMark/>
                  </w:tcPr>
                  <w:p w14:paraId="711A421C" w14:textId="77777777" w:rsidR="00504A04" w:rsidRDefault="00504A04">
                    <w:pPr>
                      <w:pStyle w:val="Bibliography"/>
                      <w:rPr>
                        <w:noProof/>
                      </w:rPr>
                    </w:pPr>
                    <w:r>
                      <w:rPr>
                        <w:noProof/>
                      </w:rPr>
                      <w:t>Digital Health and Care Wales, “Home &gt; Information Governance &gt; Welsh Information Governance Toolkit &gt; Retention Schedules, Secure Destruction and Disposal,” [Online]. Available: https://dhcw.nhs.wales/ig/information-governance/welsh-information-governance-toolkit/ig-toolkit-requirements/retention-schedules-secure-destruction-and-disposal/. [Accessed 20 October 2021].</w:t>
                    </w:r>
                  </w:p>
                </w:tc>
              </w:tr>
              <w:tr w:rsidR="00504A04" w14:paraId="68D96482" w14:textId="77777777">
                <w:trPr>
                  <w:divId w:val="1850095528"/>
                  <w:tblCellSpacing w:w="15" w:type="dxa"/>
                </w:trPr>
                <w:tc>
                  <w:tcPr>
                    <w:tcW w:w="50" w:type="pct"/>
                    <w:hideMark/>
                  </w:tcPr>
                  <w:p w14:paraId="68A318B6" w14:textId="77777777" w:rsidR="00504A04" w:rsidRDefault="00504A04">
                    <w:pPr>
                      <w:pStyle w:val="Bibliography"/>
                      <w:rPr>
                        <w:noProof/>
                      </w:rPr>
                    </w:pPr>
                    <w:r>
                      <w:rPr>
                        <w:noProof/>
                      </w:rPr>
                      <w:t xml:space="preserve">[7] </w:t>
                    </w:r>
                  </w:p>
                </w:tc>
                <w:tc>
                  <w:tcPr>
                    <w:tcW w:w="0" w:type="auto"/>
                    <w:hideMark/>
                  </w:tcPr>
                  <w:p w14:paraId="53F7EA03" w14:textId="77777777" w:rsidR="00504A04" w:rsidRDefault="00504A04">
                    <w:pPr>
                      <w:pStyle w:val="Bibliography"/>
                      <w:rPr>
                        <w:noProof/>
                      </w:rPr>
                    </w:pPr>
                    <w:r>
                      <w:rPr>
                        <w:noProof/>
                      </w:rPr>
                      <w:t>Digital Health and Care Wales, “Home &gt; Information Governance &gt; Welsh Information Governance Toolkit &gt; Physical Security Measures,” [Online]. Available: https://dhcw.nhs.wales/ig/information-governance/welsh-information-governance-toolkit/ig-toolkit-requirements/physical-security-measures/. [Accessed 20 October 2021].</w:t>
                    </w:r>
                  </w:p>
                </w:tc>
              </w:tr>
              <w:tr w:rsidR="00504A04" w14:paraId="1419F0B9" w14:textId="77777777">
                <w:trPr>
                  <w:divId w:val="1850095528"/>
                  <w:tblCellSpacing w:w="15" w:type="dxa"/>
                </w:trPr>
                <w:tc>
                  <w:tcPr>
                    <w:tcW w:w="50" w:type="pct"/>
                    <w:hideMark/>
                  </w:tcPr>
                  <w:p w14:paraId="76F1ACE2" w14:textId="77777777" w:rsidR="00504A04" w:rsidRDefault="00504A04">
                    <w:pPr>
                      <w:pStyle w:val="Bibliography"/>
                      <w:rPr>
                        <w:noProof/>
                      </w:rPr>
                    </w:pPr>
                    <w:r>
                      <w:rPr>
                        <w:noProof/>
                      </w:rPr>
                      <w:t xml:space="preserve">[8] </w:t>
                    </w:r>
                  </w:p>
                </w:tc>
                <w:tc>
                  <w:tcPr>
                    <w:tcW w:w="0" w:type="auto"/>
                    <w:hideMark/>
                  </w:tcPr>
                  <w:p w14:paraId="30825C41" w14:textId="77777777" w:rsidR="00504A04" w:rsidRDefault="00504A04">
                    <w:pPr>
                      <w:pStyle w:val="Bibliography"/>
                      <w:rPr>
                        <w:noProof/>
                      </w:rPr>
                    </w:pPr>
                    <w:r>
                      <w:rPr>
                        <w:noProof/>
                      </w:rPr>
                      <w:t>Digital Health and Care Wales, “Home &gt; Information Governance &gt; Welsh Information Governance Toolkit &gt; Information Asset Register,” [Online]. Available: https://dhcw.nhs.wales/ig/information-governance/welsh-information-governance-toolkit/ig-toolkit-requirements/information-asset-register/. [Accessed 20 October 2021].</w:t>
                    </w:r>
                  </w:p>
                </w:tc>
              </w:tr>
              <w:tr w:rsidR="00504A04" w14:paraId="1D779A2D" w14:textId="77777777">
                <w:trPr>
                  <w:divId w:val="1850095528"/>
                  <w:tblCellSpacing w:w="15" w:type="dxa"/>
                </w:trPr>
                <w:tc>
                  <w:tcPr>
                    <w:tcW w:w="50" w:type="pct"/>
                    <w:hideMark/>
                  </w:tcPr>
                  <w:p w14:paraId="4234AB25" w14:textId="77777777" w:rsidR="00504A04" w:rsidRDefault="00504A04">
                    <w:pPr>
                      <w:pStyle w:val="Bibliography"/>
                      <w:rPr>
                        <w:noProof/>
                      </w:rPr>
                    </w:pPr>
                    <w:r>
                      <w:rPr>
                        <w:noProof/>
                      </w:rPr>
                      <w:t xml:space="preserve">[9] </w:t>
                    </w:r>
                  </w:p>
                </w:tc>
                <w:tc>
                  <w:tcPr>
                    <w:tcW w:w="0" w:type="auto"/>
                    <w:hideMark/>
                  </w:tcPr>
                  <w:p w14:paraId="79967E48" w14:textId="77777777" w:rsidR="00504A04" w:rsidRDefault="00504A04">
                    <w:pPr>
                      <w:pStyle w:val="Bibliography"/>
                      <w:rPr>
                        <w:noProof/>
                      </w:rPr>
                    </w:pPr>
                    <w:r>
                      <w:rPr>
                        <w:noProof/>
                      </w:rPr>
                      <w:t>Digital Health and Care Wales, “Home &gt; Infomation Govenance &gt; Welsh Information Governance Toolkit &gt; Reporting Data Breaches,” [Online]. Available: https://dhcw.nhs.wales/ig/information-governance/welsh-information-governance-toolkit/ig-toolkit-requirements/reporting-data-breaches/. [Accessed 20 October 2021].</w:t>
                    </w:r>
                  </w:p>
                </w:tc>
              </w:tr>
              <w:tr w:rsidR="00504A04" w14:paraId="2AB8CBBE" w14:textId="77777777">
                <w:trPr>
                  <w:divId w:val="1850095528"/>
                  <w:tblCellSpacing w:w="15" w:type="dxa"/>
                </w:trPr>
                <w:tc>
                  <w:tcPr>
                    <w:tcW w:w="50" w:type="pct"/>
                    <w:hideMark/>
                  </w:tcPr>
                  <w:p w14:paraId="10627A4E" w14:textId="77777777" w:rsidR="00504A04" w:rsidRDefault="00504A04">
                    <w:pPr>
                      <w:pStyle w:val="Bibliography"/>
                      <w:rPr>
                        <w:noProof/>
                      </w:rPr>
                    </w:pPr>
                    <w:r>
                      <w:rPr>
                        <w:noProof/>
                      </w:rPr>
                      <w:t xml:space="preserve">[10] </w:t>
                    </w:r>
                  </w:p>
                </w:tc>
                <w:tc>
                  <w:tcPr>
                    <w:tcW w:w="0" w:type="auto"/>
                    <w:hideMark/>
                  </w:tcPr>
                  <w:p w14:paraId="2CFAC087" w14:textId="77777777" w:rsidR="00504A04" w:rsidRDefault="00504A04">
                    <w:pPr>
                      <w:pStyle w:val="Bibliography"/>
                      <w:rPr>
                        <w:noProof/>
                      </w:rPr>
                    </w:pPr>
                    <w:r>
                      <w:rPr>
                        <w:noProof/>
                      </w:rPr>
                      <w:t>Digital Health and Care Wales, “Home &gt; Information Governance &gt; Welsh Information Governance Toolkit &gt; Incident Management and Reporting Data Breaches,” [Online]. Available: https://dhcw.nhs.wales/ig/information-governance/welsh-information-governance-toolkit/ig-toolkit-requirements/incident-management-and-reporting-data-breaches/. [Accessed 20 October 2021].</w:t>
                    </w:r>
                  </w:p>
                </w:tc>
              </w:tr>
            </w:tbl>
            <w:p w14:paraId="0E6D038E" w14:textId="77777777" w:rsidR="00504A04" w:rsidRDefault="00504A04">
              <w:pPr>
                <w:divId w:val="1850095528"/>
                <w:rPr>
                  <w:rFonts w:eastAsia="Times New Roman"/>
                  <w:noProof/>
                </w:rPr>
              </w:pPr>
            </w:p>
            <w:p w14:paraId="62D1E484" w14:textId="11C84172" w:rsidR="008E56A5" w:rsidRPr="00BB43AC" w:rsidRDefault="00BB43AC" w:rsidP="008E56A5">
              <w:r>
                <w:rPr>
                  <w:b/>
                  <w:bCs/>
                  <w:noProof/>
                </w:rPr>
                <w:fldChar w:fldCharType="end"/>
              </w:r>
            </w:p>
          </w:sdtContent>
        </w:sdt>
      </w:sdtContent>
    </w:sdt>
    <w:p w14:paraId="54F166F9" w14:textId="608FE160" w:rsidR="00BE1980" w:rsidRDefault="00BE1980" w:rsidP="00BE1980">
      <w:pPr>
        <w:pStyle w:val="Heading1"/>
        <w:numPr>
          <w:ilvl w:val="0"/>
          <w:numId w:val="3"/>
        </w:numPr>
      </w:pPr>
      <w:bookmarkStart w:id="7" w:name="_Toc90573584"/>
      <w:r>
        <w:t>Acronyms</w:t>
      </w:r>
      <w:bookmarkEnd w:id="7"/>
    </w:p>
    <w:p w14:paraId="0AC61D02" w14:textId="77777777" w:rsidR="00DE7673" w:rsidRPr="00DE7673" w:rsidRDefault="00DE7673" w:rsidP="00DE7673"/>
    <w:tbl>
      <w:tblPr>
        <w:tblStyle w:val="TableGrid"/>
        <w:tblW w:w="0" w:type="auto"/>
        <w:tblLook w:val="04A0" w:firstRow="1" w:lastRow="0" w:firstColumn="1" w:lastColumn="0" w:noHBand="0" w:noVBand="1"/>
      </w:tblPr>
      <w:tblGrid>
        <w:gridCol w:w="1720"/>
        <w:gridCol w:w="4223"/>
      </w:tblGrid>
      <w:tr w:rsidR="00DE7673" w14:paraId="3C738D16" w14:textId="77777777" w:rsidTr="00DE7673">
        <w:trPr>
          <w:trHeight w:val="354"/>
        </w:trPr>
        <w:tc>
          <w:tcPr>
            <w:tcW w:w="1720" w:type="dxa"/>
          </w:tcPr>
          <w:p w14:paraId="6F2A9FC9" w14:textId="4D565B83"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GDPR</w:t>
            </w:r>
          </w:p>
        </w:tc>
        <w:tc>
          <w:tcPr>
            <w:tcW w:w="4223" w:type="dxa"/>
          </w:tcPr>
          <w:p w14:paraId="5140C287" w14:textId="41D6F0CB"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General Data Protection Regulation</w:t>
            </w:r>
          </w:p>
        </w:tc>
      </w:tr>
      <w:tr w:rsidR="00DE7673" w14:paraId="592E1126" w14:textId="77777777" w:rsidTr="00DE7673">
        <w:trPr>
          <w:trHeight w:val="354"/>
        </w:trPr>
        <w:tc>
          <w:tcPr>
            <w:tcW w:w="1720" w:type="dxa"/>
          </w:tcPr>
          <w:p w14:paraId="37F848E1" w14:textId="51D7B22E"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IG</w:t>
            </w:r>
          </w:p>
        </w:tc>
        <w:tc>
          <w:tcPr>
            <w:tcW w:w="4223" w:type="dxa"/>
          </w:tcPr>
          <w:p w14:paraId="4B10A8F1" w14:textId="4CD75E4B"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Information Governance</w:t>
            </w:r>
          </w:p>
        </w:tc>
      </w:tr>
      <w:tr w:rsidR="00DE7673" w14:paraId="40AB989C" w14:textId="77777777" w:rsidTr="00DE7673">
        <w:trPr>
          <w:trHeight w:val="371"/>
        </w:trPr>
        <w:tc>
          <w:tcPr>
            <w:tcW w:w="1720" w:type="dxa"/>
          </w:tcPr>
          <w:p w14:paraId="5754B259" w14:textId="051D883D"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ICO</w:t>
            </w:r>
          </w:p>
        </w:tc>
        <w:tc>
          <w:tcPr>
            <w:tcW w:w="4223" w:type="dxa"/>
          </w:tcPr>
          <w:p w14:paraId="674AEE79" w14:textId="4B53CB36" w:rsidR="00DE7673" w:rsidRPr="00DE7673" w:rsidRDefault="00DE7673" w:rsidP="00DE7673">
            <w:pPr>
              <w:jc w:val="both"/>
              <w:rPr>
                <w:rFonts w:ascii="Times New Roman" w:hAnsi="Times New Roman" w:cs="Times New Roman"/>
                <w:sz w:val="24"/>
                <w:szCs w:val="24"/>
              </w:rPr>
            </w:pPr>
            <w:r w:rsidRPr="00DE7673">
              <w:rPr>
                <w:rFonts w:ascii="Times New Roman" w:hAnsi="Times New Roman" w:cs="Times New Roman"/>
                <w:sz w:val="24"/>
                <w:szCs w:val="24"/>
              </w:rPr>
              <w:t>Information Commissioners Office</w:t>
            </w:r>
          </w:p>
        </w:tc>
      </w:tr>
      <w:tr w:rsidR="00DE7673" w14:paraId="11FC1D9F" w14:textId="77777777" w:rsidTr="00DE7673">
        <w:trPr>
          <w:trHeight w:val="354"/>
        </w:trPr>
        <w:tc>
          <w:tcPr>
            <w:tcW w:w="1720" w:type="dxa"/>
          </w:tcPr>
          <w:p w14:paraId="120A6DCB" w14:textId="19E05DCC" w:rsidR="00DE7673" w:rsidRPr="00DE7673" w:rsidRDefault="00DE7673" w:rsidP="00DE7673">
            <w:pPr>
              <w:jc w:val="both"/>
              <w:rPr>
                <w:rFonts w:ascii="Times New Roman" w:hAnsi="Times New Roman" w:cs="Times New Roman"/>
                <w:sz w:val="24"/>
                <w:szCs w:val="24"/>
              </w:rPr>
            </w:pPr>
            <w:r>
              <w:rPr>
                <w:rFonts w:ascii="Times New Roman" w:hAnsi="Times New Roman" w:cs="Times New Roman"/>
                <w:sz w:val="24"/>
                <w:szCs w:val="24"/>
              </w:rPr>
              <w:t>FAO</w:t>
            </w:r>
          </w:p>
        </w:tc>
        <w:tc>
          <w:tcPr>
            <w:tcW w:w="4223" w:type="dxa"/>
          </w:tcPr>
          <w:p w14:paraId="3522C569" w14:textId="28FEB8B3" w:rsidR="00610E5F" w:rsidRPr="00DE7673" w:rsidRDefault="00DE7673" w:rsidP="00DE7673">
            <w:pPr>
              <w:jc w:val="both"/>
              <w:rPr>
                <w:rFonts w:ascii="Times New Roman" w:hAnsi="Times New Roman" w:cs="Times New Roman"/>
                <w:sz w:val="24"/>
                <w:szCs w:val="24"/>
              </w:rPr>
            </w:pPr>
            <w:r>
              <w:rPr>
                <w:rFonts w:ascii="Times New Roman" w:hAnsi="Times New Roman" w:cs="Times New Roman"/>
                <w:sz w:val="24"/>
                <w:szCs w:val="24"/>
              </w:rPr>
              <w:t>For the Attention Of</w:t>
            </w:r>
          </w:p>
        </w:tc>
      </w:tr>
      <w:tr w:rsidR="00610E5F" w14:paraId="4C658663" w14:textId="77777777" w:rsidTr="00DE7673">
        <w:trPr>
          <w:trHeight w:val="354"/>
        </w:trPr>
        <w:tc>
          <w:tcPr>
            <w:tcW w:w="1720" w:type="dxa"/>
          </w:tcPr>
          <w:p w14:paraId="25D8C09B" w14:textId="7B24BA9A" w:rsidR="00610E5F" w:rsidRDefault="00610E5F" w:rsidP="00DE7673">
            <w:pPr>
              <w:jc w:val="both"/>
              <w:rPr>
                <w:rFonts w:ascii="Times New Roman" w:hAnsi="Times New Roman" w:cs="Times New Roman"/>
                <w:sz w:val="24"/>
                <w:szCs w:val="24"/>
              </w:rPr>
            </w:pPr>
            <w:r>
              <w:rPr>
                <w:rFonts w:ascii="Times New Roman" w:hAnsi="Times New Roman" w:cs="Times New Roman"/>
                <w:sz w:val="24"/>
                <w:szCs w:val="24"/>
              </w:rPr>
              <w:t>DPA</w:t>
            </w:r>
          </w:p>
        </w:tc>
        <w:tc>
          <w:tcPr>
            <w:tcW w:w="4223" w:type="dxa"/>
          </w:tcPr>
          <w:p w14:paraId="0761C23E" w14:textId="40F4E903" w:rsidR="00610E5F" w:rsidRDefault="00610E5F" w:rsidP="00DE7673">
            <w:pPr>
              <w:jc w:val="both"/>
              <w:rPr>
                <w:rFonts w:ascii="Times New Roman" w:hAnsi="Times New Roman" w:cs="Times New Roman"/>
                <w:sz w:val="24"/>
                <w:szCs w:val="24"/>
              </w:rPr>
            </w:pPr>
            <w:r>
              <w:rPr>
                <w:rFonts w:ascii="Times New Roman" w:hAnsi="Times New Roman" w:cs="Times New Roman"/>
                <w:sz w:val="24"/>
                <w:szCs w:val="24"/>
              </w:rPr>
              <w:t>Data Protection Act</w:t>
            </w:r>
          </w:p>
        </w:tc>
      </w:tr>
    </w:tbl>
    <w:p w14:paraId="58AD74EB" w14:textId="77777777" w:rsidR="00DE7673" w:rsidRPr="00DE7673" w:rsidRDefault="00DE7673" w:rsidP="00DE7673"/>
    <w:p w14:paraId="5EEE0B38" w14:textId="77777777" w:rsidR="001C5870" w:rsidRPr="001C5870" w:rsidRDefault="001C5870" w:rsidP="00504A04"/>
    <w:sectPr w:rsidR="001C5870" w:rsidRPr="001C5870" w:rsidSect="00AF78C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A2319" w14:textId="77777777" w:rsidR="00EE4E6E" w:rsidRDefault="00EE4E6E" w:rsidP="00625140">
      <w:pPr>
        <w:spacing w:after="0" w:line="240" w:lineRule="auto"/>
      </w:pPr>
      <w:r>
        <w:separator/>
      </w:r>
    </w:p>
  </w:endnote>
  <w:endnote w:type="continuationSeparator" w:id="0">
    <w:p w14:paraId="156A2AD5" w14:textId="77777777" w:rsidR="00EE4E6E" w:rsidRDefault="00EE4E6E"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334"/>
      <w:gridCol w:w="361"/>
      <w:gridCol w:w="4331"/>
    </w:tblGrid>
    <w:tr w:rsidR="001C5870" w14:paraId="3DF34F8B" w14:textId="77777777">
      <w:tc>
        <w:tcPr>
          <w:tcW w:w="2401" w:type="pct"/>
        </w:tcPr>
        <w:p w14:paraId="02A73B0B" w14:textId="6B66654C" w:rsidR="001C5870" w:rsidRDefault="00EE4E6E">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D64F71">
                <w:rPr>
                  <w:caps/>
                  <w:color w:val="4472C4" w:themeColor="accent1"/>
                  <w:sz w:val="18"/>
                  <w:szCs w:val="18"/>
                </w:rPr>
                <w:t>Governance, legislation &amp; Ethics</w:t>
              </w:r>
              <w:r w:rsidR="003C444E">
                <w:rPr>
                  <w:caps/>
                  <w:color w:val="4472C4" w:themeColor="accent1"/>
                  <w:sz w:val="18"/>
                  <w:szCs w:val="18"/>
                </w:rPr>
                <w:t xml:space="preserve"> ACC</w:t>
              </w:r>
              <w:r w:rsidR="00D64F71">
                <w:rPr>
                  <w:caps/>
                  <w:color w:val="4472C4" w:themeColor="accent1"/>
                  <w:sz w:val="18"/>
                  <w:szCs w:val="18"/>
                </w:rPr>
                <w:t>A5016</w:t>
              </w:r>
            </w:sdtContent>
          </w:sdt>
        </w:p>
      </w:tc>
      <w:tc>
        <w:tcPr>
          <w:tcW w:w="200" w:type="pct"/>
        </w:tcPr>
        <w:p w14:paraId="6490D668" w14:textId="77777777" w:rsidR="001C5870" w:rsidRDefault="001C5870">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1C5870" w:rsidRDefault="001C5870">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1C5870" w:rsidRDefault="001C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5FF8F" w14:textId="77777777" w:rsidR="00EE4E6E" w:rsidRDefault="00EE4E6E" w:rsidP="00625140">
      <w:pPr>
        <w:spacing w:after="0" w:line="240" w:lineRule="auto"/>
      </w:pPr>
      <w:r>
        <w:separator/>
      </w:r>
    </w:p>
  </w:footnote>
  <w:footnote w:type="continuationSeparator" w:id="0">
    <w:p w14:paraId="4F3BC0E3" w14:textId="77777777" w:rsidR="00EE4E6E" w:rsidRDefault="00EE4E6E"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2C37"/>
    <w:multiLevelType w:val="hybridMultilevel"/>
    <w:tmpl w:val="FA96F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0C0B68"/>
    <w:multiLevelType w:val="hybridMultilevel"/>
    <w:tmpl w:val="92986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B44A5"/>
    <w:multiLevelType w:val="hybridMultilevel"/>
    <w:tmpl w:val="40207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4E3344EC"/>
    <w:multiLevelType w:val="hybridMultilevel"/>
    <w:tmpl w:val="C06C97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1CF3F6E"/>
    <w:multiLevelType w:val="hybridMultilevel"/>
    <w:tmpl w:val="A1F81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815185"/>
    <w:multiLevelType w:val="hybridMultilevel"/>
    <w:tmpl w:val="669015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7"/>
  </w:num>
  <w:num w:numId="2">
    <w:abstractNumId w:val="3"/>
  </w:num>
  <w:num w:numId="3">
    <w:abstractNumId w:val="5"/>
  </w:num>
  <w:num w:numId="4">
    <w:abstractNumId w:val="6"/>
  </w:num>
  <w:num w:numId="5">
    <w:abstractNumId w:val="2"/>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20F6B"/>
    <w:rsid w:val="000B54F5"/>
    <w:rsid w:val="00102D28"/>
    <w:rsid w:val="00120910"/>
    <w:rsid w:val="00153697"/>
    <w:rsid w:val="001936CC"/>
    <w:rsid w:val="001A324C"/>
    <w:rsid w:val="001C5870"/>
    <w:rsid w:val="00227C47"/>
    <w:rsid w:val="002403C6"/>
    <w:rsid w:val="002769BE"/>
    <w:rsid w:val="00282AFB"/>
    <w:rsid w:val="00282F98"/>
    <w:rsid w:val="002951FC"/>
    <w:rsid w:val="002B0730"/>
    <w:rsid w:val="002B50B9"/>
    <w:rsid w:val="002B74B4"/>
    <w:rsid w:val="002F49F5"/>
    <w:rsid w:val="00312635"/>
    <w:rsid w:val="00384F12"/>
    <w:rsid w:val="0039036C"/>
    <w:rsid w:val="003C444E"/>
    <w:rsid w:val="003E00B4"/>
    <w:rsid w:val="00410968"/>
    <w:rsid w:val="00450964"/>
    <w:rsid w:val="00477237"/>
    <w:rsid w:val="00482CE0"/>
    <w:rsid w:val="00483B38"/>
    <w:rsid w:val="004C3ED5"/>
    <w:rsid w:val="004D64F0"/>
    <w:rsid w:val="004E3629"/>
    <w:rsid w:val="00504A04"/>
    <w:rsid w:val="00514A97"/>
    <w:rsid w:val="00517FD8"/>
    <w:rsid w:val="00533681"/>
    <w:rsid w:val="00585187"/>
    <w:rsid w:val="005944B2"/>
    <w:rsid w:val="005C0EA5"/>
    <w:rsid w:val="005C536C"/>
    <w:rsid w:val="005D5338"/>
    <w:rsid w:val="005D68E5"/>
    <w:rsid w:val="00610E5F"/>
    <w:rsid w:val="00625140"/>
    <w:rsid w:val="007C2C7C"/>
    <w:rsid w:val="00812BAC"/>
    <w:rsid w:val="00890DD9"/>
    <w:rsid w:val="008E56A5"/>
    <w:rsid w:val="009239BB"/>
    <w:rsid w:val="0093358C"/>
    <w:rsid w:val="00943D39"/>
    <w:rsid w:val="009451C2"/>
    <w:rsid w:val="00963A07"/>
    <w:rsid w:val="00966243"/>
    <w:rsid w:val="009962CB"/>
    <w:rsid w:val="00A52DF9"/>
    <w:rsid w:val="00A8006A"/>
    <w:rsid w:val="00AD05A7"/>
    <w:rsid w:val="00AE3846"/>
    <w:rsid w:val="00AF11DD"/>
    <w:rsid w:val="00AF78CA"/>
    <w:rsid w:val="00B05811"/>
    <w:rsid w:val="00B643AA"/>
    <w:rsid w:val="00B85295"/>
    <w:rsid w:val="00B875E0"/>
    <w:rsid w:val="00BA0A9A"/>
    <w:rsid w:val="00BB35CF"/>
    <w:rsid w:val="00BB43AC"/>
    <w:rsid w:val="00BC0772"/>
    <w:rsid w:val="00BE1980"/>
    <w:rsid w:val="00BE6E29"/>
    <w:rsid w:val="00BF47B0"/>
    <w:rsid w:val="00C67018"/>
    <w:rsid w:val="00D64F71"/>
    <w:rsid w:val="00D70F6C"/>
    <w:rsid w:val="00D84E4A"/>
    <w:rsid w:val="00D8777A"/>
    <w:rsid w:val="00DC4904"/>
    <w:rsid w:val="00DE7673"/>
    <w:rsid w:val="00E1096E"/>
    <w:rsid w:val="00E22F9E"/>
    <w:rsid w:val="00EB5D14"/>
    <w:rsid w:val="00EC4D97"/>
    <w:rsid w:val="00EE4E6E"/>
    <w:rsid w:val="00F55A28"/>
    <w:rsid w:val="00F90404"/>
    <w:rsid w:val="00F9266C"/>
    <w:rsid w:val="00FA0CAD"/>
    <w:rsid w:val="00FA496E"/>
    <w:rsid w:val="00FE3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6965"/>
  <w15:chartTrackingRefBased/>
  <w15:docId w15:val="{DA4CDF39-BBFF-4A9C-BBAA-AEDC1DE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3C444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55A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B43AC"/>
  </w:style>
  <w:style w:type="table" w:styleId="TableGrid">
    <w:name w:val="Table Grid"/>
    <w:basedOn w:val="TableNormal"/>
    <w:uiPriority w:val="39"/>
    <w:rsid w:val="00DE7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4A04"/>
    <w:pPr>
      <w:outlineLvl w:val="9"/>
    </w:pPr>
    <w:rPr>
      <w:lang w:val="en-US"/>
    </w:rPr>
  </w:style>
  <w:style w:type="paragraph" w:styleId="TOC1">
    <w:name w:val="toc 1"/>
    <w:basedOn w:val="Normal"/>
    <w:next w:val="Normal"/>
    <w:autoRedefine/>
    <w:uiPriority w:val="39"/>
    <w:unhideWhenUsed/>
    <w:rsid w:val="00504A04"/>
    <w:pPr>
      <w:spacing w:after="100"/>
    </w:pPr>
  </w:style>
  <w:style w:type="character" w:styleId="Hyperlink">
    <w:name w:val="Hyperlink"/>
    <w:basedOn w:val="DefaultParagraphFont"/>
    <w:uiPriority w:val="99"/>
    <w:unhideWhenUsed/>
    <w:rsid w:val="00504A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344">
      <w:bodyDiv w:val="1"/>
      <w:marLeft w:val="0"/>
      <w:marRight w:val="0"/>
      <w:marTop w:val="0"/>
      <w:marBottom w:val="0"/>
      <w:divBdr>
        <w:top w:val="none" w:sz="0" w:space="0" w:color="auto"/>
        <w:left w:val="none" w:sz="0" w:space="0" w:color="auto"/>
        <w:bottom w:val="none" w:sz="0" w:space="0" w:color="auto"/>
        <w:right w:val="none" w:sz="0" w:space="0" w:color="auto"/>
      </w:divBdr>
    </w:div>
    <w:div w:id="5520499">
      <w:bodyDiv w:val="1"/>
      <w:marLeft w:val="0"/>
      <w:marRight w:val="0"/>
      <w:marTop w:val="0"/>
      <w:marBottom w:val="0"/>
      <w:divBdr>
        <w:top w:val="none" w:sz="0" w:space="0" w:color="auto"/>
        <w:left w:val="none" w:sz="0" w:space="0" w:color="auto"/>
        <w:bottom w:val="none" w:sz="0" w:space="0" w:color="auto"/>
        <w:right w:val="none" w:sz="0" w:space="0" w:color="auto"/>
      </w:divBdr>
    </w:div>
    <w:div w:id="27727368">
      <w:bodyDiv w:val="1"/>
      <w:marLeft w:val="0"/>
      <w:marRight w:val="0"/>
      <w:marTop w:val="0"/>
      <w:marBottom w:val="0"/>
      <w:divBdr>
        <w:top w:val="none" w:sz="0" w:space="0" w:color="auto"/>
        <w:left w:val="none" w:sz="0" w:space="0" w:color="auto"/>
        <w:bottom w:val="none" w:sz="0" w:space="0" w:color="auto"/>
        <w:right w:val="none" w:sz="0" w:space="0" w:color="auto"/>
      </w:divBdr>
    </w:div>
    <w:div w:id="34818665">
      <w:bodyDiv w:val="1"/>
      <w:marLeft w:val="0"/>
      <w:marRight w:val="0"/>
      <w:marTop w:val="0"/>
      <w:marBottom w:val="0"/>
      <w:divBdr>
        <w:top w:val="none" w:sz="0" w:space="0" w:color="auto"/>
        <w:left w:val="none" w:sz="0" w:space="0" w:color="auto"/>
        <w:bottom w:val="none" w:sz="0" w:space="0" w:color="auto"/>
        <w:right w:val="none" w:sz="0" w:space="0" w:color="auto"/>
      </w:divBdr>
    </w:div>
    <w:div w:id="42874514">
      <w:bodyDiv w:val="1"/>
      <w:marLeft w:val="0"/>
      <w:marRight w:val="0"/>
      <w:marTop w:val="0"/>
      <w:marBottom w:val="0"/>
      <w:divBdr>
        <w:top w:val="none" w:sz="0" w:space="0" w:color="auto"/>
        <w:left w:val="none" w:sz="0" w:space="0" w:color="auto"/>
        <w:bottom w:val="none" w:sz="0" w:space="0" w:color="auto"/>
        <w:right w:val="none" w:sz="0" w:space="0" w:color="auto"/>
      </w:divBdr>
    </w:div>
    <w:div w:id="82267939">
      <w:bodyDiv w:val="1"/>
      <w:marLeft w:val="0"/>
      <w:marRight w:val="0"/>
      <w:marTop w:val="0"/>
      <w:marBottom w:val="0"/>
      <w:divBdr>
        <w:top w:val="none" w:sz="0" w:space="0" w:color="auto"/>
        <w:left w:val="none" w:sz="0" w:space="0" w:color="auto"/>
        <w:bottom w:val="none" w:sz="0" w:space="0" w:color="auto"/>
        <w:right w:val="none" w:sz="0" w:space="0" w:color="auto"/>
      </w:divBdr>
    </w:div>
    <w:div w:id="97332057">
      <w:bodyDiv w:val="1"/>
      <w:marLeft w:val="0"/>
      <w:marRight w:val="0"/>
      <w:marTop w:val="0"/>
      <w:marBottom w:val="0"/>
      <w:divBdr>
        <w:top w:val="none" w:sz="0" w:space="0" w:color="auto"/>
        <w:left w:val="none" w:sz="0" w:space="0" w:color="auto"/>
        <w:bottom w:val="none" w:sz="0" w:space="0" w:color="auto"/>
        <w:right w:val="none" w:sz="0" w:space="0" w:color="auto"/>
      </w:divBdr>
    </w:div>
    <w:div w:id="119110424">
      <w:bodyDiv w:val="1"/>
      <w:marLeft w:val="0"/>
      <w:marRight w:val="0"/>
      <w:marTop w:val="0"/>
      <w:marBottom w:val="0"/>
      <w:divBdr>
        <w:top w:val="none" w:sz="0" w:space="0" w:color="auto"/>
        <w:left w:val="none" w:sz="0" w:space="0" w:color="auto"/>
        <w:bottom w:val="none" w:sz="0" w:space="0" w:color="auto"/>
        <w:right w:val="none" w:sz="0" w:space="0" w:color="auto"/>
      </w:divBdr>
    </w:div>
    <w:div w:id="164054203">
      <w:bodyDiv w:val="1"/>
      <w:marLeft w:val="0"/>
      <w:marRight w:val="0"/>
      <w:marTop w:val="0"/>
      <w:marBottom w:val="0"/>
      <w:divBdr>
        <w:top w:val="none" w:sz="0" w:space="0" w:color="auto"/>
        <w:left w:val="none" w:sz="0" w:space="0" w:color="auto"/>
        <w:bottom w:val="none" w:sz="0" w:space="0" w:color="auto"/>
        <w:right w:val="none" w:sz="0" w:space="0" w:color="auto"/>
      </w:divBdr>
    </w:div>
    <w:div w:id="190077456">
      <w:bodyDiv w:val="1"/>
      <w:marLeft w:val="0"/>
      <w:marRight w:val="0"/>
      <w:marTop w:val="0"/>
      <w:marBottom w:val="0"/>
      <w:divBdr>
        <w:top w:val="none" w:sz="0" w:space="0" w:color="auto"/>
        <w:left w:val="none" w:sz="0" w:space="0" w:color="auto"/>
        <w:bottom w:val="none" w:sz="0" w:space="0" w:color="auto"/>
        <w:right w:val="none" w:sz="0" w:space="0" w:color="auto"/>
      </w:divBdr>
    </w:div>
    <w:div w:id="190191560">
      <w:bodyDiv w:val="1"/>
      <w:marLeft w:val="0"/>
      <w:marRight w:val="0"/>
      <w:marTop w:val="0"/>
      <w:marBottom w:val="0"/>
      <w:divBdr>
        <w:top w:val="none" w:sz="0" w:space="0" w:color="auto"/>
        <w:left w:val="none" w:sz="0" w:space="0" w:color="auto"/>
        <w:bottom w:val="none" w:sz="0" w:space="0" w:color="auto"/>
        <w:right w:val="none" w:sz="0" w:space="0" w:color="auto"/>
      </w:divBdr>
    </w:div>
    <w:div w:id="205215546">
      <w:bodyDiv w:val="1"/>
      <w:marLeft w:val="0"/>
      <w:marRight w:val="0"/>
      <w:marTop w:val="0"/>
      <w:marBottom w:val="0"/>
      <w:divBdr>
        <w:top w:val="none" w:sz="0" w:space="0" w:color="auto"/>
        <w:left w:val="none" w:sz="0" w:space="0" w:color="auto"/>
        <w:bottom w:val="none" w:sz="0" w:space="0" w:color="auto"/>
        <w:right w:val="none" w:sz="0" w:space="0" w:color="auto"/>
      </w:divBdr>
    </w:div>
    <w:div w:id="266086440">
      <w:bodyDiv w:val="1"/>
      <w:marLeft w:val="0"/>
      <w:marRight w:val="0"/>
      <w:marTop w:val="0"/>
      <w:marBottom w:val="0"/>
      <w:divBdr>
        <w:top w:val="none" w:sz="0" w:space="0" w:color="auto"/>
        <w:left w:val="none" w:sz="0" w:space="0" w:color="auto"/>
        <w:bottom w:val="none" w:sz="0" w:space="0" w:color="auto"/>
        <w:right w:val="none" w:sz="0" w:space="0" w:color="auto"/>
      </w:divBdr>
    </w:div>
    <w:div w:id="275647096">
      <w:bodyDiv w:val="1"/>
      <w:marLeft w:val="0"/>
      <w:marRight w:val="0"/>
      <w:marTop w:val="0"/>
      <w:marBottom w:val="0"/>
      <w:divBdr>
        <w:top w:val="none" w:sz="0" w:space="0" w:color="auto"/>
        <w:left w:val="none" w:sz="0" w:space="0" w:color="auto"/>
        <w:bottom w:val="none" w:sz="0" w:space="0" w:color="auto"/>
        <w:right w:val="none" w:sz="0" w:space="0" w:color="auto"/>
      </w:divBdr>
    </w:div>
    <w:div w:id="310988701">
      <w:bodyDiv w:val="1"/>
      <w:marLeft w:val="0"/>
      <w:marRight w:val="0"/>
      <w:marTop w:val="0"/>
      <w:marBottom w:val="0"/>
      <w:divBdr>
        <w:top w:val="none" w:sz="0" w:space="0" w:color="auto"/>
        <w:left w:val="none" w:sz="0" w:space="0" w:color="auto"/>
        <w:bottom w:val="none" w:sz="0" w:space="0" w:color="auto"/>
        <w:right w:val="none" w:sz="0" w:space="0" w:color="auto"/>
      </w:divBdr>
    </w:div>
    <w:div w:id="321471590">
      <w:bodyDiv w:val="1"/>
      <w:marLeft w:val="0"/>
      <w:marRight w:val="0"/>
      <w:marTop w:val="0"/>
      <w:marBottom w:val="0"/>
      <w:divBdr>
        <w:top w:val="none" w:sz="0" w:space="0" w:color="auto"/>
        <w:left w:val="none" w:sz="0" w:space="0" w:color="auto"/>
        <w:bottom w:val="none" w:sz="0" w:space="0" w:color="auto"/>
        <w:right w:val="none" w:sz="0" w:space="0" w:color="auto"/>
      </w:divBdr>
    </w:div>
    <w:div w:id="343290738">
      <w:bodyDiv w:val="1"/>
      <w:marLeft w:val="0"/>
      <w:marRight w:val="0"/>
      <w:marTop w:val="0"/>
      <w:marBottom w:val="0"/>
      <w:divBdr>
        <w:top w:val="none" w:sz="0" w:space="0" w:color="auto"/>
        <w:left w:val="none" w:sz="0" w:space="0" w:color="auto"/>
        <w:bottom w:val="none" w:sz="0" w:space="0" w:color="auto"/>
        <w:right w:val="none" w:sz="0" w:space="0" w:color="auto"/>
      </w:divBdr>
    </w:div>
    <w:div w:id="360866469">
      <w:bodyDiv w:val="1"/>
      <w:marLeft w:val="0"/>
      <w:marRight w:val="0"/>
      <w:marTop w:val="0"/>
      <w:marBottom w:val="0"/>
      <w:divBdr>
        <w:top w:val="none" w:sz="0" w:space="0" w:color="auto"/>
        <w:left w:val="none" w:sz="0" w:space="0" w:color="auto"/>
        <w:bottom w:val="none" w:sz="0" w:space="0" w:color="auto"/>
        <w:right w:val="none" w:sz="0" w:space="0" w:color="auto"/>
      </w:divBdr>
    </w:div>
    <w:div w:id="385031255">
      <w:bodyDiv w:val="1"/>
      <w:marLeft w:val="0"/>
      <w:marRight w:val="0"/>
      <w:marTop w:val="0"/>
      <w:marBottom w:val="0"/>
      <w:divBdr>
        <w:top w:val="none" w:sz="0" w:space="0" w:color="auto"/>
        <w:left w:val="none" w:sz="0" w:space="0" w:color="auto"/>
        <w:bottom w:val="none" w:sz="0" w:space="0" w:color="auto"/>
        <w:right w:val="none" w:sz="0" w:space="0" w:color="auto"/>
      </w:divBdr>
    </w:div>
    <w:div w:id="395518765">
      <w:bodyDiv w:val="1"/>
      <w:marLeft w:val="0"/>
      <w:marRight w:val="0"/>
      <w:marTop w:val="0"/>
      <w:marBottom w:val="0"/>
      <w:divBdr>
        <w:top w:val="none" w:sz="0" w:space="0" w:color="auto"/>
        <w:left w:val="none" w:sz="0" w:space="0" w:color="auto"/>
        <w:bottom w:val="none" w:sz="0" w:space="0" w:color="auto"/>
        <w:right w:val="none" w:sz="0" w:space="0" w:color="auto"/>
      </w:divBdr>
    </w:div>
    <w:div w:id="399719548">
      <w:bodyDiv w:val="1"/>
      <w:marLeft w:val="0"/>
      <w:marRight w:val="0"/>
      <w:marTop w:val="0"/>
      <w:marBottom w:val="0"/>
      <w:divBdr>
        <w:top w:val="none" w:sz="0" w:space="0" w:color="auto"/>
        <w:left w:val="none" w:sz="0" w:space="0" w:color="auto"/>
        <w:bottom w:val="none" w:sz="0" w:space="0" w:color="auto"/>
        <w:right w:val="none" w:sz="0" w:space="0" w:color="auto"/>
      </w:divBdr>
    </w:div>
    <w:div w:id="432436509">
      <w:bodyDiv w:val="1"/>
      <w:marLeft w:val="0"/>
      <w:marRight w:val="0"/>
      <w:marTop w:val="0"/>
      <w:marBottom w:val="0"/>
      <w:divBdr>
        <w:top w:val="none" w:sz="0" w:space="0" w:color="auto"/>
        <w:left w:val="none" w:sz="0" w:space="0" w:color="auto"/>
        <w:bottom w:val="none" w:sz="0" w:space="0" w:color="auto"/>
        <w:right w:val="none" w:sz="0" w:space="0" w:color="auto"/>
      </w:divBdr>
    </w:div>
    <w:div w:id="462890673">
      <w:bodyDiv w:val="1"/>
      <w:marLeft w:val="0"/>
      <w:marRight w:val="0"/>
      <w:marTop w:val="0"/>
      <w:marBottom w:val="0"/>
      <w:divBdr>
        <w:top w:val="none" w:sz="0" w:space="0" w:color="auto"/>
        <w:left w:val="none" w:sz="0" w:space="0" w:color="auto"/>
        <w:bottom w:val="none" w:sz="0" w:space="0" w:color="auto"/>
        <w:right w:val="none" w:sz="0" w:space="0" w:color="auto"/>
      </w:divBdr>
    </w:div>
    <w:div w:id="480006033">
      <w:bodyDiv w:val="1"/>
      <w:marLeft w:val="0"/>
      <w:marRight w:val="0"/>
      <w:marTop w:val="0"/>
      <w:marBottom w:val="0"/>
      <w:divBdr>
        <w:top w:val="none" w:sz="0" w:space="0" w:color="auto"/>
        <w:left w:val="none" w:sz="0" w:space="0" w:color="auto"/>
        <w:bottom w:val="none" w:sz="0" w:space="0" w:color="auto"/>
        <w:right w:val="none" w:sz="0" w:space="0" w:color="auto"/>
      </w:divBdr>
    </w:div>
    <w:div w:id="488667531">
      <w:bodyDiv w:val="1"/>
      <w:marLeft w:val="0"/>
      <w:marRight w:val="0"/>
      <w:marTop w:val="0"/>
      <w:marBottom w:val="0"/>
      <w:divBdr>
        <w:top w:val="none" w:sz="0" w:space="0" w:color="auto"/>
        <w:left w:val="none" w:sz="0" w:space="0" w:color="auto"/>
        <w:bottom w:val="none" w:sz="0" w:space="0" w:color="auto"/>
        <w:right w:val="none" w:sz="0" w:space="0" w:color="auto"/>
      </w:divBdr>
    </w:div>
    <w:div w:id="505484089">
      <w:bodyDiv w:val="1"/>
      <w:marLeft w:val="0"/>
      <w:marRight w:val="0"/>
      <w:marTop w:val="0"/>
      <w:marBottom w:val="0"/>
      <w:divBdr>
        <w:top w:val="none" w:sz="0" w:space="0" w:color="auto"/>
        <w:left w:val="none" w:sz="0" w:space="0" w:color="auto"/>
        <w:bottom w:val="none" w:sz="0" w:space="0" w:color="auto"/>
        <w:right w:val="none" w:sz="0" w:space="0" w:color="auto"/>
      </w:divBdr>
    </w:div>
    <w:div w:id="529337222">
      <w:bodyDiv w:val="1"/>
      <w:marLeft w:val="0"/>
      <w:marRight w:val="0"/>
      <w:marTop w:val="0"/>
      <w:marBottom w:val="0"/>
      <w:divBdr>
        <w:top w:val="none" w:sz="0" w:space="0" w:color="auto"/>
        <w:left w:val="none" w:sz="0" w:space="0" w:color="auto"/>
        <w:bottom w:val="none" w:sz="0" w:space="0" w:color="auto"/>
        <w:right w:val="none" w:sz="0" w:space="0" w:color="auto"/>
      </w:divBdr>
    </w:div>
    <w:div w:id="589697102">
      <w:bodyDiv w:val="1"/>
      <w:marLeft w:val="0"/>
      <w:marRight w:val="0"/>
      <w:marTop w:val="0"/>
      <w:marBottom w:val="0"/>
      <w:divBdr>
        <w:top w:val="none" w:sz="0" w:space="0" w:color="auto"/>
        <w:left w:val="none" w:sz="0" w:space="0" w:color="auto"/>
        <w:bottom w:val="none" w:sz="0" w:space="0" w:color="auto"/>
        <w:right w:val="none" w:sz="0" w:space="0" w:color="auto"/>
      </w:divBdr>
    </w:div>
    <w:div w:id="602301660">
      <w:bodyDiv w:val="1"/>
      <w:marLeft w:val="0"/>
      <w:marRight w:val="0"/>
      <w:marTop w:val="0"/>
      <w:marBottom w:val="0"/>
      <w:divBdr>
        <w:top w:val="none" w:sz="0" w:space="0" w:color="auto"/>
        <w:left w:val="none" w:sz="0" w:space="0" w:color="auto"/>
        <w:bottom w:val="none" w:sz="0" w:space="0" w:color="auto"/>
        <w:right w:val="none" w:sz="0" w:space="0" w:color="auto"/>
      </w:divBdr>
    </w:div>
    <w:div w:id="610162691">
      <w:bodyDiv w:val="1"/>
      <w:marLeft w:val="0"/>
      <w:marRight w:val="0"/>
      <w:marTop w:val="0"/>
      <w:marBottom w:val="0"/>
      <w:divBdr>
        <w:top w:val="none" w:sz="0" w:space="0" w:color="auto"/>
        <w:left w:val="none" w:sz="0" w:space="0" w:color="auto"/>
        <w:bottom w:val="none" w:sz="0" w:space="0" w:color="auto"/>
        <w:right w:val="none" w:sz="0" w:space="0" w:color="auto"/>
      </w:divBdr>
    </w:div>
    <w:div w:id="611668698">
      <w:bodyDiv w:val="1"/>
      <w:marLeft w:val="0"/>
      <w:marRight w:val="0"/>
      <w:marTop w:val="0"/>
      <w:marBottom w:val="0"/>
      <w:divBdr>
        <w:top w:val="none" w:sz="0" w:space="0" w:color="auto"/>
        <w:left w:val="none" w:sz="0" w:space="0" w:color="auto"/>
        <w:bottom w:val="none" w:sz="0" w:space="0" w:color="auto"/>
        <w:right w:val="none" w:sz="0" w:space="0" w:color="auto"/>
      </w:divBdr>
    </w:div>
    <w:div w:id="614292945">
      <w:bodyDiv w:val="1"/>
      <w:marLeft w:val="0"/>
      <w:marRight w:val="0"/>
      <w:marTop w:val="0"/>
      <w:marBottom w:val="0"/>
      <w:divBdr>
        <w:top w:val="none" w:sz="0" w:space="0" w:color="auto"/>
        <w:left w:val="none" w:sz="0" w:space="0" w:color="auto"/>
        <w:bottom w:val="none" w:sz="0" w:space="0" w:color="auto"/>
        <w:right w:val="none" w:sz="0" w:space="0" w:color="auto"/>
      </w:divBdr>
    </w:div>
    <w:div w:id="621882893">
      <w:bodyDiv w:val="1"/>
      <w:marLeft w:val="0"/>
      <w:marRight w:val="0"/>
      <w:marTop w:val="0"/>
      <w:marBottom w:val="0"/>
      <w:divBdr>
        <w:top w:val="none" w:sz="0" w:space="0" w:color="auto"/>
        <w:left w:val="none" w:sz="0" w:space="0" w:color="auto"/>
        <w:bottom w:val="none" w:sz="0" w:space="0" w:color="auto"/>
        <w:right w:val="none" w:sz="0" w:space="0" w:color="auto"/>
      </w:divBdr>
    </w:div>
    <w:div w:id="629289470">
      <w:bodyDiv w:val="1"/>
      <w:marLeft w:val="0"/>
      <w:marRight w:val="0"/>
      <w:marTop w:val="0"/>
      <w:marBottom w:val="0"/>
      <w:divBdr>
        <w:top w:val="none" w:sz="0" w:space="0" w:color="auto"/>
        <w:left w:val="none" w:sz="0" w:space="0" w:color="auto"/>
        <w:bottom w:val="none" w:sz="0" w:space="0" w:color="auto"/>
        <w:right w:val="none" w:sz="0" w:space="0" w:color="auto"/>
      </w:divBdr>
    </w:div>
    <w:div w:id="635916266">
      <w:bodyDiv w:val="1"/>
      <w:marLeft w:val="0"/>
      <w:marRight w:val="0"/>
      <w:marTop w:val="0"/>
      <w:marBottom w:val="0"/>
      <w:divBdr>
        <w:top w:val="none" w:sz="0" w:space="0" w:color="auto"/>
        <w:left w:val="none" w:sz="0" w:space="0" w:color="auto"/>
        <w:bottom w:val="none" w:sz="0" w:space="0" w:color="auto"/>
        <w:right w:val="none" w:sz="0" w:space="0" w:color="auto"/>
      </w:divBdr>
    </w:div>
    <w:div w:id="637295490">
      <w:bodyDiv w:val="1"/>
      <w:marLeft w:val="0"/>
      <w:marRight w:val="0"/>
      <w:marTop w:val="0"/>
      <w:marBottom w:val="0"/>
      <w:divBdr>
        <w:top w:val="none" w:sz="0" w:space="0" w:color="auto"/>
        <w:left w:val="none" w:sz="0" w:space="0" w:color="auto"/>
        <w:bottom w:val="none" w:sz="0" w:space="0" w:color="auto"/>
        <w:right w:val="none" w:sz="0" w:space="0" w:color="auto"/>
      </w:divBdr>
    </w:div>
    <w:div w:id="648900722">
      <w:bodyDiv w:val="1"/>
      <w:marLeft w:val="0"/>
      <w:marRight w:val="0"/>
      <w:marTop w:val="0"/>
      <w:marBottom w:val="0"/>
      <w:divBdr>
        <w:top w:val="none" w:sz="0" w:space="0" w:color="auto"/>
        <w:left w:val="none" w:sz="0" w:space="0" w:color="auto"/>
        <w:bottom w:val="none" w:sz="0" w:space="0" w:color="auto"/>
        <w:right w:val="none" w:sz="0" w:space="0" w:color="auto"/>
      </w:divBdr>
    </w:div>
    <w:div w:id="698700785">
      <w:bodyDiv w:val="1"/>
      <w:marLeft w:val="0"/>
      <w:marRight w:val="0"/>
      <w:marTop w:val="0"/>
      <w:marBottom w:val="0"/>
      <w:divBdr>
        <w:top w:val="none" w:sz="0" w:space="0" w:color="auto"/>
        <w:left w:val="none" w:sz="0" w:space="0" w:color="auto"/>
        <w:bottom w:val="none" w:sz="0" w:space="0" w:color="auto"/>
        <w:right w:val="none" w:sz="0" w:space="0" w:color="auto"/>
      </w:divBdr>
    </w:div>
    <w:div w:id="699624817">
      <w:bodyDiv w:val="1"/>
      <w:marLeft w:val="0"/>
      <w:marRight w:val="0"/>
      <w:marTop w:val="0"/>
      <w:marBottom w:val="0"/>
      <w:divBdr>
        <w:top w:val="none" w:sz="0" w:space="0" w:color="auto"/>
        <w:left w:val="none" w:sz="0" w:space="0" w:color="auto"/>
        <w:bottom w:val="none" w:sz="0" w:space="0" w:color="auto"/>
        <w:right w:val="none" w:sz="0" w:space="0" w:color="auto"/>
      </w:divBdr>
    </w:div>
    <w:div w:id="712735782">
      <w:bodyDiv w:val="1"/>
      <w:marLeft w:val="0"/>
      <w:marRight w:val="0"/>
      <w:marTop w:val="0"/>
      <w:marBottom w:val="0"/>
      <w:divBdr>
        <w:top w:val="none" w:sz="0" w:space="0" w:color="auto"/>
        <w:left w:val="none" w:sz="0" w:space="0" w:color="auto"/>
        <w:bottom w:val="none" w:sz="0" w:space="0" w:color="auto"/>
        <w:right w:val="none" w:sz="0" w:space="0" w:color="auto"/>
      </w:divBdr>
    </w:div>
    <w:div w:id="755904816">
      <w:bodyDiv w:val="1"/>
      <w:marLeft w:val="0"/>
      <w:marRight w:val="0"/>
      <w:marTop w:val="0"/>
      <w:marBottom w:val="0"/>
      <w:divBdr>
        <w:top w:val="none" w:sz="0" w:space="0" w:color="auto"/>
        <w:left w:val="none" w:sz="0" w:space="0" w:color="auto"/>
        <w:bottom w:val="none" w:sz="0" w:space="0" w:color="auto"/>
        <w:right w:val="none" w:sz="0" w:space="0" w:color="auto"/>
      </w:divBdr>
    </w:div>
    <w:div w:id="759645299">
      <w:bodyDiv w:val="1"/>
      <w:marLeft w:val="0"/>
      <w:marRight w:val="0"/>
      <w:marTop w:val="0"/>
      <w:marBottom w:val="0"/>
      <w:divBdr>
        <w:top w:val="none" w:sz="0" w:space="0" w:color="auto"/>
        <w:left w:val="none" w:sz="0" w:space="0" w:color="auto"/>
        <w:bottom w:val="none" w:sz="0" w:space="0" w:color="auto"/>
        <w:right w:val="none" w:sz="0" w:space="0" w:color="auto"/>
      </w:divBdr>
    </w:div>
    <w:div w:id="818302966">
      <w:bodyDiv w:val="1"/>
      <w:marLeft w:val="0"/>
      <w:marRight w:val="0"/>
      <w:marTop w:val="0"/>
      <w:marBottom w:val="0"/>
      <w:divBdr>
        <w:top w:val="none" w:sz="0" w:space="0" w:color="auto"/>
        <w:left w:val="none" w:sz="0" w:space="0" w:color="auto"/>
        <w:bottom w:val="none" w:sz="0" w:space="0" w:color="auto"/>
        <w:right w:val="none" w:sz="0" w:space="0" w:color="auto"/>
      </w:divBdr>
    </w:div>
    <w:div w:id="860319521">
      <w:bodyDiv w:val="1"/>
      <w:marLeft w:val="0"/>
      <w:marRight w:val="0"/>
      <w:marTop w:val="0"/>
      <w:marBottom w:val="0"/>
      <w:divBdr>
        <w:top w:val="none" w:sz="0" w:space="0" w:color="auto"/>
        <w:left w:val="none" w:sz="0" w:space="0" w:color="auto"/>
        <w:bottom w:val="none" w:sz="0" w:space="0" w:color="auto"/>
        <w:right w:val="none" w:sz="0" w:space="0" w:color="auto"/>
      </w:divBdr>
    </w:div>
    <w:div w:id="866020703">
      <w:bodyDiv w:val="1"/>
      <w:marLeft w:val="0"/>
      <w:marRight w:val="0"/>
      <w:marTop w:val="0"/>
      <w:marBottom w:val="0"/>
      <w:divBdr>
        <w:top w:val="none" w:sz="0" w:space="0" w:color="auto"/>
        <w:left w:val="none" w:sz="0" w:space="0" w:color="auto"/>
        <w:bottom w:val="none" w:sz="0" w:space="0" w:color="auto"/>
        <w:right w:val="none" w:sz="0" w:space="0" w:color="auto"/>
      </w:divBdr>
    </w:div>
    <w:div w:id="890075919">
      <w:bodyDiv w:val="1"/>
      <w:marLeft w:val="0"/>
      <w:marRight w:val="0"/>
      <w:marTop w:val="0"/>
      <w:marBottom w:val="0"/>
      <w:divBdr>
        <w:top w:val="none" w:sz="0" w:space="0" w:color="auto"/>
        <w:left w:val="none" w:sz="0" w:space="0" w:color="auto"/>
        <w:bottom w:val="none" w:sz="0" w:space="0" w:color="auto"/>
        <w:right w:val="none" w:sz="0" w:space="0" w:color="auto"/>
      </w:divBdr>
    </w:div>
    <w:div w:id="892277278">
      <w:bodyDiv w:val="1"/>
      <w:marLeft w:val="0"/>
      <w:marRight w:val="0"/>
      <w:marTop w:val="0"/>
      <w:marBottom w:val="0"/>
      <w:divBdr>
        <w:top w:val="none" w:sz="0" w:space="0" w:color="auto"/>
        <w:left w:val="none" w:sz="0" w:space="0" w:color="auto"/>
        <w:bottom w:val="none" w:sz="0" w:space="0" w:color="auto"/>
        <w:right w:val="none" w:sz="0" w:space="0" w:color="auto"/>
      </w:divBdr>
    </w:div>
    <w:div w:id="909312158">
      <w:bodyDiv w:val="1"/>
      <w:marLeft w:val="0"/>
      <w:marRight w:val="0"/>
      <w:marTop w:val="0"/>
      <w:marBottom w:val="0"/>
      <w:divBdr>
        <w:top w:val="none" w:sz="0" w:space="0" w:color="auto"/>
        <w:left w:val="none" w:sz="0" w:space="0" w:color="auto"/>
        <w:bottom w:val="none" w:sz="0" w:space="0" w:color="auto"/>
        <w:right w:val="none" w:sz="0" w:space="0" w:color="auto"/>
      </w:divBdr>
    </w:div>
    <w:div w:id="911089436">
      <w:bodyDiv w:val="1"/>
      <w:marLeft w:val="0"/>
      <w:marRight w:val="0"/>
      <w:marTop w:val="0"/>
      <w:marBottom w:val="0"/>
      <w:divBdr>
        <w:top w:val="none" w:sz="0" w:space="0" w:color="auto"/>
        <w:left w:val="none" w:sz="0" w:space="0" w:color="auto"/>
        <w:bottom w:val="none" w:sz="0" w:space="0" w:color="auto"/>
        <w:right w:val="none" w:sz="0" w:space="0" w:color="auto"/>
      </w:divBdr>
    </w:div>
    <w:div w:id="943223404">
      <w:bodyDiv w:val="1"/>
      <w:marLeft w:val="0"/>
      <w:marRight w:val="0"/>
      <w:marTop w:val="0"/>
      <w:marBottom w:val="0"/>
      <w:divBdr>
        <w:top w:val="none" w:sz="0" w:space="0" w:color="auto"/>
        <w:left w:val="none" w:sz="0" w:space="0" w:color="auto"/>
        <w:bottom w:val="none" w:sz="0" w:space="0" w:color="auto"/>
        <w:right w:val="none" w:sz="0" w:space="0" w:color="auto"/>
      </w:divBdr>
    </w:div>
    <w:div w:id="964232068">
      <w:bodyDiv w:val="1"/>
      <w:marLeft w:val="0"/>
      <w:marRight w:val="0"/>
      <w:marTop w:val="0"/>
      <w:marBottom w:val="0"/>
      <w:divBdr>
        <w:top w:val="none" w:sz="0" w:space="0" w:color="auto"/>
        <w:left w:val="none" w:sz="0" w:space="0" w:color="auto"/>
        <w:bottom w:val="none" w:sz="0" w:space="0" w:color="auto"/>
        <w:right w:val="none" w:sz="0" w:space="0" w:color="auto"/>
      </w:divBdr>
    </w:div>
    <w:div w:id="982663567">
      <w:bodyDiv w:val="1"/>
      <w:marLeft w:val="0"/>
      <w:marRight w:val="0"/>
      <w:marTop w:val="0"/>
      <w:marBottom w:val="0"/>
      <w:divBdr>
        <w:top w:val="none" w:sz="0" w:space="0" w:color="auto"/>
        <w:left w:val="none" w:sz="0" w:space="0" w:color="auto"/>
        <w:bottom w:val="none" w:sz="0" w:space="0" w:color="auto"/>
        <w:right w:val="none" w:sz="0" w:space="0" w:color="auto"/>
      </w:divBdr>
    </w:div>
    <w:div w:id="1021325379">
      <w:bodyDiv w:val="1"/>
      <w:marLeft w:val="0"/>
      <w:marRight w:val="0"/>
      <w:marTop w:val="0"/>
      <w:marBottom w:val="0"/>
      <w:divBdr>
        <w:top w:val="none" w:sz="0" w:space="0" w:color="auto"/>
        <w:left w:val="none" w:sz="0" w:space="0" w:color="auto"/>
        <w:bottom w:val="none" w:sz="0" w:space="0" w:color="auto"/>
        <w:right w:val="none" w:sz="0" w:space="0" w:color="auto"/>
      </w:divBdr>
    </w:div>
    <w:div w:id="1032682201">
      <w:bodyDiv w:val="1"/>
      <w:marLeft w:val="0"/>
      <w:marRight w:val="0"/>
      <w:marTop w:val="0"/>
      <w:marBottom w:val="0"/>
      <w:divBdr>
        <w:top w:val="none" w:sz="0" w:space="0" w:color="auto"/>
        <w:left w:val="none" w:sz="0" w:space="0" w:color="auto"/>
        <w:bottom w:val="none" w:sz="0" w:space="0" w:color="auto"/>
        <w:right w:val="none" w:sz="0" w:space="0" w:color="auto"/>
      </w:divBdr>
    </w:div>
    <w:div w:id="1033075544">
      <w:bodyDiv w:val="1"/>
      <w:marLeft w:val="0"/>
      <w:marRight w:val="0"/>
      <w:marTop w:val="0"/>
      <w:marBottom w:val="0"/>
      <w:divBdr>
        <w:top w:val="none" w:sz="0" w:space="0" w:color="auto"/>
        <w:left w:val="none" w:sz="0" w:space="0" w:color="auto"/>
        <w:bottom w:val="none" w:sz="0" w:space="0" w:color="auto"/>
        <w:right w:val="none" w:sz="0" w:space="0" w:color="auto"/>
      </w:divBdr>
    </w:div>
    <w:div w:id="1046375314">
      <w:bodyDiv w:val="1"/>
      <w:marLeft w:val="0"/>
      <w:marRight w:val="0"/>
      <w:marTop w:val="0"/>
      <w:marBottom w:val="0"/>
      <w:divBdr>
        <w:top w:val="none" w:sz="0" w:space="0" w:color="auto"/>
        <w:left w:val="none" w:sz="0" w:space="0" w:color="auto"/>
        <w:bottom w:val="none" w:sz="0" w:space="0" w:color="auto"/>
        <w:right w:val="none" w:sz="0" w:space="0" w:color="auto"/>
      </w:divBdr>
    </w:div>
    <w:div w:id="1065182002">
      <w:bodyDiv w:val="1"/>
      <w:marLeft w:val="0"/>
      <w:marRight w:val="0"/>
      <w:marTop w:val="0"/>
      <w:marBottom w:val="0"/>
      <w:divBdr>
        <w:top w:val="none" w:sz="0" w:space="0" w:color="auto"/>
        <w:left w:val="none" w:sz="0" w:space="0" w:color="auto"/>
        <w:bottom w:val="none" w:sz="0" w:space="0" w:color="auto"/>
        <w:right w:val="none" w:sz="0" w:space="0" w:color="auto"/>
      </w:divBdr>
    </w:div>
    <w:div w:id="1076441893">
      <w:bodyDiv w:val="1"/>
      <w:marLeft w:val="0"/>
      <w:marRight w:val="0"/>
      <w:marTop w:val="0"/>
      <w:marBottom w:val="0"/>
      <w:divBdr>
        <w:top w:val="none" w:sz="0" w:space="0" w:color="auto"/>
        <w:left w:val="none" w:sz="0" w:space="0" w:color="auto"/>
        <w:bottom w:val="none" w:sz="0" w:space="0" w:color="auto"/>
        <w:right w:val="none" w:sz="0" w:space="0" w:color="auto"/>
      </w:divBdr>
    </w:div>
    <w:div w:id="1080717363">
      <w:bodyDiv w:val="1"/>
      <w:marLeft w:val="0"/>
      <w:marRight w:val="0"/>
      <w:marTop w:val="0"/>
      <w:marBottom w:val="0"/>
      <w:divBdr>
        <w:top w:val="none" w:sz="0" w:space="0" w:color="auto"/>
        <w:left w:val="none" w:sz="0" w:space="0" w:color="auto"/>
        <w:bottom w:val="none" w:sz="0" w:space="0" w:color="auto"/>
        <w:right w:val="none" w:sz="0" w:space="0" w:color="auto"/>
      </w:divBdr>
    </w:div>
    <w:div w:id="1090590090">
      <w:bodyDiv w:val="1"/>
      <w:marLeft w:val="0"/>
      <w:marRight w:val="0"/>
      <w:marTop w:val="0"/>
      <w:marBottom w:val="0"/>
      <w:divBdr>
        <w:top w:val="none" w:sz="0" w:space="0" w:color="auto"/>
        <w:left w:val="none" w:sz="0" w:space="0" w:color="auto"/>
        <w:bottom w:val="none" w:sz="0" w:space="0" w:color="auto"/>
        <w:right w:val="none" w:sz="0" w:space="0" w:color="auto"/>
      </w:divBdr>
    </w:div>
    <w:div w:id="1155880641">
      <w:bodyDiv w:val="1"/>
      <w:marLeft w:val="0"/>
      <w:marRight w:val="0"/>
      <w:marTop w:val="0"/>
      <w:marBottom w:val="0"/>
      <w:divBdr>
        <w:top w:val="none" w:sz="0" w:space="0" w:color="auto"/>
        <w:left w:val="none" w:sz="0" w:space="0" w:color="auto"/>
        <w:bottom w:val="none" w:sz="0" w:space="0" w:color="auto"/>
        <w:right w:val="none" w:sz="0" w:space="0" w:color="auto"/>
      </w:divBdr>
    </w:div>
    <w:div w:id="1172642555">
      <w:bodyDiv w:val="1"/>
      <w:marLeft w:val="0"/>
      <w:marRight w:val="0"/>
      <w:marTop w:val="0"/>
      <w:marBottom w:val="0"/>
      <w:divBdr>
        <w:top w:val="none" w:sz="0" w:space="0" w:color="auto"/>
        <w:left w:val="none" w:sz="0" w:space="0" w:color="auto"/>
        <w:bottom w:val="none" w:sz="0" w:space="0" w:color="auto"/>
        <w:right w:val="none" w:sz="0" w:space="0" w:color="auto"/>
      </w:divBdr>
    </w:div>
    <w:div w:id="1188641942">
      <w:bodyDiv w:val="1"/>
      <w:marLeft w:val="0"/>
      <w:marRight w:val="0"/>
      <w:marTop w:val="0"/>
      <w:marBottom w:val="0"/>
      <w:divBdr>
        <w:top w:val="none" w:sz="0" w:space="0" w:color="auto"/>
        <w:left w:val="none" w:sz="0" w:space="0" w:color="auto"/>
        <w:bottom w:val="none" w:sz="0" w:space="0" w:color="auto"/>
        <w:right w:val="none" w:sz="0" w:space="0" w:color="auto"/>
      </w:divBdr>
    </w:div>
    <w:div w:id="1204173159">
      <w:bodyDiv w:val="1"/>
      <w:marLeft w:val="0"/>
      <w:marRight w:val="0"/>
      <w:marTop w:val="0"/>
      <w:marBottom w:val="0"/>
      <w:divBdr>
        <w:top w:val="none" w:sz="0" w:space="0" w:color="auto"/>
        <w:left w:val="none" w:sz="0" w:space="0" w:color="auto"/>
        <w:bottom w:val="none" w:sz="0" w:space="0" w:color="auto"/>
        <w:right w:val="none" w:sz="0" w:space="0" w:color="auto"/>
      </w:divBdr>
    </w:div>
    <w:div w:id="1230652620">
      <w:bodyDiv w:val="1"/>
      <w:marLeft w:val="0"/>
      <w:marRight w:val="0"/>
      <w:marTop w:val="0"/>
      <w:marBottom w:val="0"/>
      <w:divBdr>
        <w:top w:val="none" w:sz="0" w:space="0" w:color="auto"/>
        <w:left w:val="none" w:sz="0" w:space="0" w:color="auto"/>
        <w:bottom w:val="none" w:sz="0" w:space="0" w:color="auto"/>
        <w:right w:val="none" w:sz="0" w:space="0" w:color="auto"/>
      </w:divBdr>
    </w:div>
    <w:div w:id="1262758168">
      <w:bodyDiv w:val="1"/>
      <w:marLeft w:val="0"/>
      <w:marRight w:val="0"/>
      <w:marTop w:val="0"/>
      <w:marBottom w:val="0"/>
      <w:divBdr>
        <w:top w:val="none" w:sz="0" w:space="0" w:color="auto"/>
        <w:left w:val="none" w:sz="0" w:space="0" w:color="auto"/>
        <w:bottom w:val="none" w:sz="0" w:space="0" w:color="auto"/>
        <w:right w:val="none" w:sz="0" w:space="0" w:color="auto"/>
      </w:divBdr>
    </w:div>
    <w:div w:id="1299796586">
      <w:bodyDiv w:val="1"/>
      <w:marLeft w:val="0"/>
      <w:marRight w:val="0"/>
      <w:marTop w:val="0"/>
      <w:marBottom w:val="0"/>
      <w:divBdr>
        <w:top w:val="none" w:sz="0" w:space="0" w:color="auto"/>
        <w:left w:val="none" w:sz="0" w:space="0" w:color="auto"/>
        <w:bottom w:val="none" w:sz="0" w:space="0" w:color="auto"/>
        <w:right w:val="none" w:sz="0" w:space="0" w:color="auto"/>
      </w:divBdr>
    </w:div>
    <w:div w:id="1300571036">
      <w:bodyDiv w:val="1"/>
      <w:marLeft w:val="0"/>
      <w:marRight w:val="0"/>
      <w:marTop w:val="0"/>
      <w:marBottom w:val="0"/>
      <w:divBdr>
        <w:top w:val="none" w:sz="0" w:space="0" w:color="auto"/>
        <w:left w:val="none" w:sz="0" w:space="0" w:color="auto"/>
        <w:bottom w:val="none" w:sz="0" w:space="0" w:color="auto"/>
        <w:right w:val="none" w:sz="0" w:space="0" w:color="auto"/>
      </w:divBdr>
    </w:div>
    <w:div w:id="1339192836">
      <w:bodyDiv w:val="1"/>
      <w:marLeft w:val="0"/>
      <w:marRight w:val="0"/>
      <w:marTop w:val="0"/>
      <w:marBottom w:val="0"/>
      <w:divBdr>
        <w:top w:val="none" w:sz="0" w:space="0" w:color="auto"/>
        <w:left w:val="none" w:sz="0" w:space="0" w:color="auto"/>
        <w:bottom w:val="none" w:sz="0" w:space="0" w:color="auto"/>
        <w:right w:val="none" w:sz="0" w:space="0" w:color="auto"/>
      </w:divBdr>
    </w:div>
    <w:div w:id="1363166514">
      <w:bodyDiv w:val="1"/>
      <w:marLeft w:val="0"/>
      <w:marRight w:val="0"/>
      <w:marTop w:val="0"/>
      <w:marBottom w:val="0"/>
      <w:divBdr>
        <w:top w:val="none" w:sz="0" w:space="0" w:color="auto"/>
        <w:left w:val="none" w:sz="0" w:space="0" w:color="auto"/>
        <w:bottom w:val="none" w:sz="0" w:space="0" w:color="auto"/>
        <w:right w:val="none" w:sz="0" w:space="0" w:color="auto"/>
      </w:divBdr>
    </w:div>
    <w:div w:id="1403262099">
      <w:bodyDiv w:val="1"/>
      <w:marLeft w:val="0"/>
      <w:marRight w:val="0"/>
      <w:marTop w:val="0"/>
      <w:marBottom w:val="0"/>
      <w:divBdr>
        <w:top w:val="none" w:sz="0" w:space="0" w:color="auto"/>
        <w:left w:val="none" w:sz="0" w:space="0" w:color="auto"/>
        <w:bottom w:val="none" w:sz="0" w:space="0" w:color="auto"/>
        <w:right w:val="none" w:sz="0" w:space="0" w:color="auto"/>
      </w:divBdr>
    </w:div>
    <w:div w:id="1425421047">
      <w:bodyDiv w:val="1"/>
      <w:marLeft w:val="0"/>
      <w:marRight w:val="0"/>
      <w:marTop w:val="0"/>
      <w:marBottom w:val="0"/>
      <w:divBdr>
        <w:top w:val="none" w:sz="0" w:space="0" w:color="auto"/>
        <w:left w:val="none" w:sz="0" w:space="0" w:color="auto"/>
        <w:bottom w:val="none" w:sz="0" w:space="0" w:color="auto"/>
        <w:right w:val="none" w:sz="0" w:space="0" w:color="auto"/>
      </w:divBdr>
    </w:div>
    <w:div w:id="1448818182">
      <w:bodyDiv w:val="1"/>
      <w:marLeft w:val="0"/>
      <w:marRight w:val="0"/>
      <w:marTop w:val="0"/>
      <w:marBottom w:val="0"/>
      <w:divBdr>
        <w:top w:val="none" w:sz="0" w:space="0" w:color="auto"/>
        <w:left w:val="none" w:sz="0" w:space="0" w:color="auto"/>
        <w:bottom w:val="none" w:sz="0" w:space="0" w:color="auto"/>
        <w:right w:val="none" w:sz="0" w:space="0" w:color="auto"/>
      </w:divBdr>
    </w:div>
    <w:div w:id="1450390106">
      <w:bodyDiv w:val="1"/>
      <w:marLeft w:val="0"/>
      <w:marRight w:val="0"/>
      <w:marTop w:val="0"/>
      <w:marBottom w:val="0"/>
      <w:divBdr>
        <w:top w:val="none" w:sz="0" w:space="0" w:color="auto"/>
        <w:left w:val="none" w:sz="0" w:space="0" w:color="auto"/>
        <w:bottom w:val="none" w:sz="0" w:space="0" w:color="auto"/>
        <w:right w:val="none" w:sz="0" w:space="0" w:color="auto"/>
      </w:divBdr>
    </w:div>
    <w:div w:id="1479690321">
      <w:bodyDiv w:val="1"/>
      <w:marLeft w:val="0"/>
      <w:marRight w:val="0"/>
      <w:marTop w:val="0"/>
      <w:marBottom w:val="0"/>
      <w:divBdr>
        <w:top w:val="none" w:sz="0" w:space="0" w:color="auto"/>
        <w:left w:val="none" w:sz="0" w:space="0" w:color="auto"/>
        <w:bottom w:val="none" w:sz="0" w:space="0" w:color="auto"/>
        <w:right w:val="none" w:sz="0" w:space="0" w:color="auto"/>
      </w:divBdr>
    </w:div>
    <w:div w:id="1492676750">
      <w:bodyDiv w:val="1"/>
      <w:marLeft w:val="0"/>
      <w:marRight w:val="0"/>
      <w:marTop w:val="0"/>
      <w:marBottom w:val="0"/>
      <w:divBdr>
        <w:top w:val="none" w:sz="0" w:space="0" w:color="auto"/>
        <w:left w:val="none" w:sz="0" w:space="0" w:color="auto"/>
        <w:bottom w:val="none" w:sz="0" w:space="0" w:color="auto"/>
        <w:right w:val="none" w:sz="0" w:space="0" w:color="auto"/>
      </w:divBdr>
    </w:div>
    <w:div w:id="1509711640">
      <w:bodyDiv w:val="1"/>
      <w:marLeft w:val="0"/>
      <w:marRight w:val="0"/>
      <w:marTop w:val="0"/>
      <w:marBottom w:val="0"/>
      <w:divBdr>
        <w:top w:val="none" w:sz="0" w:space="0" w:color="auto"/>
        <w:left w:val="none" w:sz="0" w:space="0" w:color="auto"/>
        <w:bottom w:val="none" w:sz="0" w:space="0" w:color="auto"/>
        <w:right w:val="none" w:sz="0" w:space="0" w:color="auto"/>
      </w:divBdr>
    </w:div>
    <w:div w:id="1525972247">
      <w:bodyDiv w:val="1"/>
      <w:marLeft w:val="0"/>
      <w:marRight w:val="0"/>
      <w:marTop w:val="0"/>
      <w:marBottom w:val="0"/>
      <w:divBdr>
        <w:top w:val="none" w:sz="0" w:space="0" w:color="auto"/>
        <w:left w:val="none" w:sz="0" w:space="0" w:color="auto"/>
        <w:bottom w:val="none" w:sz="0" w:space="0" w:color="auto"/>
        <w:right w:val="none" w:sz="0" w:space="0" w:color="auto"/>
      </w:divBdr>
    </w:div>
    <w:div w:id="1555315858">
      <w:bodyDiv w:val="1"/>
      <w:marLeft w:val="0"/>
      <w:marRight w:val="0"/>
      <w:marTop w:val="0"/>
      <w:marBottom w:val="0"/>
      <w:divBdr>
        <w:top w:val="none" w:sz="0" w:space="0" w:color="auto"/>
        <w:left w:val="none" w:sz="0" w:space="0" w:color="auto"/>
        <w:bottom w:val="none" w:sz="0" w:space="0" w:color="auto"/>
        <w:right w:val="none" w:sz="0" w:space="0" w:color="auto"/>
      </w:divBdr>
    </w:div>
    <w:div w:id="1572495856">
      <w:bodyDiv w:val="1"/>
      <w:marLeft w:val="0"/>
      <w:marRight w:val="0"/>
      <w:marTop w:val="0"/>
      <w:marBottom w:val="0"/>
      <w:divBdr>
        <w:top w:val="none" w:sz="0" w:space="0" w:color="auto"/>
        <w:left w:val="none" w:sz="0" w:space="0" w:color="auto"/>
        <w:bottom w:val="none" w:sz="0" w:space="0" w:color="auto"/>
        <w:right w:val="none" w:sz="0" w:space="0" w:color="auto"/>
      </w:divBdr>
    </w:div>
    <w:div w:id="1586256158">
      <w:bodyDiv w:val="1"/>
      <w:marLeft w:val="0"/>
      <w:marRight w:val="0"/>
      <w:marTop w:val="0"/>
      <w:marBottom w:val="0"/>
      <w:divBdr>
        <w:top w:val="none" w:sz="0" w:space="0" w:color="auto"/>
        <w:left w:val="none" w:sz="0" w:space="0" w:color="auto"/>
        <w:bottom w:val="none" w:sz="0" w:space="0" w:color="auto"/>
        <w:right w:val="none" w:sz="0" w:space="0" w:color="auto"/>
      </w:divBdr>
    </w:div>
    <w:div w:id="1594048705">
      <w:bodyDiv w:val="1"/>
      <w:marLeft w:val="0"/>
      <w:marRight w:val="0"/>
      <w:marTop w:val="0"/>
      <w:marBottom w:val="0"/>
      <w:divBdr>
        <w:top w:val="none" w:sz="0" w:space="0" w:color="auto"/>
        <w:left w:val="none" w:sz="0" w:space="0" w:color="auto"/>
        <w:bottom w:val="none" w:sz="0" w:space="0" w:color="auto"/>
        <w:right w:val="none" w:sz="0" w:space="0" w:color="auto"/>
      </w:divBdr>
    </w:div>
    <w:div w:id="1648389310">
      <w:bodyDiv w:val="1"/>
      <w:marLeft w:val="0"/>
      <w:marRight w:val="0"/>
      <w:marTop w:val="0"/>
      <w:marBottom w:val="0"/>
      <w:divBdr>
        <w:top w:val="none" w:sz="0" w:space="0" w:color="auto"/>
        <w:left w:val="none" w:sz="0" w:space="0" w:color="auto"/>
        <w:bottom w:val="none" w:sz="0" w:space="0" w:color="auto"/>
        <w:right w:val="none" w:sz="0" w:space="0" w:color="auto"/>
      </w:divBdr>
    </w:div>
    <w:div w:id="1653876186">
      <w:bodyDiv w:val="1"/>
      <w:marLeft w:val="0"/>
      <w:marRight w:val="0"/>
      <w:marTop w:val="0"/>
      <w:marBottom w:val="0"/>
      <w:divBdr>
        <w:top w:val="none" w:sz="0" w:space="0" w:color="auto"/>
        <w:left w:val="none" w:sz="0" w:space="0" w:color="auto"/>
        <w:bottom w:val="none" w:sz="0" w:space="0" w:color="auto"/>
        <w:right w:val="none" w:sz="0" w:space="0" w:color="auto"/>
      </w:divBdr>
    </w:div>
    <w:div w:id="1659118304">
      <w:bodyDiv w:val="1"/>
      <w:marLeft w:val="0"/>
      <w:marRight w:val="0"/>
      <w:marTop w:val="0"/>
      <w:marBottom w:val="0"/>
      <w:divBdr>
        <w:top w:val="none" w:sz="0" w:space="0" w:color="auto"/>
        <w:left w:val="none" w:sz="0" w:space="0" w:color="auto"/>
        <w:bottom w:val="none" w:sz="0" w:space="0" w:color="auto"/>
        <w:right w:val="none" w:sz="0" w:space="0" w:color="auto"/>
      </w:divBdr>
    </w:div>
    <w:div w:id="1659919753">
      <w:bodyDiv w:val="1"/>
      <w:marLeft w:val="0"/>
      <w:marRight w:val="0"/>
      <w:marTop w:val="0"/>
      <w:marBottom w:val="0"/>
      <w:divBdr>
        <w:top w:val="none" w:sz="0" w:space="0" w:color="auto"/>
        <w:left w:val="none" w:sz="0" w:space="0" w:color="auto"/>
        <w:bottom w:val="none" w:sz="0" w:space="0" w:color="auto"/>
        <w:right w:val="none" w:sz="0" w:space="0" w:color="auto"/>
      </w:divBdr>
    </w:div>
    <w:div w:id="1735160411">
      <w:bodyDiv w:val="1"/>
      <w:marLeft w:val="0"/>
      <w:marRight w:val="0"/>
      <w:marTop w:val="0"/>
      <w:marBottom w:val="0"/>
      <w:divBdr>
        <w:top w:val="none" w:sz="0" w:space="0" w:color="auto"/>
        <w:left w:val="none" w:sz="0" w:space="0" w:color="auto"/>
        <w:bottom w:val="none" w:sz="0" w:space="0" w:color="auto"/>
        <w:right w:val="none" w:sz="0" w:space="0" w:color="auto"/>
      </w:divBdr>
    </w:div>
    <w:div w:id="1751468443">
      <w:bodyDiv w:val="1"/>
      <w:marLeft w:val="0"/>
      <w:marRight w:val="0"/>
      <w:marTop w:val="0"/>
      <w:marBottom w:val="0"/>
      <w:divBdr>
        <w:top w:val="none" w:sz="0" w:space="0" w:color="auto"/>
        <w:left w:val="none" w:sz="0" w:space="0" w:color="auto"/>
        <w:bottom w:val="none" w:sz="0" w:space="0" w:color="auto"/>
        <w:right w:val="none" w:sz="0" w:space="0" w:color="auto"/>
      </w:divBdr>
    </w:div>
    <w:div w:id="1776705262">
      <w:bodyDiv w:val="1"/>
      <w:marLeft w:val="0"/>
      <w:marRight w:val="0"/>
      <w:marTop w:val="0"/>
      <w:marBottom w:val="0"/>
      <w:divBdr>
        <w:top w:val="none" w:sz="0" w:space="0" w:color="auto"/>
        <w:left w:val="none" w:sz="0" w:space="0" w:color="auto"/>
        <w:bottom w:val="none" w:sz="0" w:space="0" w:color="auto"/>
        <w:right w:val="none" w:sz="0" w:space="0" w:color="auto"/>
      </w:divBdr>
    </w:div>
    <w:div w:id="1785542223">
      <w:bodyDiv w:val="1"/>
      <w:marLeft w:val="0"/>
      <w:marRight w:val="0"/>
      <w:marTop w:val="0"/>
      <w:marBottom w:val="0"/>
      <w:divBdr>
        <w:top w:val="none" w:sz="0" w:space="0" w:color="auto"/>
        <w:left w:val="none" w:sz="0" w:space="0" w:color="auto"/>
        <w:bottom w:val="none" w:sz="0" w:space="0" w:color="auto"/>
        <w:right w:val="none" w:sz="0" w:space="0" w:color="auto"/>
      </w:divBdr>
    </w:div>
    <w:div w:id="1817723068">
      <w:bodyDiv w:val="1"/>
      <w:marLeft w:val="0"/>
      <w:marRight w:val="0"/>
      <w:marTop w:val="0"/>
      <w:marBottom w:val="0"/>
      <w:divBdr>
        <w:top w:val="none" w:sz="0" w:space="0" w:color="auto"/>
        <w:left w:val="none" w:sz="0" w:space="0" w:color="auto"/>
        <w:bottom w:val="none" w:sz="0" w:space="0" w:color="auto"/>
        <w:right w:val="none" w:sz="0" w:space="0" w:color="auto"/>
      </w:divBdr>
    </w:div>
    <w:div w:id="1850095528">
      <w:bodyDiv w:val="1"/>
      <w:marLeft w:val="0"/>
      <w:marRight w:val="0"/>
      <w:marTop w:val="0"/>
      <w:marBottom w:val="0"/>
      <w:divBdr>
        <w:top w:val="none" w:sz="0" w:space="0" w:color="auto"/>
        <w:left w:val="none" w:sz="0" w:space="0" w:color="auto"/>
        <w:bottom w:val="none" w:sz="0" w:space="0" w:color="auto"/>
        <w:right w:val="none" w:sz="0" w:space="0" w:color="auto"/>
      </w:divBdr>
    </w:div>
    <w:div w:id="1853841080">
      <w:bodyDiv w:val="1"/>
      <w:marLeft w:val="0"/>
      <w:marRight w:val="0"/>
      <w:marTop w:val="0"/>
      <w:marBottom w:val="0"/>
      <w:divBdr>
        <w:top w:val="none" w:sz="0" w:space="0" w:color="auto"/>
        <w:left w:val="none" w:sz="0" w:space="0" w:color="auto"/>
        <w:bottom w:val="none" w:sz="0" w:space="0" w:color="auto"/>
        <w:right w:val="none" w:sz="0" w:space="0" w:color="auto"/>
      </w:divBdr>
    </w:div>
    <w:div w:id="1867673672">
      <w:bodyDiv w:val="1"/>
      <w:marLeft w:val="0"/>
      <w:marRight w:val="0"/>
      <w:marTop w:val="0"/>
      <w:marBottom w:val="0"/>
      <w:divBdr>
        <w:top w:val="none" w:sz="0" w:space="0" w:color="auto"/>
        <w:left w:val="none" w:sz="0" w:space="0" w:color="auto"/>
        <w:bottom w:val="none" w:sz="0" w:space="0" w:color="auto"/>
        <w:right w:val="none" w:sz="0" w:space="0" w:color="auto"/>
      </w:divBdr>
    </w:div>
    <w:div w:id="1889415542">
      <w:bodyDiv w:val="1"/>
      <w:marLeft w:val="0"/>
      <w:marRight w:val="0"/>
      <w:marTop w:val="0"/>
      <w:marBottom w:val="0"/>
      <w:divBdr>
        <w:top w:val="none" w:sz="0" w:space="0" w:color="auto"/>
        <w:left w:val="none" w:sz="0" w:space="0" w:color="auto"/>
        <w:bottom w:val="none" w:sz="0" w:space="0" w:color="auto"/>
        <w:right w:val="none" w:sz="0" w:space="0" w:color="auto"/>
      </w:divBdr>
    </w:div>
    <w:div w:id="1898055479">
      <w:bodyDiv w:val="1"/>
      <w:marLeft w:val="0"/>
      <w:marRight w:val="0"/>
      <w:marTop w:val="0"/>
      <w:marBottom w:val="0"/>
      <w:divBdr>
        <w:top w:val="none" w:sz="0" w:space="0" w:color="auto"/>
        <w:left w:val="none" w:sz="0" w:space="0" w:color="auto"/>
        <w:bottom w:val="none" w:sz="0" w:space="0" w:color="auto"/>
        <w:right w:val="none" w:sz="0" w:space="0" w:color="auto"/>
      </w:divBdr>
    </w:div>
    <w:div w:id="1912542526">
      <w:bodyDiv w:val="1"/>
      <w:marLeft w:val="0"/>
      <w:marRight w:val="0"/>
      <w:marTop w:val="0"/>
      <w:marBottom w:val="0"/>
      <w:divBdr>
        <w:top w:val="none" w:sz="0" w:space="0" w:color="auto"/>
        <w:left w:val="none" w:sz="0" w:space="0" w:color="auto"/>
        <w:bottom w:val="none" w:sz="0" w:space="0" w:color="auto"/>
        <w:right w:val="none" w:sz="0" w:space="0" w:color="auto"/>
      </w:divBdr>
    </w:div>
    <w:div w:id="1919442121">
      <w:bodyDiv w:val="1"/>
      <w:marLeft w:val="0"/>
      <w:marRight w:val="0"/>
      <w:marTop w:val="0"/>
      <w:marBottom w:val="0"/>
      <w:divBdr>
        <w:top w:val="none" w:sz="0" w:space="0" w:color="auto"/>
        <w:left w:val="none" w:sz="0" w:space="0" w:color="auto"/>
        <w:bottom w:val="none" w:sz="0" w:space="0" w:color="auto"/>
        <w:right w:val="none" w:sz="0" w:space="0" w:color="auto"/>
      </w:divBdr>
    </w:div>
    <w:div w:id="1982880738">
      <w:bodyDiv w:val="1"/>
      <w:marLeft w:val="0"/>
      <w:marRight w:val="0"/>
      <w:marTop w:val="0"/>
      <w:marBottom w:val="0"/>
      <w:divBdr>
        <w:top w:val="none" w:sz="0" w:space="0" w:color="auto"/>
        <w:left w:val="none" w:sz="0" w:space="0" w:color="auto"/>
        <w:bottom w:val="none" w:sz="0" w:space="0" w:color="auto"/>
        <w:right w:val="none" w:sz="0" w:space="0" w:color="auto"/>
      </w:divBdr>
    </w:div>
    <w:div w:id="2009478117">
      <w:bodyDiv w:val="1"/>
      <w:marLeft w:val="0"/>
      <w:marRight w:val="0"/>
      <w:marTop w:val="0"/>
      <w:marBottom w:val="0"/>
      <w:divBdr>
        <w:top w:val="none" w:sz="0" w:space="0" w:color="auto"/>
        <w:left w:val="none" w:sz="0" w:space="0" w:color="auto"/>
        <w:bottom w:val="none" w:sz="0" w:space="0" w:color="auto"/>
        <w:right w:val="none" w:sz="0" w:space="0" w:color="auto"/>
      </w:divBdr>
    </w:div>
    <w:div w:id="2055037729">
      <w:bodyDiv w:val="1"/>
      <w:marLeft w:val="0"/>
      <w:marRight w:val="0"/>
      <w:marTop w:val="0"/>
      <w:marBottom w:val="0"/>
      <w:divBdr>
        <w:top w:val="none" w:sz="0" w:space="0" w:color="auto"/>
        <w:left w:val="none" w:sz="0" w:space="0" w:color="auto"/>
        <w:bottom w:val="none" w:sz="0" w:space="0" w:color="auto"/>
        <w:right w:val="none" w:sz="0" w:space="0" w:color="auto"/>
      </w:divBdr>
    </w:div>
    <w:div w:id="2087215866">
      <w:bodyDiv w:val="1"/>
      <w:marLeft w:val="0"/>
      <w:marRight w:val="0"/>
      <w:marTop w:val="0"/>
      <w:marBottom w:val="0"/>
      <w:divBdr>
        <w:top w:val="none" w:sz="0" w:space="0" w:color="auto"/>
        <w:left w:val="none" w:sz="0" w:space="0" w:color="auto"/>
        <w:bottom w:val="none" w:sz="0" w:space="0" w:color="auto"/>
        <w:right w:val="none" w:sz="0" w:space="0" w:color="auto"/>
      </w:divBdr>
    </w:div>
    <w:div w:id="2095515569">
      <w:bodyDiv w:val="1"/>
      <w:marLeft w:val="0"/>
      <w:marRight w:val="0"/>
      <w:marTop w:val="0"/>
      <w:marBottom w:val="0"/>
      <w:divBdr>
        <w:top w:val="none" w:sz="0" w:space="0" w:color="auto"/>
        <w:left w:val="none" w:sz="0" w:space="0" w:color="auto"/>
        <w:bottom w:val="none" w:sz="0" w:space="0" w:color="auto"/>
        <w:right w:val="none" w:sz="0" w:space="0" w:color="auto"/>
      </w:divBdr>
    </w:div>
    <w:div w:id="2101481110">
      <w:bodyDiv w:val="1"/>
      <w:marLeft w:val="0"/>
      <w:marRight w:val="0"/>
      <w:marTop w:val="0"/>
      <w:marBottom w:val="0"/>
      <w:divBdr>
        <w:top w:val="none" w:sz="0" w:space="0" w:color="auto"/>
        <w:left w:val="none" w:sz="0" w:space="0" w:color="auto"/>
        <w:bottom w:val="none" w:sz="0" w:space="0" w:color="auto"/>
        <w:right w:val="none" w:sz="0" w:space="0" w:color="auto"/>
      </w:divBdr>
    </w:div>
    <w:div w:id="212607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546CA0"/>
    <w:rsid w:val="0054798F"/>
    <w:rsid w:val="006A2C9D"/>
    <w:rsid w:val="006C6420"/>
    <w:rsid w:val="007A7B53"/>
    <w:rsid w:val="008D3098"/>
    <w:rsid w:val="00A66800"/>
    <w:rsid w:val="00B03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GOV21</b:Tag>
    <b:SourceType>InternetSite</b:SourceType>
    <b:Guid>{60255BED-42DF-491F-B66D-1D51BCC34D95}</b:Guid>
    <b:Author>
      <b:Author>
        <b:Corporate>GOV.UK</b:Corporate>
      </b:Author>
    </b:Author>
    <b:Title>Data Protection</b:Title>
    <b:YearAccessed>2021</b:YearAccessed>
    <b:MonthAccessed>October</b:MonthAccessed>
    <b:URL>https://www.gov.uk/data-protection</b:URL>
    <b:RefOrder>1</b:RefOrder>
  </b:Source>
  <b:Source>
    <b:Tag>Inf21</b:Tag>
    <b:SourceType>InternetSite</b:SourceType>
    <b:Guid>{E54D7321-E31F-4BAA-8060-53CE71A94D57}</b:Guid>
    <b:Author>
      <b:Author>
        <b:Corporate>Information Commissioners Office </b:Corporate>
      </b:Author>
    </b:Author>
    <b:Title>The Principles</b:Title>
    <b:ProductionCompany>ICO</b:ProductionCompany>
    <b:YearAccessed>2021</b:YearAccessed>
    <b:MonthAccessed>October</b:MonthAccessed>
    <b:DayAccessed>31</b:DayAccessed>
    <b:URL>https://ico.org.uk/for-organisations/guide-to-data-protection/guide-to-the-general-data-protection-regulation-gdpr/principles/</b:URL>
    <b:RefOrder>2</b:RefOrder>
  </b:Source>
  <b:Source>
    <b:Tag>Dig21</b:Tag>
    <b:SourceType>InternetSite</b:SourceType>
    <b:Guid>{641C90A4-4D58-40C9-AA28-24D372BA5936}</b:Guid>
    <b:Author>
      <b:Author>
        <b:Corporate>Digital Health and Care Wales</b:Corporate>
      </b:Author>
    </b:Author>
    <b:Title>Home &gt; Information Governance &gt; Welsh Information Governance Toolkit</b:Title>
    <b:YearAccessed>2021</b:YearAccessed>
    <b:MonthAccessed>October</b:MonthAccessed>
    <b:DayAccessed>20</b:DayAccessed>
    <b:URL>https://dhcw.nhs.wales/ig/information-governance/welsh-information-governance-toolkit/ig-toolkit-requirements/ig-risk-register/</b:URL>
    <b:RefOrder>4</b:RefOrder>
  </b:Source>
  <b:Source>
    <b:Tag>Dig211</b:Tag>
    <b:SourceType>InternetSite</b:SourceType>
    <b:Guid>{C707E405-9401-47AF-8724-5DCFAC7F1BDD}</b:Guid>
    <b:Author>
      <b:Author>
        <b:Corporate>Digital Health and Care Wales</b:Corporate>
      </b:Author>
    </b:Author>
    <b:Title>Home &gt; Information Governance &gt; Welsh Information Governance Toolkit &gt; Right to be Informed</b:Title>
    <b:YearAccessed>2021</b:YearAccessed>
    <b:MonthAccessed>October</b:MonthAccessed>
    <b:DayAccessed>20</b:DayAccessed>
    <b:URL>https://dhcw.nhs.wales/ig/information-governance/welsh-information-governance-toolkit/ig-toolkit-requirements/right-to-be-informed/</b:URL>
    <b:RefOrder>5</b:RefOrder>
  </b:Source>
  <b:Source>
    <b:Tag>Dig212</b:Tag>
    <b:SourceType>InternetSite</b:SourceType>
    <b:Guid>{C03A8BE2-A75F-40F8-A690-E5C38A930669}</b:Guid>
    <b:Author>
      <b:Author>
        <b:Corporate>Digital Health and Care Wales</b:Corporate>
      </b:Author>
    </b:Author>
    <b:Title>Home &gt; Information Governance &gt; Welsh Information Governance Toolkit &gt; Retention Schedules, Secure Destruction and Disposal</b:Title>
    <b:YearAccessed>2021</b:YearAccessed>
    <b:MonthAccessed>October</b:MonthAccessed>
    <b:DayAccessed>20</b:DayAccessed>
    <b:URL>https://dhcw.nhs.wales/ig/information-governance/welsh-information-governance-toolkit/ig-toolkit-requirements/retention-schedules-secure-destruction-and-disposal/</b:URL>
    <b:RefOrder>6</b:RefOrder>
  </b:Source>
  <b:Source>
    <b:Tag>Dig213</b:Tag>
    <b:SourceType>InternetSite</b:SourceType>
    <b:Guid>{4AF0FF1E-019B-4B5E-8291-305B38750320}</b:Guid>
    <b:Author>
      <b:Author>
        <b:Corporate>Digital Health and Care Wales</b:Corporate>
      </b:Author>
    </b:Author>
    <b:Title>Home &gt; Information Governance &gt; Welsh Information Governance Toolkit &gt; Physical Security Measures</b:Title>
    <b:YearAccessed>2021</b:YearAccessed>
    <b:MonthAccessed>October</b:MonthAccessed>
    <b:DayAccessed>20</b:DayAccessed>
    <b:URL>https://dhcw.nhs.wales/ig/information-governance/welsh-information-governance-toolkit/ig-toolkit-requirements/physical-security-measures/</b:URL>
    <b:RefOrder>7</b:RefOrder>
  </b:Source>
  <b:Source>
    <b:Tag>Dig214</b:Tag>
    <b:SourceType>InternetSite</b:SourceType>
    <b:Guid>{41BFF6A4-075A-4D14-8728-99DC645846ED}</b:Guid>
    <b:Author>
      <b:Author>
        <b:Corporate>Digital Health and Care Wales</b:Corporate>
      </b:Author>
    </b:Author>
    <b:Title>Home &gt; Information Governance &gt; Welsh Information Governance Toolkit &gt; Information Asset Register</b:Title>
    <b:YearAccessed>2021</b:YearAccessed>
    <b:MonthAccessed>October</b:MonthAccessed>
    <b:DayAccessed>20</b:DayAccessed>
    <b:URL>https://dhcw.nhs.wales/ig/information-governance/welsh-information-governance-toolkit/ig-toolkit-requirements/information-asset-register/</b:URL>
    <b:RefOrder>8</b:RefOrder>
  </b:Source>
  <b:Source>
    <b:Tag>Dig215</b:Tag>
    <b:SourceType>InternetSite</b:SourceType>
    <b:Guid>{5D75EAB8-1C89-4519-A665-DA01BA015764}</b:Guid>
    <b:Author>
      <b:Author>
        <b:Corporate>Digital Health and Care Wales</b:Corporate>
      </b:Author>
    </b:Author>
    <b:Title>Home &gt; Infomation Govenance &gt; Welsh Information Governance Toolkit &gt; Reporting Data Breaches</b:Title>
    <b:YearAccessed>2021</b:YearAccessed>
    <b:MonthAccessed>October</b:MonthAccessed>
    <b:DayAccessed>20</b:DayAccessed>
    <b:URL>https://dhcw.nhs.wales/ig/information-governance/welsh-information-governance-toolkit/ig-toolkit-requirements/reporting-data-breaches/</b:URL>
    <b:RefOrder>9</b:RefOrder>
  </b:Source>
  <b:Source>
    <b:Tag>Dig216</b:Tag>
    <b:SourceType>InternetSite</b:SourceType>
    <b:Guid>{BA6D4B0D-1F66-408C-BF37-058AE1775544}</b:Guid>
    <b:Author>
      <b:Author>
        <b:Corporate>Digital Health and Care Wales</b:Corporate>
      </b:Author>
    </b:Author>
    <b:Title>Home &gt; Information Governance &gt; Welsh Information Governance Toolkit &gt; Incident Management and Reporting Data Breaches</b:Title>
    <b:YearAccessed>2021</b:YearAccessed>
    <b:MonthAccessed>October</b:MonthAccessed>
    <b:DayAccessed>20</b:DayAccessed>
    <b:URL>https://dhcw.nhs.wales/ig/information-governance/welsh-information-governance-toolkit/ig-toolkit-requirements/incident-management-and-reporting-data-breaches/</b:URL>
    <b:RefOrder>10</b:RefOrder>
  </b:Source>
  <b:Source>
    <b:Tag>itg21</b:Tag>
    <b:SourceType>InternetSite</b:SourceType>
    <b:Guid>{926F8F84-50AB-4E69-9988-479E126588CD}</b:Guid>
    <b:Author>
      <b:Author>
        <b:Corporate>it governance</b:Corporate>
      </b:Author>
    </b:Author>
    <b:Title>GDPR Penalties</b:Title>
    <b:YearAccessed>2021</b:YearAccessed>
    <b:MonthAccessed>08</b:MonthAccessed>
    <b:URL>https://www.itgovernance.co.uk/dpa-and-gdpr-penalties</b:URL>
    <b:RefOrder>3</b:RefOrder>
  </b:Source>
</b:Sources>
</file>

<file path=customXml/itemProps1.xml><?xml version="1.0" encoding="utf-8"?>
<ds:datastoreItem xmlns:ds="http://schemas.openxmlformats.org/officeDocument/2006/customXml" ds:itemID="{A816E7C7-2736-4A13-88E1-F891AA901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41057</TotalTime>
  <Pages>8</Pages>
  <Words>2015</Words>
  <Characters>11487</Characters>
  <Application>Microsoft Office Word</Application>
  <DocSecurity>0</DocSecurity>
  <Lines>95</Lines>
  <Paragraphs>26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Governance, legislation &amp; Ethics ACCA5016</vt:lpstr>
      <vt:lpstr>Introduction</vt:lpstr>
      <vt:lpstr>Background</vt:lpstr>
      <vt:lpstr>What is GDPR? </vt:lpstr>
      <vt:lpstr>Report – FAO: Head of Information Governance</vt:lpstr>
      <vt:lpstr>Report: FAO: Executive Board</vt:lpstr>
      <vt:lpstr>Discussion Notes – Organisations Governance Committee</vt:lpstr>
      <vt:lpstr>&lt;References</vt:lpstr>
      <vt:lpstr>Acronyms</vt:lpstr>
    </vt:vector>
  </TitlesOfParts>
  <Company>Governance, Legislation and Ethics – ACCA5016</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legislation &amp; Ethics ACCA5016</dc:title>
  <dc:subject>Work-Based Project</dc:subject>
  <dc:creator>sarah rule - 1810755</dc:creator>
  <cp:keywords/>
  <dc:description/>
  <cp:lastModifiedBy>Sarah Ann Rule (1810755)</cp:lastModifiedBy>
  <cp:revision>19</cp:revision>
  <dcterms:created xsi:type="dcterms:W3CDTF">2021-10-30T11:19:00Z</dcterms:created>
  <dcterms:modified xsi:type="dcterms:W3CDTF">2021-12-16T18:59:00Z</dcterms:modified>
  <cp:category>Sarah Rule - 1810755</cp:category>
</cp:coreProperties>
</file>