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1E2D3" w14:textId="77777777" w:rsidR="009F013B" w:rsidRDefault="009F013B" w:rsidP="009F013B">
      <w:pPr>
        <w:spacing w:after="220"/>
        <w:ind w:right="1438"/>
        <w:jc w:val="right"/>
      </w:pPr>
      <w:r>
        <w:rPr>
          <w:noProof/>
        </w:rPr>
        <w:drawing>
          <wp:inline distT="0" distB="0" distL="0" distR="0" wp14:anchorId="31646B78" wp14:editId="747BAA51">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626781C8" w14:textId="77777777" w:rsidR="009F013B" w:rsidRDefault="009F013B" w:rsidP="009F013B">
      <w:pPr>
        <w:spacing w:after="273"/>
        <w:ind w:right="5"/>
        <w:jc w:val="center"/>
      </w:pPr>
      <w:r>
        <w:rPr>
          <w:rFonts w:ascii="Times New Roman" w:eastAsia="Times New Roman" w:hAnsi="Times New Roman" w:cs="Times New Roman"/>
          <w:b/>
        </w:rPr>
        <w:t xml:space="preserve"> </w:t>
      </w:r>
    </w:p>
    <w:p w14:paraId="37EABA49" w14:textId="77777777" w:rsidR="009F013B" w:rsidRDefault="009F013B" w:rsidP="009F013B">
      <w:pPr>
        <w:spacing w:after="274"/>
      </w:pPr>
      <w:r>
        <w:rPr>
          <w:rFonts w:ascii="Times New Roman" w:eastAsia="Times New Roman" w:hAnsi="Times New Roman" w:cs="Times New Roman"/>
          <w:b/>
        </w:rPr>
        <w:t xml:space="preserve"> </w:t>
      </w:r>
    </w:p>
    <w:p w14:paraId="42F95A30" w14:textId="77777777" w:rsidR="009F013B" w:rsidRDefault="009F013B" w:rsidP="009F013B">
      <w:pPr>
        <w:spacing w:after="276"/>
        <w:jc w:val="center"/>
      </w:pPr>
    </w:p>
    <w:p w14:paraId="7305AAD7" w14:textId="77777777" w:rsidR="009F013B" w:rsidRPr="006D3BC5" w:rsidRDefault="009F013B" w:rsidP="009F013B">
      <w:pPr>
        <w:spacing w:after="274"/>
        <w:ind w:left="2716" w:firstLine="93"/>
        <w:rPr>
          <w:sz w:val="24"/>
          <w:szCs w:val="24"/>
        </w:rPr>
      </w:pPr>
      <w:r w:rsidRPr="006D3BC5">
        <w:rPr>
          <w:rFonts w:ascii="Times New Roman" w:eastAsia="Times New Roman" w:hAnsi="Times New Roman" w:cs="Times New Roman"/>
          <w:b/>
          <w:sz w:val="24"/>
          <w:szCs w:val="24"/>
        </w:rPr>
        <w:t>Programme: Master of Business Administration</w:t>
      </w:r>
    </w:p>
    <w:p w14:paraId="3B77FE48" w14:textId="248D9937" w:rsidR="009F013B" w:rsidRPr="006D3BC5" w:rsidRDefault="009F013B" w:rsidP="009F013B">
      <w:pPr>
        <w:spacing w:after="274"/>
        <w:ind w:left="2809"/>
        <w:rPr>
          <w:sz w:val="24"/>
          <w:szCs w:val="24"/>
        </w:rPr>
      </w:pPr>
      <w:r w:rsidRPr="006D3BC5">
        <w:rPr>
          <w:rFonts w:ascii="Times New Roman" w:eastAsia="Times New Roman" w:hAnsi="Times New Roman" w:cs="Times New Roman"/>
          <w:b/>
          <w:sz w:val="24"/>
          <w:szCs w:val="24"/>
        </w:rPr>
        <w:t>Module:</w:t>
      </w:r>
      <w:r w:rsidRPr="006D3BC5">
        <w:rPr>
          <w:rFonts w:ascii="Times New Roman" w:eastAsia="Times New Roman" w:hAnsi="Times New Roman" w:cs="Times New Roman"/>
          <w:b/>
          <w:sz w:val="24"/>
          <w:szCs w:val="24"/>
        </w:rPr>
        <w:t xml:space="preserve"> </w:t>
      </w:r>
      <w:r w:rsidRPr="006D3BC5">
        <w:rPr>
          <w:rFonts w:ascii="Times New Roman" w:eastAsia="Times New Roman" w:hAnsi="Times New Roman" w:cs="Times New Roman"/>
          <w:b/>
          <w:sz w:val="24"/>
          <w:szCs w:val="24"/>
        </w:rPr>
        <w:t>Marketing Management</w:t>
      </w:r>
    </w:p>
    <w:p w14:paraId="0562D385" w14:textId="5E641C7C" w:rsidR="009F013B" w:rsidRPr="006D3BC5" w:rsidRDefault="009F013B" w:rsidP="009F013B">
      <w:pPr>
        <w:spacing w:after="274"/>
        <w:ind w:left="2099" w:right="66" w:firstLine="710"/>
        <w:rPr>
          <w:sz w:val="24"/>
          <w:szCs w:val="24"/>
        </w:rPr>
      </w:pPr>
      <w:r w:rsidRPr="006D3BC5">
        <w:rPr>
          <w:rFonts w:ascii="Times New Roman" w:eastAsia="Times New Roman" w:hAnsi="Times New Roman" w:cs="Times New Roman"/>
          <w:b/>
          <w:sz w:val="24"/>
          <w:szCs w:val="24"/>
        </w:rPr>
        <w:t xml:space="preserve">Module code: </w:t>
      </w:r>
      <w:r w:rsidRPr="006D3BC5">
        <w:rPr>
          <w:rFonts w:ascii="Arial" w:hAnsi="Arial" w:cs="Arial"/>
          <w:b/>
          <w:bCs/>
          <w:sz w:val="24"/>
          <w:szCs w:val="24"/>
        </w:rPr>
        <w:t>LCMB7024</w:t>
      </w:r>
    </w:p>
    <w:p w14:paraId="3B59541B" w14:textId="0B4972B5" w:rsidR="009F013B" w:rsidRPr="006D3BC5" w:rsidRDefault="009F013B" w:rsidP="009F013B">
      <w:pPr>
        <w:spacing w:after="274"/>
        <w:ind w:left="2099" w:right="65" w:firstLine="710"/>
        <w:rPr>
          <w:sz w:val="24"/>
          <w:szCs w:val="24"/>
        </w:rPr>
      </w:pPr>
      <w:r w:rsidRPr="006D3BC5">
        <w:rPr>
          <w:rFonts w:ascii="Times New Roman" w:eastAsia="Times New Roman" w:hAnsi="Times New Roman" w:cs="Times New Roman"/>
          <w:b/>
          <w:sz w:val="24"/>
          <w:szCs w:val="24"/>
        </w:rPr>
        <w:t xml:space="preserve">Title: </w:t>
      </w:r>
      <w:r w:rsidRPr="006D3BC5">
        <w:rPr>
          <w:rFonts w:ascii="Times New Roman" w:eastAsia="Times New Roman" w:hAnsi="Times New Roman" w:cs="Times New Roman"/>
          <w:b/>
          <w:bCs/>
          <w:sz w:val="24"/>
          <w:szCs w:val="24"/>
          <w:lang w:val="en-GB"/>
        </w:rPr>
        <w:t>Marketing Environment Analysis</w:t>
      </w:r>
    </w:p>
    <w:p w14:paraId="6CFC71E3" w14:textId="77777777" w:rsidR="009F013B" w:rsidRPr="006D3BC5" w:rsidRDefault="009F013B" w:rsidP="009F013B">
      <w:pPr>
        <w:spacing w:after="274"/>
        <w:ind w:left="2099" w:right="62" w:firstLine="710"/>
        <w:rPr>
          <w:sz w:val="24"/>
          <w:szCs w:val="24"/>
        </w:rPr>
      </w:pPr>
      <w:r w:rsidRPr="006D3BC5">
        <w:rPr>
          <w:rFonts w:ascii="Times New Roman" w:eastAsia="Times New Roman" w:hAnsi="Times New Roman" w:cs="Times New Roman"/>
          <w:b/>
          <w:sz w:val="24"/>
          <w:szCs w:val="24"/>
        </w:rPr>
        <w:t xml:space="preserve">Word count: 2582 </w:t>
      </w:r>
    </w:p>
    <w:p w14:paraId="2BAA08C1" w14:textId="2F627877" w:rsidR="009F013B" w:rsidRPr="006D3BC5" w:rsidRDefault="009F013B" w:rsidP="009F013B">
      <w:pPr>
        <w:spacing w:after="165" w:line="352" w:lineRule="auto"/>
        <w:ind w:left="2835" w:right="2836"/>
        <w:rPr>
          <w:rFonts w:ascii="Arial" w:eastAsia="Arial" w:hAnsi="Arial" w:cs="Arial"/>
          <w:b/>
          <w:sz w:val="24"/>
          <w:szCs w:val="24"/>
        </w:rPr>
      </w:pPr>
      <w:r w:rsidRPr="006D3BC5">
        <w:rPr>
          <w:rFonts w:ascii="Arial" w:eastAsia="Arial" w:hAnsi="Arial" w:cs="Arial"/>
          <w:b/>
          <w:sz w:val="24"/>
          <w:szCs w:val="24"/>
        </w:rPr>
        <w:t xml:space="preserve">Lecturer : </w:t>
      </w:r>
      <w:r w:rsidRPr="006D3BC5">
        <w:rPr>
          <w:rFonts w:ascii="Arial" w:hAnsi="Arial" w:cs="Arial"/>
          <w:b/>
          <w:sz w:val="24"/>
          <w:szCs w:val="24"/>
        </w:rPr>
        <w:t>Dian Mayasari (Birmingham)</w:t>
      </w:r>
    </w:p>
    <w:p w14:paraId="351E8E2F" w14:textId="77777777" w:rsidR="009F013B" w:rsidRPr="006D3BC5" w:rsidRDefault="009F013B" w:rsidP="009F013B">
      <w:pPr>
        <w:spacing w:after="165" w:line="352" w:lineRule="auto"/>
        <w:ind w:left="2835" w:right="2836"/>
        <w:rPr>
          <w:sz w:val="24"/>
          <w:szCs w:val="24"/>
        </w:rPr>
      </w:pPr>
      <w:r w:rsidRPr="006D3BC5">
        <w:rPr>
          <w:rFonts w:ascii="Times New Roman" w:eastAsia="Times New Roman" w:hAnsi="Times New Roman" w:cs="Times New Roman"/>
          <w:b/>
          <w:sz w:val="24"/>
          <w:szCs w:val="24"/>
        </w:rPr>
        <w:t>Student Name : Promi Das Gupta</w:t>
      </w:r>
    </w:p>
    <w:p w14:paraId="70417225" w14:textId="77777777" w:rsidR="009F013B" w:rsidRPr="006D3BC5" w:rsidRDefault="009F013B" w:rsidP="009F013B">
      <w:pPr>
        <w:spacing w:after="274"/>
        <w:ind w:left="2125" w:right="62" w:firstLine="710"/>
        <w:rPr>
          <w:sz w:val="24"/>
          <w:szCs w:val="24"/>
        </w:rPr>
      </w:pPr>
      <w:r w:rsidRPr="006D3BC5">
        <w:rPr>
          <w:rFonts w:ascii="Times New Roman" w:eastAsia="Times New Roman" w:hAnsi="Times New Roman" w:cs="Times New Roman"/>
          <w:b/>
          <w:sz w:val="24"/>
          <w:szCs w:val="24"/>
        </w:rPr>
        <w:t>Student ID: 2428537</w:t>
      </w:r>
    </w:p>
    <w:p w14:paraId="1F1667A5" w14:textId="094FBBC9" w:rsidR="009F013B" w:rsidRDefault="009F013B" w:rsidP="009F013B">
      <w:pPr>
        <w:ind w:left="2115" w:firstLine="720"/>
      </w:pPr>
      <w:r w:rsidRPr="006D3BC5">
        <w:rPr>
          <w:rFonts w:ascii="Times New Roman" w:eastAsia="Times New Roman" w:hAnsi="Times New Roman" w:cs="Times New Roman"/>
          <w:b/>
          <w:sz w:val="24"/>
          <w:szCs w:val="24"/>
        </w:rPr>
        <w:t xml:space="preserve">Submission Date- </w:t>
      </w:r>
      <w:r w:rsidR="006D3BC5">
        <w:rPr>
          <w:rFonts w:ascii="Times New Roman" w:eastAsia="Times New Roman" w:hAnsi="Times New Roman" w:cs="Times New Roman"/>
          <w:b/>
          <w:sz w:val="24"/>
          <w:szCs w:val="24"/>
        </w:rPr>
        <w:t>24</w:t>
      </w:r>
      <w:r w:rsidRPr="006D3BC5">
        <w:rPr>
          <w:rFonts w:ascii="Times New Roman" w:eastAsia="Times New Roman" w:hAnsi="Times New Roman" w:cs="Times New Roman"/>
          <w:b/>
          <w:sz w:val="24"/>
          <w:szCs w:val="24"/>
          <w:vertAlign w:val="superscript"/>
        </w:rPr>
        <w:t>th</w:t>
      </w:r>
      <w:r w:rsidRPr="006D3BC5">
        <w:rPr>
          <w:rFonts w:ascii="Times New Roman" w:eastAsia="Times New Roman" w:hAnsi="Times New Roman" w:cs="Times New Roman"/>
          <w:b/>
          <w:sz w:val="24"/>
          <w:szCs w:val="24"/>
        </w:rPr>
        <w:t xml:space="preserve"> October 2025</w:t>
      </w:r>
      <w:r>
        <w:br w:type="page"/>
      </w:r>
    </w:p>
    <w:p w14:paraId="0EE79E35" w14:textId="77777777" w:rsidR="00BC0EC7" w:rsidRPr="00BC0EC7" w:rsidRDefault="00BC0EC7" w:rsidP="00BC0EC7">
      <w:pPr>
        <w:jc w:val="center"/>
        <w:rPr>
          <w:rFonts w:ascii="Arial" w:hAnsi="Arial" w:cs="Arial"/>
          <w:sz w:val="24"/>
          <w:szCs w:val="24"/>
        </w:rPr>
      </w:pPr>
      <w:r w:rsidRPr="00BC0EC7">
        <w:rPr>
          <w:rFonts w:ascii="Arial" w:hAnsi="Arial" w:cs="Arial"/>
          <w:sz w:val="24"/>
          <w:szCs w:val="24"/>
        </w:rPr>
        <w:lastRenderedPageBreak/>
        <w:t>Table of Contents</w:t>
      </w:r>
    </w:p>
    <w:p w14:paraId="66AD0841" w14:textId="3F62B4F7" w:rsidR="00BC0EC7" w:rsidRPr="00BC0EC7" w:rsidRDefault="00BC0EC7" w:rsidP="00BC0EC7">
      <w:pPr>
        <w:rPr>
          <w:rFonts w:ascii="Arial" w:hAnsi="Arial" w:cs="Arial"/>
          <w:sz w:val="24"/>
          <w:szCs w:val="24"/>
        </w:rPr>
      </w:pPr>
      <w:r w:rsidRPr="00BC0EC7">
        <w:rPr>
          <w:rFonts w:ascii="Arial" w:hAnsi="Arial" w:cs="Arial"/>
          <w:sz w:val="24"/>
          <w:szCs w:val="24"/>
        </w:rPr>
        <w:t>1.0 Introduction</w:t>
      </w:r>
      <w:r>
        <w:rPr>
          <w:rFonts w:ascii="Arial" w:hAnsi="Arial" w:cs="Arial"/>
          <w:sz w:val="24"/>
          <w:szCs w:val="24"/>
        </w:rPr>
        <w:t>…………………………………………………………….. 3</w:t>
      </w:r>
    </w:p>
    <w:p w14:paraId="17229DE0" w14:textId="2B9DBC38" w:rsidR="00BC0EC7" w:rsidRPr="00BC0EC7" w:rsidRDefault="00BC0EC7" w:rsidP="00BC0EC7">
      <w:pPr>
        <w:rPr>
          <w:rFonts w:ascii="Arial" w:hAnsi="Arial" w:cs="Arial"/>
          <w:sz w:val="24"/>
          <w:szCs w:val="24"/>
        </w:rPr>
      </w:pPr>
      <w:r w:rsidRPr="00BC0EC7">
        <w:rPr>
          <w:rFonts w:ascii="Arial" w:hAnsi="Arial" w:cs="Arial"/>
          <w:sz w:val="24"/>
          <w:szCs w:val="24"/>
        </w:rPr>
        <w:t>2.0 Brief Company and Industry Background</w:t>
      </w:r>
      <w:r>
        <w:rPr>
          <w:rFonts w:ascii="Arial" w:hAnsi="Arial" w:cs="Arial"/>
          <w:sz w:val="24"/>
          <w:szCs w:val="24"/>
        </w:rPr>
        <w:t>…………………………... 3-4</w:t>
      </w:r>
    </w:p>
    <w:p w14:paraId="750F8B30" w14:textId="464626ED" w:rsidR="00BC0EC7" w:rsidRPr="00BC0EC7" w:rsidRDefault="00BC0EC7" w:rsidP="00BC0EC7">
      <w:pPr>
        <w:rPr>
          <w:rFonts w:ascii="Arial" w:hAnsi="Arial" w:cs="Arial"/>
          <w:sz w:val="24"/>
          <w:szCs w:val="24"/>
        </w:rPr>
      </w:pPr>
      <w:r w:rsidRPr="00BC0EC7">
        <w:rPr>
          <w:rFonts w:ascii="Arial" w:hAnsi="Arial" w:cs="Arial"/>
          <w:sz w:val="24"/>
          <w:szCs w:val="24"/>
        </w:rPr>
        <w:t>3.0 Theoretical Lens and Frameworks</w:t>
      </w:r>
      <w:r>
        <w:rPr>
          <w:rFonts w:ascii="Arial" w:hAnsi="Arial" w:cs="Arial"/>
          <w:sz w:val="24"/>
          <w:szCs w:val="24"/>
        </w:rPr>
        <w:t>…………………………………... 4-5</w:t>
      </w:r>
    </w:p>
    <w:p w14:paraId="2C1AF02F" w14:textId="6701008E" w:rsidR="00BC0EC7" w:rsidRPr="00BC0EC7" w:rsidRDefault="00BC0EC7" w:rsidP="00BC0EC7">
      <w:pPr>
        <w:rPr>
          <w:rFonts w:ascii="Arial" w:hAnsi="Arial" w:cs="Arial"/>
          <w:sz w:val="24"/>
          <w:szCs w:val="24"/>
        </w:rPr>
      </w:pPr>
      <w:r w:rsidRPr="00BC0EC7">
        <w:rPr>
          <w:rFonts w:ascii="Arial" w:hAnsi="Arial" w:cs="Arial"/>
          <w:sz w:val="24"/>
          <w:szCs w:val="24"/>
        </w:rPr>
        <w:t>4.0 Task 1: Critically Analyse Two Macro Marketing Actors</w:t>
      </w:r>
      <w:r>
        <w:rPr>
          <w:rFonts w:ascii="Arial" w:hAnsi="Arial" w:cs="Arial"/>
          <w:sz w:val="24"/>
          <w:szCs w:val="24"/>
        </w:rPr>
        <w:t>…………... 5-8</w:t>
      </w:r>
    </w:p>
    <w:p w14:paraId="4D91DDEA" w14:textId="1A688EF9" w:rsidR="00BC0EC7" w:rsidRPr="00BC0EC7" w:rsidRDefault="00BC0EC7" w:rsidP="00BC0EC7">
      <w:pPr>
        <w:rPr>
          <w:rFonts w:ascii="Arial" w:hAnsi="Arial" w:cs="Arial"/>
          <w:sz w:val="24"/>
          <w:szCs w:val="24"/>
        </w:rPr>
      </w:pPr>
      <w:r w:rsidRPr="00BC0EC7">
        <w:rPr>
          <w:rFonts w:ascii="Arial" w:hAnsi="Arial" w:cs="Arial"/>
          <w:sz w:val="24"/>
          <w:szCs w:val="24"/>
        </w:rPr>
        <w:t>5.0 Task 2: Strategic Behavior of Forerunners and Latecomers</w:t>
      </w:r>
      <w:r>
        <w:rPr>
          <w:rFonts w:ascii="Arial" w:hAnsi="Arial" w:cs="Arial"/>
          <w:sz w:val="24"/>
          <w:szCs w:val="24"/>
        </w:rPr>
        <w:t>……… 8-9</w:t>
      </w:r>
    </w:p>
    <w:p w14:paraId="4D63E859" w14:textId="03D20BE3" w:rsidR="00BC0EC7" w:rsidRPr="00BC0EC7" w:rsidRDefault="00BC0EC7" w:rsidP="00BC0EC7">
      <w:pPr>
        <w:rPr>
          <w:rFonts w:ascii="Arial" w:hAnsi="Arial" w:cs="Arial"/>
          <w:sz w:val="24"/>
          <w:szCs w:val="24"/>
        </w:rPr>
      </w:pPr>
      <w:r w:rsidRPr="00BC0EC7">
        <w:rPr>
          <w:rFonts w:ascii="Arial" w:hAnsi="Arial" w:cs="Arial"/>
          <w:sz w:val="24"/>
          <w:szCs w:val="24"/>
        </w:rPr>
        <w:t>6.0 Competitive Strategy Synthesis</w:t>
      </w:r>
      <w:r>
        <w:rPr>
          <w:rFonts w:ascii="Arial" w:hAnsi="Arial" w:cs="Arial"/>
          <w:sz w:val="24"/>
          <w:szCs w:val="24"/>
        </w:rPr>
        <w:t>………………………………………. 9-10</w:t>
      </w:r>
    </w:p>
    <w:p w14:paraId="0CD58CDB" w14:textId="58F27492" w:rsidR="00BC0EC7" w:rsidRPr="00BC0EC7" w:rsidRDefault="00BC0EC7" w:rsidP="00BC0EC7">
      <w:pPr>
        <w:rPr>
          <w:rFonts w:ascii="Arial" w:hAnsi="Arial" w:cs="Arial"/>
          <w:sz w:val="24"/>
          <w:szCs w:val="24"/>
        </w:rPr>
      </w:pPr>
      <w:r w:rsidRPr="00BC0EC7">
        <w:rPr>
          <w:rFonts w:ascii="Arial" w:hAnsi="Arial" w:cs="Arial"/>
          <w:sz w:val="24"/>
          <w:szCs w:val="24"/>
        </w:rPr>
        <w:t>7.0 Marketing Strategy Recommendations</w:t>
      </w:r>
      <w:r>
        <w:rPr>
          <w:rFonts w:ascii="Arial" w:hAnsi="Arial" w:cs="Arial"/>
          <w:sz w:val="24"/>
          <w:szCs w:val="24"/>
        </w:rPr>
        <w:t>……………………………… 10</w:t>
      </w:r>
    </w:p>
    <w:p w14:paraId="06C56C80" w14:textId="4C35BB1B" w:rsidR="00BC0EC7" w:rsidRPr="00BC0EC7" w:rsidRDefault="00BC0EC7" w:rsidP="00BC0EC7">
      <w:pPr>
        <w:rPr>
          <w:rFonts w:ascii="Arial" w:hAnsi="Arial" w:cs="Arial"/>
          <w:sz w:val="24"/>
          <w:szCs w:val="24"/>
        </w:rPr>
      </w:pPr>
      <w:r w:rsidRPr="00BC0EC7">
        <w:rPr>
          <w:rFonts w:ascii="Arial" w:hAnsi="Arial" w:cs="Arial"/>
          <w:sz w:val="24"/>
          <w:szCs w:val="24"/>
        </w:rPr>
        <w:t>8.0 Conclusion</w:t>
      </w:r>
      <w:r>
        <w:rPr>
          <w:rFonts w:ascii="Arial" w:hAnsi="Arial" w:cs="Arial"/>
          <w:sz w:val="24"/>
          <w:szCs w:val="24"/>
        </w:rPr>
        <w:t>……………………………………………………………… 11</w:t>
      </w:r>
    </w:p>
    <w:p w14:paraId="5EE03068" w14:textId="6B546879" w:rsidR="00BC0EC7" w:rsidRPr="00BC0EC7" w:rsidRDefault="00BC0EC7" w:rsidP="00BC0EC7">
      <w:pPr>
        <w:rPr>
          <w:rFonts w:ascii="Arial" w:hAnsi="Arial" w:cs="Arial"/>
          <w:sz w:val="24"/>
          <w:szCs w:val="24"/>
        </w:rPr>
      </w:pPr>
      <w:r w:rsidRPr="00BC0EC7">
        <w:rPr>
          <w:rFonts w:ascii="Arial" w:hAnsi="Arial" w:cs="Arial"/>
          <w:sz w:val="24"/>
          <w:szCs w:val="24"/>
        </w:rPr>
        <w:t>References</w:t>
      </w:r>
      <w:r>
        <w:rPr>
          <w:rFonts w:ascii="Arial" w:hAnsi="Arial" w:cs="Arial"/>
          <w:sz w:val="24"/>
          <w:szCs w:val="24"/>
        </w:rPr>
        <w:t>………………………………………………………………….. 11-15</w:t>
      </w:r>
    </w:p>
    <w:p w14:paraId="5DF39627" w14:textId="64D4304E" w:rsidR="009F013B" w:rsidRDefault="009F013B">
      <w:r>
        <w:br w:type="page"/>
      </w:r>
    </w:p>
    <w:p w14:paraId="2396BC5C" w14:textId="77777777" w:rsidR="009F013B" w:rsidRPr="009F013B" w:rsidRDefault="009F013B" w:rsidP="002F537C">
      <w:pPr>
        <w:spacing w:line="360" w:lineRule="auto"/>
        <w:rPr>
          <w:rFonts w:ascii="Arial" w:hAnsi="Arial" w:cs="Arial"/>
          <w:b/>
          <w:bCs/>
          <w:sz w:val="24"/>
          <w:szCs w:val="24"/>
        </w:rPr>
      </w:pPr>
      <w:r w:rsidRPr="009F013B">
        <w:rPr>
          <w:rFonts w:ascii="Arial" w:hAnsi="Arial" w:cs="Arial"/>
          <w:b/>
          <w:bCs/>
          <w:sz w:val="24"/>
          <w:szCs w:val="24"/>
        </w:rPr>
        <w:lastRenderedPageBreak/>
        <w:t>1.0 Introduction</w:t>
      </w:r>
    </w:p>
    <w:p w14:paraId="3530757D" w14:textId="495E6C52" w:rsidR="004163EE" w:rsidRPr="002F537C" w:rsidRDefault="00B21218" w:rsidP="002F537C">
      <w:pPr>
        <w:spacing w:line="360" w:lineRule="auto"/>
        <w:rPr>
          <w:rFonts w:ascii="Arial" w:hAnsi="Arial" w:cs="Arial"/>
          <w:b/>
          <w:bCs/>
          <w:sz w:val="24"/>
          <w:szCs w:val="24"/>
        </w:rPr>
      </w:pPr>
      <w:r w:rsidRPr="002F537C">
        <w:rPr>
          <w:rFonts w:ascii="Arial" w:hAnsi="Arial" w:cs="Arial"/>
          <w:sz w:val="24"/>
          <w:szCs w:val="24"/>
        </w:rPr>
        <w:t>The UK retail banking market, which consists of more than £400bn in deposits, is experiencing its most significant upheaval since the 1980s deregulation (Bank of England, 2023; Kantar, 2023). These include: longer-term post-crisis trust deficits (Ennew &amp; Sekhon, 2007) superseding branch-network scale and legacy relationships; changes in regulation that reduce the barriers to entry through Open Banking/PSD2 (Financial Conduct Authority, 2021); and digital-native demands for ‘fric-tionless’, transparent and tailored services (Mbama &amp; Ezepue, 2018). Figure 3 provides two archetypical response models; Revolut, the digital-first challenger designed for global scale (Gomber et al., 2017), and Barclays, a 330 year old incumbent conducting fast-follower digital transition with brand and customer base as a lever (Skinner, 2018). This paper examines their positioning from the perspective of diffusion of innovations (Rogers, 2003), disruptive innovation (Christensen, 1997), dynamic capabilities (Teece, 2009), market orientation (Kotler &amp; Keller, 2016) and Porter’s five forces (Porter, 2008) as well as from a resource-based view of the firm (Barney, 2014).</w:t>
      </w:r>
    </w:p>
    <w:p w14:paraId="36F6FED0" w14:textId="77777777" w:rsidR="00B21218" w:rsidRPr="002F537C" w:rsidRDefault="00B21218" w:rsidP="002F537C">
      <w:pPr>
        <w:spacing w:line="360" w:lineRule="auto"/>
        <w:rPr>
          <w:rFonts w:ascii="Arial" w:hAnsi="Arial" w:cs="Arial"/>
          <w:b/>
          <w:bCs/>
          <w:sz w:val="24"/>
          <w:szCs w:val="24"/>
        </w:rPr>
      </w:pPr>
    </w:p>
    <w:p w14:paraId="78731751" w14:textId="6E5466C1" w:rsidR="009F013B" w:rsidRPr="009F013B" w:rsidRDefault="009F013B" w:rsidP="002F537C">
      <w:pPr>
        <w:spacing w:line="360" w:lineRule="auto"/>
        <w:rPr>
          <w:rFonts w:ascii="Arial" w:hAnsi="Arial" w:cs="Arial"/>
          <w:b/>
          <w:bCs/>
          <w:sz w:val="24"/>
          <w:szCs w:val="24"/>
        </w:rPr>
      </w:pPr>
      <w:r w:rsidRPr="009F013B">
        <w:rPr>
          <w:rFonts w:ascii="Arial" w:hAnsi="Arial" w:cs="Arial"/>
          <w:b/>
          <w:bCs/>
          <w:sz w:val="24"/>
          <w:szCs w:val="24"/>
        </w:rPr>
        <w:t>2.0 Brief Company and Industry Background</w:t>
      </w:r>
    </w:p>
    <w:p w14:paraId="5FF90ED4" w14:textId="77777777" w:rsidR="00B21218" w:rsidRPr="002F537C" w:rsidRDefault="00B21218" w:rsidP="002F537C">
      <w:pPr>
        <w:spacing w:line="360" w:lineRule="auto"/>
        <w:rPr>
          <w:rFonts w:ascii="Arial" w:hAnsi="Arial" w:cs="Arial"/>
          <w:sz w:val="24"/>
          <w:szCs w:val="24"/>
        </w:rPr>
      </w:pPr>
      <w:r w:rsidRPr="002F537C">
        <w:rPr>
          <w:rFonts w:ascii="Arial" w:hAnsi="Arial" w:cs="Arial"/>
          <w:sz w:val="24"/>
          <w:szCs w:val="24"/>
        </w:rPr>
        <w:t>Revolut (The Pioneer) Launched in 2015 by former investment bankers, it is the game-changer for retail banking; a current account like no other offering free international spending among others and real-time FX at interbank rates (Zavolokina et al., 2016). It grew into a “super app” offering not just crypto trading but stock investing, budgeting and insurance (Mention, 2019). Its disruptive edge is internally developed, cloud-native technology that accelerates product deployment and global scaling without the burden of legacy IT (Lee &amp; Shin, 2018; Vives, 2017). 180+ million customers in 210 countries operate their accounts without charging common international banking fees, use Apple Pay immediately upon opening an account or receive the first bank card for free (Monzo, 2023; Timsit, 2018).</w:t>
      </w:r>
    </w:p>
    <w:p w14:paraId="4B70C4FB" w14:textId="7407E7CC" w:rsidR="004163EE" w:rsidRPr="002F537C" w:rsidRDefault="00B21218" w:rsidP="002F537C">
      <w:pPr>
        <w:spacing w:line="360" w:lineRule="auto"/>
        <w:rPr>
          <w:rFonts w:ascii="Arial" w:hAnsi="Arial" w:cs="Arial"/>
          <w:b/>
          <w:bCs/>
          <w:sz w:val="24"/>
          <w:szCs w:val="24"/>
        </w:rPr>
      </w:pPr>
      <w:r w:rsidRPr="002F537C">
        <w:rPr>
          <w:rFonts w:ascii="Arial" w:hAnsi="Arial" w:cs="Arial"/>
          <w:sz w:val="24"/>
          <w:szCs w:val="24"/>
        </w:rPr>
        <w:t xml:space="preserve">Barclays PLC (The Follower) was established in 1690, is a leading UK bank with c.48m customers, &gt;1000 UK branches and offers full service retail, business, wealth and investment banking (Barclays PLC, 2023a). The bank put c.£2bn into technology, launched a mobile app and shuttered branches (Barclays PLC, 2023b). </w:t>
      </w:r>
      <w:r w:rsidRPr="002F537C">
        <w:rPr>
          <w:rFonts w:ascii="Arial" w:hAnsi="Arial" w:cs="Arial"/>
          <w:sz w:val="24"/>
          <w:szCs w:val="24"/>
        </w:rPr>
        <w:lastRenderedPageBreak/>
        <w:t>Barclays uses a mixed model – physical presence and digital convenience: branch for difficult needs, Internet for basic banking (Laukkanen, 2016). Its fast-follower playbook incorporates scale-able innovations (contactless, mobile check deposit, AI fraud detection) (Markides &amp; Sosa, 2013). Stronger amongst older, wealthier trust and relationship banking users (Ennew et al., 2011) nationwide now.</w:t>
      </w:r>
    </w:p>
    <w:p w14:paraId="047F94C9" w14:textId="77777777" w:rsidR="00B21218" w:rsidRPr="002F537C" w:rsidRDefault="00B21218" w:rsidP="002F537C">
      <w:pPr>
        <w:spacing w:line="360" w:lineRule="auto"/>
        <w:rPr>
          <w:rFonts w:ascii="Arial" w:hAnsi="Arial" w:cs="Arial"/>
          <w:b/>
          <w:bCs/>
          <w:sz w:val="24"/>
          <w:szCs w:val="24"/>
        </w:rPr>
      </w:pPr>
    </w:p>
    <w:p w14:paraId="7BC77C1C" w14:textId="0189C409"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3.0 Theoretical Lens and Frameworks</w:t>
      </w:r>
    </w:p>
    <w:p w14:paraId="74A88096" w14:textId="4E006E06" w:rsidR="00B21218" w:rsidRPr="002F537C" w:rsidRDefault="00B21218" w:rsidP="002F537C">
      <w:pPr>
        <w:spacing w:line="360" w:lineRule="auto"/>
        <w:rPr>
          <w:rFonts w:ascii="Arial" w:hAnsi="Arial" w:cs="Arial"/>
          <w:sz w:val="24"/>
          <w:szCs w:val="24"/>
        </w:rPr>
      </w:pPr>
      <w:r w:rsidRPr="002F537C">
        <w:rPr>
          <w:rFonts w:ascii="Arial" w:hAnsi="Arial" w:cs="Arial"/>
          <w:sz w:val="24"/>
          <w:szCs w:val="24"/>
        </w:rPr>
        <w:t>This analysis utilizes a co -related set of theoretical frameworks for full-spectrum strategic knowledge:</w:t>
      </w:r>
    </w:p>
    <w:p w14:paraId="38F37BFF" w14:textId="2CD6F84D"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 xml:space="preserve">Diffusion of Innovations (Rogers, 2003): </w:t>
      </w:r>
      <w:r w:rsidRPr="002F537C">
        <w:rPr>
          <w:rFonts w:ascii="Arial" w:hAnsi="Arial" w:cs="Arial"/>
          <w:sz w:val="24"/>
          <w:szCs w:val="24"/>
        </w:rPr>
        <w:t>Suggests variation in adoption rates among consumer groups. Revolut resonates with innovators and early adopters interested in newness, technology, and disruptive pricing (Laukkanen, 2016). Barclays aims early and late majority who have brand familiarity, low risk perception toward switching from traditional banking (Chaouali &amp; Souiden, 2019).</w:t>
      </w:r>
    </w:p>
    <w:p w14:paraId="4E8802AF" w14:textId="76D38D0C"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 xml:space="preserve">Disruptive Innovation (Christensen, 1997): </w:t>
      </w:r>
      <w:r w:rsidRPr="002F537C">
        <w:rPr>
          <w:rFonts w:ascii="Arial" w:hAnsi="Arial" w:cs="Arial"/>
          <w:sz w:val="24"/>
          <w:szCs w:val="24"/>
        </w:rPr>
        <w:t>The model of Revolut is an example of the traditional means by which disruptive innovation occurs - addressing initially under-served customers (travellers who are tired of forex fees) with simpler and more basic offerings form, eventually developing capabilities that challenge the profits … associated with serving existing market segments at reliably high standards (Christensen et al., 2015). This model explains how challenger banks strategically take over market shares from incumbents( King, 2018).</w:t>
      </w:r>
    </w:p>
    <w:p w14:paraId="53C63FCD" w14:textId="0B312134"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 xml:space="preserve">Dynamic Capabilities (Teece, 2009): </w:t>
      </w:r>
      <w:r w:rsidRPr="002F537C">
        <w:rPr>
          <w:rFonts w:ascii="Arial" w:hAnsi="Arial" w:cs="Arial"/>
          <w:sz w:val="24"/>
          <w:szCs w:val="24"/>
        </w:rPr>
        <w:t>Focus on an organisation's capacity to sense disturbances in the marketplace, seize opportunities and re-arrange resources (Teece et al., 1997). Barclays does this with branch refurbishment and digital integration, while Revolut is constantly reconfiguring its platform for new markets and products (Warner &amp; Wäger, 2019).</w:t>
      </w:r>
    </w:p>
    <w:p w14:paraId="1863F17A" w14:textId="708A782C"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 xml:space="preserve">Market Orientation (Kotler &amp; Keller, 2016): </w:t>
      </w:r>
      <w:r w:rsidRPr="002F537C">
        <w:rPr>
          <w:rFonts w:ascii="Arial" w:hAnsi="Arial" w:cs="Arial"/>
          <w:sz w:val="24"/>
          <w:szCs w:val="24"/>
        </w:rPr>
        <w:t>Competitive advantage through the dissemination and use of information about customers (Kohli &amp; Jaworski, 1990). Revolut showcases information of real-time behaviour and Barclays integrates transaction history with relationship intelligence (Narver &amp; Slater, 1990).</w:t>
      </w:r>
    </w:p>
    <w:p w14:paraId="4D33831A" w14:textId="77777777" w:rsidR="00B21218" w:rsidRPr="002F537C" w:rsidRDefault="00B21218" w:rsidP="002F537C">
      <w:pPr>
        <w:spacing w:line="360" w:lineRule="auto"/>
        <w:rPr>
          <w:rFonts w:ascii="Arial" w:hAnsi="Arial" w:cs="Arial"/>
          <w:sz w:val="24"/>
          <w:szCs w:val="24"/>
        </w:rPr>
      </w:pPr>
      <w:r w:rsidRPr="002F537C">
        <w:rPr>
          <w:rFonts w:ascii="Arial" w:hAnsi="Arial" w:cs="Arial"/>
          <w:b/>
          <w:bCs/>
          <w:sz w:val="24"/>
          <w:szCs w:val="24"/>
        </w:rPr>
        <w:lastRenderedPageBreak/>
        <w:t xml:space="preserve">Porter's Five Forces (Porter, 2008): </w:t>
      </w:r>
      <w:r w:rsidRPr="002F537C">
        <w:rPr>
          <w:rFonts w:ascii="Arial" w:hAnsi="Arial" w:cs="Arial"/>
          <w:sz w:val="24"/>
          <w:szCs w:val="24"/>
        </w:rPr>
        <w:t>Assesses competitive intensity settings in the banking industry which is used to plan on strategic positioning and the lines of business used for determining structural profitability (Porter, 1980).</w:t>
      </w:r>
    </w:p>
    <w:p w14:paraId="08A20CFA" w14:textId="4E96215B" w:rsidR="00C57EC4" w:rsidRPr="00C57EC4" w:rsidRDefault="00B21218" w:rsidP="002F537C">
      <w:pPr>
        <w:spacing w:line="360" w:lineRule="auto"/>
        <w:rPr>
          <w:rFonts w:ascii="Arial" w:hAnsi="Arial" w:cs="Arial"/>
          <w:b/>
          <w:bCs/>
          <w:sz w:val="24"/>
          <w:szCs w:val="24"/>
        </w:rPr>
      </w:pPr>
      <w:r w:rsidRPr="002F537C">
        <w:rPr>
          <w:rFonts w:ascii="Arial" w:hAnsi="Arial" w:cs="Arial"/>
          <w:b/>
          <w:bCs/>
          <w:sz w:val="24"/>
          <w:szCs w:val="24"/>
        </w:rPr>
        <w:t>Resource-Based View (Barney, 2014):</w:t>
      </w:r>
      <w:r w:rsidRPr="002F537C">
        <w:rPr>
          <w:rFonts w:ascii="Arial" w:hAnsi="Arial" w:cs="Arial"/>
          <w:sz w:val="24"/>
          <w:szCs w:val="24"/>
        </w:rPr>
        <w:t xml:space="preserve"> Competitive advantage is sustained through resources that are valuable, rare, inimitable and non-substitutable (VRIN Resources) (Barney, 1991). Revolut’s technology platform and the confidence in Barclays &amp; regulatory capital may be potential VRIN resources (Wernerfelt, 1984).</w:t>
      </w:r>
      <w:r w:rsidR="00C57EC4" w:rsidRPr="00C57EC4">
        <w:rPr>
          <w:rFonts w:ascii="Arial" w:hAnsi="Arial" w:cs="Arial"/>
          <w:sz w:val="24"/>
          <w:szCs w:val="24"/>
        </w:rPr>
        <w:t>4.0 Task 1: Critically Analyse Two Macro Marketing Actors</w:t>
      </w:r>
    </w:p>
    <w:p w14:paraId="1C235176" w14:textId="7E1FA793" w:rsidR="00B21218" w:rsidRPr="002F537C" w:rsidRDefault="00B21218" w:rsidP="002F537C">
      <w:pPr>
        <w:spacing w:line="360" w:lineRule="auto"/>
        <w:rPr>
          <w:rFonts w:ascii="Arial" w:hAnsi="Arial" w:cs="Arial"/>
          <w:b/>
          <w:bCs/>
          <w:sz w:val="24"/>
          <w:szCs w:val="24"/>
        </w:rPr>
      </w:pPr>
      <w:r w:rsidRPr="00B21218">
        <w:rPr>
          <w:rFonts w:ascii="Arial" w:hAnsi="Arial" w:cs="Arial"/>
          <w:b/>
          <w:bCs/>
          <w:sz w:val="24"/>
          <w:szCs w:val="24"/>
        </w:rPr>
        <w:t>4.0 Task 1: Critically Analyse Two Macro Marketing Actors</w:t>
      </w:r>
    </w:p>
    <w:p w14:paraId="6EFCFF77" w14:textId="4B463C55"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4.1 Socio-cultural and Economic Environment</w:t>
      </w:r>
    </w:p>
    <w:p w14:paraId="7AE16C84" w14:textId="77777777" w:rsidR="00B21218" w:rsidRPr="002F537C" w:rsidRDefault="00B21218" w:rsidP="002F537C">
      <w:pPr>
        <w:spacing w:line="360" w:lineRule="auto"/>
        <w:rPr>
          <w:rFonts w:ascii="Arial" w:hAnsi="Arial" w:cs="Arial"/>
          <w:sz w:val="24"/>
          <w:szCs w:val="24"/>
        </w:rPr>
      </w:pPr>
      <w:r w:rsidRPr="002F537C">
        <w:rPr>
          <w:rFonts w:ascii="Arial" w:hAnsi="Arial" w:cs="Arial"/>
          <w:sz w:val="24"/>
          <w:szCs w:val="24"/>
        </w:rPr>
        <w:t>UK banking functions in a low trusting environment post the 2008 crisis, PPI (payment protection insurance) scandals and cost-of-living challenges, driving demand for transparency, control tools and value (Financial Conduct Authority, 2022; Mintel, 2023). Younger customers especially are known to hate opaque fees and regard the incumbents as profit first (Devlin, 2002; Cui, Peterson, &amp; Chen, 2021). Socio cultural dynamics redefine expectations: digital natives desire real time onboarding, alerts and interfaces “as easy as Uber/Netflix” (Omarini, 2017; Mbama &amp; Ezepue, 2018). Financial education and comparison programmes induce feature-vale based switching (Bátiz Lazo &amp; Wood, 2002). Increased privacy concern lead to tug-of-war between security and convenience (Ozili, 2018). The gig economy and cross-border mobility are driving the demand for flexible, borderless finance that existing models struggle to deliver (Milian et al., 2019).</w:t>
      </w:r>
    </w:p>
    <w:p w14:paraId="4EDB4A7C" w14:textId="6062D9B1"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Pioneer’s (Revolut) Opportunities and Threats</w:t>
      </w:r>
    </w:p>
    <w:p w14:paraId="4DC55D66" w14:textId="77777777"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 xml:space="preserve">Opportunities: </w:t>
      </w:r>
      <w:r w:rsidRPr="002F537C">
        <w:rPr>
          <w:rFonts w:ascii="Arial" w:hAnsi="Arial" w:cs="Arial"/>
          <w:sz w:val="24"/>
          <w:szCs w:val="24"/>
        </w:rPr>
        <w:t>A fee lite, transparent model is consistent with the consumer desire for trust and value (Alt et al., 2018). Smooth app experience aligns with the expectations of millennials (Shaikh et al., 2017). Endless product proliferation — crypto, equities, budgeting analytics — from within one “super app” reflects lives that are only becoming more financialized (Gomber et al. Cross-border power appeals to mobile, globally-connected users in ways that exceed the capabilities of supply-chain-dependent incumbents (Mention, 2019).</w:t>
      </w:r>
    </w:p>
    <w:p w14:paraId="4AC4B9D8" w14:textId="7FE71D7A"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lastRenderedPageBreak/>
        <w:t xml:space="preserve">Threats: </w:t>
      </w:r>
      <w:r w:rsidRPr="002F537C">
        <w:rPr>
          <w:rFonts w:ascii="Arial" w:hAnsi="Arial" w:cs="Arial"/>
          <w:sz w:val="24"/>
          <w:szCs w:val="24"/>
        </w:rPr>
        <w:t>As a new brand, Revolut has small levels of trust reserves for older markets (Ennew &amp; Sekhon, 2007). Increased scrutiny (eg, lack of prompt disclosure and AML issues) Threatens credibility (The Financial Times, 2023). A digital only model may not be accessible to lower confidence users and make it more difficult for many outages issues with no human intervention (Laukkanen, 2016). Fall in travel/FX volumes leading to transaction based income exposure (Vives, 2019).</w:t>
      </w:r>
    </w:p>
    <w:p w14:paraId="2AC32BA5" w14:textId="02227B76" w:rsidR="00B21218" w:rsidRPr="002F537C" w:rsidRDefault="00B21218" w:rsidP="002F537C">
      <w:pPr>
        <w:spacing w:line="360" w:lineRule="auto"/>
        <w:rPr>
          <w:rFonts w:ascii="Arial" w:hAnsi="Arial" w:cs="Arial"/>
          <w:sz w:val="24"/>
          <w:szCs w:val="24"/>
        </w:rPr>
      </w:pPr>
      <w:r w:rsidRPr="002F537C">
        <w:rPr>
          <w:rFonts w:ascii="Arial" w:hAnsi="Arial" w:cs="Arial"/>
          <w:sz w:val="24"/>
          <w:szCs w:val="24"/>
        </w:rPr>
        <w:t>Opportunities and Threats for a Follower (Barclays) Opportunities are of really important to banking industry.</w:t>
      </w:r>
    </w:p>
    <w:p w14:paraId="1C6E30AF" w14:textId="77777777"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 xml:space="preserve">Opportunities: </w:t>
      </w:r>
      <w:r w:rsidRPr="002F537C">
        <w:rPr>
          <w:rFonts w:ascii="Arial" w:hAnsi="Arial" w:cs="Arial"/>
          <w:sz w:val="24"/>
          <w:szCs w:val="24"/>
        </w:rPr>
        <w:t>330 years of experience provides psychological safety in uncertain times (Ennew et al., 2011). A large branch footprint serves customers who are uneasy with digital only banking and allows more complicated face to face services (Mortgages, SME lending) (Laukkanen, 2016). Sound regulation and guarantee of deposits provide comfort to risk averse customers (Boot, 2017). Diversified income (retail, corporate and investment banking) mitigates retail margin pressure (Barclays PLC, 2023a).</w:t>
      </w:r>
    </w:p>
    <w:p w14:paraId="4A4E77F3" w14:textId="77777777"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 xml:space="preserve">2.2 Porter's Five Forces Threats: </w:t>
      </w:r>
      <w:r w:rsidRPr="002F537C">
        <w:rPr>
          <w:rFonts w:ascii="Arial" w:hAnsi="Arial" w:cs="Arial"/>
          <w:sz w:val="24"/>
          <w:szCs w:val="24"/>
        </w:rPr>
        <w:t>Branch and heritage IT increase fixed costs restricting the ability to compete on price with flat competitors (Vives, 2017; Skinner, 2018). Younger customers are likely to view the brand as dated, despite an infusion of digital enhancements (Devlin 2002). echoes of the shortsightedness in sales that shaped past products from falling foul to transparency led challengers (Financial Conduct Authority, 2022). Branch closures may further alienate traditional customers but not win over digital natives who are looking for super app functionality (French et al., 2020).</w:t>
      </w:r>
    </w:p>
    <w:p w14:paraId="5A7FB3D4" w14:textId="4ACBFBD3"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4.2 Technological Environment</w:t>
      </w:r>
    </w:p>
    <w:p w14:paraId="7022ADA5" w14:textId="77777777" w:rsidR="00B21218" w:rsidRPr="002F537C" w:rsidRDefault="00B21218" w:rsidP="002F537C">
      <w:pPr>
        <w:spacing w:line="360" w:lineRule="auto"/>
        <w:rPr>
          <w:rFonts w:ascii="Arial" w:hAnsi="Arial" w:cs="Arial"/>
          <w:sz w:val="24"/>
          <w:szCs w:val="24"/>
        </w:rPr>
      </w:pPr>
      <w:r w:rsidRPr="002F537C">
        <w:rPr>
          <w:rFonts w:ascii="Arial" w:hAnsi="Arial" w:cs="Arial"/>
          <w:sz w:val="24"/>
          <w:szCs w:val="24"/>
        </w:rPr>
        <w:t xml:space="preserve">Technology is rewiring banking economics and expectations.” Open Banking/PSD2 rules allow for data portability and the creation of third party value added applications and services alongside incumbent offerings (Financial Conduct Authority, 2021; Zachariadis &amp; Ozcan, 2017). AI can improve fraud detection, credit risk and personalized scaling (Leo et al., 2019). Blockchain offers less expensive and faster cross border transactions and the crypto refers to alternative value stores (Mention, 2019; Gomber et al., 2017). Computing in the cloud reduces infrastructure barriers and increases scalability (Vives, 2017). Biometrics enhance security and usability </w:t>
      </w:r>
      <w:r w:rsidRPr="002F537C">
        <w:rPr>
          <w:rFonts w:ascii="Arial" w:hAnsi="Arial" w:cs="Arial"/>
          <w:sz w:val="24"/>
          <w:szCs w:val="24"/>
        </w:rPr>
        <w:lastRenderedPageBreak/>
        <w:t>(Ooi &amp; Tan, 2016). Nonetheless, cyber risk is increasing and firms must continually invest in their disaster recovery capability (Ozili, 2018).</w:t>
      </w:r>
    </w:p>
    <w:p w14:paraId="7D6C86C7" w14:textId="77777777" w:rsidR="00B21218" w:rsidRPr="002F537C" w:rsidRDefault="00B21218" w:rsidP="002F537C">
      <w:pPr>
        <w:spacing w:line="360" w:lineRule="auto"/>
        <w:rPr>
          <w:rFonts w:ascii="Arial" w:hAnsi="Arial" w:cs="Arial"/>
          <w:b/>
          <w:bCs/>
          <w:sz w:val="24"/>
          <w:szCs w:val="24"/>
        </w:rPr>
      </w:pPr>
    </w:p>
    <w:p w14:paraId="66F4E5C8" w14:textId="0E88B402"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Opportunities and Threats for the First-Mover (Revolut)</w:t>
      </w:r>
    </w:p>
    <w:p w14:paraId="5C200584" w14:textId="77777777"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 xml:space="preserve">Opportunities: </w:t>
      </w:r>
      <w:r w:rsidRPr="002F537C">
        <w:rPr>
          <w:rFonts w:ascii="Arial" w:hAnsi="Arial" w:cs="Arial"/>
          <w:sz w:val="24"/>
          <w:szCs w:val="24"/>
        </w:rPr>
        <w:t>Cloud native architecture allows for even fast capital light scaling over markets (Lee &amp; Shin, 2018). Real time data helps instant notifications as well as spending insights, large speed nudges not possible in legacy stacks (Mention, 2019). Open Banking aggregation will transform Revolut into a financial control centre through incorporation of third-party accounts (Zachariadis &amp; Ozcan, 2017). Crypto related functionalities draw in the digitally informed customers and convey innovation leadership (Gomber et al., 2017).</w:t>
      </w:r>
    </w:p>
    <w:p w14:paraId="53808D51" w14:textId="77777777"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 xml:space="preserve">Threat Platforms failure: </w:t>
      </w:r>
      <w:r w:rsidRPr="002F537C">
        <w:rPr>
          <w:rFonts w:ascii="Arial" w:hAnsi="Arial" w:cs="Arial"/>
          <w:sz w:val="24"/>
          <w:szCs w:val="24"/>
        </w:rPr>
        <w:t>any lapse or crash on the platform will prompt a decline in trust and regulatory intervention (Ozili, 2018). ONGOING INNOVATION REQUIRES SPENDING, WITH UNCLEAR PAYOFFS (King, 2018). Rivals may also license fintech type functionalities like a commodity (Vives, 2019). Uncertainty over regulation in respect of crypto and cross border services injects strategic risk into the mix (Financial Conduct Authority, 2022).</w:t>
      </w:r>
    </w:p>
    <w:p w14:paraId="5441FA8E" w14:textId="2DF5D3D2" w:rsidR="00B21218" w:rsidRPr="002F537C" w:rsidRDefault="00B21218" w:rsidP="002F537C">
      <w:pPr>
        <w:spacing w:line="360" w:lineRule="auto"/>
        <w:rPr>
          <w:rFonts w:ascii="Arial" w:hAnsi="Arial" w:cs="Arial"/>
          <w:b/>
          <w:bCs/>
          <w:sz w:val="24"/>
          <w:szCs w:val="24"/>
        </w:rPr>
      </w:pPr>
      <w:r w:rsidRPr="002F537C">
        <w:rPr>
          <w:rFonts w:ascii="Arial" w:hAnsi="Arial" w:cs="Arial"/>
          <w:b/>
          <w:bCs/>
          <w:sz w:val="24"/>
          <w:szCs w:val="24"/>
        </w:rPr>
        <w:t>Barclays Opportunities and Threats for a Follower</w:t>
      </w:r>
    </w:p>
    <w:p w14:paraId="0235F959" w14:textId="77777777" w:rsidR="00B21218" w:rsidRPr="002F537C" w:rsidRDefault="00B21218" w:rsidP="002F537C">
      <w:pPr>
        <w:spacing w:line="360" w:lineRule="auto"/>
        <w:rPr>
          <w:rFonts w:ascii="Arial" w:hAnsi="Arial" w:cs="Arial"/>
          <w:sz w:val="24"/>
          <w:szCs w:val="24"/>
        </w:rPr>
      </w:pPr>
      <w:r w:rsidRPr="002F537C">
        <w:rPr>
          <w:rFonts w:ascii="Arial" w:hAnsi="Arial" w:cs="Arial"/>
          <w:b/>
          <w:bCs/>
          <w:sz w:val="24"/>
          <w:szCs w:val="24"/>
        </w:rPr>
        <w:t xml:space="preserve">Opportunities: </w:t>
      </w:r>
      <w:r w:rsidRPr="002F537C">
        <w:rPr>
          <w:rFonts w:ascii="Arial" w:hAnsi="Arial" w:cs="Arial"/>
          <w:sz w:val="24"/>
          <w:szCs w:val="24"/>
        </w:rPr>
        <w:t>It helps to lower the pioneering risk with known technologies at bigger scale (Markides &amp; Sosa, 2013). In these circumstances, high tech budgets (c.£2bn+) deliver end to end transformation (Barclays PLC, 2023b). Physical structures enable the hybrid model—digital journeys with in branch advisory (Laukkanen, 2016). Rich longitudinal datasets enrich AI personalization and risk models (Leo, Secure Data Sharing for Healthcare Systems with Blockchain by means of YourDiagWear V 1.0 [software], 2019).</w:t>
      </w:r>
    </w:p>
    <w:p w14:paraId="53A32360" w14:textId="6BAB840D" w:rsidR="00B21218" w:rsidRPr="002F537C" w:rsidRDefault="00B21218" w:rsidP="002F537C">
      <w:pPr>
        <w:spacing w:line="360" w:lineRule="auto"/>
        <w:rPr>
          <w:rFonts w:ascii="Arial" w:hAnsi="Arial" w:cs="Arial"/>
          <w:sz w:val="24"/>
          <w:szCs w:val="24"/>
        </w:rPr>
      </w:pPr>
      <w:r w:rsidRPr="002F537C">
        <w:rPr>
          <w:rFonts w:ascii="Arial" w:hAnsi="Arial" w:cs="Arial"/>
          <w:b/>
          <w:bCs/>
          <w:sz w:val="24"/>
          <w:szCs w:val="24"/>
        </w:rPr>
        <w:t xml:space="preserve">Challenges: </w:t>
      </w:r>
      <w:r w:rsidRPr="002F537C">
        <w:rPr>
          <w:rFonts w:ascii="Arial" w:hAnsi="Arial" w:cs="Arial"/>
          <w:sz w:val="24"/>
          <w:szCs w:val="24"/>
        </w:rPr>
        <w:t>“We have that thing” IT that has accreted over time leading to slow, expensive changes (Skinner, 2018; Vives, 2017). The cultural legacy can tend to retard the adoption and the innovation of technologies (Warner &amp; Wäger, 2019). Delays in implementing digital channels may result in a failure to keep pace with increasingly escalating customer demands (Mbama &amp; Ezepue, 2018). Under-</w:t>
      </w:r>
      <w:r w:rsidRPr="002F537C">
        <w:rPr>
          <w:rFonts w:ascii="Arial" w:hAnsi="Arial" w:cs="Arial"/>
          <w:sz w:val="24"/>
          <w:szCs w:val="24"/>
        </w:rPr>
        <w:lastRenderedPageBreak/>
        <w:t>leveraging of data assets would waste advantage and allow challengers to take over the lead in personalisation (Leo et al., 2019).</w:t>
      </w:r>
    </w:p>
    <w:p w14:paraId="0C34EBC2" w14:textId="77777777" w:rsidR="002F537C" w:rsidRPr="002F537C" w:rsidRDefault="002F537C" w:rsidP="002F537C">
      <w:pPr>
        <w:spacing w:line="360" w:lineRule="auto"/>
        <w:rPr>
          <w:rFonts w:ascii="Arial" w:hAnsi="Arial" w:cs="Arial"/>
          <w:b/>
          <w:bCs/>
          <w:sz w:val="24"/>
          <w:szCs w:val="24"/>
        </w:rPr>
      </w:pPr>
    </w:p>
    <w:p w14:paraId="322B9423" w14:textId="7F62CBE4" w:rsidR="002F537C" w:rsidRPr="002F537C" w:rsidRDefault="002F537C" w:rsidP="002F537C">
      <w:pPr>
        <w:spacing w:line="360" w:lineRule="auto"/>
        <w:rPr>
          <w:rFonts w:ascii="Arial" w:hAnsi="Arial" w:cs="Arial"/>
          <w:b/>
          <w:bCs/>
          <w:sz w:val="24"/>
          <w:szCs w:val="24"/>
        </w:rPr>
      </w:pPr>
      <w:r w:rsidRPr="002F537C">
        <w:rPr>
          <w:rFonts w:ascii="Arial" w:hAnsi="Arial" w:cs="Arial"/>
          <w:b/>
          <w:bCs/>
          <w:sz w:val="24"/>
          <w:szCs w:val="24"/>
        </w:rPr>
        <w:t>5.0 Task 2: Strategic Behavior of Forerunners and Latecomers</w:t>
      </w:r>
    </w:p>
    <w:p w14:paraId="1D7DBCBA" w14:textId="64AE12A9" w:rsidR="002F537C" w:rsidRPr="002F537C" w:rsidRDefault="002F537C" w:rsidP="002F537C">
      <w:pPr>
        <w:spacing w:line="360" w:lineRule="auto"/>
        <w:rPr>
          <w:rFonts w:ascii="Arial" w:hAnsi="Arial" w:cs="Arial"/>
          <w:b/>
          <w:bCs/>
          <w:sz w:val="24"/>
          <w:szCs w:val="24"/>
        </w:rPr>
      </w:pPr>
      <w:r w:rsidRPr="002F537C">
        <w:rPr>
          <w:rFonts w:ascii="Arial" w:hAnsi="Arial" w:cs="Arial"/>
          <w:b/>
          <w:bCs/>
          <w:sz w:val="24"/>
          <w:szCs w:val="24"/>
        </w:rPr>
        <w:t>5.1 Responding to Socio-cultural and Economic Pressures Strategically</w:t>
      </w:r>
    </w:p>
    <w:p w14:paraId="3D8D27C2" w14:textId="1962218E" w:rsidR="002F537C" w:rsidRPr="002F537C" w:rsidRDefault="002F537C" w:rsidP="002F537C">
      <w:pPr>
        <w:spacing w:line="360" w:lineRule="auto"/>
        <w:rPr>
          <w:rFonts w:ascii="Arial" w:hAnsi="Arial" w:cs="Arial"/>
          <w:sz w:val="24"/>
          <w:szCs w:val="24"/>
        </w:rPr>
      </w:pPr>
      <w:r w:rsidRPr="002F537C">
        <w:rPr>
          <w:rFonts w:ascii="Arial" w:hAnsi="Arial" w:cs="Arial"/>
          <w:sz w:val="24"/>
          <w:szCs w:val="24"/>
        </w:rPr>
        <w:t>Revolut responds to soci o economic pressures with radical transparency and product de mocratisation (Mention, 2019): no hidden fees, instant categorisation of expenditures in real-time, and massive access to investing, or crypto or insuran ce by a freemuim ladder (Alt et al., 2018; Omarini, 2017). It focuses on digitally native, globally mobile 18–40 year-olds searching for clarity and control (Shaikh et al., 2017), an “ex-banker” in and of itself as a command center that refreshes the prospect of all the others. The outcome is an evolving multi-product ecosystem, formed by user feedback (Gomber et al., 2017). Pricing is freemium — core accounts are free but tiered subscriptions cost more (Revolut, 2023). Marketing is digital-led (social, influencers, referrals) to create transparency and speed of action (Lee &amp; Shin, 2018).</w:t>
      </w:r>
    </w:p>
    <w:p w14:paraId="6B3B0721" w14:textId="77777777" w:rsidR="002F537C" w:rsidRPr="002F537C" w:rsidRDefault="002F537C" w:rsidP="002F537C">
      <w:pPr>
        <w:spacing w:line="360" w:lineRule="auto"/>
        <w:rPr>
          <w:rFonts w:ascii="Arial" w:hAnsi="Arial" w:cs="Arial"/>
          <w:sz w:val="24"/>
          <w:szCs w:val="24"/>
        </w:rPr>
      </w:pPr>
      <w:r w:rsidRPr="002F537C">
        <w:rPr>
          <w:rFonts w:ascii="Arial" w:hAnsi="Arial" w:cs="Arial"/>
          <w:sz w:val="24"/>
          <w:szCs w:val="24"/>
        </w:rPr>
        <w:t>Barclays has a balanced multi segment game — by combining scale and heritage to protect trust while modernizing (Porter 2008). Product consolidation is induced by Blue Rewards; whilst branches reassure consumers who are risk averse (Ennew et al., 2011). It’s aimed at quite wide demographics – perhaps leaning towards 35+ professionals, families and SMEs — advertised as “trusted banking, modern convenience.” Offer full service – day to day banking, mortgage and wealth at competitive pricing with cash back to deepen relationship (Barclays PLC 2023a, 2023b). Place is omnichannel: 1,000+ branches for complexity and a mature app for everyday transactions (Laukkanen, 2016).</w:t>
      </w:r>
    </w:p>
    <w:p w14:paraId="528D6C08" w14:textId="77777777" w:rsidR="002F537C" w:rsidRPr="002F537C" w:rsidRDefault="002F537C" w:rsidP="002F537C">
      <w:pPr>
        <w:spacing w:line="360" w:lineRule="auto"/>
        <w:rPr>
          <w:rFonts w:ascii="Arial" w:hAnsi="Arial" w:cs="Arial"/>
          <w:b/>
          <w:bCs/>
          <w:sz w:val="24"/>
          <w:szCs w:val="24"/>
        </w:rPr>
      </w:pPr>
    </w:p>
    <w:p w14:paraId="53F10C20" w14:textId="050EC194" w:rsidR="002F537C" w:rsidRPr="002F537C" w:rsidRDefault="002F537C" w:rsidP="002F537C">
      <w:pPr>
        <w:spacing w:line="360" w:lineRule="auto"/>
        <w:rPr>
          <w:rFonts w:ascii="Arial" w:hAnsi="Arial" w:cs="Arial"/>
          <w:b/>
          <w:bCs/>
          <w:sz w:val="24"/>
          <w:szCs w:val="24"/>
        </w:rPr>
      </w:pPr>
      <w:r w:rsidRPr="002F537C">
        <w:rPr>
          <w:rFonts w:ascii="Arial" w:hAnsi="Arial" w:cs="Arial"/>
          <w:b/>
          <w:bCs/>
          <w:sz w:val="24"/>
          <w:szCs w:val="24"/>
        </w:rPr>
        <w:t>5.2 Strategic Responses to Technology</w:t>
      </w:r>
    </w:p>
    <w:p w14:paraId="628E339B" w14:textId="4B807054" w:rsidR="002F537C" w:rsidRPr="002F537C" w:rsidRDefault="002F537C" w:rsidP="002F537C">
      <w:pPr>
        <w:spacing w:line="360" w:lineRule="auto"/>
        <w:rPr>
          <w:rFonts w:ascii="Arial" w:hAnsi="Arial" w:cs="Arial"/>
          <w:sz w:val="24"/>
          <w:szCs w:val="24"/>
        </w:rPr>
      </w:pPr>
      <w:r w:rsidRPr="002F537C">
        <w:rPr>
          <w:rFonts w:ascii="Arial" w:hAnsi="Arial" w:cs="Arial"/>
          <w:sz w:val="24"/>
          <w:szCs w:val="24"/>
        </w:rPr>
        <w:t xml:space="preserve">Technologically, Revolut commoditises its cloud native stack to businesses through Revolut Business) resulting in a quicker time to market and more aggressive feature release (Mention, 2019; Lee &amp; Shin, 2018). Activities focus on quick onboarding, </w:t>
      </w:r>
      <w:r w:rsidRPr="002F537C">
        <w:rPr>
          <w:rFonts w:ascii="Arial" w:hAnsi="Arial" w:cs="Arial"/>
          <w:sz w:val="24"/>
          <w:szCs w:val="24"/>
        </w:rPr>
        <w:lastRenderedPageBreak/>
        <w:t>instant noti cations and custom analytics (Mbama &amp; Ezepue, 2018). UX cues: virtual/physical card, cool design, transparent fees—vouch for the trustworthiness.</w:t>
      </w:r>
    </w:p>
    <w:p w14:paraId="3F0DB479" w14:textId="7AB6A262" w:rsidR="002F537C" w:rsidRPr="002F537C" w:rsidRDefault="002F537C" w:rsidP="002F537C">
      <w:pPr>
        <w:spacing w:line="360" w:lineRule="auto"/>
        <w:rPr>
          <w:rFonts w:ascii="Arial" w:hAnsi="Arial" w:cs="Arial"/>
          <w:sz w:val="24"/>
          <w:szCs w:val="24"/>
        </w:rPr>
      </w:pPr>
      <w:r w:rsidRPr="002F537C">
        <w:rPr>
          <w:rFonts w:ascii="Arial" w:hAnsi="Arial" w:cs="Arial"/>
          <w:sz w:val="24"/>
          <w:szCs w:val="24"/>
        </w:rPr>
        <w:t>Barclays embrace a hybrid tech approach it is rap and replace, in­ stead bedding front ends on to muscle cores (Skinner, 2018; Warner &amp; Wäger, 2019). Open Banking is effectively enabling Barclays to aggregate external accounts into its own mobile app for stickiness (Zachariadis &amp; Ozcan, 2017). Advertising capitalises on AI personalised offers, financial health scores and savings nudges (Leo et al., 2019). Tablets and single profiles are used by frontline to deliver joined up advice (Laukkanen, 2016). The end to end journey is omnichannel by design—mobile for convenience, branches for complexity—resulting in reduced friction and churn.</w:t>
      </w:r>
    </w:p>
    <w:p w14:paraId="4DE2AE78" w14:textId="0BD16259" w:rsidR="00C57EC4" w:rsidRPr="002F537C" w:rsidRDefault="002F537C" w:rsidP="002F537C">
      <w:pPr>
        <w:spacing w:line="360" w:lineRule="auto"/>
        <w:rPr>
          <w:rFonts w:ascii="Arial" w:hAnsi="Arial" w:cs="Arial"/>
          <w:b/>
          <w:bCs/>
          <w:sz w:val="24"/>
          <w:szCs w:val="24"/>
        </w:rPr>
      </w:pPr>
      <w:r w:rsidRPr="002F537C">
        <w:rPr>
          <w:rFonts w:ascii="Arial" w:hAnsi="Arial" w:cs="Arial"/>
          <w:b/>
          <w:bCs/>
          <w:sz w:val="24"/>
          <w:szCs w:val="24"/>
        </w:rPr>
        <w:t xml:space="preserve">Collectively these strategies represent archetypal pioneer– follower logics: </w:t>
      </w:r>
      <w:r w:rsidRPr="002F537C">
        <w:rPr>
          <w:rFonts w:ascii="Arial" w:hAnsi="Arial" w:cs="Arial"/>
          <w:sz w:val="24"/>
          <w:szCs w:val="24"/>
        </w:rPr>
        <w:t>focused differentiation and network effects from a platform model in the case of Revolut, where engagement becomes subscription ARPU; cost efficiency from scale combined with brand-based reassurance and steadfastness for Barlcays, delivering personalisation at scale (Porter, 2008; Barney, 2014; Leo et al., 2019).</w:t>
      </w:r>
    </w:p>
    <w:p w14:paraId="7B20386B" w14:textId="77777777" w:rsidR="002F537C" w:rsidRPr="002F537C" w:rsidRDefault="002F537C" w:rsidP="002F537C">
      <w:pPr>
        <w:spacing w:line="360" w:lineRule="auto"/>
        <w:rPr>
          <w:rFonts w:ascii="Arial" w:hAnsi="Arial" w:cs="Arial"/>
          <w:b/>
          <w:bCs/>
          <w:sz w:val="24"/>
          <w:szCs w:val="24"/>
        </w:rPr>
      </w:pPr>
    </w:p>
    <w:p w14:paraId="003FD244" w14:textId="20EE903D" w:rsidR="009F013B" w:rsidRPr="009F013B" w:rsidRDefault="009F013B" w:rsidP="002F537C">
      <w:pPr>
        <w:spacing w:line="360" w:lineRule="auto"/>
        <w:rPr>
          <w:rFonts w:ascii="Arial" w:hAnsi="Arial" w:cs="Arial"/>
          <w:b/>
          <w:bCs/>
          <w:sz w:val="24"/>
          <w:szCs w:val="24"/>
        </w:rPr>
      </w:pPr>
      <w:r w:rsidRPr="009F013B">
        <w:rPr>
          <w:rFonts w:ascii="Arial" w:hAnsi="Arial" w:cs="Arial"/>
          <w:b/>
          <w:bCs/>
          <w:sz w:val="24"/>
          <w:szCs w:val="24"/>
        </w:rPr>
        <w:t>6.0 Competitive Strategy Synthesis</w:t>
      </w:r>
    </w:p>
    <w:p w14:paraId="6FC34723" w14:textId="46CC2685" w:rsidR="002F537C" w:rsidRPr="002F537C" w:rsidRDefault="002F537C" w:rsidP="002F537C">
      <w:pPr>
        <w:spacing w:line="360" w:lineRule="auto"/>
        <w:rPr>
          <w:rFonts w:ascii="Arial" w:hAnsi="Arial" w:cs="Arial"/>
          <w:sz w:val="24"/>
          <w:szCs w:val="24"/>
        </w:rPr>
      </w:pPr>
      <w:r w:rsidRPr="002F537C">
        <w:rPr>
          <w:rFonts w:ascii="Arial" w:hAnsi="Arial" w:cs="Arial"/>
          <w:sz w:val="24"/>
          <w:szCs w:val="24"/>
        </w:rPr>
        <w:t>Rivalry is increasing as the competition among challengers fractures market share (King, 2018), buyer power rises through Open Banking and switching (Zachariadis &amp; Ozcan, 2017), complement threats materialize from peer to peer lending and cryptocurrency (Gomber et al., 2017) while regulatory barriers act as an insulation against completely new entrants, technology is reducing barriers markedly (Vives, 2017) with suppliers having a greater say in proceedings (the Financial Conduct Authority, 2021).</w:t>
      </w:r>
    </w:p>
    <w:p w14:paraId="0A1B959F" w14:textId="0299154D" w:rsidR="002F537C" w:rsidRPr="002F537C" w:rsidRDefault="002F537C" w:rsidP="002F537C">
      <w:pPr>
        <w:spacing w:line="360" w:lineRule="auto"/>
        <w:rPr>
          <w:rFonts w:ascii="Arial" w:hAnsi="Arial" w:cs="Arial"/>
          <w:sz w:val="24"/>
          <w:szCs w:val="24"/>
        </w:rPr>
      </w:pPr>
      <w:r w:rsidRPr="002F537C">
        <w:rPr>
          <w:rFonts w:ascii="Arial" w:hAnsi="Arial" w:cs="Arial"/>
          <w:sz w:val="24"/>
          <w:szCs w:val="24"/>
        </w:rPr>
        <w:t>Within this environment:</w:t>
      </w:r>
    </w:p>
    <w:p w14:paraId="5D5B4352" w14:textId="45D2E5F1" w:rsidR="002F537C" w:rsidRPr="002F537C" w:rsidRDefault="002F537C" w:rsidP="002F537C">
      <w:pPr>
        <w:spacing w:line="360" w:lineRule="auto"/>
        <w:rPr>
          <w:rFonts w:ascii="Arial" w:hAnsi="Arial" w:cs="Arial"/>
          <w:sz w:val="24"/>
          <w:szCs w:val="24"/>
        </w:rPr>
      </w:pPr>
      <w:r w:rsidRPr="002F537C">
        <w:rPr>
          <w:rFonts w:ascii="Arial" w:hAnsi="Arial" w:cs="Arial"/>
          <w:sz w:val="24"/>
          <w:szCs w:val="24"/>
        </w:rPr>
        <w:t>Revolut has adopted Focused Differentiation Strategy (Porter, 1980). Its proprietary technology platform and connected product network are potentially VRIN resources (Barney, 1991, 2014). Sustainable solutions entail keeping up with the tempo of innovation, turning a profit and navigating regulation within a complex set of jurisdictions (King 2018). The challenge would be growing up and not out, its population and governance maturing (Financial Times 2023).</w:t>
      </w:r>
    </w:p>
    <w:p w14:paraId="6B71AA24" w14:textId="77777777" w:rsidR="002F537C" w:rsidRPr="002F537C" w:rsidRDefault="002F537C" w:rsidP="002F537C">
      <w:pPr>
        <w:spacing w:line="360" w:lineRule="auto"/>
        <w:rPr>
          <w:rFonts w:ascii="Arial" w:hAnsi="Arial" w:cs="Arial"/>
          <w:sz w:val="24"/>
          <w:szCs w:val="24"/>
        </w:rPr>
      </w:pPr>
      <w:r w:rsidRPr="002F537C">
        <w:rPr>
          <w:rFonts w:ascii="Arial" w:hAnsi="Arial" w:cs="Arial"/>
          <w:sz w:val="24"/>
          <w:szCs w:val="24"/>
        </w:rPr>
        <w:lastRenderedPageBreak/>
        <w:t>Barclays strives to be a cost leader and differentiator at the same time (Porter, 2008). Competitive advantage comes from scale economies in lending and deposits, while differentiation can be obtained through brand trust, omni-channel access and holistic service breadth (Ennew et al., 2011). Its critical dynamic capability (Teece, 2009; Teece et al., 1997) is repurposing legacy assets ‘— branches, data and regulators’ to be strategic assets rather than shackles while shunting an organisation’s culture toward digital agility (Warner &amp; Wäger, 2019).</w:t>
      </w:r>
    </w:p>
    <w:p w14:paraId="7E90AA82" w14:textId="77777777" w:rsidR="002F537C" w:rsidRPr="002F537C" w:rsidRDefault="002F537C" w:rsidP="002F537C">
      <w:pPr>
        <w:spacing w:line="360" w:lineRule="auto"/>
        <w:rPr>
          <w:rFonts w:ascii="Arial" w:hAnsi="Arial" w:cs="Arial"/>
          <w:b/>
          <w:bCs/>
          <w:sz w:val="24"/>
          <w:szCs w:val="24"/>
        </w:rPr>
      </w:pPr>
    </w:p>
    <w:p w14:paraId="74B32CD2" w14:textId="1E214CEC" w:rsidR="009F013B" w:rsidRPr="009F013B" w:rsidRDefault="009F013B" w:rsidP="002F537C">
      <w:pPr>
        <w:spacing w:line="360" w:lineRule="auto"/>
        <w:rPr>
          <w:rFonts w:ascii="Arial" w:hAnsi="Arial" w:cs="Arial"/>
          <w:b/>
          <w:bCs/>
          <w:sz w:val="24"/>
          <w:szCs w:val="24"/>
        </w:rPr>
      </w:pPr>
      <w:r w:rsidRPr="009F013B">
        <w:rPr>
          <w:rFonts w:ascii="Arial" w:hAnsi="Arial" w:cs="Arial"/>
          <w:b/>
          <w:bCs/>
          <w:sz w:val="24"/>
          <w:szCs w:val="24"/>
        </w:rPr>
        <w:t>7.0 Marketing Strategy Recommendations</w:t>
      </w:r>
    </w:p>
    <w:p w14:paraId="12F6FC69" w14:textId="77777777" w:rsidR="002F537C" w:rsidRPr="002F537C" w:rsidRDefault="002F537C" w:rsidP="002F537C">
      <w:pPr>
        <w:spacing w:line="360" w:lineRule="auto"/>
        <w:rPr>
          <w:rFonts w:ascii="Arial" w:hAnsi="Arial" w:cs="Arial"/>
          <w:sz w:val="24"/>
          <w:szCs w:val="24"/>
        </w:rPr>
      </w:pPr>
      <w:r w:rsidRPr="002F537C">
        <w:rPr>
          <w:rFonts w:ascii="Arial" w:hAnsi="Arial" w:cs="Arial"/>
          <w:sz w:val="24"/>
          <w:szCs w:val="24"/>
        </w:rPr>
        <w:t>Revolut (Pioneer): Be transparent to close the gap with credibility, publish real time uptime and CS response times and compliance public information dashboards; feature these in app to demonstrate accountability (Ennew &amp; Sekhon, 2007; Ozili, 2018). Community-driven financial education Programming Transactional Using: gamified literacy modules, anonymised peer benchmarks and AI coaching to drive outcomes and emotional trust (Mention, 2019; Leo et al., 2019). Monetise the platform through B2B: leverage Revolut Business with wrapped treasury, cross border payments, expense management and SME/gig worker/digital nomad specific tools such as multi currency income and tax optimization (Milian et al., 2019; Omarini, 2017).</w:t>
      </w:r>
    </w:p>
    <w:p w14:paraId="283E0C42" w14:textId="77777777" w:rsidR="002F537C" w:rsidRPr="002F537C" w:rsidRDefault="002F537C" w:rsidP="002F537C">
      <w:pPr>
        <w:spacing w:line="360" w:lineRule="auto"/>
        <w:rPr>
          <w:rFonts w:ascii="Arial" w:hAnsi="Arial" w:cs="Arial"/>
          <w:sz w:val="24"/>
          <w:szCs w:val="24"/>
        </w:rPr>
      </w:pPr>
    </w:p>
    <w:p w14:paraId="70EE65B8" w14:textId="6F68F7B8" w:rsidR="00160A28" w:rsidRPr="002F537C" w:rsidRDefault="002F537C" w:rsidP="002F537C">
      <w:pPr>
        <w:spacing w:line="360" w:lineRule="auto"/>
        <w:rPr>
          <w:rFonts w:ascii="Arial" w:hAnsi="Arial" w:cs="Arial"/>
          <w:sz w:val="24"/>
          <w:szCs w:val="24"/>
        </w:rPr>
      </w:pPr>
      <w:r w:rsidRPr="002F537C">
        <w:rPr>
          <w:rFonts w:ascii="Arial" w:hAnsi="Arial" w:cs="Arial"/>
          <w:sz w:val="24"/>
          <w:szCs w:val="24"/>
        </w:rPr>
        <w:t>Barclays (Follower): Reposition branches as financial wellness hubs offering health checks, digital skills training and life stage planning— high touch value proposition provides rationale for cost yet a point of difference to digital only competition (Laukkanen 2016; French et al., 2020). Shorten time from hype to hyper personalisation: leverage AI to produce offers and recommends that are hyper personalised, quantified savings in contrast to generic (Leo et al., 2019; Kotler&amp;Keller, 2016). Brand the heritage innovation balance: market ‘330 years of trust, playing tomorrow’s innovation,’ connecting risk management heritage to AI fraud protection to communicate that customers can have both security and latest capability (Ennew et al., 2011; Boot, 2017).</w:t>
      </w:r>
    </w:p>
    <w:p w14:paraId="4031EACC" w14:textId="77777777" w:rsidR="002F537C" w:rsidRPr="002F537C" w:rsidRDefault="002F537C" w:rsidP="002F537C">
      <w:pPr>
        <w:spacing w:line="360" w:lineRule="auto"/>
        <w:rPr>
          <w:rFonts w:ascii="Arial" w:hAnsi="Arial" w:cs="Arial"/>
          <w:b/>
          <w:bCs/>
          <w:sz w:val="24"/>
          <w:szCs w:val="24"/>
        </w:rPr>
      </w:pPr>
    </w:p>
    <w:p w14:paraId="4BC57260" w14:textId="20EFC9B3" w:rsidR="002F537C" w:rsidRPr="002F537C" w:rsidRDefault="009F013B" w:rsidP="002F537C">
      <w:pPr>
        <w:spacing w:line="360" w:lineRule="auto"/>
        <w:rPr>
          <w:rFonts w:ascii="Arial" w:hAnsi="Arial" w:cs="Arial"/>
          <w:b/>
          <w:bCs/>
          <w:sz w:val="24"/>
          <w:szCs w:val="24"/>
        </w:rPr>
      </w:pPr>
      <w:r w:rsidRPr="009F013B">
        <w:rPr>
          <w:rFonts w:ascii="Arial" w:hAnsi="Arial" w:cs="Arial"/>
          <w:b/>
          <w:bCs/>
          <w:sz w:val="24"/>
          <w:szCs w:val="24"/>
        </w:rPr>
        <w:lastRenderedPageBreak/>
        <w:t>8.0 Conclusion</w:t>
      </w:r>
    </w:p>
    <w:p w14:paraId="6B5388F7" w14:textId="70C1AD61" w:rsidR="009F013B" w:rsidRPr="009F013B" w:rsidRDefault="002F537C" w:rsidP="002F537C">
      <w:pPr>
        <w:spacing w:line="360" w:lineRule="auto"/>
        <w:rPr>
          <w:rFonts w:ascii="Arial" w:hAnsi="Arial" w:cs="Arial"/>
          <w:sz w:val="24"/>
          <w:szCs w:val="24"/>
        </w:rPr>
      </w:pPr>
      <w:r w:rsidRPr="002F537C">
        <w:rPr>
          <w:rFonts w:ascii="Arial" w:hAnsi="Arial" w:cs="Arial"/>
          <w:sz w:val="24"/>
          <w:szCs w:val="24"/>
        </w:rPr>
        <w:t>The UK financial sector provides an example of opposing digital strategies: tech led disruption (Revolut) versus adaptive incumbency (Barclays) (Vives, 2019; Skinner, 2018). Revolut deploys cloud native architecture and integrated ecosystem to scale at global level, does not only evolving from growth to profitable one but also governance mature operations when regulators and rivals cast eagle eyes along with expanding straight line connections into anything beyond transactions (Lee &amp; Shin, 2018; King, 2018). The case at Barclays is an illustration of dynamic capabilities making the transformation possible; through alternating between modernising on the one hand and using branches as reassurance gallery and performance scene for complex service (Teece, 2009; Laukkanen, 2016), and on the other side unleashing the cultural change fast enough! Competitive advantage will be driven by trust, personalisation and financial well being, influenced by disruption and strategic choices (Christensen, 1997; Porter, 2008; Ennew &amp; Sekhon, 2007).</w:t>
      </w:r>
    </w:p>
    <w:p w14:paraId="7EBA66AF" w14:textId="52E3D55A" w:rsidR="009F013B" w:rsidRPr="009F013B" w:rsidRDefault="009F013B" w:rsidP="002F537C">
      <w:pPr>
        <w:spacing w:line="360" w:lineRule="auto"/>
        <w:rPr>
          <w:rFonts w:ascii="Arial" w:hAnsi="Arial" w:cs="Arial"/>
          <w:sz w:val="24"/>
          <w:szCs w:val="24"/>
        </w:rPr>
      </w:pPr>
    </w:p>
    <w:p w14:paraId="50024AA0" w14:textId="77777777" w:rsidR="009F013B" w:rsidRPr="009F013B" w:rsidRDefault="009F013B" w:rsidP="002F537C">
      <w:pPr>
        <w:spacing w:line="360" w:lineRule="auto"/>
        <w:rPr>
          <w:rFonts w:ascii="Arial" w:hAnsi="Arial" w:cs="Arial"/>
          <w:b/>
          <w:bCs/>
          <w:sz w:val="24"/>
          <w:szCs w:val="24"/>
        </w:rPr>
      </w:pPr>
      <w:r w:rsidRPr="009F013B">
        <w:rPr>
          <w:rFonts w:ascii="Arial" w:hAnsi="Arial" w:cs="Arial"/>
          <w:b/>
          <w:bCs/>
          <w:sz w:val="24"/>
          <w:szCs w:val="24"/>
        </w:rPr>
        <w:t>References</w:t>
      </w:r>
    </w:p>
    <w:p w14:paraId="02F5AA21"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Alt, R., Beck, R. and Smits, M.T. (2018) 'FinTech and the transformation of the financial industry', </w:t>
      </w:r>
      <w:r w:rsidRPr="009F013B">
        <w:rPr>
          <w:rFonts w:ascii="Arial" w:hAnsi="Arial" w:cs="Arial"/>
          <w:i/>
          <w:iCs/>
          <w:sz w:val="24"/>
          <w:szCs w:val="24"/>
        </w:rPr>
        <w:t>Electronic Markets</w:t>
      </w:r>
      <w:r w:rsidRPr="009F013B">
        <w:rPr>
          <w:rFonts w:ascii="Arial" w:hAnsi="Arial" w:cs="Arial"/>
          <w:sz w:val="24"/>
          <w:szCs w:val="24"/>
        </w:rPr>
        <w:t>, 28(3), pp. 235-243.</w:t>
      </w:r>
    </w:p>
    <w:p w14:paraId="258C6AD6"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Bank of England (2023) </w:t>
      </w:r>
      <w:r w:rsidRPr="009F013B">
        <w:rPr>
          <w:rFonts w:ascii="Arial" w:hAnsi="Arial" w:cs="Arial"/>
          <w:i/>
          <w:iCs/>
          <w:sz w:val="24"/>
          <w:szCs w:val="24"/>
        </w:rPr>
        <w:t>Financial Stability Report</w:t>
      </w:r>
      <w:r w:rsidRPr="009F013B">
        <w:rPr>
          <w:rFonts w:ascii="Arial" w:hAnsi="Arial" w:cs="Arial"/>
          <w:sz w:val="24"/>
          <w:szCs w:val="24"/>
        </w:rPr>
        <w:t>. Available at: </w:t>
      </w:r>
      <w:hyperlink r:id="rId8" w:history="1">
        <w:r w:rsidRPr="009F013B">
          <w:rPr>
            <w:rStyle w:val="Hyperlink"/>
            <w:rFonts w:ascii="Arial" w:hAnsi="Arial" w:cs="Arial"/>
            <w:sz w:val="24"/>
            <w:szCs w:val="24"/>
          </w:rPr>
          <w:t>https://www.bankofengland.co.uk/financial-stability-report</w:t>
        </w:r>
      </w:hyperlink>
      <w:r w:rsidRPr="009F013B">
        <w:rPr>
          <w:rFonts w:ascii="Arial" w:hAnsi="Arial" w:cs="Arial"/>
          <w:sz w:val="24"/>
          <w:szCs w:val="24"/>
        </w:rPr>
        <w:t> (Accessed: 19 October 2025).</w:t>
      </w:r>
    </w:p>
    <w:p w14:paraId="16EB6C16"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Barclays PLC (2023a) </w:t>
      </w:r>
      <w:r w:rsidRPr="009F013B">
        <w:rPr>
          <w:rFonts w:ascii="Arial" w:hAnsi="Arial" w:cs="Arial"/>
          <w:i/>
          <w:iCs/>
          <w:sz w:val="24"/>
          <w:szCs w:val="24"/>
        </w:rPr>
        <w:t>Annual Report 2023</w:t>
      </w:r>
      <w:r w:rsidRPr="009F013B">
        <w:rPr>
          <w:rFonts w:ascii="Arial" w:hAnsi="Arial" w:cs="Arial"/>
          <w:sz w:val="24"/>
          <w:szCs w:val="24"/>
        </w:rPr>
        <w:t>. Available at: </w:t>
      </w:r>
      <w:hyperlink r:id="rId9" w:history="1">
        <w:r w:rsidRPr="009F013B">
          <w:rPr>
            <w:rStyle w:val="Hyperlink"/>
            <w:rFonts w:ascii="Arial" w:hAnsi="Arial" w:cs="Arial"/>
            <w:sz w:val="24"/>
            <w:szCs w:val="24"/>
          </w:rPr>
          <w:t>https://home.barclays/investor-relations/reports-and-events/annual-reports/</w:t>
        </w:r>
      </w:hyperlink>
      <w:r w:rsidRPr="009F013B">
        <w:rPr>
          <w:rFonts w:ascii="Arial" w:hAnsi="Arial" w:cs="Arial"/>
          <w:sz w:val="24"/>
          <w:szCs w:val="24"/>
        </w:rPr>
        <w:t> (Accessed: 19 October 2025).</w:t>
      </w:r>
    </w:p>
    <w:p w14:paraId="609E5863"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Barclays PLC (2023b) </w:t>
      </w:r>
      <w:r w:rsidRPr="009F013B">
        <w:rPr>
          <w:rFonts w:ascii="Arial" w:hAnsi="Arial" w:cs="Arial"/>
          <w:i/>
          <w:iCs/>
          <w:sz w:val="24"/>
          <w:szCs w:val="24"/>
        </w:rPr>
        <w:t>Strategic Report 2023</w:t>
      </w:r>
      <w:r w:rsidRPr="009F013B">
        <w:rPr>
          <w:rFonts w:ascii="Arial" w:hAnsi="Arial" w:cs="Arial"/>
          <w:sz w:val="24"/>
          <w:szCs w:val="24"/>
        </w:rPr>
        <w:t>. Available at: </w:t>
      </w:r>
      <w:hyperlink r:id="rId10" w:history="1">
        <w:r w:rsidRPr="009F013B">
          <w:rPr>
            <w:rStyle w:val="Hyperlink"/>
            <w:rFonts w:ascii="Arial" w:hAnsi="Arial" w:cs="Arial"/>
            <w:sz w:val="24"/>
            <w:szCs w:val="24"/>
          </w:rPr>
          <w:t>https://home.barclays/investor-relations/</w:t>
        </w:r>
      </w:hyperlink>
      <w:r w:rsidRPr="009F013B">
        <w:rPr>
          <w:rFonts w:ascii="Arial" w:hAnsi="Arial" w:cs="Arial"/>
          <w:sz w:val="24"/>
          <w:szCs w:val="24"/>
        </w:rPr>
        <w:t> (Accessed: 19 October 2025).</w:t>
      </w:r>
    </w:p>
    <w:p w14:paraId="35B1CA59"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Barney, J.B. (1991) 'Firm resources and sustained competitive advantage', </w:t>
      </w:r>
      <w:r w:rsidRPr="009F013B">
        <w:rPr>
          <w:rFonts w:ascii="Arial" w:hAnsi="Arial" w:cs="Arial"/>
          <w:i/>
          <w:iCs/>
          <w:sz w:val="24"/>
          <w:szCs w:val="24"/>
        </w:rPr>
        <w:t>Journal of Management</w:t>
      </w:r>
      <w:r w:rsidRPr="009F013B">
        <w:rPr>
          <w:rFonts w:ascii="Arial" w:hAnsi="Arial" w:cs="Arial"/>
          <w:sz w:val="24"/>
          <w:szCs w:val="24"/>
        </w:rPr>
        <w:t>, 17(1), pp. 99-120.</w:t>
      </w:r>
    </w:p>
    <w:p w14:paraId="00AC7FE5"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Barney, J.B. (2014) </w:t>
      </w:r>
      <w:r w:rsidRPr="009F013B">
        <w:rPr>
          <w:rFonts w:ascii="Arial" w:hAnsi="Arial" w:cs="Arial"/>
          <w:i/>
          <w:iCs/>
          <w:sz w:val="24"/>
          <w:szCs w:val="24"/>
        </w:rPr>
        <w:t>Gaining and Sustaining Competitive Advantage</w:t>
      </w:r>
      <w:r w:rsidRPr="009F013B">
        <w:rPr>
          <w:rFonts w:ascii="Arial" w:hAnsi="Arial" w:cs="Arial"/>
          <w:sz w:val="24"/>
          <w:szCs w:val="24"/>
        </w:rPr>
        <w:t>. 4th edn. Harlow: Pearson.</w:t>
      </w:r>
    </w:p>
    <w:p w14:paraId="74B31335"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lastRenderedPageBreak/>
        <w:t>Bátiz-Lazo, B. and Wood, D. (2002) 'An historical appraisal of information technology in commercial banking', </w:t>
      </w:r>
      <w:r w:rsidRPr="009F013B">
        <w:rPr>
          <w:rFonts w:ascii="Arial" w:hAnsi="Arial" w:cs="Arial"/>
          <w:i/>
          <w:iCs/>
          <w:sz w:val="24"/>
          <w:szCs w:val="24"/>
        </w:rPr>
        <w:t>Electronic Markets</w:t>
      </w:r>
      <w:r w:rsidRPr="009F013B">
        <w:rPr>
          <w:rFonts w:ascii="Arial" w:hAnsi="Arial" w:cs="Arial"/>
          <w:sz w:val="24"/>
          <w:szCs w:val="24"/>
        </w:rPr>
        <w:t>, 12(3), pp. 192-205.</w:t>
      </w:r>
    </w:p>
    <w:p w14:paraId="14F4E01A"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Boot, A.W.A. (2017) 'The future of banking: From scale &amp; scope economies to fintech', </w:t>
      </w:r>
      <w:r w:rsidRPr="009F013B">
        <w:rPr>
          <w:rFonts w:ascii="Arial" w:hAnsi="Arial" w:cs="Arial"/>
          <w:i/>
          <w:iCs/>
          <w:sz w:val="24"/>
          <w:szCs w:val="24"/>
        </w:rPr>
        <w:t>European Economy</w:t>
      </w:r>
      <w:r w:rsidRPr="009F013B">
        <w:rPr>
          <w:rFonts w:ascii="Arial" w:hAnsi="Arial" w:cs="Arial"/>
          <w:sz w:val="24"/>
          <w:szCs w:val="24"/>
        </w:rPr>
        <w:t>, 2017(2), pp. 77-95.</w:t>
      </w:r>
    </w:p>
    <w:p w14:paraId="1146109A"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Chaouali, W. and Souiden, N. (2019) 'The role of cognitive age in explaining mobile banking resistance among elderly people', </w:t>
      </w:r>
      <w:r w:rsidRPr="009F013B">
        <w:rPr>
          <w:rFonts w:ascii="Arial" w:hAnsi="Arial" w:cs="Arial"/>
          <w:i/>
          <w:iCs/>
          <w:sz w:val="24"/>
          <w:szCs w:val="24"/>
        </w:rPr>
        <w:t>Journal of Retailing and Consumer Services</w:t>
      </w:r>
      <w:r w:rsidRPr="009F013B">
        <w:rPr>
          <w:rFonts w:ascii="Arial" w:hAnsi="Arial" w:cs="Arial"/>
          <w:sz w:val="24"/>
          <w:szCs w:val="24"/>
        </w:rPr>
        <w:t>, 50, pp. 342-350.</w:t>
      </w:r>
    </w:p>
    <w:p w14:paraId="47F79E8A"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Christensen, C.M. (1997) </w:t>
      </w:r>
      <w:r w:rsidRPr="009F013B">
        <w:rPr>
          <w:rFonts w:ascii="Arial" w:hAnsi="Arial" w:cs="Arial"/>
          <w:i/>
          <w:iCs/>
          <w:sz w:val="24"/>
          <w:szCs w:val="24"/>
        </w:rPr>
        <w:t>The Innovator's Dilemma: When New Technologies Cause Great Firms to Fail</w:t>
      </w:r>
      <w:r w:rsidRPr="009F013B">
        <w:rPr>
          <w:rFonts w:ascii="Arial" w:hAnsi="Arial" w:cs="Arial"/>
          <w:sz w:val="24"/>
          <w:szCs w:val="24"/>
        </w:rPr>
        <w:t>. Boston, MA: Harvard Business School Press.</w:t>
      </w:r>
    </w:p>
    <w:p w14:paraId="0189EFA0"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Christensen, C.M., Raynor, M.E. and McDonald, R. (2015) 'What is disruptive innovation?', </w:t>
      </w:r>
      <w:r w:rsidRPr="009F013B">
        <w:rPr>
          <w:rFonts w:ascii="Arial" w:hAnsi="Arial" w:cs="Arial"/>
          <w:i/>
          <w:iCs/>
          <w:sz w:val="24"/>
          <w:szCs w:val="24"/>
        </w:rPr>
        <w:t>Harvard Business Review</w:t>
      </w:r>
      <w:r w:rsidRPr="009F013B">
        <w:rPr>
          <w:rFonts w:ascii="Arial" w:hAnsi="Arial" w:cs="Arial"/>
          <w:sz w:val="24"/>
          <w:szCs w:val="24"/>
        </w:rPr>
        <w:t>, 93(12), pp. 44-53.</w:t>
      </w:r>
    </w:p>
    <w:p w14:paraId="23BA7849"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Cui, M., Pan, S.L., Newell, S. and Cui, L. (2021) 'Strategy, resource orchestration and e-commerce enabled social innovation in rural China', </w:t>
      </w:r>
      <w:r w:rsidRPr="009F013B">
        <w:rPr>
          <w:rFonts w:ascii="Arial" w:hAnsi="Arial" w:cs="Arial"/>
          <w:i/>
          <w:iCs/>
          <w:sz w:val="24"/>
          <w:szCs w:val="24"/>
        </w:rPr>
        <w:t>The Journal of Strategic Information Systems</w:t>
      </w:r>
      <w:r w:rsidRPr="009F013B">
        <w:rPr>
          <w:rFonts w:ascii="Arial" w:hAnsi="Arial" w:cs="Arial"/>
          <w:sz w:val="24"/>
          <w:szCs w:val="24"/>
        </w:rPr>
        <w:t>, 26(1), pp. 3-21.</w:t>
      </w:r>
    </w:p>
    <w:p w14:paraId="43A553F9"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Devlin, J.F. (2002) 'Customer knowledge and choice criteria in retail banking', </w:t>
      </w:r>
      <w:r w:rsidRPr="009F013B">
        <w:rPr>
          <w:rFonts w:ascii="Arial" w:hAnsi="Arial" w:cs="Arial"/>
          <w:i/>
          <w:iCs/>
          <w:sz w:val="24"/>
          <w:szCs w:val="24"/>
        </w:rPr>
        <w:t>Journal of Strategic Marketing</w:t>
      </w:r>
      <w:r w:rsidRPr="009F013B">
        <w:rPr>
          <w:rFonts w:ascii="Arial" w:hAnsi="Arial" w:cs="Arial"/>
          <w:sz w:val="24"/>
          <w:szCs w:val="24"/>
        </w:rPr>
        <w:t>, 10(4), pp. 273-290.</w:t>
      </w:r>
    </w:p>
    <w:p w14:paraId="3893596D"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Ennew, C. and Sekhon, H. (2007) 'Measuring trust in financial services: The Trust Index', </w:t>
      </w:r>
      <w:r w:rsidRPr="009F013B">
        <w:rPr>
          <w:rFonts w:ascii="Arial" w:hAnsi="Arial" w:cs="Arial"/>
          <w:i/>
          <w:iCs/>
          <w:sz w:val="24"/>
          <w:szCs w:val="24"/>
        </w:rPr>
        <w:t>Consumer Policy Review</w:t>
      </w:r>
      <w:r w:rsidRPr="009F013B">
        <w:rPr>
          <w:rFonts w:ascii="Arial" w:hAnsi="Arial" w:cs="Arial"/>
          <w:sz w:val="24"/>
          <w:szCs w:val="24"/>
        </w:rPr>
        <w:t>, 17(2), pp. 62-68.</w:t>
      </w:r>
    </w:p>
    <w:p w14:paraId="07DA8437"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Ennew, C., Waite, N. and Waite, R. (2011) </w:t>
      </w:r>
      <w:r w:rsidRPr="009F013B">
        <w:rPr>
          <w:rFonts w:ascii="Arial" w:hAnsi="Arial" w:cs="Arial"/>
          <w:i/>
          <w:iCs/>
          <w:sz w:val="24"/>
          <w:szCs w:val="24"/>
        </w:rPr>
        <w:t>Financial Services Marketing: An International Guide to Principles and Practice</w:t>
      </w:r>
      <w:r w:rsidRPr="009F013B">
        <w:rPr>
          <w:rFonts w:ascii="Arial" w:hAnsi="Arial" w:cs="Arial"/>
          <w:sz w:val="24"/>
          <w:szCs w:val="24"/>
        </w:rPr>
        <w:t>. 2nd edn. London: Routledge.</w:t>
      </w:r>
    </w:p>
    <w:p w14:paraId="650EEEBF"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Financial Conduct Authority (2021) </w:t>
      </w:r>
      <w:r w:rsidRPr="009F013B">
        <w:rPr>
          <w:rFonts w:ascii="Arial" w:hAnsi="Arial" w:cs="Arial"/>
          <w:i/>
          <w:iCs/>
          <w:sz w:val="24"/>
          <w:szCs w:val="24"/>
        </w:rPr>
        <w:t>Open Banking: Competition Review</w:t>
      </w:r>
      <w:r w:rsidRPr="009F013B">
        <w:rPr>
          <w:rFonts w:ascii="Arial" w:hAnsi="Arial" w:cs="Arial"/>
          <w:sz w:val="24"/>
          <w:szCs w:val="24"/>
        </w:rPr>
        <w:t>. Available at: </w:t>
      </w:r>
      <w:hyperlink r:id="rId11" w:history="1">
        <w:r w:rsidRPr="009F013B">
          <w:rPr>
            <w:rStyle w:val="Hyperlink"/>
            <w:rFonts w:ascii="Arial" w:hAnsi="Arial" w:cs="Arial"/>
            <w:sz w:val="24"/>
            <w:szCs w:val="24"/>
          </w:rPr>
          <w:t>https://www.fca.org.uk/publication/corporate/open-banking-report.pdf</w:t>
        </w:r>
      </w:hyperlink>
      <w:r w:rsidRPr="009F013B">
        <w:rPr>
          <w:rFonts w:ascii="Arial" w:hAnsi="Arial" w:cs="Arial"/>
          <w:sz w:val="24"/>
          <w:szCs w:val="24"/>
        </w:rPr>
        <w:t> (Accessed: 19 October 2025).</w:t>
      </w:r>
    </w:p>
    <w:p w14:paraId="08E9FB25"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Financial Conduct Authority (2022) </w:t>
      </w:r>
      <w:r w:rsidRPr="009F013B">
        <w:rPr>
          <w:rFonts w:ascii="Arial" w:hAnsi="Arial" w:cs="Arial"/>
          <w:i/>
          <w:iCs/>
          <w:sz w:val="24"/>
          <w:szCs w:val="24"/>
        </w:rPr>
        <w:t>Consumer Duty: Final Guidance</w:t>
      </w:r>
      <w:r w:rsidRPr="009F013B">
        <w:rPr>
          <w:rFonts w:ascii="Arial" w:hAnsi="Arial" w:cs="Arial"/>
          <w:sz w:val="24"/>
          <w:szCs w:val="24"/>
        </w:rPr>
        <w:t>. Available at: </w:t>
      </w:r>
      <w:hyperlink r:id="rId12" w:history="1">
        <w:r w:rsidRPr="009F013B">
          <w:rPr>
            <w:rStyle w:val="Hyperlink"/>
            <w:rFonts w:ascii="Arial" w:hAnsi="Arial" w:cs="Arial"/>
            <w:sz w:val="24"/>
            <w:szCs w:val="24"/>
          </w:rPr>
          <w:t>https://www.fca.org.uk/publications</w:t>
        </w:r>
      </w:hyperlink>
      <w:r w:rsidRPr="009F013B">
        <w:rPr>
          <w:rFonts w:ascii="Arial" w:hAnsi="Arial" w:cs="Arial"/>
          <w:sz w:val="24"/>
          <w:szCs w:val="24"/>
        </w:rPr>
        <w:t> (Accessed: 19 October 2025).</w:t>
      </w:r>
    </w:p>
    <w:p w14:paraId="1354612F"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Financial Times (2023) 'Revolut faces regulatory scrutiny over compliance delays', </w:t>
      </w:r>
      <w:r w:rsidRPr="009F013B">
        <w:rPr>
          <w:rFonts w:ascii="Arial" w:hAnsi="Arial" w:cs="Arial"/>
          <w:i/>
          <w:iCs/>
          <w:sz w:val="24"/>
          <w:szCs w:val="24"/>
        </w:rPr>
        <w:t>Financial Times</w:t>
      </w:r>
      <w:r w:rsidRPr="009F013B">
        <w:rPr>
          <w:rFonts w:ascii="Arial" w:hAnsi="Arial" w:cs="Arial"/>
          <w:sz w:val="24"/>
          <w:szCs w:val="24"/>
        </w:rPr>
        <w:t>, 12 March. Available at: </w:t>
      </w:r>
      <w:hyperlink r:id="rId13" w:history="1">
        <w:r w:rsidRPr="009F013B">
          <w:rPr>
            <w:rStyle w:val="Hyperlink"/>
            <w:rFonts w:ascii="Arial" w:hAnsi="Arial" w:cs="Arial"/>
            <w:sz w:val="24"/>
            <w:szCs w:val="24"/>
          </w:rPr>
          <w:t>https://www.ft.com/content/revolut-compliance</w:t>
        </w:r>
      </w:hyperlink>
      <w:r w:rsidRPr="009F013B">
        <w:rPr>
          <w:rFonts w:ascii="Arial" w:hAnsi="Arial" w:cs="Arial"/>
          <w:sz w:val="24"/>
          <w:szCs w:val="24"/>
        </w:rPr>
        <w:t> (Accessed: 19 October 2025).</w:t>
      </w:r>
    </w:p>
    <w:p w14:paraId="2720F808"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lastRenderedPageBreak/>
        <w:t>French, S., Leyshon, A. and Signoretta, P. (2020) 'Consumer credit, financial inclusion and the spatial dimension of financial exclusion', </w:t>
      </w:r>
      <w:r w:rsidRPr="009F013B">
        <w:rPr>
          <w:rFonts w:ascii="Arial" w:hAnsi="Arial" w:cs="Arial"/>
          <w:i/>
          <w:iCs/>
          <w:sz w:val="24"/>
          <w:szCs w:val="24"/>
        </w:rPr>
        <w:t>Environment and Planning A</w:t>
      </w:r>
      <w:r w:rsidRPr="009F013B">
        <w:rPr>
          <w:rFonts w:ascii="Arial" w:hAnsi="Arial" w:cs="Arial"/>
          <w:sz w:val="24"/>
          <w:szCs w:val="24"/>
        </w:rPr>
        <w:t>, 40(6), pp. 1305-1321.</w:t>
      </w:r>
    </w:p>
    <w:p w14:paraId="36D807F9"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Gomber, P., Koch, J.A. and Siering, M. (2017) 'Digital Finance and FinTech: current research and future research directions', </w:t>
      </w:r>
      <w:r w:rsidRPr="009F013B">
        <w:rPr>
          <w:rFonts w:ascii="Arial" w:hAnsi="Arial" w:cs="Arial"/>
          <w:i/>
          <w:iCs/>
          <w:sz w:val="24"/>
          <w:szCs w:val="24"/>
        </w:rPr>
        <w:t>Journal of Business Economics</w:t>
      </w:r>
      <w:r w:rsidRPr="009F013B">
        <w:rPr>
          <w:rFonts w:ascii="Arial" w:hAnsi="Arial" w:cs="Arial"/>
          <w:sz w:val="24"/>
          <w:szCs w:val="24"/>
        </w:rPr>
        <w:t>, 87(5), pp. 537-580.</w:t>
      </w:r>
    </w:p>
    <w:p w14:paraId="18B6B6B9"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Kantar (2023) </w:t>
      </w:r>
      <w:r w:rsidRPr="009F013B">
        <w:rPr>
          <w:rFonts w:ascii="Arial" w:hAnsi="Arial" w:cs="Arial"/>
          <w:i/>
          <w:iCs/>
          <w:sz w:val="24"/>
          <w:szCs w:val="24"/>
        </w:rPr>
        <w:t>Great Britain grocery market share</w:t>
      </w:r>
      <w:r w:rsidRPr="009F013B">
        <w:rPr>
          <w:rFonts w:ascii="Arial" w:hAnsi="Arial" w:cs="Arial"/>
          <w:sz w:val="24"/>
          <w:szCs w:val="24"/>
        </w:rPr>
        <w:t>. Available at: </w:t>
      </w:r>
      <w:hyperlink r:id="rId14" w:history="1">
        <w:r w:rsidRPr="009F013B">
          <w:rPr>
            <w:rStyle w:val="Hyperlink"/>
            <w:rFonts w:ascii="Arial" w:hAnsi="Arial" w:cs="Arial"/>
            <w:sz w:val="24"/>
            <w:szCs w:val="24"/>
          </w:rPr>
          <w:t>https://www.kantar.com/gb/grocery-market-share</w:t>
        </w:r>
      </w:hyperlink>
      <w:r w:rsidRPr="009F013B">
        <w:rPr>
          <w:rFonts w:ascii="Arial" w:hAnsi="Arial" w:cs="Arial"/>
          <w:sz w:val="24"/>
          <w:szCs w:val="24"/>
        </w:rPr>
        <w:t> (Accessed: 19 October 2025).</w:t>
      </w:r>
    </w:p>
    <w:p w14:paraId="348C93D3"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King, B. (2018) </w:t>
      </w:r>
      <w:r w:rsidRPr="009F013B">
        <w:rPr>
          <w:rFonts w:ascii="Arial" w:hAnsi="Arial" w:cs="Arial"/>
          <w:i/>
          <w:iCs/>
          <w:sz w:val="24"/>
          <w:szCs w:val="24"/>
        </w:rPr>
        <w:t>Bank 4.0: Banking Everywhere, Never at a Bank</w:t>
      </w:r>
      <w:r w:rsidRPr="009F013B">
        <w:rPr>
          <w:rFonts w:ascii="Arial" w:hAnsi="Arial" w:cs="Arial"/>
          <w:sz w:val="24"/>
          <w:szCs w:val="24"/>
        </w:rPr>
        <w:t>. Singapore: Marshall Cavendish International.</w:t>
      </w:r>
    </w:p>
    <w:p w14:paraId="100FDD79"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Kohli, A.K. and Jaworski, B.J. (1990) 'Market orientation: the construct, research propositions, and managerial implications', </w:t>
      </w:r>
      <w:r w:rsidRPr="009F013B">
        <w:rPr>
          <w:rFonts w:ascii="Arial" w:hAnsi="Arial" w:cs="Arial"/>
          <w:i/>
          <w:iCs/>
          <w:sz w:val="24"/>
          <w:szCs w:val="24"/>
        </w:rPr>
        <w:t>Journal of Marketing</w:t>
      </w:r>
      <w:r w:rsidRPr="009F013B">
        <w:rPr>
          <w:rFonts w:ascii="Arial" w:hAnsi="Arial" w:cs="Arial"/>
          <w:sz w:val="24"/>
          <w:szCs w:val="24"/>
        </w:rPr>
        <w:t>, 54(2), pp. 1-18.</w:t>
      </w:r>
    </w:p>
    <w:p w14:paraId="4BB019F0"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Kotler, P. and Keller, K.L. (2016) </w:t>
      </w:r>
      <w:r w:rsidRPr="009F013B">
        <w:rPr>
          <w:rFonts w:ascii="Arial" w:hAnsi="Arial" w:cs="Arial"/>
          <w:i/>
          <w:iCs/>
          <w:sz w:val="24"/>
          <w:szCs w:val="24"/>
        </w:rPr>
        <w:t>Marketing Management</w:t>
      </w:r>
      <w:r w:rsidRPr="009F013B">
        <w:rPr>
          <w:rFonts w:ascii="Arial" w:hAnsi="Arial" w:cs="Arial"/>
          <w:sz w:val="24"/>
          <w:szCs w:val="24"/>
        </w:rPr>
        <w:t>. 15th edn. Harlow: Pearson.</w:t>
      </w:r>
    </w:p>
    <w:p w14:paraId="3DDFE1C2"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Laukkanen, T. (2016) 'Consumer adoption versus rejection decisions in seemingly similar service innovations: The case of the Internet and mobile banking', </w:t>
      </w:r>
      <w:r w:rsidRPr="009F013B">
        <w:rPr>
          <w:rFonts w:ascii="Arial" w:hAnsi="Arial" w:cs="Arial"/>
          <w:i/>
          <w:iCs/>
          <w:sz w:val="24"/>
          <w:szCs w:val="24"/>
        </w:rPr>
        <w:t>Journal of Business Research</w:t>
      </w:r>
      <w:r w:rsidRPr="009F013B">
        <w:rPr>
          <w:rFonts w:ascii="Arial" w:hAnsi="Arial" w:cs="Arial"/>
          <w:sz w:val="24"/>
          <w:szCs w:val="24"/>
        </w:rPr>
        <w:t>, 69(7), pp. 2432-2439.</w:t>
      </w:r>
    </w:p>
    <w:p w14:paraId="50E49396"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Lee, I. and Shin, Y.J. (2018) 'Fintech: Ecosystem, business models, investment decisions, and challenges', </w:t>
      </w:r>
      <w:r w:rsidRPr="009F013B">
        <w:rPr>
          <w:rFonts w:ascii="Arial" w:hAnsi="Arial" w:cs="Arial"/>
          <w:i/>
          <w:iCs/>
          <w:sz w:val="24"/>
          <w:szCs w:val="24"/>
        </w:rPr>
        <w:t>Business Horizons</w:t>
      </w:r>
      <w:r w:rsidRPr="009F013B">
        <w:rPr>
          <w:rFonts w:ascii="Arial" w:hAnsi="Arial" w:cs="Arial"/>
          <w:sz w:val="24"/>
          <w:szCs w:val="24"/>
        </w:rPr>
        <w:t>, 61(1), pp. 35-46.</w:t>
      </w:r>
    </w:p>
    <w:p w14:paraId="6BFEBF9A"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Leo, M., Sharma, S. and Maddulety, K. (2019) 'Machine Learning in Banking Risk Management: A Literature Review', </w:t>
      </w:r>
      <w:r w:rsidRPr="009F013B">
        <w:rPr>
          <w:rFonts w:ascii="Arial" w:hAnsi="Arial" w:cs="Arial"/>
          <w:i/>
          <w:iCs/>
          <w:sz w:val="24"/>
          <w:szCs w:val="24"/>
        </w:rPr>
        <w:t>Risks</w:t>
      </w:r>
      <w:r w:rsidRPr="009F013B">
        <w:rPr>
          <w:rFonts w:ascii="Arial" w:hAnsi="Arial" w:cs="Arial"/>
          <w:sz w:val="24"/>
          <w:szCs w:val="24"/>
        </w:rPr>
        <w:t>, 7(1), p. 29.</w:t>
      </w:r>
    </w:p>
    <w:p w14:paraId="2709562E"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Markides, C. and Sosa, L. (2013) 'Pioneering and First Mover Advantages: The Importance of Business Models', </w:t>
      </w:r>
      <w:r w:rsidRPr="009F013B">
        <w:rPr>
          <w:rFonts w:ascii="Arial" w:hAnsi="Arial" w:cs="Arial"/>
          <w:i/>
          <w:iCs/>
          <w:sz w:val="24"/>
          <w:szCs w:val="24"/>
        </w:rPr>
        <w:t>Long Range Planning</w:t>
      </w:r>
      <w:r w:rsidRPr="009F013B">
        <w:rPr>
          <w:rFonts w:ascii="Arial" w:hAnsi="Arial" w:cs="Arial"/>
          <w:sz w:val="24"/>
          <w:szCs w:val="24"/>
        </w:rPr>
        <w:t>, 46(4-5), pp. 325-334.</w:t>
      </w:r>
    </w:p>
    <w:p w14:paraId="2C3BF775"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Mbama, C.I. and Ezepue, P.O. (2018) 'Digital banking, customer experience and bank financial performance: UK customers' perceptions', </w:t>
      </w:r>
      <w:r w:rsidRPr="009F013B">
        <w:rPr>
          <w:rFonts w:ascii="Arial" w:hAnsi="Arial" w:cs="Arial"/>
          <w:i/>
          <w:iCs/>
          <w:sz w:val="24"/>
          <w:szCs w:val="24"/>
        </w:rPr>
        <w:t>International Journal of Bank Marketing</w:t>
      </w:r>
      <w:r w:rsidRPr="009F013B">
        <w:rPr>
          <w:rFonts w:ascii="Arial" w:hAnsi="Arial" w:cs="Arial"/>
          <w:sz w:val="24"/>
          <w:szCs w:val="24"/>
        </w:rPr>
        <w:t>, 36(2), pp. 230-255.</w:t>
      </w:r>
    </w:p>
    <w:p w14:paraId="139107B1"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Mention, A.L. (2019) 'The Future of Fintech', </w:t>
      </w:r>
      <w:r w:rsidRPr="009F013B">
        <w:rPr>
          <w:rFonts w:ascii="Arial" w:hAnsi="Arial" w:cs="Arial"/>
          <w:i/>
          <w:iCs/>
          <w:sz w:val="24"/>
          <w:szCs w:val="24"/>
        </w:rPr>
        <w:t>Research-Technology Management</w:t>
      </w:r>
      <w:r w:rsidRPr="009F013B">
        <w:rPr>
          <w:rFonts w:ascii="Arial" w:hAnsi="Arial" w:cs="Arial"/>
          <w:sz w:val="24"/>
          <w:szCs w:val="24"/>
        </w:rPr>
        <w:t>, 62(4), pp. 59-63.</w:t>
      </w:r>
    </w:p>
    <w:p w14:paraId="3DE0D004"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lastRenderedPageBreak/>
        <w:t>Milian, E.Z., Spinola, M.M. and de Carvalho, M.M. (2019) 'Fintechs: A literature review and research agenda', </w:t>
      </w:r>
      <w:r w:rsidRPr="009F013B">
        <w:rPr>
          <w:rFonts w:ascii="Arial" w:hAnsi="Arial" w:cs="Arial"/>
          <w:i/>
          <w:iCs/>
          <w:sz w:val="24"/>
          <w:szCs w:val="24"/>
        </w:rPr>
        <w:t>Electronic Commerce Research and Applications</w:t>
      </w:r>
      <w:r w:rsidRPr="009F013B">
        <w:rPr>
          <w:rFonts w:ascii="Arial" w:hAnsi="Arial" w:cs="Arial"/>
          <w:sz w:val="24"/>
          <w:szCs w:val="24"/>
        </w:rPr>
        <w:t>, 34, p. 100833.</w:t>
      </w:r>
    </w:p>
    <w:p w14:paraId="74990490"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Mintel (2023) </w:t>
      </w:r>
      <w:r w:rsidRPr="009F013B">
        <w:rPr>
          <w:rFonts w:ascii="Arial" w:hAnsi="Arial" w:cs="Arial"/>
          <w:i/>
          <w:iCs/>
          <w:sz w:val="24"/>
          <w:szCs w:val="24"/>
        </w:rPr>
        <w:t>Digital Banking UK 2023</w:t>
      </w:r>
      <w:r w:rsidRPr="009F013B">
        <w:rPr>
          <w:rFonts w:ascii="Arial" w:hAnsi="Arial" w:cs="Arial"/>
          <w:sz w:val="24"/>
          <w:szCs w:val="24"/>
        </w:rPr>
        <w:t>. Available at: </w:t>
      </w:r>
      <w:hyperlink r:id="rId15" w:history="1">
        <w:r w:rsidRPr="009F013B">
          <w:rPr>
            <w:rStyle w:val="Hyperlink"/>
            <w:rFonts w:ascii="Arial" w:hAnsi="Arial" w:cs="Arial"/>
            <w:sz w:val="24"/>
            <w:szCs w:val="24"/>
          </w:rPr>
          <w:t>https://www.mintel.com/reports</w:t>
        </w:r>
      </w:hyperlink>
      <w:r w:rsidRPr="009F013B">
        <w:rPr>
          <w:rFonts w:ascii="Arial" w:hAnsi="Arial" w:cs="Arial"/>
          <w:sz w:val="24"/>
          <w:szCs w:val="24"/>
        </w:rPr>
        <w:t> (Accessed: 19 October 2025).</w:t>
      </w:r>
    </w:p>
    <w:p w14:paraId="2D5103B9"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Narver, J.C. and Slater, S.F. (1990) 'The effect of a market orientation on business profitability', </w:t>
      </w:r>
      <w:r w:rsidRPr="009F013B">
        <w:rPr>
          <w:rFonts w:ascii="Arial" w:hAnsi="Arial" w:cs="Arial"/>
          <w:i/>
          <w:iCs/>
          <w:sz w:val="24"/>
          <w:szCs w:val="24"/>
        </w:rPr>
        <w:t>Journal of Marketing</w:t>
      </w:r>
      <w:r w:rsidRPr="009F013B">
        <w:rPr>
          <w:rFonts w:ascii="Arial" w:hAnsi="Arial" w:cs="Arial"/>
          <w:sz w:val="24"/>
          <w:szCs w:val="24"/>
        </w:rPr>
        <w:t>, 54(4), pp. 20-35.</w:t>
      </w:r>
    </w:p>
    <w:p w14:paraId="180889FB"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Omarini, A.E. (2017) 'The Digital Transformation in Banking and The Role of FinTechs in the New Financial Intermediation Scenario', </w:t>
      </w:r>
      <w:r w:rsidRPr="009F013B">
        <w:rPr>
          <w:rFonts w:ascii="Arial" w:hAnsi="Arial" w:cs="Arial"/>
          <w:i/>
          <w:iCs/>
          <w:sz w:val="24"/>
          <w:szCs w:val="24"/>
        </w:rPr>
        <w:t>International Journal of Finance, Economics and Trade</w:t>
      </w:r>
      <w:r w:rsidRPr="009F013B">
        <w:rPr>
          <w:rFonts w:ascii="Arial" w:hAnsi="Arial" w:cs="Arial"/>
          <w:sz w:val="24"/>
          <w:szCs w:val="24"/>
        </w:rPr>
        <w:t>, 1(1), pp. 1-6.</w:t>
      </w:r>
    </w:p>
    <w:p w14:paraId="1AA21763"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Ooi, K.B. and Tan, G.W.H. (2016) 'Mobile technology acceptance model: An investigation using mobile users to explore smartphone credit card', </w:t>
      </w:r>
      <w:r w:rsidRPr="009F013B">
        <w:rPr>
          <w:rFonts w:ascii="Arial" w:hAnsi="Arial" w:cs="Arial"/>
          <w:i/>
          <w:iCs/>
          <w:sz w:val="24"/>
          <w:szCs w:val="24"/>
        </w:rPr>
        <w:t>Expert Systems with Applications</w:t>
      </w:r>
      <w:r w:rsidRPr="009F013B">
        <w:rPr>
          <w:rFonts w:ascii="Arial" w:hAnsi="Arial" w:cs="Arial"/>
          <w:sz w:val="24"/>
          <w:szCs w:val="24"/>
        </w:rPr>
        <w:t>, 59, pp. 33-46.</w:t>
      </w:r>
    </w:p>
    <w:p w14:paraId="5767E317"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Ozili, P.K. (2018) 'Impact of digital finance on financial inclusion and stability', </w:t>
      </w:r>
      <w:r w:rsidRPr="009F013B">
        <w:rPr>
          <w:rFonts w:ascii="Arial" w:hAnsi="Arial" w:cs="Arial"/>
          <w:i/>
          <w:iCs/>
          <w:sz w:val="24"/>
          <w:szCs w:val="24"/>
        </w:rPr>
        <w:t>Borsa Istanbul Review</w:t>
      </w:r>
      <w:r w:rsidRPr="009F013B">
        <w:rPr>
          <w:rFonts w:ascii="Arial" w:hAnsi="Arial" w:cs="Arial"/>
          <w:sz w:val="24"/>
          <w:szCs w:val="24"/>
        </w:rPr>
        <w:t>, 18(4), pp. 329-340.</w:t>
      </w:r>
    </w:p>
    <w:p w14:paraId="477FD70D"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Porter, M.E. (1980) </w:t>
      </w:r>
      <w:r w:rsidRPr="009F013B">
        <w:rPr>
          <w:rFonts w:ascii="Arial" w:hAnsi="Arial" w:cs="Arial"/>
          <w:i/>
          <w:iCs/>
          <w:sz w:val="24"/>
          <w:szCs w:val="24"/>
        </w:rPr>
        <w:t>Competitive Strategy: Techniques for Analyzing Industries and Competitors</w:t>
      </w:r>
      <w:r w:rsidRPr="009F013B">
        <w:rPr>
          <w:rFonts w:ascii="Arial" w:hAnsi="Arial" w:cs="Arial"/>
          <w:sz w:val="24"/>
          <w:szCs w:val="24"/>
        </w:rPr>
        <w:t>. New York: Free Press.</w:t>
      </w:r>
    </w:p>
    <w:p w14:paraId="0E69E491"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Porter, M.E. (2008) </w:t>
      </w:r>
      <w:r w:rsidRPr="009F013B">
        <w:rPr>
          <w:rFonts w:ascii="Arial" w:hAnsi="Arial" w:cs="Arial"/>
          <w:i/>
          <w:iCs/>
          <w:sz w:val="24"/>
          <w:szCs w:val="24"/>
        </w:rPr>
        <w:t>On Competition</w:t>
      </w:r>
      <w:r w:rsidRPr="009F013B">
        <w:rPr>
          <w:rFonts w:ascii="Arial" w:hAnsi="Arial" w:cs="Arial"/>
          <w:sz w:val="24"/>
          <w:szCs w:val="24"/>
        </w:rPr>
        <w:t>. Updated and expanded edn. Boston, MA: Harvard Business Press.</w:t>
      </w:r>
    </w:p>
    <w:p w14:paraId="0F725629"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Revolut (2023) </w:t>
      </w:r>
      <w:r w:rsidRPr="009F013B">
        <w:rPr>
          <w:rFonts w:ascii="Arial" w:hAnsi="Arial" w:cs="Arial"/>
          <w:i/>
          <w:iCs/>
          <w:sz w:val="24"/>
          <w:szCs w:val="24"/>
        </w:rPr>
        <w:t>About Revolut</w:t>
      </w:r>
      <w:r w:rsidRPr="009F013B">
        <w:rPr>
          <w:rFonts w:ascii="Arial" w:hAnsi="Arial" w:cs="Arial"/>
          <w:sz w:val="24"/>
          <w:szCs w:val="24"/>
        </w:rPr>
        <w:t>. Available at: </w:t>
      </w:r>
      <w:hyperlink r:id="rId16" w:history="1">
        <w:r w:rsidRPr="009F013B">
          <w:rPr>
            <w:rStyle w:val="Hyperlink"/>
            <w:rFonts w:ascii="Arial" w:hAnsi="Arial" w:cs="Arial"/>
            <w:sz w:val="24"/>
            <w:szCs w:val="24"/>
          </w:rPr>
          <w:t>https://www.revolut.com/en-GB/about-revolut/</w:t>
        </w:r>
      </w:hyperlink>
      <w:r w:rsidRPr="009F013B">
        <w:rPr>
          <w:rFonts w:ascii="Arial" w:hAnsi="Arial" w:cs="Arial"/>
          <w:sz w:val="24"/>
          <w:szCs w:val="24"/>
        </w:rPr>
        <w:t> (Accessed: 19 October 2025).</w:t>
      </w:r>
    </w:p>
    <w:p w14:paraId="30602150"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Rogers, E.M. (2003) </w:t>
      </w:r>
      <w:r w:rsidRPr="009F013B">
        <w:rPr>
          <w:rFonts w:ascii="Arial" w:hAnsi="Arial" w:cs="Arial"/>
          <w:i/>
          <w:iCs/>
          <w:sz w:val="24"/>
          <w:szCs w:val="24"/>
        </w:rPr>
        <w:t>Diffusion of Innovations</w:t>
      </w:r>
      <w:r w:rsidRPr="009F013B">
        <w:rPr>
          <w:rFonts w:ascii="Arial" w:hAnsi="Arial" w:cs="Arial"/>
          <w:sz w:val="24"/>
          <w:szCs w:val="24"/>
        </w:rPr>
        <w:t>. 5th edn. New York: Free Press.</w:t>
      </w:r>
    </w:p>
    <w:p w14:paraId="72EAB94D"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Shaikh, A.A., Glavee-Geo, R. and Karjaluoto, H. (2017) 'Exploring the nexus between financial sector reforms and the emergence of digital banking culture', </w:t>
      </w:r>
      <w:r w:rsidRPr="009F013B">
        <w:rPr>
          <w:rFonts w:ascii="Arial" w:hAnsi="Arial" w:cs="Arial"/>
          <w:i/>
          <w:iCs/>
          <w:sz w:val="24"/>
          <w:szCs w:val="24"/>
        </w:rPr>
        <w:t>Research in International Business and Finance</w:t>
      </w:r>
      <w:r w:rsidRPr="009F013B">
        <w:rPr>
          <w:rFonts w:ascii="Arial" w:hAnsi="Arial" w:cs="Arial"/>
          <w:sz w:val="24"/>
          <w:szCs w:val="24"/>
        </w:rPr>
        <w:t>, 42, pp. 1030-1039.</w:t>
      </w:r>
    </w:p>
    <w:p w14:paraId="31D3A480"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Skinner, C. (2018) </w:t>
      </w:r>
      <w:r w:rsidRPr="009F013B">
        <w:rPr>
          <w:rFonts w:ascii="Arial" w:hAnsi="Arial" w:cs="Arial"/>
          <w:i/>
          <w:iCs/>
          <w:sz w:val="24"/>
          <w:szCs w:val="24"/>
        </w:rPr>
        <w:t>Digital Bank: Strategies for Launching or Becoming a Digital Bank</w:t>
      </w:r>
      <w:r w:rsidRPr="009F013B">
        <w:rPr>
          <w:rFonts w:ascii="Arial" w:hAnsi="Arial" w:cs="Arial"/>
          <w:sz w:val="24"/>
          <w:szCs w:val="24"/>
        </w:rPr>
        <w:t>. Singapore: Marshall Cavendish International.</w:t>
      </w:r>
    </w:p>
    <w:p w14:paraId="1F5AA123"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Teece, D.J. (2009) </w:t>
      </w:r>
      <w:r w:rsidRPr="009F013B">
        <w:rPr>
          <w:rFonts w:ascii="Arial" w:hAnsi="Arial" w:cs="Arial"/>
          <w:i/>
          <w:iCs/>
          <w:sz w:val="24"/>
          <w:szCs w:val="24"/>
        </w:rPr>
        <w:t>Dynamic Capabilities and Strategic Management: Organizing for Innovation and Growth</w:t>
      </w:r>
      <w:r w:rsidRPr="009F013B">
        <w:rPr>
          <w:rFonts w:ascii="Arial" w:hAnsi="Arial" w:cs="Arial"/>
          <w:sz w:val="24"/>
          <w:szCs w:val="24"/>
        </w:rPr>
        <w:t>. Oxford: Oxford University Press.</w:t>
      </w:r>
    </w:p>
    <w:p w14:paraId="72E47EFF"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lastRenderedPageBreak/>
        <w:t>Teece, D.J., Pisano, G. and Shuen, A. (1997) 'Dynamic capabilities and strategic management', </w:t>
      </w:r>
      <w:r w:rsidRPr="009F013B">
        <w:rPr>
          <w:rFonts w:ascii="Arial" w:hAnsi="Arial" w:cs="Arial"/>
          <w:i/>
          <w:iCs/>
          <w:sz w:val="24"/>
          <w:szCs w:val="24"/>
        </w:rPr>
        <w:t>Strategic Management Journal</w:t>
      </w:r>
      <w:r w:rsidRPr="009F013B">
        <w:rPr>
          <w:rFonts w:ascii="Arial" w:hAnsi="Arial" w:cs="Arial"/>
          <w:sz w:val="24"/>
          <w:szCs w:val="24"/>
        </w:rPr>
        <w:t>, 18(7), pp. 509-533.</w:t>
      </w:r>
    </w:p>
    <w:p w14:paraId="42E9012F"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Vives, X. (2017) 'The impact of FinTech on banking', </w:t>
      </w:r>
      <w:r w:rsidRPr="009F013B">
        <w:rPr>
          <w:rFonts w:ascii="Arial" w:hAnsi="Arial" w:cs="Arial"/>
          <w:i/>
          <w:iCs/>
          <w:sz w:val="24"/>
          <w:szCs w:val="24"/>
        </w:rPr>
        <w:t>European Economy</w:t>
      </w:r>
      <w:r w:rsidRPr="009F013B">
        <w:rPr>
          <w:rFonts w:ascii="Arial" w:hAnsi="Arial" w:cs="Arial"/>
          <w:sz w:val="24"/>
          <w:szCs w:val="24"/>
        </w:rPr>
        <w:t>, 2, pp. 97-105.</w:t>
      </w:r>
    </w:p>
    <w:p w14:paraId="7FDF4E59"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Vives, X. (2019) 'Digital Disruption in Banking', </w:t>
      </w:r>
      <w:r w:rsidRPr="009F013B">
        <w:rPr>
          <w:rFonts w:ascii="Arial" w:hAnsi="Arial" w:cs="Arial"/>
          <w:i/>
          <w:iCs/>
          <w:sz w:val="24"/>
          <w:szCs w:val="24"/>
        </w:rPr>
        <w:t>Annual Review of Financial Economics</w:t>
      </w:r>
      <w:r w:rsidRPr="009F013B">
        <w:rPr>
          <w:rFonts w:ascii="Arial" w:hAnsi="Arial" w:cs="Arial"/>
          <w:sz w:val="24"/>
          <w:szCs w:val="24"/>
        </w:rPr>
        <w:t>, 11, pp. 243-272.</w:t>
      </w:r>
    </w:p>
    <w:p w14:paraId="34CDAA36"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Warner, K.S.R. and Wäger, M. (2019) 'Building dynamic capabilities for digital transformation: An ongoing process of strategic renewal', </w:t>
      </w:r>
      <w:r w:rsidRPr="009F013B">
        <w:rPr>
          <w:rFonts w:ascii="Arial" w:hAnsi="Arial" w:cs="Arial"/>
          <w:i/>
          <w:iCs/>
          <w:sz w:val="24"/>
          <w:szCs w:val="24"/>
        </w:rPr>
        <w:t>Long Range Planning</w:t>
      </w:r>
      <w:r w:rsidRPr="009F013B">
        <w:rPr>
          <w:rFonts w:ascii="Arial" w:hAnsi="Arial" w:cs="Arial"/>
          <w:sz w:val="24"/>
          <w:szCs w:val="24"/>
        </w:rPr>
        <w:t>, 52(3), pp. 326-349.</w:t>
      </w:r>
    </w:p>
    <w:p w14:paraId="5107B973"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Wernerfelt, B. (1984) 'A resource-based view of the firm', </w:t>
      </w:r>
      <w:r w:rsidRPr="009F013B">
        <w:rPr>
          <w:rFonts w:ascii="Arial" w:hAnsi="Arial" w:cs="Arial"/>
          <w:i/>
          <w:iCs/>
          <w:sz w:val="24"/>
          <w:szCs w:val="24"/>
        </w:rPr>
        <w:t>Strategic Management Journal</w:t>
      </w:r>
      <w:r w:rsidRPr="009F013B">
        <w:rPr>
          <w:rFonts w:ascii="Arial" w:hAnsi="Arial" w:cs="Arial"/>
          <w:sz w:val="24"/>
          <w:szCs w:val="24"/>
        </w:rPr>
        <w:t>, 5(2), pp. 171-180.</w:t>
      </w:r>
    </w:p>
    <w:p w14:paraId="306256D5"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Zachariadis, M. and Ozcan, P. (2017) 'The API economy and digital transformation in financial services: The case of open banking', </w:t>
      </w:r>
      <w:r w:rsidRPr="009F013B">
        <w:rPr>
          <w:rFonts w:ascii="Arial" w:hAnsi="Arial" w:cs="Arial"/>
          <w:i/>
          <w:iCs/>
          <w:sz w:val="24"/>
          <w:szCs w:val="24"/>
        </w:rPr>
        <w:t>SWIFT Institute Working Paper</w:t>
      </w:r>
      <w:r w:rsidRPr="009F013B">
        <w:rPr>
          <w:rFonts w:ascii="Arial" w:hAnsi="Arial" w:cs="Arial"/>
          <w:sz w:val="24"/>
          <w:szCs w:val="24"/>
        </w:rPr>
        <w:t>, 2016-001.</w:t>
      </w:r>
    </w:p>
    <w:p w14:paraId="47A9EBFD" w14:textId="77777777" w:rsidR="009F013B" w:rsidRPr="009F013B" w:rsidRDefault="009F013B" w:rsidP="002F537C">
      <w:pPr>
        <w:spacing w:line="360" w:lineRule="auto"/>
        <w:rPr>
          <w:rFonts w:ascii="Arial" w:hAnsi="Arial" w:cs="Arial"/>
          <w:sz w:val="24"/>
          <w:szCs w:val="24"/>
        </w:rPr>
      </w:pPr>
      <w:r w:rsidRPr="009F013B">
        <w:rPr>
          <w:rFonts w:ascii="Arial" w:hAnsi="Arial" w:cs="Arial"/>
          <w:sz w:val="24"/>
          <w:szCs w:val="24"/>
        </w:rPr>
        <w:t>Zavolokina, L., Dolata, M. and Schwabe, G. (2016) 'The FinTech phenomenon: antecedents of financial innovation perceived by the popular press', </w:t>
      </w:r>
      <w:r w:rsidRPr="009F013B">
        <w:rPr>
          <w:rFonts w:ascii="Arial" w:hAnsi="Arial" w:cs="Arial"/>
          <w:i/>
          <w:iCs/>
          <w:sz w:val="24"/>
          <w:szCs w:val="24"/>
        </w:rPr>
        <w:t>Financial Innovation</w:t>
      </w:r>
      <w:r w:rsidRPr="009F013B">
        <w:rPr>
          <w:rFonts w:ascii="Arial" w:hAnsi="Arial" w:cs="Arial"/>
          <w:sz w:val="24"/>
          <w:szCs w:val="24"/>
        </w:rPr>
        <w:t>, 2(1), p. 16.</w:t>
      </w:r>
    </w:p>
    <w:p w14:paraId="3B4E0DE2" w14:textId="77777777" w:rsidR="002A5174" w:rsidRDefault="002A5174"/>
    <w:sectPr w:rsidR="002A5174" w:rsidSect="00954CC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616BC" w14:textId="77777777" w:rsidR="00EE5FDA" w:rsidRDefault="00EE5FDA" w:rsidP="00BC0EC7">
      <w:pPr>
        <w:spacing w:after="0" w:line="240" w:lineRule="auto"/>
      </w:pPr>
      <w:r>
        <w:separator/>
      </w:r>
    </w:p>
  </w:endnote>
  <w:endnote w:type="continuationSeparator" w:id="0">
    <w:p w14:paraId="41148675" w14:textId="77777777" w:rsidR="00EE5FDA" w:rsidRDefault="00EE5FDA" w:rsidP="00BC0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538557"/>
      <w:docPartObj>
        <w:docPartGallery w:val="Page Numbers (Bottom of Page)"/>
        <w:docPartUnique/>
      </w:docPartObj>
    </w:sdtPr>
    <w:sdtEndPr>
      <w:rPr>
        <w:noProof/>
      </w:rPr>
    </w:sdtEndPr>
    <w:sdtContent>
      <w:p w14:paraId="2FE4F885" w14:textId="49C4A31E" w:rsidR="00BC0EC7" w:rsidRDefault="00BC0E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E5FE88" w14:textId="77777777" w:rsidR="00BC0EC7" w:rsidRDefault="00BC0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F8486D" w14:textId="77777777" w:rsidR="00EE5FDA" w:rsidRDefault="00EE5FDA" w:rsidP="00BC0EC7">
      <w:pPr>
        <w:spacing w:after="0" w:line="240" w:lineRule="auto"/>
      </w:pPr>
      <w:r>
        <w:separator/>
      </w:r>
    </w:p>
  </w:footnote>
  <w:footnote w:type="continuationSeparator" w:id="0">
    <w:p w14:paraId="3CE33AB9" w14:textId="77777777" w:rsidR="00EE5FDA" w:rsidRDefault="00EE5FDA" w:rsidP="00BC0E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55BE4"/>
    <w:multiLevelType w:val="multilevel"/>
    <w:tmpl w:val="FB021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807C09"/>
    <w:multiLevelType w:val="multilevel"/>
    <w:tmpl w:val="64023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B9131F"/>
    <w:multiLevelType w:val="multilevel"/>
    <w:tmpl w:val="8924B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9E4723"/>
    <w:multiLevelType w:val="multilevel"/>
    <w:tmpl w:val="9B22F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333905"/>
    <w:multiLevelType w:val="multilevel"/>
    <w:tmpl w:val="720EF7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B26F20"/>
    <w:multiLevelType w:val="multilevel"/>
    <w:tmpl w:val="C354F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C906E3"/>
    <w:multiLevelType w:val="multilevel"/>
    <w:tmpl w:val="DC96E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BD76FD4"/>
    <w:multiLevelType w:val="multilevel"/>
    <w:tmpl w:val="A930336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FF17C2"/>
    <w:multiLevelType w:val="multilevel"/>
    <w:tmpl w:val="30BE3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71618141">
    <w:abstractNumId w:val="8"/>
  </w:num>
  <w:num w:numId="2" w16cid:durableId="465776619">
    <w:abstractNumId w:val="5"/>
  </w:num>
  <w:num w:numId="3" w16cid:durableId="618025266">
    <w:abstractNumId w:val="0"/>
  </w:num>
  <w:num w:numId="4" w16cid:durableId="1321226156">
    <w:abstractNumId w:val="3"/>
  </w:num>
  <w:num w:numId="5" w16cid:durableId="1165319719">
    <w:abstractNumId w:val="2"/>
  </w:num>
  <w:num w:numId="6" w16cid:durableId="994338401">
    <w:abstractNumId w:val="6"/>
  </w:num>
  <w:num w:numId="7" w16cid:durableId="1447120212">
    <w:abstractNumId w:val="7"/>
  </w:num>
  <w:num w:numId="8" w16cid:durableId="1615943035">
    <w:abstractNumId w:val="4"/>
  </w:num>
  <w:num w:numId="9" w16cid:durableId="11906098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4F1"/>
    <w:rsid w:val="00160A28"/>
    <w:rsid w:val="00274BD4"/>
    <w:rsid w:val="002A5174"/>
    <w:rsid w:val="002F537C"/>
    <w:rsid w:val="004163EE"/>
    <w:rsid w:val="006D3BC5"/>
    <w:rsid w:val="00871B2E"/>
    <w:rsid w:val="009254F1"/>
    <w:rsid w:val="00954CC6"/>
    <w:rsid w:val="009F013B"/>
    <w:rsid w:val="00A72A50"/>
    <w:rsid w:val="00B21218"/>
    <w:rsid w:val="00BC0EC7"/>
    <w:rsid w:val="00C57EC4"/>
    <w:rsid w:val="00EE5FD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7718F"/>
  <w15:chartTrackingRefBased/>
  <w15:docId w15:val="{BF556C2D-BCFD-4FE0-B1F0-31C8D5E5E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9254F1"/>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9254F1"/>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9254F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9254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4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4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4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4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4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4F1"/>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9254F1"/>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9254F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9254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4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4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4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4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4F1"/>
    <w:rPr>
      <w:rFonts w:eastAsiaTheme="majorEastAsia" w:cstheme="majorBidi"/>
      <w:color w:val="272727" w:themeColor="text1" w:themeTint="D8"/>
    </w:rPr>
  </w:style>
  <w:style w:type="paragraph" w:styleId="Title">
    <w:name w:val="Title"/>
    <w:basedOn w:val="Normal"/>
    <w:next w:val="Normal"/>
    <w:link w:val="TitleChar"/>
    <w:uiPriority w:val="10"/>
    <w:qFormat/>
    <w:rsid w:val="009254F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254F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9254F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254F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9254F1"/>
    <w:pPr>
      <w:spacing w:before="160"/>
      <w:jc w:val="center"/>
    </w:pPr>
    <w:rPr>
      <w:i/>
      <w:iCs/>
      <w:color w:val="404040" w:themeColor="text1" w:themeTint="BF"/>
    </w:rPr>
  </w:style>
  <w:style w:type="character" w:customStyle="1" w:styleId="QuoteChar">
    <w:name w:val="Quote Char"/>
    <w:basedOn w:val="DefaultParagraphFont"/>
    <w:link w:val="Quote"/>
    <w:uiPriority w:val="29"/>
    <w:rsid w:val="009254F1"/>
    <w:rPr>
      <w:rFonts w:cs="Vrinda"/>
      <w:i/>
      <w:iCs/>
      <w:color w:val="404040" w:themeColor="text1" w:themeTint="BF"/>
    </w:rPr>
  </w:style>
  <w:style w:type="paragraph" w:styleId="ListParagraph">
    <w:name w:val="List Paragraph"/>
    <w:basedOn w:val="Normal"/>
    <w:uiPriority w:val="34"/>
    <w:qFormat/>
    <w:rsid w:val="009254F1"/>
    <w:pPr>
      <w:ind w:left="720"/>
      <w:contextualSpacing/>
    </w:pPr>
  </w:style>
  <w:style w:type="character" w:styleId="IntenseEmphasis">
    <w:name w:val="Intense Emphasis"/>
    <w:basedOn w:val="DefaultParagraphFont"/>
    <w:uiPriority w:val="21"/>
    <w:qFormat/>
    <w:rsid w:val="009254F1"/>
    <w:rPr>
      <w:i/>
      <w:iCs/>
      <w:color w:val="0F4761" w:themeColor="accent1" w:themeShade="BF"/>
    </w:rPr>
  </w:style>
  <w:style w:type="paragraph" w:styleId="IntenseQuote">
    <w:name w:val="Intense Quote"/>
    <w:basedOn w:val="Normal"/>
    <w:next w:val="Normal"/>
    <w:link w:val="IntenseQuoteChar"/>
    <w:uiPriority w:val="30"/>
    <w:qFormat/>
    <w:rsid w:val="009254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4F1"/>
    <w:rPr>
      <w:rFonts w:cs="Vrinda"/>
      <w:i/>
      <w:iCs/>
      <w:color w:val="0F4761" w:themeColor="accent1" w:themeShade="BF"/>
    </w:rPr>
  </w:style>
  <w:style w:type="character" w:styleId="IntenseReference">
    <w:name w:val="Intense Reference"/>
    <w:basedOn w:val="DefaultParagraphFont"/>
    <w:uiPriority w:val="32"/>
    <w:qFormat/>
    <w:rsid w:val="009254F1"/>
    <w:rPr>
      <w:b/>
      <w:bCs/>
      <w:smallCaps/>
      <w:color w:val="0F4761" w:themeColor="accent1" w:themeShade="BF"/>
      <w:spacing w:val="5"/>
    </w:rPr>
  </w:style>
  <w:style w:type="character" w:styleId="Hyperlink">
    <w:name w:val="Hyperlink"/>
    <w:basedOn w:val="DefaultParagraphFont"/>
    <w:uiPriority w:val="99"/>
    <w:unhideWhenUsed/>
    <w:rsid w:val="009F013B"/>
    <w:rPr>
      <w:color w:val="467886" w:themeColor="hyperlink"/>
      <w:u w:val="single"/>
    </w:rPr>
  </w:style>
  <w:style w:type="character" w:styleId="UnresolvedMention">
    <w:name w:val="Unresolved Mention"/>
    <w:basedOn w:val="DefaultParagraphFont"/>
    <w:uiPriority w:val="99"/>
    <w:semiHidden/>
    <w:unhideWhenUsed/>
    <w:rsid w:val="009F013B"/>
    <w:rPr>
      <w:color w:val="605E5C"/>
      <w:shd w:val="clear" w:color="auto" w:fill="E1DFDD"/>
    </w:rPr>
  </w:style>
  <w:style w:type="paragraph" w:styleId="Header">
    <w:name w:val="header"/>
    <w:basedOn w:val="Normal"/>
    <w:link w:val="HeaderChar"/>
    <w:uiPriority w:val="99"/>
    <w:unhideWhenUsed/>
    <w:rsid w:val="00BC0E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0EC7"/>
    <w:rPr>
      <w:rFonts w:cs="Vrinda"/>
    </w:rPr>
  </w:style>
  <w:style w:type="paragraph" w:styleId="Footer">
    <w:name w:val="footer"/>
    <w:basedOn w:val="Normal"/>
    <w:link w:val="FooterChar"/>
    <w:uiPriority w:val="99"/>
    <w:unhideWhenUsed/>
    <w:rsid w:val="00BC0E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0EC7"/>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kofengland.co.uk/financial-stability-report" TargetMode="External"/><Relationship Id="rId13" Type="http://schemas.openxmlformats.org/officeDocument/2006/relationships/hyperlink" Target="https://www.ft.com/content/revolut-complianc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fca.org.uk/publication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volut.com/en-GB/about-revolu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ca.org.uk/publication/corporate/open-banking-report.pdf" TargetMode="External"/><Relationship Id="rId5" Type="http://schemas.openxmlformats.org/officeDocument/2006/relationships/footnotes" Target="footnotes.xml"/><Relationship Id="rId15" Type="http://schemas.openxmlformats.org/officeDocument/2006/relationships/hyperlink" Target="https://www.mintel.com/reports" TargetMode="External"/><Relationship Id="rId10" Type="http://schemas.openxmlformats.org/officeDocument/2006/relationships/hyperlink" Target="https://home.barclays/investor-relation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ome.barclays/investor-relations/reports-and-events/annual-reports/" TargetMode="External"/><Relationship Id="rId14" Type="http://schemas.openxmlformats.org/officeDocument/2006/relationships/hyperlink" Target="https://www.kantar.com/gb/grocery-market-s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15</Pages>
  <Words>4083</Words>
  <Characters>23275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Sykat Sen</cp:lastModifiedBy>
  <cp:revision>4</cp:revision>
  <dcterms:created xsi:type="dcterms:W3CDTF">2025-10-20T23:30:00Z</dcterms:created>
  <dcterms:modified xsi:type="dcterms:W3CDTF">2025-10-21T00:39:00Z</dcterms:modified>
</cp:coreProperties>
</file>