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A0BB1" w14:textId="46FD0FF2" w:rsidR="000723D1" w:rsidRDefault="000723D1" w:rsidP="008A681A">
      <w:pPr>
        <w:spacing w:line="360" w:lineRule="auto"/>
        <w:rPr>
          <w:rFonts w:ascii="Arial" w:eastAsia="Arial" w:hAnsi="Arial" w:cs="Arial"/>
          <w:b/>
          <w:bCs/>
          <w:color w:val="000000" w:themeColor="text1"/>
          <w:sz w:val="24"/>
          <w:szCs w:val="24"/>
        </w:rPr>
      </w:pPr>
    </w:p>
    <w:p w14:paraId="681F9CC8" w14:textId="39FB768A" w:rsidR="000723D1" w:rsidRDefault="000723D1" w:rsidP="008A681A">
      <w:pPr>
        <w:spacing w:line="360" w:lineRule="auto"/>
        <w:rPr>
          <w:rFonts w:ascii="Arial" w:eastAsia="Arial" w:hAnsi="Arial" w:cs="Arial"/>
          <w:b/>
          <w:bCs/>
          <w:color w:val="000000" w:themeColor="text1"/>
          <w:sz w:val="24"/>
          <w:szCs w:val="24"/>
        </w:rPr>
      </w:pPr>
    </w:p>
    <w:p w14:paraId="0A1226CF" w14:textId="3F1723B6" w:rsidR="000723D1" w:rsidRDefault="000723D1" w:rsidP="008A681A">
      <w:pPr>
        <w:spacing w:line="360" w:lineRule="auto"/>
        <w:rPr>
          <w:rFonts w:ascii="Arial" w:eastAsia="Arial" w:hAnsi="Arial" w:cs="Arial"/>
          <w:b/>
          <w:bCs/>
          <w:color w:val="000000" w:themeColor="text1"/>
          <w:sz w:val="24"/>
          <w:szCs w:val="24"/>
        </w:rPr>
      </w:pPr>
    </w:p>
    <w:p w14:paraId="0B2020DE" w14:textId="3CD838F2" w:rsidR="000723D1" w:rsidRDefault="000723D1" w:rsidP="008A681A">
      <w:pPr>
        <w:spacing w:line="360" w:lineRule="auto"/>
        <w:jc w:val="center"/>
        <w:rPr>
          <w:rFonts w:ascii="Arial" w:eastAsia="Arial" w:hAnsi="Arial" w:cs="Arial"/>
          <w:b/>
          <w:bCs/>
          <w:color w:val="000000" w:themeColor="text1"/>
          <w:sz w:val="24"/>
          <w:szCs w:val="24"/>
        </w:rPr>
      </w:pPr>
    </w:p>
    <w:p w14:paraId="7E21D714" w14:textId="79EF3841" w:rsidR="000723D1" w:rsidRDefault="066716A9" w:rsidP="008A681A">
      <w:pPr>
        <w:spacing w:line="360" w:lineRule="auto"/>
        <w:jc w:val="center"/>
        <w:rPr>
          <w:rFonts w:ascii="Arial" w:eastAsia="Arial" w:hAnsi="Arial" w:cs="Arial"/>
          <w:b/>
          <w:bCs/>
          <w:sz w:val="24"/>
          <w:szCs w:val="24"/>
        </w:rPr>
      </w:pPr>
      <w:r w:rsidRPr="066716A9">
        <w:rPr>
          <w:rFonts w:ascii="Arial" w:eastAsia="Arial" w:hAnsi="Arial" w:cs="Arial"/>
          <w:b/>
          <w:bCs/>
          <w:color w:val="000000" w:themeColor="text1"/>
          <w:sz w:val="24"/>
          <w:szCs w:val="24"/>
        </w:rPr>
        <w:t xml:space="preserve">STUDENT JOURNAL ON </w:t>
      </w:r>
      <w:r w:rsidRPr="066716A9">
        <w:rPr>
          <w:rFonts w:ascii="Arial" w:eastAsia="Arial" w:hAnsi="Arial" w:cs="Arial"/>
          <w:b/>
          <w:bCs/>
          <w:sz w:val="24"/>
          <w:szCs w:val="24"/>
        </w:rPr>
        <w:t>FOOD AND BEVERAGE OPERATIONS</w:t>
      </w:r>
    </w:p>
    <w:p w14:paraId="2829BF70" w14:textId="7FF01BD9" w:rsidR="000723D1" w:rsidRDefault="066716A9" w:rsidP="008A681A">
      <w:pPr>
        <w:spacing w:line="360" w:lineRule="auto"/>
        <w:jc w:val="center"/>
        <w:rPr>
          <w:rFonts w:ascii="Arial" w:eastAsia="Arial" w:hAnsi="Arial" w:cs="Arial"/>
          <w:b/>
          <w:bCs/>
          <w:sz w:val="24"/>
          <w:szCs w:val="24"/>
        </w:rPr>
      </w:pPr>
      <w:r w:rsidRPr="066716A9">
        <w:rPr>
          <w:rFonts w:ascii="Arial" w:eastAsia="Arial" w:hAnsi="Arial" w:cs="Arial"/>
          <w:b/>
          <w:bCs/>
          <w:sz w:val="24"/>
          <w:szCs w:val="24"/>
        </w:rPr>
        <w:t>STUDENT NAME:</w:t>
      </w:r>
      <w:r w:rsidR="00434E09">
        <w:rPr>
          <w:rFonts w:ascii="Arial" w:eastAsia="Arial" w:hAnsi="Arial" w:cs="Arial"/>
          <w:b/>
          <w:bCs/>
          <w:sz w:val="24"/>
          <w:szCs w:val="24"/>
        </w:rPr>
        <w:t xml:space="preserve"> Ewelina Szymoniak</w:t>
      </w:r>
    </w:p>
    <w:p w14:paraId="3818052A" w14:textId="09F3D4B5" w:rsidR="000723D1" w:rsidRDefault="066716A9" w:rsidP="008A681A">
      <w:pPr>
        <w:spacing w:line="360" w:lineRule="auto"/>
        <w:jc w:val="center"/>
        <w:rPr>
          <w:rFonts w:ascii="Arial" w:eastAsia="Arial" w:hAnsi="Arial" w:cs="Arial"/>
          <w:b/>
          <w:bCs/>
          <w:sz w:val="24"/>
          <w:szCs w:val="24"/>
        </w:rPr>
      </w:pPr>
      <w:r w:rsidRPr="066716A9">
        <w:rPr>
          <w:rFonts w:ascii="Arial" w:eastAsia="Arial" w:hAnsi="Arial" w:cs="Arial"/>
          <w:b/>
          <w:bCs/>
          <w:sz w:val="24"/>
          <w:szCs w:val="24"/>
        </w:rPr>
        <w:t>STUDENT ID:</w:t>
      </w:r>
      <w:r w:rsidR="00434E09">
        <w:rPr>
          <w:rFonts w:ascii="Arial" w:eastAsia="Arial" w:hAnsi="Arial" w:cs="Arial"/>
          <w:b/>
          <w:bCs/>
          <w:sz w:val="24"/>
          <w:szCs w:val="24"/>
        </w:rPr>
        <w:t>2122793</w:t>
      </w:r>
    </w:p>
    <w:p w14:paraId="0DEE2DA1" w14:textId="51B6CA4F" w:rsidR="000723D1" w:rsidRDefault="066716A9" w:rsidP="008A681A">
      <w:pPr>
        <w:spacing w:line="360" w:lineRule="auto"/>
        <w:jc w:val="center"/>
        <w:rPr>
          <w:rFonts w:ascii="Arial" w:eastAsia="Arial" w:hAnsi="Arial" w:cs="Arial"/>
          <w:b/>
          <w:bCs/>
          <w:sz w:val="24"/>
          <w:szCs w:val="24"/>
        </w:rPr>
      </w:pPr>
      <w:r w:rsidRPr="066716A9">
        <w:rPr>
          <w:rFonts w:ascii="Arial" w:eastAsia="Arial" w:hAnsi="Arial" w:cs="Arial"/>
          <w:b/>
          <w:bCs/>
          <w:sz w:val="24"/>
          <w:szCs w:val="24"/>
        </w:rPr>
        <w:t>MODULE NAME: Food &amp; Beverage Operations</w:t>
      </w:r>
    </w:p>
    <w:p w14:paraId="14CBA403" w14:textId="16467C52" w:rsidR="000723D1" w:rsidRDefault="066716A9" w:rsidP="008A681A">
      <w:pPr>
        <w:spacing w:line="360" w:lineRule="auto"/>
        <w:jc w:val="center"/>
        <w:rPr>
          <w:rFonts w:ascii="Arial" w:eastAsia="Arial" w:hAnsi="Arial" w:cs="Arial"/>
          <w:b/>
          <w:bCs/>
          <w:sz w:val="24"/>
          <w:szCs w:val="24"/>
        </w:rPr>
      </w:pPr>
      <w:r w:rsidRPr="066716A9">
        <w:rPr>
          <w:rFonts w:ascii="Arial" w:eastAsia="Arial" w:hAnsi="Arial" w:cs="Arial"/>
          <w:b/>
          <w:bCs/>
          <w:sz w:val="24"/>
          <w:szCs w:val="24"/>
        </w:rPr>
        <w:t>MODULE CODE: BMIH4002</w:t>
      </w:r>
    </w:p>
    <w:p w14:paraId="47E600C8" w14:textId="45070FA1" w:rsidR="000723D1" w:rsidRDefault="066716A9" w:rsidP="008A681A">
      <w:pPr>
        <w:spacing w:line="360" w:lineRule="auto"/>
        <w:jc w:val="center"/>
        <w:rPr>
          <w:rFonts w:ascii="Arial" w:eastAsia="Arial" w:hAnsi="Arial" w:cs="Arial"/>
          <w:b/>
          <w:bCs/>
          <w:sz w:val="24"/>
          <w:szCs w:val="24"/>
        </w:rPr>
      </w:pPr>
      <w:bookmarkStart w:id="0" w:name="_Int_vLUhPPfa"/>
      <w:r w:rsidRPr="066716A9">
        <w:rPr>
          <w:rFonts w:ascii="Arial" w:eastAsia="Arial" w:hAnsi="Arial" w:cs="Arial"/>
          <w:b/>
          <w:bCs/>
          <w:sz w:val="24"/>
          <w:szCs w:val="24"/>
        </w:rPr>
        <w:t xml:space="preserve">LECTURERS:  Tristan Hawkins, Ffion </w:t>
      </w:r>
      <w:proofErr w:type="spellStart"/>
      <w:r w:rsidRPr="066716A9">
        <w:rPr>
          <w:rFonts w:ascii="Arial" w:eastAsia="Arial" w:hAnsi="Arial" w:cs="Arial"/>
          <w:b/>
          <w:bCs/>
          <w:sz w:val="24"/>
          <w:szCs w:val="24"/>
        </w:rPr>
        <w:t>Cumberpatch</w:t>
      </w:r>
      <w:proofErr w:type="spellEnd"/>
      <w:r w:rsidRPr="066716A9">
        <w:rPr>
          <w:rFonts w:ascii="Arial" w:eastAsia="Arial" w:hAnsi="Arial" w:cs="Arial"/>
          <w:b/>
          <w:bCs/>
          <w:sz w:val="24"/>
          <w:szCs w:val="24"/>
        </w:rPr>
        <w:t xml:space="preserve">, Melissa John, Laurence Blake, Rohan </w:t>
      </w:r>
      <w:proofErr w:type="spellStart"/>
      <w:r w:rsidRPr="066716A9">
        <w:rPr>
          <w:rFonts w:ascii="Arial" w:eastAsia="Arial" w:hAnsi="Arial" w:cs="Arial"/>
          <w:b/>
          <w:bCs/>
          <w:sz w:val="24"/>
          <w:szCs w:val="24"/>
        </w:rPr>
        <w:t>Dubrey</w:t>
      </w:r>
      <w:bookmarkEnd w:id="0"/>
      <w:proofErr w:type="spellEnd"/>
    </w:p>
    <w:p w14:paraId="5BE1CB01" w14:textId="59AFC330" w:rsidR="000723D1" w:rsidRDefault="7461EE06" w:rsidP="008A681A">
      <w:pPr>
        <w:spacing w:line="360" w:lineRule="auto"/>
        <w:jc w:val="center"/>
        <w:rPr>
          <w:rFonts w:ascii="Arial" w:eastAsia="Arial" w:hAnsi="Arial" w:cs="Arial"/>
          <w:b/>
          <w:bCs/>
          <w:sz w:val="24"/>
          <w:szCs w:val="24"/>
        </w:rPr>
      </w:pPr>
      <w:r w:rsidRPr="7461EE06">
        <w:rPr>
          <w:rFonts w:ascii="Arial" w:eastAsia="Arial" w:hAnsi="Arial" w:cs="Arial"/>
          <w:b/>
          <w:bCs/>
          <w:sz w:val="24"/>
          <w:szCs w:val="24"/>
        </w:rPr>
        <w:t>SUBMISSION DATE:</w:t>
      </w:r>
      <w:r w:rsidR="00434E09">
        <w:rPr>
          <w:rFonts w:ascii="Arial" w:eastAsia="Arial" w:hAnsi="Arial" w:cs="Arial"/>
          <w:b/>
          <w:bCs/>
          <w:sz w:val="24"/>
          <w:szCs w:val="24"/>
        </w:rPr>
        <w:t>22/02/2023</w:t>
      </w:r>
    </w:p>
    <w:p w14:paraId="60EB9B3C" w14:textId="3A9DB99D" w:rsidR="7461EE06" w:rsidRDefault="7461EE06" w:rsidP="008A681A">
      <w:pPr>
        <w:spacing w:line="360" w:lineRule="auto"/>
        <w:rPr>
          <w:rFonts w:ascii="Arial" w:eastAsia="Arial" w:hAnsi="Arial" w:cs="Arial"/>
          <w:b/>
          <w:bCs/>
          <w:sz w:val="24"/>
          <w:szCs w:val="24"/>
        </w:rPr>
      </w:pPr>
    </w:p>
    <w:p w14:paraId="6A92EEAC" w14:textId="18AE2AFD" w:rsidR="7461EE06" w:rsidRDefault="7461EE06" w:rsidP="008A681A">
      <w:pPr>
        <w:spacing w:line="360" w:lineRule="auto"/>
        <w:rPr>
          <w:rFonts w:ascii="Arial" w:eastAsia="Arial" w:hAnsi="Arial" w:cs="Arial"/>
          <w:b/>
          <w:bCs/>
          <w:sz w:val="24"/>
          <w:szCs w:val="24"/>
        </w:rPr>
      </w:pPr>
    </w:p>
    <w:p w14:paraId="70F57C13" w14:textId="436104D1" w:rsidR="7461EE06" w:rsidRDefault="7461EE06" w:rsidP="008A681A">
      <w:pPr>
        <w:spacing w:line="360" w:lineRule="auto"/>
        <w:rPr>
          <w:rFonts w:ascii="Arial" w:eastAsia="Arial" w:hAnsi="Arial" w:cs="Arial"/>
          <w:b/>
          <w:bCs/>
          <w:sz w:val="24"/>
          <w:szCs w:val="24"/>
        </w:rPr>
      </w:pPr>
    </w:p>
    <w:p w14:paraId="42359402" w14:textId="331FF10F" w:rsidR="7461EE06" w:rsidRDefault="7461EE06" w:rsidP="008A681A">
      <w:pPr>
        <w:spacing w:line="360" w:lineRule="auto"/>
        <w:rPr>
          <w:rFonts w:ascii="Arial" w:eastAsia="Arial" w:hAnsi="Arial" w:cs="Arial"/>
          <w:b/>
          <w:bCs/>
          <w:sz w:val="24"/>
          <w:szCs w:val="24"/>
        </w:rPr>
      </w:pPr>
    </w:p>
    <w:p w14:paraId="3C476253" w14:textId="5309C996" w:rsidR="7461EE06" w:rsidRDefault="7461EE06" w:rsidP="008A681A">
      <w:pPr>
        <w:spacing w:line="360" w:lineRule="auto"/>
        <w:rPr>
          <w:rFonts w:ascii="Arial" w:eastAsia="Arial" w:hAnsi="Arial" w:cs="Arial"/>
          <w:b/>
          <w:bCs/>
          <w:sz w:val="24"/>
          <w:szCs w:val="24"/>
        </w:rPr>
      </w:pPr>
    </w:p>
    <w:p w14:paraId="457C71C6" w14:textId="3BC2672E" w:rsidR="7461EE06" w:rsidRDefault="7461EE06" w:rsidP="008A681A">
      <w:pPr>
        <w:spacing w:line="360" w:lineRule="auto"/>
        <w:rPr>
          <w:rFonts w:ascii="Arial" w:eastAsia="Arial" w:hAnsi="Arial" w:cs="Arial"/>
          <w:b/>
          <w:bCs/>
          <w:sz w:val="24"/>
          <w:szCs w:val="24"/>
        </w:rPr>
      </w:pPr>
    </w:p>
    <w:p w14:paraId="78AE12BE" w14:textId="3CB425EF" w:rsidR="7461EE06" w:rsidRDefault="7461EE06" w:rsidP="008A681A">
      <w:pPr>
        <w:spacing w:line="360" w:lineRule="auto"/>
        <w:rPr>
          <w:rFonts w:ascii="Arial" w:eastAsia="Arial" w:hAnsi="Arial" w:cs="Arial"/>
          <w:b/>
          <w:bCs/>
          <w:sz w:val="24"/>
          <w:szCs w:val="24"/>
        </w:rPr>
      </w:pPr>
      <w:r w:rsidRPr="7461EE06">
        <w:rPr>
          <w:rFonts w:ascii="Arial" w:eastAsia="Arial" w:hAnsi="Arial" w:cs="Arial"/>
          <w:b/>
          <w:bCs/>
          <w:sz w:val="24"/>
          <w:szCs w:val="24"/>
        </w:rPr>
        <w:t xml:space="preserve">Word count: </w:t>
      </w:r>
      <w:r w:rsidR="008A681A">
        <w:rPr>
          <w:rFonts w:ascii="Arial" w:eastAsia="Arial" w:hAnsi="Arial" w:cs="Arial"/>
          <w:b/>
          <w:bCs/>
          <w:sz w:val="24"/>
          <w:szCs w:val="24"/>
        </w:rPr>
        <w:t>694</w:t>
      </w:r>
    </w:p>
    <w:p w14:paraId="19CDE616" w14:textId="28F68941" w:rsidR="000723D1" w:rsidRDefault="00000000" w:rsidP="008A681A">
      <w:pPr>
        <w:spacing w:line="360" w:lineRule="auto"/>
        <w:rPr>
          <w:rFonts w:ascii="Arial" w:eastAsia="Arial" w:hAnsi="Arial" w:cs="Arial"/>
          <w:sz w:val="24"/>
          <w:szCs w:val="24"/>
        </w:rPr>
      </w:pPr>
      <w:r w:rsidRPr="066716A9">
        <w:rPr>
          <w:rFonts w:ascii="Arial" w:eastAsia="Arial" w:hAnsi="Arial" w:cs="Arial"/>
          <w:sz w:val="24"/>
          <w:szCs w:val="24"/>
        </w:rPr>
        <w:br w:type="page"/>
      </w:r>
    </w:p>
    <w:p w14:paraId="6FAFD67F" w14:textId="739FB8E4" w:rsidR="008A681A" w:rsidRPr="008A681A" w:rsidRDefault="008A681A" w:rsidP="008A681A">
      <w:pPr>
        <w:pStyle w:val="Heading1"/>
        <w:rPr>
          <w:rFonts w:ascii="Arial" w:hAnsi="Arial" w:cs="Arial"/>
          <w:b/>
          <w:bCs/>
          <w:color w:val="auto"/>
          <w:sz w:val="24"/>
          <w:szCs w:val="24"/>
          <w:shd w:val="clear" w:color="auto" w:fill="FAFAFA"/>
        </w:rPr>
      </w:pPr>
      <w:r w:rsidRPr="008A681A">
        <w:rPr>
          <w:rFonts w:ascii="Arial" w:hAnsi="Arial" w:cs="Arial"/>
          <w:b/>
          <w:bCs/>
          <w:color w:val="auto"/>
          <w:sz w:val="24"/>
          <w:szCs w:val="24"/>
          <w:shd w:val="clear" w:color="auto" w:fill="FAFAFA"/>
        </w:rPr>
        <w:lastRenderedPageBreak/>
        <w:t>Does the required skill set of a Food &amp; Beverage employee change, based on the type of business and the type of service that the food and beverage operation utilize?</w:t>
      </w:r>
    </w:p>
    <w:p w14:paraId="0496B1FB" w14:textId="44F7C0E4"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Different skill sets may be required for food and beverage employees depending on the type of company and the type of service that the food and beverage operation provides. a food and beverage establishment's degree of service can be divided into numerous categories, including fine dining, casual dining, fast service, and catering (</w:t>
      </w:r>
      <w:proofErr w:type="spellStart"/>
      <w:r w:rsidRPr="008A681A">
        <w:rPr>
          <w:rFonts w:ascii="Arial" w:hAnsi="Arial" w:cs="Arial"/>
          <w:sz w:val="24"/>
          <w:szCs w:val="24"/>
        </w:rPr>
        <w:t>Boussard</w:t>
      </w:r>
      <w:proofErr w:type="spellEnd"/>
      <w:r w:rsidRPr="008A681A">
        <w:rPr>
          <w:rFonts w:ascii="Arial" w:hAnsi="Arial" w:cs="Arial"/>
          <w:sz w:val="24"/>
          <w:szCs w:val="24"/>
        </w:rPr>
        <w:t xml:space="preserve"> et al., 2021). While a fast-food cafe may place a greater premium on speed and efficiency, a high-end, fine dining institution may demand personnel with a higher degree of understanding about food and beverage matching. Additionally, the sort of institution may impact the abilities required, including those in customer support, product expertise, and operational abilities. The type of service has an impact on the abilities that personnel must possess, as well as on the environment and client expectations (Wood et al., 2013).</w:t>
      </w:r>
    </w:p>
    <w:p w14:paraId="49F5547D" w14:textId="6DDB8FE3"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Employees at fine dining establishments must have both the hard and soft skills necessary to deliver high-quality service and satisfy patron expectations. The ability to operate specialised equipment, pay close attention to details, and have a thorough understanding of the available food and beverages are examples of hard skills (Brown et al., 2013). Soft skills, including exemplary customer service, clear communication, and the capacity for teamwork, are also essential in this line of employment. Contrarily, casual dining establishments may possess a more laid-back vibe and place more of an emphasis on creating a friendly place for their patrons. The amount of specific expertise needed by workers in this sort of service may not be as high as that of those at fine dining places, but they continue to have good customer service abilities (Cousins et al., 2020).</w:t>
      </w:r>
    </w:p>
    <w:p w14:paraId="5E12039B" w14:textId="29D21CA6"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According to Johnson et al., 2021, swift response restaurants like fast food franchises need staff with a simpler set of abilities, such as knowledge on how to prepare simple meals and provide excellent service to customers. The ambiance is frequently more relaxed, and rapid and effective service is really the priority (</w:t>
      </w:r>
      <w:proofErr w:type="spellStart"/>
      <w:r w:rsidRPr="008A681A">
        <w:rPr>
          <w:rFonts w:ascii="Arial" w:hAnsi="Arial" w:cs="Arial"/>
          <w:sz w:val="24"/>
          <w:szCs w:val="24"/>
        </w:rPr>
        <w:t>Cousinset</w:t>
      </w:r>
      <w:proofErr w:type="spellEnd"/>
      <w:r w:rsidRPr="008A681A">
        <w:rPr>
          <w:rFonts w:ascii="Arial" w:hAnsi="Arial" w:cs="Arial"/>
          <w:sz w:val="24"/>
          <w:szCs w:val="24"/>
        </w:rPr>
        <w:t xml:space="preserve"> et al., 2011). Additionally, workers with a separate set of talents are needed for catering services. Individuals in catering companies require good organisational and time-management </w:t>
      </w:r>
      <w:r w:rsidRPr="008A681A">
        <w:rPr>
          <w:rFonts w:ascii="Arial" w:hAnsi="Arial" w:cs="Arial"/>
          <w:sz w:val="24"/>
          <w:szCs w:val="24"/>
        </w:rPr>
        <w:lastRenderedPageBreak/>
        <w:t>capabilities in addition to customer care abilities since they must plan events and supply food and beverage to clients at several locations (Davis et al., 2018).</w:t>
      </w:r>
    </w:p>
    <w:p w14:paraId="316E12F3" w14:textId="5BAE0FD9"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My own experiences have shown me that a food and beverage establishment's service offerings frequently influence the workplace culture and job satisfaction of its personnel. Employees in fine dining establishments frequently face greater pressure to deliver greater service and perform at a higher level (</w:t>
      </w:r>
      <w:proofErr w:type="spellStart"/>
      <w:r w:rsidRPr="008A681A">
        <w:rPr>
          <w:rFonts w:ascii="Arial" w:hAnsi="Arial" w:cs="Arial"/>
          <w:sz w:val="24"/>
          <w:szCs w:val="24"/>
        </w:rPr>
        <w:t>Foskett</w:t>
      </w:r>
      <w:proofErr w:type="spellEnd"/>
      <w:r w:rsidRPr="008A681A">
        <w:rPr>
          <w:rFonts w:ascii="Arial" w:hAnsi="Arial" w:cs="Arial"/>
          <w:sz w:val="24"/>
          <w:szCs w:val="24"/>
        </w:rPr>
        <w:t xml:space="preserve"> et al., 2021). However, staff members in fast-service cafes could encounter a more laid-back and less stressful work environment. I may use what I have learned about the skill set needed for F&amp;B personnel in the future by considering the services and company types while choosing a career path within the sector (</w:t>
      </w:r>
      <w:proofErr w:type="spellStart"/>
      <w:r w:rsidRPr="008A681A">
        <w:rPr>
          <w:rFonts w:ascii="Arial" w:hAnsi="Arial" w:cs="Arial"/>
          <w:sz w:val="24"/>
          <w:szCs w:val="24"/>
        </w:rPr>
        <w:t>Zutshi</w:t>
      </w:r>
      <w:proofErr w:type="spellEnd"/>
      <w:r w:rsidRPr="008A681A">
        <w:rPr>
          <w:rFonts w:ascii="Arial" w:hAnsi="Arial" w:cs="Arial"/>
          <w:sz w:val="24"/>
          <w:szCs w:val="24"/>
        </w:rPr>
        <w:t xml:space="preserve"> et al., 2019).</w:t>
      </w:r>
    </w:p>
    <w:p w14:paraId="3972991D" w14:textId="76BAD157"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If I am an employer, I may use this information to determine the precise abilities needed for each sort of service my company provides to make wise hiring decisions. If I were an employee, I might use this information to select career options that matched my abilities and interests and to learn the skills necessary for the services my firm provides (</w:t>
      </w:r>
      <w:proofErr w:type="spellStart"/>
      <w:r w:rsidRPr="008A681A">
        <w:rPr>
          <w:rFonts w:ascii="Arial" w:hAnsi="Arial" w:cs="Arial"/>
          <w:sz w:val="24"/>
          <w:szCs w:val="24"/>
        </w:rPr>
        <w:t>Motarjemi</w:t>
      </w:r>
      <w:proofErr w:type="spellEnd"/>
      <w:r w:rsidRPr="008A681A">
        <w:rPr>
          <w:rFonts w:ascii="Arial" w:hAnsi="Arial" w:cs="Arial"/>
          <w:sz w:val="24"/>
          <w:szCs w:val="24"/>
        </w:rPr>
        <w:t xml:space="preserve"> et al., 2014). I can use this information to keep developing my abilities and understanding in the F&amp;B sector. I can spot opportunities for development and take action to hone those talents by knowing the abilities needed for each sort of service. This will not only benefit me in my current job but also increase my career opportunities in the future (Walker et al., 2017).</w:t>
      </w:r>
    </w:p>
    <w:p w14:paraId="2FAB70FA" w14:textId="2887522B" w:rsidR="000723D1" w:rsidRPr="008A681A" w:rsidRDefault="066716A9" w:rsidP="008A681A">
      <w:pPr>
        <w:spacing w:line="360" w:lineRule="auto"/>
        <w:ind w:firstLine="720"/>
        <w:jc w:val="both"/>
        <w:rPr>
          <w:rFonts w:ascii="Arial" w:hAnsi="Arial" w:cs="Arial"/>
          <w:sz w:val="24"/>
          <w:szCs w:val="24"/>
        </w:rPr>
      </w:pPr>
      <w:r w:rsidRPr="008A681A">
        <w:rPr>
          <w:rFonts w:ascii="Arial" w:hAnsi="Arial" w:cs="Arial"/>
          <w:sz w:val="24"/>
          <w:szCs w:val="24"/>
        </w:rPr>
        <w:t>Finally, a food and beverage employee's skill set may vary depending on the type of company and the type of service provided. Future companies in the field of food and beverage should consider the kind of operation they will be providing when employing staff members because the skills needed for each kind of service may vary. I now understand how important it is to consider the type of service when choosing a career in the food and beverage industry, and I intend to put this knowledge to use in the future.</w:t>
      </w:r>
    </w:p>
    <w:p w14:paraId="0730DE6A" w14:textId="2BCE62B2" w:rsidR="000723D1" w:rsidRDefault="000723D1" w:rsidP="008A681A">
      <w:pPr>
        <w:spacing w:line="360" w:lineRule="auto"/>
        <w:rPr>
          <w:rFonts w:ascii="Arial" w:eastAsia="Arial" w:hAnsi="Arial" w:cs="Arial"/>
          <w:color w:val="252525"/>
          <w:sz w:val="24"/>
          <w:szCs w:val="24"/>
        </w:rPr>
      </w:pPr>
    </w:p>
    <w:p w14:paraId="1CFDA160" w14:textId="101C1E97" w:rsidR="000723D1" w:rsidRDefault="000723D1" w:rsidP="008A681A">
      <w:pPr>
        <w:spacing w:line="360" w:lineRule="auto"/>
        <w:rPr>
          <w:rFonts w:ascii="Arial" w:eastAsia="Arial" w:hAnsi="Arial" w:cs="Arial"/>
          <w:sz w:val="24"/>
          <w:szCs w:val="24"/>
        </w:rPr>
      </w:pPr>
    </w:p>
    <w:p w14:paraId="2595176E" w14:textId="6646AD3E" w:rsidR="000723D1" w:rsidRDefault="00000000" w:rsidP="008A681A">
      <w:pPr>
        <w:spacing w:line="360" w:lineRule="auto"/>
        <w:rPr>
          <w:rFonts w:ascii="Arial" w:eastAsia="Arial" w:hAnsi="Arial" w:cs="Arial"/>
          <w:sz w:val="24"/>
          <w:szCs w:val="24"/>
        </w:rPr>
      </w:pPr>
      <w:r w:rsidRPr="066716A9">
        <w:rPr>
          <w:rFonts w:ascii="Arial" w:eastAsia="Arial" w:hAnsi="Arial" w:cs="Arial"/>
          <w:sz w:val="24"/>
          <w:szCs w:val="24"/>
        </w:rPr>
        <w:br w:type="page"/>
      </w:r>
    </w:p>
    <w:p w14:paraId="2C078E63" w14:textId="33451285" w:rsidR="000723D1" w:rsidRPr="008A681A" w:rsidRDefault="066716A9" w:rsidP="008A681A">
      <w:pPr>
        <w:pStyle w:val="Heading1"/>
        <w:rPr>
          <w:rFonts w:ascii="Arial" w:eastAsia="Arial" w:hAnsi="Arial" w:cs="Arial"/>
          <w:b/>
          <w:bCs/>
          <w:color w:val="auto"/>
          <w:sz w:val="24"/>
          <w:szCs w:val="24"/>
        </w:rPr>
      </w:pPr>
      <w:r w:rsidRPr="008A681A">
        <w:rPr>
          <w:rFonts w:ascii="Arial" w:eastAsia="Arial" w:hAnsi="Arial" w:cs="Arial"/>
          <w:b/>
          <w:bCs/>
          <w:color w:val="auto"/>
          <w:sz w:val="24"/>
          <w:szCs w:val="24"/>
        </w:rPr>
        <w:lastRenderedPageBreak/>
        <w:t>References</w:t>
      </w:r>
    </w:p>
    <w:p w14:paraId="6CFF920F" w14:textId="77777777" w:rsidR="008A681A" w:rsidRPr="008A681A" w:rsidRDefault="008A681A" w:rsidP="008A681A">
      <w:pPr>
        <w:pStyle w:val="NoSpacing"/>
        <w:spacing w:line="360" w:lineRule="auto"/>
        <w:ind w:left="720" w:hanging="720"/>
        <w:rPr>
          <w:rFonts w:ascii="Arial" w:hAnsi="Arial" w:cs="Arial"/>
          <w:sz w:val="24"/>
          <w:szCs w:val="24"/>
        </w:rPr>
      </w:pPr>
      <w:proofErr w:type="spellStart"/>
      <w:r w:rsidRPr="008A681A">
        <w:rPr>
          <w:rFonts w:ascii="Arial" w:hAnsi="Arial" w:cs="Arial"/>
          <w:sz w:val="24"/>
          <w:szCs w:val="24"/>
        </w:rPr>
        <w:t>Boussard</w:t>
      </w:r>
      <w:proofErr w:type="spellEnd"/>
      <w:r w:rsidRPr="008A681A">
        <w:rPr>
          <w:rFonts w:ascii="Arial" w:hAnsi="Arial" w:cs="Arial"/>
          <w:sz w:val="24"/>
          <w:szCs w:val="24"/>
        </w:rPr>
        <w:t>, S (2021) Food and Beverage Management in the Luxury Hotel Industry. New York: Business Expert Press**</w:t>
      </w:r>
    </w:p>
    <w:p w14:paraId="23932E3B" w14:textId="77777777" w:rsidR="008A681A" w:rsidRPr="008A681A" w:rsidRDefault="008A681A" w:rsidP="008A681A">
      <w:pPr>
        <w:pStyle w:val="NoSpacing"/>
        <w:spacing w:line="360" w:lineRule="auto"/>
        <w:ind w:left="720" w:hanging="720"/>
        <w:rPr>
          <w:rFonts w:ascii="Arial" w:hAnsi="Arial" w:cs="Arial"/>
          <w:sz w:val="24"/>
          <w:szCs w:val="24"/>
        </w:rPr>
      </w:pPr>
      <w:bookmarkStart w:id="1" w:name="_Int_r6kDOSrz"/>
      <w:r w:rsidRPr="008A681A">
        <w:rPr>
          <w:rFonts w:ascii="Arial" w:hAnsi="Arial" w:cs="Arial"/>
          <w:sz w:val="24"/>
          <w:szCs w:val="24"/>
        </w:rPr>
        <w:t xml:space="preserve">Brown, D. R., </w:t>
      </w:r>
      <w:proofErr w:type="spellStart"/>
      <w:r w:rsidRPr="008A681A">
        <w:rPr>
          <w:rFonts w:ascii="Arial" w:hAnsi="Arial" w:cs="Arial"/>
          <w:sz w:val="24"/>
          <w:szCs w:val="24"/>
        </w:rPr>
        <w:t>TotalBoox</w:t>
      </w:r>
      <w:proofErr w:type="spellEnd"/>
      <w:r w:rsidRPr="008A681A">
        <w:rPr>
          <w:rFonts w:ascii="Arial" w:hAnsi="Arial" w:cs="Arial"/>
          <w:sz w:val="24"/>
          <w:szCs w:val="24"/>
        </w:rPr>
        <w:t xml:space="preserve"> and TBX (2013) The Restaurant Manager’s Handbook: How to Set Up, Operate, and Manage a Financially Successful Food Service Operation.</w:t>
      </w:r>
      <w:bookmarkEnd w:id="1"/>
      <w:r w:rsidRPr="008A681A">
        <w:rPr>
          <w:rFonts w:ascii="Arial" w:hAnsi="Arial" w:cs="Arial"/>
          <w:sz w:val="24"/>
          <w:szCs w:val="24"/>
        </w:rPr>
        <w:t xml:space="preserve"> 4th Edition. Atlantic Publishing Group*</w:t>
      </w:r>
    </w:p>
    <w:p w14:paraId="60614CBF" w14:textId="77777777" w:rsidR="008A681A" w:rsidRPr="008A681A" w:rsidRDefault="008A681A" w:rsidP="008A681A">
      <w:pPr>
        <w:pStyle w:val="NoSpacing"/>
        <w:spacing w:line="360" w:lineRule="auto"/>
        <w:ind w:left="720" w:hanging="720"/>
        <w:rPr>
          <w:rFonts w:ascii="Arial" w:hAnsi="Arial" w:cs="Arial"/>
          <w:color w:val="000000" w:themeColor="text1"/>
          <w:sz w:val="24"/>
          <w:szCs w:val="24"/>
        </w:rPr>
      </w:pPr>
      <w:r w:rsidRPr="008A681A">
        <w:rPr>
          <w:rFonts w:ascii="Arial" w:hAnsi="Arial" w:cs="Arial"/>
          <w:color w:val="000000" w:themeColor="text1"/>
          <w:sz w:val="24"/>
          <w:szCs w:val="24"/>
        </w:rPr>
        <w:t>Cousins, J. (2020) Food and beverage service.9thed. London: Hodder Education Group. **</w:t>
      </w:r>
    </w:p>
    <w:p w14:paraId="0FCA27E3" w14:textId="77777777" w:rsidR="008A681A" w:rsidRPr="008A681A" w:rsidRDefault="008A681A" w:rsidP="008A681A">
      <w:pPr>
        <w:pStyle w:val="NoSpacing"/>
        <w:spacing w:line="360" w:lineRule="auto"/>
        <w:ind w:left="720" w:hanging="720"/>
        <w:rPr>
          <w:rFonts w:ascii="Arial" w:hAnsi="Arial" w:cs="Arial"/>
          <w:sz w:val="24"/>
          <w:szCs w:val="24"/>
        </w:rPr>
      </w:pPr>
      <w:proofErr w:type="spellStart"/>
      <w:r w:rsidRPr="008A681A">
        <w:rPr>
          <w:rFonts w:ascii="Arial" w:hAnsi="Arial" w:cs="Arial"/>
          <w:sz w:val="24"/>
          <w:szCs w:val="24"/>
        </w:rPr>
        <w:t>Cousinset</w:t>
      </w:r>
      <w:proofErr w:type="spellEnd"/>
      <w:r w:rsidRPr="008A681A">
        <w:rPr>
          <w:rFonts w:ascii="Arial" w:hAnsi="Arial" w:cs="Arial"/>
          <w:sz w:val="24"/>
          <w:szCs w:val="24"/>
        </w:rPr>
        <w:t xml:space="preserve"> al. (2011) Food and beverage management: For the hospitality, tourism, and event industries.3rdedn. Oxford: Goodfellow.</w:t>
      </w:r>
    </w:p>
    <w:p w14:paraId="5968E38A" w14:textId="77777777" w:rsidR="008A681A" w:rsidRPr="008A681A" w:rsidRDefault="008A681A" w:rsidP="008A681A">
      <w:pPr>
        <w:pStyle w:val="NoSpacing"/>
        <w:spacing w:line="360" w:lineRule="auto"/>
        <w:ind w:left="720" w:hanging="720"/>
        <w:rPr>
          <w:rFonts w:ascii="Arial" w:hAnsi="Arial" w:cs="Arial"/>
          <w:color w:val="000000" w:themeColor="text1"/>
          <w:sz w:val="24"/>
          <w:szCs w:val="24"/>
        </w:rPr>
      </w:pPr>
      <w:r w:rsidRPr="008A681A">
        <w:rPr>
          <w:rFonts w:ascii="Arial" w:hAnsi="Arial" w:cs="Arial"/>
          <w:color w:val="000000" w:themeColor="text1"/>
          <w:sz w:val="24"/>
          <w:szCs w:val="24"/>
        </w:rPr>
        <w:t>Davis, B et al. (2018) Food and Beverage Management.6ednLondon: Routledge. **</w:t>
      </w:r>
    </w:p>
    <w:p w14:paraId="27EE0831" w14:textId="77777777" w:rsidR="008A681A" w:rsidRPr="008A681A" w:rsidRDefault="008A681A" w:rsidP="008A681A">
      <w:pPr>
        <w:pStyle w:val="NoSpacing"/>
        <w:spacing w:line="360" w:lineRule="auto"/>
        <w:ind w:left="720" w:hanging="720"/>
        <w:rPr>
          <w:rFonts w:ascii="Arial" w:hAnsi="Arial" w:cs="Arial"/>
          <w:sz w:val="24"/>
          <w:szCs w:val="24"/>
        </w:rPr>
      </w:pPr>
      <w:proofErr w:type="spellStart"/>
      <w:r w:rsidRPr="008A681A">
        <w:rPr>
          <w:rFonts w:ascii="Arial" w:hAnsi="Arial" w:cs="Arial"/>
          <w:sz w:val="24"/>
          <w:szCs w:val="24"/>
        </w:rPr>
        <w:t>Foskett</w:t>
      </w:r>
      <w:proofErr w:type="spellEnd"/>
      <w:r w:rsidRPr="008A681A">
        <w:rPr>
          <w:rFonts w:ascii="Arial" w:hAnsi="Arial" w:cs="Arial"/>
          <w:sz w:val="24"/>
          <w:szCs w:val="24"/>
        </w:rPr>
        <w:t>, D.et al.(2021) The Theory of Hospitality and Catering.14th Edition. London: Hodder Education Group. *</w:t>
      </w:r>
    </w:p>
    <w:p w14:paraId="71BCF838" w14:textId="77777777" w:rsidR="008A681A" w:rsidRPr="008A681A" w:rsidRDefault="008A681A" w:rsidP="008A681A">
      <w:pPr>
        <w:pStyle w:val="NoSpacing"/>
        <w:spacing w:line="360" w:lineRule="auto"/>
        <w:ind w:left="720" w:hanging="720"/>
        <w:rPr>
          <w:rFonts w:ascii="Arial" w:hAnsi="Arial" w:cs="Arial"/>
          <w:color w:val="000000" w:themeColor="text1"/>
          <w:sz w:val="24"/>
          <w:szCs w:val="24"/>
        </w:rPr>
      </w:pPr>
      <w:r w:rsidRPr="008A681A">
        <w:rPr>
          <w:rFonts w:ascii="Arial" w:hAnsi="Arial" w:cs="Arial"/>
          <w:color w:val="000000" w:themeColor="text1"/>
          <w:sz w:val="24"/>
          <w:szCs w:val="24"/>
        </w:rPr>
        <w:t>Johnston, R. (2012) Service operations management: improving service delivery. 4th ed. Harlow, England: Pearson. *</w:t>
      </w:r>
    </w:p>
    <w:p w14:paraId="798B73ED" w14:textId="77777777" w:rsidR="008A681A" w:rsidRPr="008A681A" w:rsidRDefault="008A681A" w:rsidP="008A681A">
      <w:pPr>
        <w:pStyle w:val="NoSpacing"/>
        <w:spacing w:line="360" w:lineRule="auto"/>
        <w:ind w:left="720" w:hanging="720"/>
        <w:rPr>
          <w:rFonts w:ascii="Arial" w:hAnsi="Arial" w:cs="Arial"/>
          <w:color w:val="000000" w:themeColor="text1"/>
          <w:sz w:val="24"/>
          <w:szCs w:val="24"/>
        </w:rPr>
      </w:pPr>
      <w:bookmarkStart w:id="2" w:name="_Int_TpACuvcq"/>
      <w:proofErr w:type="spellStart"/>
      <w:r w:rsidRPr="008A681A">
        <w:rPr>
          <w:rFonts w:ascii="Arial" w:hAnsi="Arial" w:cs="Arial"/>
          <w:color w:val="000000" w:themeColor="text1"/>
          <w:sz w:val="24"/>
          <w:szCs w:val="24"/>
        </w:rPr>
        <w:t>Motarjemi</w:t>
      </w:r>
      <w:proofErr w:type="spellEnd"/>
      <w:r w:rsidRPr="008A681A">
        <w:rPr>
          <w:rFonts w:ascii="Arial" w:hAnsi="Arial" w:cs="Arial"/>
          <w:color w:val="000000" w:themeColor="text1"/>
          <w:sz w:val="24"/>
          <w:szCs w:val="24"/>
        </w:rPr>
        <w:t xml:space="preserve">, Y and </w:t>
      </w:r>
      <w:proofErr w:type="spellStart"/>
      <w:r w:rsidRPr="008A681A">
        <w:rPr>
          <w:rFonts w:ascii="Arial" w:hAnsi="Arial" w:cs="Arial"/>
          <w:color w:val="000000" w:themeColor="text1"/>
          <w:sz w:val="24"/>
          <w:szCs w:val="24"/>
        </w:rPr>
        <w:t>Lelieveld</w:t>
      </w:r>
      <w:proofErr w:type="spellEnd"/>
      <w:r w:rsidRPr="008A681A">
        <w:rPr>
          <w:rFonts w:ascii="Arial" w:hAnsi="Arial" w:cs="Arial"/>
          <w:color w:val="000000" w:themeColor="text1"/>
          <w:sz w:val="24"/>
          <w:szCs w:val="24"/>
        </w:rPr>
        <w:t>, H (2014) Food safety management: a practical guide for the food industry.</w:t>
      </w:r>
      <w:bookmarkEnd w:id="2"/>
      <w:r w:rsidRPr="008A681A">
        <w:rPr>
          <w:rFonts w:ascii="Arial" w:hAnsi="Arial" w:cs="Arial"/>
          <w:color w:val="000000" w:themeColor="text1"/>
          <w:sz w:val="24"/>
          <w:szCs w:val="24"/>
        </w:rPr>
        <w:t xml:space="preserve"> Illustrated edition. Amsterdam: Academic </w:t>
      </w:r>
      <w:bookmarkStart w:id="3" w:name="_Int_zikeVhKp"/>
      <w:proofErr w:type="gramStart"/>
      <w:r w:rsidRPr="008A681A">
        <w:rPr>
          <w:rFonts w:ascii="Arial" w:hAnsi="Arial" w:cs="Arial"/>
          <w:color w:val="000000" w:themeColor="text1"/>
          <w:sz w:val="24"/>
          <w:szCs w:val="24"/>
        </w:rPr>
        <w:t>Press.*</w:t>
      </w:r>
      <w:bookmarkEnd w:id="3"/>
      <w:proofErr w:type="gramEnd"/>
    </w:p>
    <w:p w14:paraId="75EB4767" w14:textId="77777777" w:rsidR="008A681A" w:rsidRPr="008A681A" w:rsidRDefault="008A681A" w:rsidP="008A681A">
      <w:pPr>
        <w:pStyle w:val="NoSpacing"/>
        <w:spacing w:line="360" w:lineRule="auto"/>
        <w:ind w:left="720" w:hanging="720"/>
        <w:rPr>
          <w:rFonts w:ascii="Arial" w:hAnsi="Arial" w:cs="Arial"/>
          <w:sz w:val="24"/>
          <w:szCs w:val="24"/>
        </w:rPr>
      </w:pPr>
      <w:r w:rsidRPr="008A681A">
        <w:rPr>
          <w:rFonts w:ascii="Arial" w:hAnsi="Arial" w:cs="Arial"/>
          <w:sz w:val="24"/>
          <w:szCs w:val="24"/>
        </w:rPr>
        <w:t xml:space="preserve">Walker, J (2017) Introduction to Hospitality. Harlow: Pearson Education </w:t>
      </w:r>
      <w:bookmarkStart w:id="4" w:name="_Int_eI6CSOLu"/>
      <w:proofErr w:type="gramStart"/>
      <w:r w:rsidRPr="008A681A">
        <w:rPr>
          <w:rFonts w:ascii="Arial" w:hAnsi="Arial" w:cs="Arial"/>
          <w:sz w:val="24"/>
          <w:szCs w:val="24"/>
        </w:rPr>
        <w:t>Limited.*</w:t>
      </w:r>
      <w:bookmarkEnd w:id="4"/>
      <w:proofErr w:type="gramEnd"/>
    </w:p>
    <w:p w14:paraId="5E1F2171" w14:textId="77777777" w:rsidR="008A681A" w:rsidRPr="008A681A" w:rsidRDefault="008A681A" w:rsidP="008A681A">
      <w:pPr>
        <w:pStyle w:val="NoSpacing"/>
        <w:spacing w:line="360" w:lineRule="auto"/>
        <w:ind w:left="720" w:hanging="720"/>
        <w:rPr>
          <w:rFonts w:ascii="Arial" w:hAnsi="Arial" w:cs="Arial"/>
          <w:sz w:val="24"/>
          <w:szCs w:val="24"/>
        </w:rPr>
      </w:pPr>
      <w:r w:rsidRPr="008A681A">
        <w:rPr>
          <w:rFonts w:ascii="Arial" w:hAnsi="Arial" w:cs="Arial"/>
          <w:sz w:val="24"/>
          <w:szCs w:val="24"/>
        </w:rPr>
        <w:t>Wood, R. (2013) Key Concepts in Hospitality Management. London: Sage*</w:t>
      </w:r>
    </w:p>
    <w:p w14:paraId="6B52E2F6" w14:textId="77777777" w:rsidR="008A681A" w:rsidRPr="008A681A" w:rsidRDefault="008A681A" w:rsidP="008A681A">
      <w:pPr>
        <w:pStyle w:val="NoSpacing"/>
        <w:spacing w:line="360" w:lineRule="auto"/>
        <w:ind w:left="720" w:hanging="720"/>
        <w:rPr>
          <w:rFonts w:ascii="Arial" w:hAnsi="Arial" w:cs="Arial"/>
          <w:color w:val="000000" w:themeColor="text1"/>
          <w:sz w:val="24"/>
          <w:szCs w:val="24"/>
        </w:rPr>
      </w:pPr>
      <w:proofErr w:type="spellStart"/>
      <w:r w:rsidRPr="008A681A">
        <w:rPr>
          <w:rFonts w:ascii="Arial" w:hAnsi="Arial" w:cs="Arial"/>
          <w:color w:val="000000" w:themeColor="text1"/>
          <w:sz w:val="24"/>
          <w:szCs w:val="24"/>
        </w:rPr>
        <w:t>Zutshi</w:t>
      </w:r>
      <w:proofErr w:type="spellEnd"/>
      <w:r w:rsidRPr="008A681A">
        <w:rPr>
          <w:rFonts w:ascii="Arial" w:hAnsi="Arial" w:cs="Arial"/>
          <w:color w:val="000000" w:themeColor="text1"/>
          <w:sz w:val="24"/>
          <w:szCs w:val="24"/>
        </w:rPr>
        <w:t>, A. (2019) ‘How to develop well-informed and assured teams to embed food safety compliance in the UK catering and hospitality industry', Perspectives in Public Health, 139(6), pp. 294–</w:t>
      </w:r>
      <w:bookmarkStart w:id="5" w:name="_Int_YUp27fE3"/>
      <w:proofErr w:type="gramStart"/>
      <w:r w:rsidRPr="008A681A">
        <w:rPr>
          <w:rFonts w:ascii="Arial" w:hAnsi="Arial" w:cs="Arial"/>
          <w:color w:val="000000" w:themeColor="text1"/>
          <w:sz w:val="24"/>
          <w:szCs w:val="24"/>
        </w:rPr>
        <w:t>295.*</w:t>
      </w:r>
      <w:bookmarkEnd w:id="5"/>
      <w:proofErr w:type="gramEnd"/>
    </w:p>
    <w:sectPr w:rsidR="008A681A" w:rsidRPr="008A681A">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98CEA" w14:textId="77777777" w:rsidR="0032711F" w:rsidRDefault="0032711F" w:rsidP="008A681A">
      <w:pPr>
        <w:spacing w:after="0" w:line="240" w:lineRule="auto"/>
      </w:pPr>
      <w:r>
        <w:separator/>
      </w:r>
    </w:p>
  </w:endnote>
  <w:endnote w:type="continuationSeparator" w:id="0">
    <w:p w14:paraId="3FA65F67" w14:textId="77777777" w:rsidR="0032711F" w:rsidRDefault="0032711F" w:rsidP="008A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059401"/>
      <w:docPartObj>
        <w:docPartGallery w:val="Page Numbers (Bottom of Page)"/>
        <w:docPartUnique/>
      </w:docPartObj>
    </w:sdtPr>
    <w:sdtEndPr>
      <w:rPr>
        <w:rFonts w:ascii="Arial" w:hAnsi="Arial" w:cs="Arial"/>
        <w:noProof/>
        <w:sz w:val="24"/>
        <w:szCs w:val="24"/>
      </w:rPr>
    </w:sdtEndPr>
    <w:sdtContent>
      <w:p w14:paraId="61207A42" w14:textId="1692A524" w:rsidR="008A681A" w:rsidRPr="008A681A" w:rsidRDefault="008A681A">
        <w:pPr>
          <w:pStyle w:val="Footer"/>
          <w:jc w:val="center"/>
          <w:rPr>
            <w:rFonts w:ascii="Arial" w:hAnsi="Arial" w:cs="Arial"/>
            <w:sz w:val="24"/>
            <w:szCs w:val="24"/>
          </w:rPr>
        </w:pPr>
        <w:r w:rsidRPr="008A681A">
          <w:rPr>
            <w:rFonts w:ascii="Arial" w:hAnsi="Arial" w:cs="Arial"/>
            <w:sz w:val="24"/>
            <w:szCs w:val="24"/>
          </w:rPr>
          <w:fldChar w:fldCharType="begin"/>
        </w:r>
        <w:r w:rsidRPr="008A681A">
          <w:rPr>
            <w:rFonts w:ascii="Arial" w:hAnsi="Arial" w:cs="Arial"/>
            <w:sz w:val="24"/>
            <w:szCs w:val="24"/>
          </w:rPr>
          <w:instrText xml:space="preserve"> PAGE   \* MERGEFORMAT </w:instrText>
        </w:r>
        <w:r w:rsidRPr="008A681A">
          <w:rPr>
            <w:rFonts w:ascii="Arial" w:hAnsi="Arial" w:cs="Arial"/>
            <w:sz w:val="24"/>
            <w:szCs w:val="24"/>
          </w:rPr>
          <w:fldChar w:fldCharType="separate"/>
        </w:r>
        <w:r w:rsidRPr="008A681A">
          <w:rPr>
            <w:rFonts w:ascii="Arial" w:hAnsi="Arial" w:cs="Arial"/>
            <w:noProof/>
            <w:sz w:val="24"/>
            <w:szCs w:val="24"/>
          </w:rPr>
          <w:t>2</w:t>
        </w:r>
        <w:r w:rsidRPr="008A681A">
          <w:rPr>
            <w:rFonts w:ascii="Arial" w:hAnsi="Arial" w:cs="Arial"/>
            <w:noProof/>
            <w:sz w:val="24"/>
            <w:szCs w:val="24"/>
          </w:rPr>
          <w:fldChar w:fldCharType="end"/>
        </w:r>
      </w:p>
    </w:sdtContent>
  </w:sdt>
  <w:p w14:paraId="46D5ABD7" w14:textId="77777777" w:rsidR="008A681A" w:rsidRDefault="008A6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F36C9" w14:textId="77777777" w:rsidR="0032711F" w:rsidRDefault="0032711F" w:rsidP="008A681A">
      <w:pPr>
        <w:spacing w:after="0" w:line="240" w:lineRule="auto"/>
      </w:pPr>
      <w:r>
        <w:separator/>
      </w:r>
    </w:p>
  </w:footnote>
  <w:footnote w:type="continuationSeparator" w:id="0">
    <w:p w14:paraId="39EA65C9" w14:textId="77777777" w:rsidR="0032711F" w:rsidRDefault="0032711F" w:rsidP="008A681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IJNCqsfzzCBIw" int2:id="Ke3MpDLx">
      <int2:state int2:value="Rejected" int2:type="AugLoop_Text_Critique"/>
    </int2:textHash>
    <int2:textHash int2:hashCode="iINztqY/zrNWlw" int2:id="nvrkjpaS">
      <int2:state int2:value="Rejected" int2:type="AugLoop_Text_Critique"/>
    </int2:textHash>
    <int2:textHash int2:hashCode="oEq8M5r9m3gA+e" int2:id="9t3X9spm">
      <int2:state int2:value="Rejected" int2:type="AugLoop_Text_Critique"/>
    </int2:textHash>
    <int2:textHash int2:hashCode="wKu9SknmnWE/l7" int2:id="N0tGfZHy">
      <int2:state int2:value="Rejected" int2:type="AugLoop_Text_Critique"/>
    </int2:textHash>
    <int2:textHash int2:hashCode="UBMg/mJIFHPN60" int2:id="4jVJ6DiC">
      <int2:state int2:value="Rejected" int2:type="AugLoop_Text_Critique"/>
    </int2:textHash>
    <int2:bookmark int2:bookmarkName="_Int_vLUhPPfa" int2:invalidationBookmarkName="" int2:hashCode="7XSvwm08RU2xlx" int2:id="2MomhPwJ">
      <int2:extLst>
        <oel:ext uri="426473B9-03D8-482F-96C9-C2C85392BACA">
          <int2:similarityCritique int2:version="1" int2:context="LECTURERS:  Tristan Hawkins, Ffion Cumberpatch, Melissa John, Laurence Blake, Rohan Dubrey">
            <int2:source int2:sourceType="Online" int2:sourceTitle="UNIVERSITY-OF-WALES--TRINITY-SAINT-DAVID-journal-1.pdf - BA..." int2:sourceUrl="https://www.coursehero.com/file/189492086/UNIVERSITY-OF-WALES-TRINITY-SAINT-DAVID-journal-1pdf/" int2:sourceSnippet="Page 9 of 38 BA ASSIGNMENT SPECIFICATION HOSPITALITY &amp; TOURISM MANAGEMENT Student name: Student number: Programmes: BA International Hotel Management Module: Food &amp; Beverage Operations Module Level (4, 5, 6): 4 Module code: BMIH4002 Contribution to Overall Module Assessment (%): 25% Lecturers: Tristan Hawkins, Ffion Cumberpatch, Melissa John, Laurence Blake, Rohan Dubrey Internal Verifier ...">
              <int2:suggestions int2:citationType="Inline">
                <int2:suggestion int2:citationStyle="Mla" int2:isIdentical="1">
                  <int2:citationText>(“UNIVERSITY-OF-WALES--TRINITY-SAINT-DAVID-journal-1.pdf - BA...”)</int2:citationText>
                </int2:suggestion>
                <int2:suggestion int2:citationStyle="Apa" int2:isIdentical="1">
                  <int2:citationText>(“UNIVERSITY-OF-WALES--TRINITY-SAINT-DAVID-journal-1.pdf - BA...”)</int2:citationText>
                </int2:suggestion>
                <int2:suggestion int2:citationStyle="Chicago" int2:isIdentical="1">
                  <int2:citationText>(“UNIVERSITY-OF-WALES--TRINITY-SAINT-DAVID-journal-1.pdf - BA...”)</int2:citationText>
                </int2:suggestion>
              </int2:suggestions>
              <int2:suggestions int2:citationType="Full">
                <int2:suggestion int2:citationStyle="Mla" int2:isIdentical="1">
                  <int2:citationText>&lt;i&gt;UNIVERSITY-OF-WALES--TRINITY-SAINT-DAVID-journal-1.pdf - BA...&lt;/i&gt;, https://www.coursehero.com/file/189492086/UNIVERSITY-OF-WALES-TRINITY-SAINT-DAVID-journal-1pdf/.</int2:citationText>
                </int2:suggestion>
                <int2:suggestion int2:citationStyle="Apa" int2:isIdentical="1">
                  <int2:citationText>&lt;i&gt;UNIVERSITY-OF-WALES--TRINITY-SAINT-DAVID-journal-1.pdf - BA...&lt;/i&gt;. (n.d.). Retrieved from https://www.coursehero.com/file/189492086/UNIVERSITY-OF-WALES-TRINITY-SAINT-DAVID-journal-1pdf/</int2:citationText>
                </int2:suggestion>
                <int2:suggestion int2:citationStyle="Chicago" int2:isIdentical="1">
                  <int2:citationText>“UNIVERSITY-OF-WALES--TRINITY-SAINT-DAVID-journal-1.pdf - BA...” n.d., https://www.coursehero.com/file/189492086/UNIVERSITY-OF-WALES-TRINITY-SAINT-DAVID-journal-1pdf/.</int2:citationText>
                </int2:suggestion>
              </int2:suggestions>
            </int2:source>
          </int2:similarityCritique>
        </oel:ext>
      </int2:extLst>
    </int2:bookmark>
    <int2:bookmark int2:bookmarkName="_Int_r6kDOSrz" int2:invalidationBookmarkName="" int2:hashCode="lRsd1Xjmj+Gjm0" int2:id="Y8CI1o6T">
      <int2:extLst>
        <oel:ext uri="426473B9-03D8-482F-96C9-C2C85392BACA">
          <int2:similarityCritique int2:version="1" int2:context="Brown, D. R., TotalBoox and TBX (2013) The Restaurant Manager’s Handbook: How to Set Up, Operate, and Manage a Financially Successful Food Service Operation.">
            <int2:source int2:sourceType="Online" int2:sourceTitle="Food and Beverage Operations – CookMyProject" int2:sourceUrl="https://cookmyproject.com/blog/food-and-beverage-operations-4/" int2:sourceSnippet="Brown, D. R., TotalBoox and TBX (2013) The Restaurant Manager’s Handbook : How to Set Up, Operate, and Manage a Financially Successful Food Service Operation. 4th Edition. Atlantic Publishing Group* Cousins et al. (2011) Food and beverage management: For the hospitality, tourism and event industries. 3rd edn. Oxford: Goodfellow. Foskett, D ...">
              <int2:suggestions int2:citationType="Inline">
                <int2:suggestion int2:citationStyle="Mla" int2:isIdentical="0">
                  <int2:citationText>(“Food and Beverage Operations – CookMyProject”)</int2:citationText>
                </int2:suggestion>
                <int2:suggestion int2:citationStyle="Apa" int2:isIdentical="0">
                  <int2:citationText>(“Food and Beverage Operations – CookMyProject”)</int2:citationText>
                </int2:suggestion>
                <int2:suggestion int2:citationStyle="Chicago" int2:isIdentical="0">
                  <int2:citationText>(“Food and Beverage Operations – CookMyProject”)</int2:citationText>
                </int2:suggestion>
              </int2:suggestions>
              <int2:suggestions int2:citationType="Full">
                <int2:suggestion int2:citationStyle="Mla" int2:isIdentical="0">
                  <int2:citationText>&lt;i&gt;Food and Beverage Operations – CookMyProject&lt;/i&gt;, https://cookmyproject.com/blog/food-and-beverage-operations-4/.</int2:citationText>
                </int2:suggestion>
                <int2:suggestion int2:citationStyle="Apa" int2:isIdentical="0">
                  <int2:citationText>&lt;i&gt;Food and Beverage Operations – CookMyProject&lt;/i&gt;. (n.d.). Retrieved from https://cookmyproject.com/blog/food-and-beverage-operations-4/</int2:citationText>
                </int2:suggestion>
                <int2:suggestion int2:citationStyle="Chicago" int2:isIdentical="0">
                  <int2:citationText>“Food and Beverage Operations – CookMyProject” n.d., https://cookmyproject.com/blog/food-and-beverage-operations-4/.</int2:citationText>
                </int2:suggestion>
              </int2:suggestions>
            </int2:source>
          </int2:similarityCritique>
        </oel:ext>
      </int2:extLst>
    </int2:bookmark>
    <int2:bookmark int2:bookmarkName="_Int_TpACuvcq" int2:invalidationBookmarkName="" int2:hashCode="phhVtgupaCHWTi" int2:id="9pjuo5Q7">
      <int2:extLst>
        <oel:ext uri="426473B9-03D8-482F-96C9-C2C85392BACA">
          <int2:similarityCritique int2:version="1" int2:context="Motarjemi, Y and Lelieveld, H (2014) Food safety management: a practical guide for the food industry.">
            <int2:source int2:sourceType="Online" int2:sourceTitle="MODULE DOCUMENTATION - GMIT" int2:sourceUrl="https://www.gmit.ie/sites/default/files/media/legacy/food-legislation-regulatory-affairs-m-17-99-hosp08027.pdf" int2:sourceSnippet="Motarjemi, Y. and Lelieveld, H. (2014) Food Safety Management. A Practical Guide for the Food Industry. London: Academic Press. Szajkowska, A (2012) Regulating food law: risk analysis and the precautionary principles as general principles of EU food law. Wageningen: Academic Publisher Online Resources www.gov.ie www.nsai.ie www.iec.ch. www ...">
              <int2:suggestions int2:citationType="Inline">
                <int2:suggestion int2:citationStyle="Mla" int2:isIdentical="0">
                  <int2:citationText>(“MODULE DOCUMENTATION - GMIT”)</int2:citationText>
                </int2:suggestion>
                <int2:suggestion int2:citationStyle="Apa" int2:isIdentical="0">
                  <int2:citationText>(“MODULE DOCUMENTATION - GMIT”)</int2:citationText>
                </int2:suggestion>
                <int2:suggestion int2:citationStyle="Chicago" int2:isIdentical="0">
                  <int2:citationText>(“MODULE DOCUMENTATION - GMIT”)</int2:citationText>
                </int2:suggestion>
              </int2:suggestions>
              <int2:suggestions int2:citationType="Full">
                <int2:suggestion int2:citationStyle="Mla" int2:isIdentical="0">
                  <int2:citationText>&lt;i&gt;MODULE DOCUMENTATION - GMIT&lt;/i&gt;, https://www.gmit.ie/sites/default/files/media/legacy/food-legislation-regulatory-affairs-m-17-99-hosp08027.pdf.</int2:citationText>
                </int2:suggestion>
                <int2:suggestion int2:citationStyle="Apa" int2:isIdentical="0">
                  <int2:citationText>&lt;i&gt;MODULE DOCUMENTATION - GMIT&lt;/i&gt;. (n.d.). Retrieved from https://www.gmit.ie/sites/default/files/media/legacy/food-legislation-regulatory-affairs-m-17-99-hosp08027.pdf</int2:citationText>
                </int2:suggestion>
                <int2:suggestion int2:citationStyle="Chicago" int2:isIdentical="0">
                  <int2:citationText>“MODULE DOCUMENTATION - GMIT” n.d., https://www.gmit.ie/sites/default/files/media/legacy/food-legislation-regulatory-affairs-m-17-99-hosp08027.pdf.</int2:citationText>
                </int2:suggestion>
              </int2:suggestions>
            </int2:source>
          </int2:similarityCritique>
        </oel:ext>
      </int2:extLst>
    </int2:bookmark>
    <int2:bookmark int2:bookmarkName="_Int_zikeVhKp" int2:invalidationBookmarkName="" int2:hashCode="ZPvMLPXp7D5IQA" int2:id="4zfJaptK">
      <int2:state int2:value="Rejected" int2:type="AugLoop_Text_Critique"/>
    </int2:bookmark>
    <int2:bookmark int2:bookmarkName="_Int_eI6CSOLu" int2:invalidationBookmarkName="" int2:hashCode="B7qJsCs8IbPbXD" int2:id="ALY48goa">
      <int2:state int2:value="Rejected" int2:type="AugLoop_Text_Critique"/>
    </int2:bookmark>
    <int2:bookmark int2:bookmarkName="_Int_YUp27fE3" int2:invalidationBookmarkName="" int2:hashCode="rTWIJ6pnhUB6H7" int2:id="oEIq2hxc">
      <int2:state int2:value="Rejected" int2:type="AugLoop_Text_Critique"/>
    </int2:bookmark>
    <int2:entireDocument int2:id="oCq3BJx0">
      <int2:extLst>
        <oel:ext uri="E302BA01-7950-474C-9AD3-286E660C40A8">
          <int2:similaritySummary int2:version="1" int2:runId="1675838899242" int2:tilesCheckedInThisRun="0" int2:totalNumOfTiles="25" int2:similarityAnnotationCount="3" int2:numWords="913" int2:numFlaggedWords="51"/>
        </oel:ext>
      </int2:extLst>
    </int2:entireDocument>
  </int2:observations>
  <int2:intelligenceSettings/>
  <int2:onDemandWorkflows>
    <int2:onDemandWorkflow int2:type="SimilarityCheck" int2:paragraphVersions="2DDA0BB1-46FD0FF2 681F9CC8-39FB768A 0A1226CF-3F1723B6 0B2020DE-3CD838F2 58668FB3-7C5A7011 185EAE27-0B75850E 2BABDE9F-28CEFEDE 7E21D714-4271D6FA 2829BF70-15D63176 3818052A-2F269CAE 0DEE2DA1-51B6CA4F 14CBA403-16467C52 47E600C8-45070FA1 5BE1CB01-46930611 19CDE616-28F68941 0496B1FB-12B46784 49F5547D-6DDB8FE3 5E12039B-29D21CA6 316E12F3-5BAE0FD9 3972991D-76BAD157 2FAB70FA-2887522B 0730DE6A-2BCE62B2 1CFDA160-101C1E97 2595176E-6646AD3E 2C078E63-33451285 21626AD4-2EC4D5D2 3CE6C099-66B79AF2 509A38C6-7C44902A 3E406664-6A610A7C 772FA1D8-06D20D21 063ED492-2FE0CC38 5474B80A-22015DA1 0F66B51F-6524C9AF 0C1AEB73-300F7BDE 1206D2CA-2E93D351 253DE653-166B15D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C54341"/>
    <w:rsid w:val="000723D1"/>
    <w:rsid w:val="0032711F"/>
    <w:rsid w:val="00434E09"/>
    <w:rsid w:val="00666127"/>
    <w:rsid w:val="007171AA"/>
    <w:rsid w:val="008A681A"/>
    <w:rsid w:val="04C54341"/>
    <w:rsid w:val="066716A9"/>
    <w:rsid w:val="7461E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4341"/>
  <w15:chartTrackingRefBased/>
  <w15:docId w15:val="{89DC4A4B-992B-4B66-A0BF-F7A98B60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66716A9"/>
    <w:rPr>
      <w:lang w:val="en-GB"/>
    </w:rPr>
  </w:style>
  <w:style w:type="paragraph" w:styleId="Heading1">
    <w:name w:val="heading 1"/>
    <w:basedOn w:val="Normal"/>
    <w:next w:val="Normal"/>
    <w:link w:val="Heading1Char"/>
    <w:uiPriority w:val="9"/>
    <w:qFormat/>
    <w:rsid w:val="066716A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66716A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66716A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66716A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66716A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66716A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66716A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66716A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66716A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66716A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66716A9"/>
    <w:rPr>
      <w:rFonts w:eastAsiaTheme="minorEastAsia"/>
      <w:color w:val="5A5A5A"/>
    </w:rPr>
  </w:style>
  <w:style w:type="paragraph" w:styleId="Quote">
    <w:name w:val="Quote"/>
    <w:basedOn w:val="Normal"/>
    <w:next w:val="Normal"/>
    <w:link w:val="QuoteChar"/>
    <w:uiPriority w:val="29"/>
    <w:qFormat/>
    <w:rsid w:val="066716A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66716A9"/>
    <w:pPr>
      <w:spacing w:before="360" w:after="360"/>
      <w:ind w:left="864" w:right="864"/>
      <w:jc w:val="center"/>
    </w:pPr>
    <w:rPr>
      <w:i/>
      <w:iCs/>
      <w:color w:val="4472C4" w:themeColor="accent1"/>
    </w:rPr>
  </w:style>
  <w:style w:type="paragraph" w:styleId="ListParagraph">
    <w:name w:val="List Paragraph"/>
    <w:basedOn w:val="Normal"/>
    <w:uiPriority w:val="34"/>
    <w:qFormat/>
    <w:rsid w:val="066716A9"/>
    <w:pPr>
      <w:ind w:left="720"/>
      <w:contextualSpacing/>
    </w:pPr>
  </w:style>
  <w:style w:type="character" w:customStyle="1" w:styleId="Heading1Char">
    <w:name w:val="Heading 1 Char"/>
    <w:basedOn w:val="DefaultParagraphFont"/>
    <w:link w:val="Heading1"/>
    <w:uiPriority w:val="9"/>
    <w:rsid w:val="066716A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66716A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66716A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66716A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66716A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66716A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66716A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66716A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66716A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66716A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66716A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66716A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66716A9"/>
    <w:rPr>
      <w:i/>
      <w:iCs/>
      <w:noProof w:val="0"/>
      <w:color w:val="4472C4" w:themeColor="accent1"/>
      <w:lang w:val="en-GB"/>
    </w:rPr>
  </w:style>
  <w:style w:type="paragraph" w:styleId="TOC1">
    <w:name w:val="toc 1"/>
    <w:basedOn w:val="Normal"/>
    <w:next w:val="Normal"/>
    <w:uiPriority w:val="39"/>
    <w:unhideWhenUsed/>
    <w:rsid w:val="066716A9"/>
    <w:pPr>
      <w:spacing w:after="100"/>
    </w:pPr>
  </w:style>
  <w:style w:type="paragraph" w:styleId="TOC2">
    <w:name w:val="toc 2"/>
    <w:basedOn w:val="Normal"/>
    <w:next w:val="Normal"/>
    <w:uiPriority w:val="39"/>
    <w:unhideWhenUsed/>
    <w:rsid w:val="066716A9"/>
    <w:pPr>
      <w:spacing w:after="100"/>
      <w:ind w:left="220"/>
    </w:pPr>
  </w:style>
  <w:style w:type="paragraph" w:styleId="TOC3">
    <w:name w:val="toc 3"/>
    <w:basedOn w:val="Normal"/>
    <w:next w:val="Normal"/>
    <w:uiPriority w:val="39"/>
    <w:unhideWhenUsed/>
    <w:rsid w:val="066716A9"/>
    <w:pPr>
      <w:spacing w:after="100"/>
      <w:ind w:left="440"/>
    </w:pPr>
  </w:style>
  <w:style w:type="paragraph" w:styleId="TOC4">
    <w:name w:val="toc 4"/>
    <w:basedOn w:val="Normal"/>
    <w:next w:val="Normal"/>
    <w:uiPriority w:val="39"/>
    <w:unhideWhenUsed/>
    <w:rsid w:val="066716A9"/>
    <w:pPr>
      <w:spacing w:after="100"/>
      <w:ind w:left="660"/>
    </w:pPr>
  </w:style>
  <w:style w:type="paragraph" w:styleId="TOC5">
    <w:name w:val="toc 5"/>
    <w:basedOn w:val="Normal"/>
    <w:next w:val="Normal"/>
    <w:uiPriority w:val="39"/>
    <w:unhideWhenUsed/>
    <w:rsid w:val="066716A9"/>
    <w:pPr>
      <w:spacing w:after="100"/>
      <w:ind w:left="880"/>
    </w:pPr>
  </w:style>
  <w:style w:type="paragraph" w:styleId="TOC6">
    <w:name w:val="toc 6"/>
    <w:basedOn w:val="Normal"/>
    <w:next w:val="Normal"/>
    <w:uiPriority w:val="39"/>
    <w:unhideWhenUsed/>
    <w:rsid w:val="066716A9"/>
    <w:pPr>
      <w:spacing w:after="100"/>
      <w:ind w:left="1100"/>
    </w:pPr>
  </w:style>
  <w:style w:type="paragraph" w:styleId="TOC7">
    <w:name w:val="toc 7"/>
    <w:basedOn w:val="Normal"/>
    <w:next w:val="Normal"/>
    <w:uiPriority w:val="39"/>
    <w:unhideWhenUsed/>
    <w:rsid w:val="066716A9"/>
    <w:pPr>
      <w:spacing w:after="100"/>
      <w:ind w:left="1320"/>
    </w:pPr>
  </w:style>
  <w:style w:type="paragraph" w:styleId="TOC8">
    <w:name w:val="toc 8"/>
    <w:basedOn w:val="Normal"/>
    <w:next w:val="Normal"/>
    <w:uiPriority w:val="39"/>
    <w:unhideWhenUsed/>
    <w:rsid w:val="066716A9"/>
    <w:pPr>
      <w:spacing w:after="100"/>
      <w:ind w:left="1540"/>
    </w:pPr>
  </w:style>
  <w:style w:type="paragraph" w:styleId="TOC9">
    <w:name w:val="toc 9"/>
    <w:basedOn w:val="Normal"/>
    <w:next w:val="Normal"/>
    <w:uiPriority w:val="39"/>
    <w:unhideWhenUsed/>
    <w:rsid w:val="066716A9"/>
    <w:pPr>
      <w:spacing w:after="100"/>
      <w:ind w:left="1760"/>
    </w:pPr>
  </w:style>
  <w:style w:type="paragraph" w:styleId="EndnoteText">
    <w:name w:val="endnote text"/>
    <w:basedOn w:val="Normal"/>
    <w:link w:val="EndnoteTextChar"/>
    <w:uiPriority w:val="99"/>
    <w:semiHidden/>
    <w:unhideWhenUsed/>
    <w:rsid w:val="066716A9"/>
    <w:pPr>
      <w:spacing w:after="0"/>
    </w:pPr>
    <w:rPr>
      <w:sz w:val="20"/>
      <w:szCs w:val="20"/>
    </w:rPr>
  </w:style>
  <w:style w:type="character" w:customStyle="1" w:styleId="EndnoteTextChar">
    <w:name w:val="Endnote Text Char"/>
    <w:basedOn w:val="DefaultParagraphFont"/>
    <w:link w:val="EndnoteText"/>
    <w:uiPriority w:val="99"/>
    <w:semiHidden/>
    <w:rsid w:val="066716A9"/>
    <w:rPr>
      <w:noProof w:val="0"/>
      <w:sz w:val="20"/>
      <w:szCs w:val="20"/>
      <w:lang w:val="en-GB"/>
    </w:rPr>
  </w:style>
  <w:style w:type="paragraph" w:styleId="Footer">
    <w:name w:val="footer"/>
    <w:basedOn w:val="Normal"/>
    <w:link w:val="FooterChar"/>
    <w:uiPriority w:val="99"/>
    <w:unhideWhenUsed/>
    <w:rsid w:val="066716A9"/>
    <w:pPr>
      <w:tabs>
        <w:tab w:val="center" w:pos="4680"/>
        <w:tab w:val="right" w:pos="9360"/>
      </w:tabs>
      <w:spacing w:after="0"/>
    </w:pPr>
  </w:style>
  <w:style w:type="character" w:customStyle="1" w:styleId="FooterChar">
    <w:name w:val="Footer Char"/>
    <w:basedOn w:val="DefaultParagraphFont"/>
    <w:link w:val="Footer"/>
    <w:uiPriority w:val="99"/>
    <w:rsid w:val="066716A9"/>
    <w:rPr>
      <w:noProof w:val="0"/>
      <w:lang w:val="en-GB"/>
    </w:rPr>
  </w:style>
  <w:style w:type="paragraph" w:styleId="FootnoteText">
    <w:name w:val="footnote text"/>
    <w:basedOn w:val="Normal"/>
    <w:link w:val="FootnoteTextChar"/>
    <w:uiPriority w:val="99"/>
    <w:semiHidden/>
    <w:unhideWhenUsed/>
    <w:rsid w:val="066716A9"/>
    <w:pPr>
      <w:spacing w:after="0"/>
    </w:pPr>
    <w:rPr>
      <w:sz w:val="20"/>
      <w:szCs w:val="20"/>
    </w:rPr>
  </w:style>
  <w:style w:type="character" w:customStyle="1" w:styleId="FootnoteTextChar">
    <w:name w:val="Footnote Text Char"/>
    <w:basedOn w:val="DefaultParagraphFont"/>
    <w:link w:val="FootnoteText"/>
    <w:uiPriority w:val="99"/>
    <w:semiHidden/>
    <w:rsid w:val="066716A9"/>
    <w:rPr>
      <w:noProof w:val="0"/>
      <w:sz w:val="20"/>
      <w:szCs w:val="20"/>
      <w:lang w:val="en-GB"/>
    </w:rPr>
  </w:style>
  <w:style w:type="paragraph" w:styleId="Header">
    <w:name w:val="header"/>
    <w:basedOn w:val="Normal"/>
    <w:link w:val="HeaderChar"/>
    <w:uiPriority w:val="99"/>
    <w:unhideWhenUsed/>
    <w:rsid w:val="066716A9"/>
    <w:pPr>
      <w:tabs>
        <w:tab w:val="center" w:pos="4680"/>
        <w:tab w:val="right" w:pos="9360"/>
      </w:tabs>
      <w:spacing w:after="0"/>
    </w:pPr>
  </w:style>
  <w:style w:type="character" w:customStyle="1" w:styleId="HeaderChar">
    <w:name w:val="Header Char"/>
    <w:basedOn w:val="DefaultParagraphFont"/>
    <w:link w:val="Header"/>
    <w:uiPriority w:val="99"/>
    <w:rsid w:val="066716A9"/>
    <w:rPr>
      <w:noProof w:val="0"/>
      <w:lang w:val="en-GB"/>
    </w:rPr>
  </w:style>
  <w:style w:type="paragraph" w:styleId="NoSpacing">
    <w:name w:val="No Spacing"/>
    <w:uiPriority w:val="1"/>
    <w:qFormat/>
    <w:rsid w:val="008A681A"/>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916</Words>
  <Characters>5225</Characters>
  <Application>Microsoft Office Word</Application>
  <DocSecurity>0</DocSecurity>
  <Lines>43</Lines>
  <Paragraphs>12</Paragraphs>
  <ScaleCrop>false</ScaleCrop>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Ewelina Szymoniak (2122793)</cp:lastModifiedBy>
  <cp:revision>3</cp:revision>
  <dcterms:created xsi:type="dcterms:W3CDTF">2023-02-09T06:22:00Z</dcterms:created>
  <dcterms:modified xsi:type="dcterms:W3CDTF">2023-02-22T19:01:00Z</dcterms:modified>
</cp:coreProperties>
</file>