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0572880">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632C4F1F" w:rsidR="021F216E" w:rsidRPr="00422662" w:rsidRDefault="00555295" w:rsidP="021F216E">
      <w:pPr>
        <w:jc w:val="center"/>
        <w:rPr>
          <w:rFonts w:ascii="Arial Nova" w:eastAsia="Arial Nova" w:hAnsi="Arial Nova" w:cs="Arial Nova"/>
          <w:sz w:val="44"/>
          <w:szCs w:val="44"/>
        </w:rPr>
      </w:pPr>
      <w:r w:rsidRPr="00422662">
        <w:rPr>
          <w:rFonts w:ascii="Arial Nova" w:eastAsia="Arial Nova" w:hAnsi="Arial Nova" w:cs="Arial Nova"/>
          <w:sz w:val="44"/>
          <w:szCs w:val="44"/>
        </w:rPr>
        <w:t>Name Shabana Tabasum</w:t>
      </w:r>
    </w:p>
    <w:p w14:paraId="12ACEFB8" w14:textId="69C7482A" w:rsidR="00555295" w:rsidRPr="00422662" w:rsidRDefault="00555295" w:rsidP="021F216E">
      <w:pPr>
        <w:jc w:val="center"/>
        <w:rPr>
          <w:rFonts w:ascii="Arial Nova" w:eastAsia="Arial Nova" w:hAnsi="Arial Nova" w:cs="Arial Nova"/>
          <w:sz w:val="44"/>
          <w:szCs w:val="44"/>
        </w:rPr>
      </w:pPr>
      <w:r w:rsidRPr="00422662">
        <w:rPr>
          <w:rFonts w:ascii="Arial Nova" w:eastAsia="Arial Nova" w:hAnsi="Arial Nova" w:cs="Arial Nova"/>
          <w:sz w:val="44"/>
          <w:szCs w:val="44"/>
        </w:rPr>
        <w:t>Student no 2331699.</w:t>
      </w:r>
    </w:p>
    <w:p w14:paraId="32D9D370" w14:textId="3D13DEF4" w:rsidR="00555295" w:rsidRPr="00555295" w:rsidRDefault="00555295" w:rsidP="021F216E">
      <w:pPr>
        <w:jc w:val="center"/>
        <w:rPr>
          <w:rFonts w:ascii="Arial Nova" w:eastAsia="Arial Nova" w:hAnsi="Arial Nova" w:cs="Arial Nova"/>
        </w:rPr>
      </w:pPr>
    </w:p>
    <w:p w14:paraId="6E29075D" w14:textId="77777777" w:rsidR="00422662" w:rsidRPr="00422662" w:rsidRDefault="00422662" w:rsidP="00422662">
      <w:pPr>
        <w:jc w:val="center"/>
        <w:rPr>
          <w:rFonts w:ascii="Arial Nova" w:eastAsia="Arial Nova" w:hAnsi="Arial Nova" w:cs="Arial Nova"/>
          <w:b/>
          <w:bCs/>
          <w:sz w:val="40"/>
          <w:szCs w:val="40"/>
          <w:lang w:val="en-GB"/>
        </w:rPr>
      </w:pPr>
      <w:r w:rsidRPr="00422662">
        <w:rPr>
          <w:rFonts w:ascii="Arial Nova" w:eastAsia="Arial Nova" w:hAnsi="Arial Nova" w:cs="Arial Nova"/>
          <w:b/>
          <w:bCs/>
          <w:sz w:val="40"/>
          <w:szCs w:val="40"/>
          <w:lang w:val="en-GB"/>
        </w:rPr>
        <w:t>Changemakers: Building your Personal Brand for Sustainable Employment (BMHP5015_BIRM)</w:t>
      </w:r>
    </w:p>
    <w:p w14:paraId="33535727" w14:textId="426F2014" w:rsidR="021F216E" w:rsidRPr="00B43E4A" w:rsidRDefault="00422662" w:rsidP="021F216E">
      <w:pPr>
        <w:jc w:val="center"/>
        <w:rPr>
          <w:rFonts w:ascii="Arial Nova" w:eastAsia="Arial Nova" w:hAnsi="Arial Nova" w:cs="Arial Nova"/>
          <w:sz w:val="40"/>
          <w:szCs w:val="40"/>
          <w:lang w:val="en-GB"/>
        </w:rPr>
      </w:pPr>
      <w:r w:rsidRPr="00B43E4A">
        <w:rPr>
          <w:rFonts w:ascii="Arial Nova" w:eastAsia="Arial Nova" w:hAnsi="Arial Nova" w:cs="Arial Nova"/>
          <w:b/>
          <w:bCs/>
          <w:sz w:val="40"/>
          <w:szCs w:val="40"/>
        </w:rPr>
        <w:t>Module Tutors,</w:t>
      </w:r>
      <w:r w:rsidRPr="00B43E4A">
        <w:rPr>
          <w:rFonts w:ascii="Aptos" w:hAnsi="Aptos"/>
          <w:color w:val="1D2125"/>
          <w:sz w:val="40"/>
          <w:szCs w:val="40"/>
          <w:shd w:val="clear" w:color="auto" w:fill="FFFFFF"/>
        </w:rPr>
        <w:t xml:space="preserve"> </w:t>
      </w:r>
      <w:r w:rsidRPr="00B43E4A">
        <w:rPr>
          <w:rFonts w:ascii="Arial Nova" w:eastAsia="Arial Nova" w:hAnsi="Arial Nova" w:cs="Arial Nova"/>
          <w:b/>
          <w:bCs/>
          <w:sz w:val="40"/>
          <w:szCs w:val="40"/>
        </w:rPr>
        <w:t>Olufemi Oluranti</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0BC7D9FC" w14:textId="0E0C7AD5" w:rsidR="021F216E" w:rsidRPr="00572880"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7AE03BFA" w14:textId="088CDB16" w:rsidR="00555295" w:rsidRPr="00B726F0" w:rsidRDefault="00555295" w:rsidP="00555295">
      <w:pPr>
        <w:rPr>
          <w:rFonts w:ascii="Arial Nova" w:eastAsia="Arial Nova" w:hAnsi="Arial Nova" w:cs="Arial Nova"/>
          <w:color w:val="000000" w:themeColor="text1"/>
          <w:lang w:val="en-GB"/>
        </w:rPr>
      </w:pPr>
      <w:r w:rsidRPr="00B726F0">
        <w:rPr>
          <w:rFonts w:ascii="Arial Nova" w:eastAsia="Arial Nova" w:hAnsi="Arial Nova" w:cs="Arial Nova"/>
          <w:color w:val="000000" w:themeColor="text1"/>
          <w:lang w:val="en-GB"/>
        </w:rPr>
        <w:t>A personal brand is how I consciously present my values, skills, and professional identity to others, influencing how I am perceive</w:t>
      </w:r>
      <w:r w:rsidR="00EA0F40" w:rsidRPr="00B726F0">
        <w:rPr>
          <w:rFonts w:ascii="Arial Nova" w:eastAsia="Arial Nova" w:hAnsi="Arial Nova" w:cs="Arial Nova"/>
          <w:color w:val="000000" w:themeColor="text1"/>
          <w:lang w:val="en-GB"/>
        </w:rPr>
        <w:t xml:space="preserve">  I</w:t>
      </w:r>
      <w:r w:rsidRPr="00B726F0">
        <w:rPr>
          <w:rFonts w:ascii="Arial Nova" w:eastAsia="Arial Nova" w:hAnsi="Arial Nova" w:cs="Arial Nova"/>
          <w:color w:val="000000" w:themeColor="text1"/>
          <w:lang w:val="en-GB"/>
        </w:rPr>
        <w:t xml:space="preserve">  the job market and enhancing my employability (Hays, 2026; Harvard Business School Online, 2024). It is critical because a clear, authentic personal brand allows employers to quickly understand what I offer and why I am a good fit for roles that align with my goals (Northeastern University, 2024).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t>My personal brand values reliability, reflective practice, and person-centred care, which aligns with research indicating that a clear professional identity enhances performance and job satisfactio</w:t>
      </w:r>
      <w:r w:rsidR="00B726F0" w:rsidRPr="00B726F0">
        <w:rPr>
          <w:rFonts w:ascii="Arial Nova" w:eastAsia="Arial Nova" w:hAnsi="Arial Nova" w:cs="Arial Nova"/>
          <w:color w:val="000000" w:themeColor="text1"/>
          <w:lang w:val="en-GB"/>
        </w:rPr>
        <w:t>n</w:t>
      </w:r>
      <w:r w:rsidRPr="00B726F0">
        <w:rPr>
          <w:rFonts w:ascii="Arial Nova" w:eastAsia="Arial Nova" w:hAnsi="Arial Nova" w:cs="Arial Nova"/>
          <w:color w:val="000000" w:themeColor="text1"/>
          <w:lang w:val="en-GB"/>
        </w:rPr>
        <w:t>. Employers value communication, teamwork, and problem-solving skills, so I believe my colleagues would describe me as organised, compassionate, and willing to take initiative (</w:t>
      </w:r>
      <w:proofErr w:type="spellStart"/>
      <w:r w:rsidRPr="00B726F0">
        <w:rPr>
          <w:rFonts w:ascii="Arial Nova" w:eastAsia="Arial Nova" w:hAnsi="Arial Nova" w:cs="Arial Nova"/>
          <w:color w:val="000000" w:themeColor="text1"/>
          <w:lang w:val="en-GB"/>
        </w:rPr>
        <w:t>JobSkills</w:t>
      </w:r>
      <w:proofErr w:type="spellEnd"/>
      <w:r w:rsidRPr="00B726F0">
        <w:rPr>
          <w:rFonts w:ascii="Arial Nova" w:eastAsia="Arial Nova" w:hAnsi="Arial Nova" w:cs="Arial Nova"/>
          <w:color w:val="000000" w:themeColor="text1"/>
          <w:lang w:val="en-GB"/>
        </w:rPr>
        <w:t>, 2025). However, I recognise that I need to boost my networking confidence, establish a more consistent online professional presence, and broaden my leadership experience in order to better position myself as an emerging health and social care professional (Harvard Business School Online, 2024). I intend to accomplish this by engaging in targeted CPD, seeking mentoring, and conducting reflective activities to strengthen my professional identity.</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t>Developing my personal brand will help me express myself at work, showcase my unique value to employers, and progress towards my long-term goal of becoming a leader in health and social care.</w:t>
      </w:r>
    </w:p>
    <w:p w14:paraId="783924C5" w14:textId="72BEDB2F" w:rsidR="021F216E" w:rsidRPr="00555295" w:rsidRDefault="021F216E" w:rsidP="021F216E">
      <w:pPr>
        <w:rPr>
          <w:rFonts w:ascii="Arial Nova" w:eastAsia="Arial Nova" w:hAnsi="Arial Nova" w:cs="Arial Nova"/>
          <w:i/>
          <w:iCs/>
          <w:color w:val="000000" w:themeColor="text1"/>
          <w:lang w:val="en-GB"/>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6A26F888" w14:textId="77777777" w:rsidR="0074551A" w:rsidRDefault="0074551A" w:rsidP="021F216E">
      <w:pPr>
        <w:rPr>
          <w:rFonts w:ascii="Arial Nova" w:eastAsia="Arial Nova" w:hAnsi="Arial Nova" w:cs="Arial Nova"/>
          <w:color w:val="000000" w:themeColor="text1"/>
          <w:sz w:val="44"/>
          <w:szCs w:val="44"/>
        </w:rPr>
      </w:pPr>
    </w:p>
    <w:p w14:paraId="1058477A" w14:textId="77777777" w:rsidR="0074551A" w:rsidRDefault="0074551A" w:rsidP="021F216E">
      <w:pPr>
        <w:rPr>
          <w:rFonts w:ascii="Arial Nova" w:eastAsia="Arial Nova" w:hAnsi="Arial Nova" w:cs="Arial Nova"/>
          <w:color w:val="000000" w:themeColor="text1"/>
          <w:sz w:val="44"/>
          <w:szCs w:val="44"/>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40D524D9" w:rsidR="021F216E" w:rsidRDefault="021F216E" w:rsidP="021F216E">
      <w:pPr>
        <w:rPr>
          <w:rFonts w:ascii="Arial Nova" w:eastAsia="Arial Nova" w:hAnsi="Arial Nova" w:cs="Arial Nova"/>
          <w:i/>
          <w:iCs/>
          <w:color w:val="000000" w:themeColor="text1"/>
          <w:lang w:val="en-GB"/>
        </w:rPr>
      </w:pPr>
    </w:p>
    <w:p w14:paraId="7556838B" w14:textId="77777777" w:rsidR="00253868" w:rsidRPr="006E6679" w:rsidRDefault="00253868" w:rsidP="021F216E">
      <w:pPr>
        <w:rPr>
          <w:rFonts w:ascii="Arial Nova" w:eastAsia="Arial Nova" w:hAnsi="Arial Nova" w:cs="Arial Nova"/>
          <w:i/>
          <w:iCs/>
          <w:color w:val="000000" w:themeColor="text1"/>
          <w:lang w:val="en-GB"/>
        </w:rPr>
      </w:pPr>
    </w:p>
    <w:p w14:paraId="1F882AEA" w14:textId="65BAA19E" w:rsidR="021F216E" w:rsidRDefault="021F216E" w:rsidP="021F216E">
      <w:pPr>
        <w:rPr>
          <w:rFonts w:ascii="Arial Nova" w:eastAsia="Arial Nova" w:hAnsi="Arial Nova" w:cs="Arial Nova"/>
          <w:i/>
          <w:iCs/>
          <w:color w:val="000000" w:themeColor="text1"/>
        </w:rPr>
      </w:pPr>
    </w:p>
    <w:p w14:paraId="29F41839" w14:textId="6F7FD300" w:rsidR="021F216E" w:rsidRDefault="021F216E" w:rsidP="021F216E">
      <w:pPr>
        <w:rPr>
          <w:rFonts w:ascii="Arial Nova" w:eastAsia="Arial Nova" w:hAnsi="Arial Nova" w:cs="Arial Nova"/>
          <w:i/>
          <w:iCs/>
          <w:color w:val="000000" w:themeColor="text1"/>
        </w:rPr>
      </w:pPr>
    </w:p>
    <w:p w14:paraId="6A9AAAB1" w14:textId="5D7032CA" w:rsidR="021F216E" w:rsidRDefault="021F216E" w:rsidP="021F216E">
      <w:pPr>
        <w:rPr>
          <w:rFonts w:ascii="Arial Nova" w:eastAsia="Arial Nova" w:hAnsi="Arial Nova" w:cs="Arial Nova"/>
          <w:i/>
          <w:iCs/>
          <w:color w:val="000000" w:themeColor="text1"/>
        </w:rPr>
      </w:pPr>
    </w:p>
    <w:p w14:paraId="59629665" w14:textId="54FCF37E" w:rsidR="021F216E" w:rsidRDefault="00693284"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lastRenderedPageBreak/>
        <mc:AlternateContent>
          <mc:Choice Requires="wps">
            <w:drawing>
              <wp:anchor distT="0" distB="0" distL="114300" distR="114300" simplePos="0" relativeHeight="251660288" behindDoc="0" locked="0" layoutInCell="1" allowOverlap="1" wp14:anchorId="7AE95473" wp14:editId="65F3B222">
                <wp:simplePos x="0" y="0"/>
                <wp:positionH relativeFrom="column">
                  <wp:posOffset>1498600</wp:posOffset>
                </wp:positionH>
                <wp:positionV relativeFrom="paragraph">
                  <wp:posOffset>1968500</wp:posOffset>
                </wp:positionV>
                <wp:extent cx="57150" cy="609600"/>
                <wp:effectExtent l="19050" t="0" r="57150" b="57150"/>
                <wp:wrapNone/>
                <wp:docPr id="1789913197" name="Straight Arrow Connector 33"/>
                <wp:cNvGraphicFramePr/>
                <a:graphic xmlns:a="http://schemas.openxmlformats.org/drawingml/2006/main">
                  <a:graphicData uri="http://schemas.microsoft.com/office/word/2010/wordprocessingShape">
                    <wps:wsp>
                      <wps:cNvCnPr/>
                      <wps:spPr>
                        <a:xfrm>
                          <a:off x="0" y="0"/>
                          <a:ext cx="5715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6C4930" id="_x0000_t32" coordsize="21600,21600" o:spt="32" o:oned="t" path="m,l21600,21600e" filled="f">
                <v:path arrowok="t" fillok="f" o:connecttype="none"/>
                <o:lock v:ext="edit" shapetype="t"/>
              </v:shapetype>
              <v:shape id="Straight Arrow Connector 33" o:spid="_x0000_s1026" type="#_x0000_t32" style="position:absolute;margin-left:118pt;margin-top:155pt;width:4.5pt;height: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3C026031" wp14:editId="5D3B033B">
                <wp:simplePos x="0" y="0"/>
                <wp:positionH relativeFrom="column">
                  <wp:posOffset>1879600</wp:posOffset>
                </wp:positionH>
                <wp:positionV relativeFrom="paragraph">
                  <wp:posOffset>704850</wp:posOffset>
                </wp:positionV>
                <wp:extent cx="431800" cy="419100"/>
                <wp:effectExtent l="38100" t="0" r="25400" b="57150"/>
                <wp:wrapNone/>
                <wp:docPr id="749868979" name="Straight Arrow Connector 32"/>
                <wp:cNvGraphicFramePr/>
                <a:graphic xmlns:a="http://schemas.openxmlformats.org/drawingml/2006/main">
                  <a:graphicData uri="http://schemas.microsoft.com/office/word/2010/wordprocessingShape">
                    <wps:wsp>
                      <wps:cNvCnPr/>
                      <wps:spPr>
                        <a:xfrm flipH="1">
                          <a:off x="0" y="0"/>
                          <a:ext cx="43180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460B9F" id="Straight Arrow Connector 32" o:spid="_x0000_s1026" type="#_x0000_t32" style="position:absolute;margin-left:148pt;margin-top:55.5pt;width:34pt;height:3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345D709A" wp14:editId="40103BE6">
                <wp:simplePos x="0" y="0"/>
                <wp:positionH relativeFrom="column">
                  <wp:posOffset>3581400</wp:posOffset>
                </wp:positionH>
                <wp:positionV relativeFrom="paragraph">
                  <wp:posOffset>965200</wp:posOffset>
                </wp:positionV>
                <wp:extent cx="609600" cy="387350"/>
                <wp:effectExtent l="0" t="0" r="57150" b="50800"/>
                <wp:wrapNone/>
                <wp:docPr id="825376487" name="Straight Arrow Connector 35"/>
                <wp:cNvGraphicFramePr/>
                <a:graphic xmlns:a="http://schemas.openxmlformats.org/drawingml/2006/main">
                  <a:graphicData uri="http://schemas.microsoft.com/office/word/2010/wordprocessingShape">
                    <wps:wsp>
                      <wps:cNvCnPr/>
                      <wps:spPr>
                        <a:xfrm>
                          <a:off x="0" y="0"/>
                          <a:ext cx="609600"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2F8EAB" id="Straight Arrow Connector 35" o:spid="_x0000_s1026" type="#_x0000_t32" style="position:absolute;margin-left:282pt;margin-top:76pt;width:48pt;height: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2633C5CC" wp14:editId="268D0912">
                <wp:simplePos x="0" y="0"/>
                <wp:positionH relativeFrom="column">
                  <wp:posOffset>4216399</wp:posOffset>
                </wp:positionH>
                <wp:positionV relativeFrom="paragraph">
                  <wp:posOffset>2120900</wp:posOffset>
                </wp:positionV>
                <wp:extent cx="171450" cy="774700"/>
                <wp:effectExtent l="57150" t="0" r="19050" b="63500"/>
                <wp:wrapNone/>
                <wp:docPr id="1889200646" name="Straight Arrow Connector 36"/>
                <wp:cNvGraphicFramePr/>
                <a:graphic xmlns:a="http://schemas.openxmlformats.org/drawingml/2006/main">
                  <a:graphicData uri="http://schemas.microsoft.com/office/word/2010/wordprocessingShape">
                    <wps:wsp>
                      <wps:cNvCnPr/>
                      <wps:spPr>
                        <a:xfrm flipH="1">
                          <a:off x="0" y="0"/>
                          <a:ext cx="171450" cy="774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2FA754" id="Straight Arrow Connector 36" o:spid="_x0000_s1026" type="#_x0000_t32" style="position:absolute;margin-left:332pt;margin-top:167pt;width:13.5pt;height:61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4384" behindDoc="0" locked="0" layoutInCell="1" allowOverlap="1" wp14:anchorId="65B35FDF" wp14:editId="1EE7AD0A">
                <wp:simplePos x="0" y="0"/>
                <wp:positionH relativeFrom="column">
                  <wp:posOffset>3581400</wp:posOffset>
                </wp:positionH>
                <wp:positionV relativeFrom="paragraph">
                  <wp:posOffset>3618230</wp:posOffset>
                </wp:positionV>
                <wp:extent cx="260350" cy="190500"/>
                <wp:effectExtent l="38100" t="0" r="25400" b="57150"/>
                <wp:wrapNone/>
                <wp:docPr id="1915147901" name="Straight Arrow Connector 37"/>
                <wp:cNvGraphicFramePr/>
                <a:graphic xmlns:a="http://schemas.openxmlformats.org/drawingml/2006/main">
                  <a:graphicData uri="http://schemas.microsoft.com/office/word/2010/wordprocessingShape">
                    <wps:wsp>
                      <wps:cNvCnPr/>
                      <wps:spPr>
                        <a:xfrm flipH="1">
                          <a:off x="0" y="0"/>
                          <a:ext cx="26035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BEEEF6" id="Straight Arrow Connector 37" o:spid="_x0000_s1026" type="#_x0000_t32" style="position:absolute;margin-left:282pt;margin-top:284.9pt;width:20.5pt;height:1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36188190" wp14:editId="5F1B9547">
                <wp:simplePos x="0" y="0"/>
                <wp:positionH relativeFrom="column">
                  <wp:posOffset>1600200</wp:posOffset>
                </wp:positionH>
                <wp:positionV relativeFrom="paragraph">
                  <wp:posOffset>3575050</wp:posOffset>
                </wp:positionV>
                <wp:extent cx="692150" cy="247650"/>
                <wp:effectExtent l="0" t="0" r="69850" b="76200"/>
                <wp:wrapNone/>
                <wp:docPr id="418147604" name="Straight Arrow Connector 34"/>
                <wp:cNvGraphicFramePr/>
                <a:graphic xmlns:a="http://schemas.openxmlformats.org/drawingml/2006/main">
                  <a:graphicData uri="http://schemas.microsoft.com/office/word/2010/wordprocessingShape">
                    <wps:wsp>
                      <wps:cNvCnPr/>
                      <wps:spPr>
                        <a:xfrm>
                          <a:off x="0" y="0"/>
                          <a:ext cx="6921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23AD2E" id="Straight Arrow Connector 34" o:spid="_x0000_s1026" type="#_x0000_t32" style="position:absolute;margin-left:126pt;margin-top:281.5pt;width:54.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" strokecolor="#156082 [3204]" strokeweight=".5pt">
                <v:stroke endarrow="block" joinstyle="miter"/>
              </v:shape>
            </w:pict>
          </mc:Fallback>
        </mc:AlternateContent>
      </w:r>
      <w:r w:rsidR="00DD305A">
        <w:rPr>
          <w:rFonts w:ascii="Arial Nova" w:eastAsia="Arial Nova" w:hAnsi="Arial Nova" w:cs="Arial Nova"/>
          <w:i/>
          <w:iCs/>
          <w:noProof/>
          <w:color w:val="000000" w:themeColor="text1"/>
        </w:rPr>
        <w:drawing>
          <wp:inline distT="0" distB="0" distL="0" distR="0" wp14:anchorId="6EF4AE1E" wp14:editId="3F2369C2">
            <wp:extent cx="5969000" cy="4737100"/>
            <wp:effectExtent l="0" t="0" r="0" b="25400"/>
            <wp:docPr id="1762816135"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60538A9" w14:textId="5C115479" w:rsidR="021F216E" w:rsidRDefault="021F216E" w:rsidP="021F216E">
      <w:pPr>
        <w:rPr>
          <w:rFonts w:ascii="Arial Nova" w:eastAsia="Arial Nova" w:hAnsi="Arial Nova" w:cs="Arial Nova"/>
          <w:i/>
          <w:iCs/>
          <w:color w:val="000000" w:themeColor="text1"/>
        </w:rPr>
      </w:pPr>
    </w:p>
    <w:p w14:paraId="762735B0" w14:textId="5D4EC41E" w:rsidR="00B726F0" w:rsidRPr="00B726F0" w:rsidRDefault="00B726F0" w:rsidP="00B726F0">
      <w:pPr>
        <w:rPr>
          <w:rFonts w:ascii="Arial Nova" w:eastAsia="Arial Nova" w:hAnsi="Arial Nova" w:cs="Arial Nova"/>
          <w:color w:val="000000" w:themeColor="text1"/>
          <w:lang w:val="en-GB"/>
        </w:rPr>
      </w:pPr>
      <w:r w:rsidRPr="00B726F0">
        <w:rPr>
          <w:rFonts w:ascii="Arial Nova" w:eastAsia="Arial Nova" w:hAnsi="Arial Nova" w:cs="Arial Nova"/>
          <w:color w:val="000000" w:themeColor="text1"/>
          <w:lang w:val="en-GB"/>
        </w:rPr>
        <w:t>I would describe my current network as a </w:t>
      </w:r>
      <w:r w:rsidRPr="00B726F0">
        <w:rPr>
          <w:rFonts w:ascii="Arial Nova" w:eastAsia="Arial Nova" w:hAnsi="Arial Nova" w:cs="Arial Nova"/>
          <w:b/>
          <w:bCs/>
          <w:color w:val="000000" w:themeColor="text1"/>
          <w:lang w:val="en-GB"/>
        </w:rPr>
        <w:t>hybrid</w:t>
      </w:r>
      <w:r w:rsidRPr="00B726F0">
        <w:rPr>
          <w:rFonts w:ascii="Arial Nova" w:eastAsia="Arial Nova" w:hAnsi="Arial Nova" w:cs="Arial Nova"/>
          <w:color w:val="000000" w:themeColor="text1"/>
          <w:lang w:val="en-GB"/>
        </w:rPr>
        <w:t> network that combines strong closed relationships with more selective and emerging open ties. My bonding social capital is mainly with family, close friends and a small group of peers on my course, giving me emotional support and a sense of belonging that helps me “get by” during periods of study and work. I also have some bridging connections with people from different courses, placement settings and community groups, which can provide access to new information, perspectives and opportunities. However, my network is weaker in terms of bridging and especially linking social capital, as I have limited direct contact with senior practitioners, managers or wider professional networks in health and social care. Research suggests that networking and building diverse connections can enhance access to resources and improve graduate employability, so strengthening these dimensions is important for my career development. To address this, I plan to attend more careers events, join relevant professional groups and use platforms such as LinkedIn to build purposeful relationships beyond my immediate.</w:t>
      </w:r>
    </w:p>
    <w:p w14:paraId="5DE94E4A" w14:textId="0BFFDB26" w:rsidR="021F216E" w:rsidRPr="00B726F0" w:rsidRDefault="021F216E" w:rsidP="021F216E">
      <w:pPr>
        <w:rPr>
          <w:rFonts w:ascii="Arial Nova" w:eastAsia="Arial Nova" w:hAnsi="Arial Nova" w:cs="Arial Nova"/>
          <w:i/>
          <w:iCs/>
          <w:color w:val="000000" w:themeColor="text1"/>
          <w:lang w:val="en-GB"/>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668F8137" w14:textId="3728E25B" w:rsidR="021F216E" w:rsidRPr="00EA0F40" w:rsidRDefault="00B7418E" w:rsidP="021F216E">
      <w:pPr>
        <w:rPr>
          <w:rFonts w:ascii="Arial Nova" w:eastAsia="Arial Nova" w:hAnsi="Arial Nova" w:cs="Arial Nova"/>
          <w:color w:val="000000" w:themeColor="text1"/>
        </w:rPr>
      </w:pPr>
      <w:r>
        <w:rPr>
          <w:rFonts w:ascii="Arial Nova" w:eastAsia="Arial Nova" w:hAnsi="Arial Nova" w:cs="Arial Nova"/>
          <w:color w:val="000000" w:themeColor="text1"/>
          <w:sz w:val="44"/>
          <w:szCs w:val="44"/>
        </w:rPr>
        <w:t xml:space="preserve">Task 3- </w:t>
      </w:r>
      <w:r w:rsidR="00EA0F40">
        <w:rPr>
          <w:rFonts w:ascii="Arial Nova" w:eastAsia="Arial Nova" w:hAnsi="Arial Nova" w:cs="Arial Nova"/>
          <w:color w:val="000000" w:themeColor="text1"/>
          <w:sz w:val="44"/>
          <w:szCs w:val="44"/>
        </w:rPr>
        <w:t>Blog</w:t>
      </w:r>
    </w:p>
    <w:p w14:paraId="2005A3B4" w14:textId="77777777" w:rsidR="00AF234E" w:rsidRDefault="00AF234E" w:rsidP="021F216E">
      <w:pPr>
        <w:rPr>
          <w:rFonts w:ascii="Arial Nova" w:eastAsia="Arial Nova" w:hAnsi="Arial Nova" w:cs="Arial Nova"/>
          <w:i/>
          <w:iCs/>
          <w:color w:val="000000" w:themeColor="text1"/>
          <w:lang w:val="en-GB"/>
        </w:rPr>
      </w:pPr>
    </w:p>
    <w:p w14:paraId="3241DAD5" w14:textId="6B56F5D3" w:rsidR="00AE0E51" w:rsidRPr="00AE0E51" w:rsidRDefault="00AE0E51" w:rsidP="00AE0E51">
      <w:pPr>
        <w:rPr>
          <w:rFonts w:ascii="Arial Nova" w:eastAsia="Arial Nova" w:hAnsi="Arial Nova" w:cs="Arial Nova"/>
          <w:i/>
          <w:iCs/>
          <w:color w:val="000000" w:themeColor="text1"/>
          <w:lang w:val="en-GB"/>
        </w:rPr>
      </w:pPr>
      <w:r w:rsidRPr="00AE0E51">
        <w:rPr>
          <w:rFonts w:ascii="Arial Nova" w:eastAsia="Arial Nova" w:hAnsi="Arial Nova" w:cs="Arial Nova"/>
          <w:i/>
          <w:iCs/>
          <w:color w:val="000000" w:themeColor="text1"/>
          <w:lang w:val="en-GB"/>
        </w:rPr>
        <w:t xml:space="preserve">Title: Closing the Digital Gap in Health and Social Care </w:t>
      </w:r>
      <w:r w:rsidRPr="00AE0E51">
        <w:rPr>
          <w:rFonts w:ascii="Arial Nova" w:eastAsia="Arial Nova" w:hAnsi="Arial Nova" w:cs="Arial Nova"/>
          <w:i/>
          <w:iCs/>
          <w:color w:val="000000" w:themeColor="text1"/>
          <w:lang w:val="en-GB"/>
        </w:rPr>
        <w:br/>
      </w:r>
      <w:r w:rsidRPr="00AE0E51">
        <w:rPr>
          <w:rFonts w:ascii="Arial Nova" w:eastAsia="Arial Nova" w:hAnsi="Arial Nova" w:cs="Arial Nova"/>
          <w:i/>
          <w:iCs/>
          <w:color w:val="000000" w:themeColor="text1"/>
          <w:lang w:val="en-GB"/>
        </w:rPr>
        <w:br/>
        <w:t>Digital tools like online GP appointments and the NHS App are now central to how care is delivered in the UK, but not everyone can access them equally (NHS England, 2023; HM Government, 2025). This digital gap particularly affects older adults, people on low incomes and those with disabilities, widening existing health inequalities (Good Things Foundation, 2024; Digital Poverty Alliance, 2025).</w:t>
      </w:r>
      <w:r w:rsidRPr="00AE0E51">
        <w:rPr>
          <w:rFonts w:ascii="Arial Nova" w:eastAsia="Arial Nova" w:hAnsi="Arial Nova" w:cs="Arial Nova"/>
          <w:i/>
          <w:iCs/>
          <w:color w:val="000000" w:themeColor="text1"/>
          <w:lang w:val="en-GB"/>
        </w:rPr>
        <w:br/>
      </w:r>
      <w:r>
        <w:rPr>
          <w:rFonts w:ascii="Arial Nova" w:eastAsia="Arial Nova" w:hAnsi="Arial Nova" w:cs="Arial Nova"/>
          <w:i/>
          <w:iCs/>
          <w:noProof/>
          <w:color w:val="000000" w:themeColor="text1"/>
          <w:lang w:val="en-GB"/>
        </w:rPr>
        <w:drawing>
          <wp:inline distT="0" distB="0" distL="0" distR="0" wp14:anchorId="19BB3A53" wp14:editId="628D81A6">
            <wp:extent cx="5943600" cy="3343275"/>
            <wp:effectExtent l="0" t="0" r="0" b="9525"/>
            <wp:docPr id="286654211" name="Picture 7" descr="Mobile device with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54211" name="Picture 286654211" descr="Mobile device with apps"/>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E0E51">
        <w:rPr>
          <w:rFonts w:ascii="Arial Nova" w:eastAsia="Arial Nova" w:hAnsi="Arial Nova" w:cs="Arial Nova"/>
          <w:i/>
          <w:iCs/>
          <w:color w:val="000000" w:themeColor="text1"/>
          <w:lang w:val="en-GB"/>
        </w:rPr>
        <w:br/>
      </w:r>
      <w:r w:rsidRPr="00AE0E51">
        <w:rPr>
          <w:rFonts w:ascii="Arial Nova" w:eastAsia="Arial Nova" w:hAnsi="Arial Nova" w:cs="Arial Nova"/>
          <w:i/>
          <w:iCs/>
          <w:color w:val="000000" w:themeColor="text1"/>
          <w:lang w:val="en-GB"/>
        </w:rPr>
        <w:br/>
        <w:t xml:space="preserve">For many patients and carers, managing appointments, prescriptions and health </w:t>
      </w:r>
      <w:r w:rsidRPr="00AE0E51">
        <w:rPr>
          <w:rFonts w:ascii="Arial Nova" w:eastAsia="Arial Nova" w:hAnsi="Arial Nova" w:cs="Arial Nova"/>
          <w:i/>
          <w:iCs/>
          <w:color w:val="000000" w:themeColor="text1"/>
          <w:lang w:val="en-GB"/>
        </w:rPr>
        <w:lastRenderedPageBreak/>
        <w:t xml:space="preserve">information online can be convenient and empowering (The King’s Fund, 2025). Yet an estimated 8.5 million UK adults still lack basic digital skills, and around 7% of households have no home internet access (Good Things Foundation, 2024). Older people are especially at risk: around 29% of those aged 75 and over do not use the internet at all, limiting their ability to use digital health services (Age UK, 2023). Rising costs add another barrier, with some people cancelling broadband because they cannot afford it, pushing them further away from online care (Digital Poverty Alliance, 2025; HM Government, 2025). </w:t>
      </w:r>
      <w:r w:rsidR="00F32CC0">
        <w:rPr>
          <w:rFonts w:ascii="Arial Nova" w:eastAsia="Arial Nova" w:hAnsi="Arial Nova" w:cs="Arial Nova"/>
          <w:i/>
          <w:iCs/>
          <w:color w:val="000000" w:themeColor="text1"/>
          <w:lang w:val="en-GB"/>
        </w:rPr>
        <w:t xml:space="preserve"> </w:t>
      </w:r>
      <w:r w:rsidRPr="00AE0E51">
        <w:rPr>
          <w:rFonts w:ascii="Arial Nova" w:eastAsia="Arial Nova" w:hAnsi="Arial Nova" w:cs="Arial Nova"/>
          <w:i/>
          <w:iCs/>
          <w:color w:val="000000" w:themeColor="text1"/>
          <w:lang w:val="en-GB"/>
        </w:rPr>
        <w:br/>
      </w:r>
      <w:r w:rsidRPr="00AE0E51">
        <w:rPr>
          <w:rFonts w:ascii="Arial Nova" w:eastAsia="Arial Nova" w:hAnsi="Arial Nova" w:cs="Arial Nova"/>
          <w:i/>
          <w:iCs/>
          <w:color w:val="000000" w:themeColor="text1"/>
          <w:lang w:val="en-GB"/>
        </w:rPr>
        <w:br/>
        <w:t xml:space="preserve">Digital exclusion is not just about devices; it is about confidence, skills and support (Good Things Foundation, 2024). People who are offline are more likely to find it difficult to interact with NHS services, making it harder to book appointments or access reliable health information (NHS England, 2023; The King’s Fund, 2025). This can lead to delayed care, greater reliance on emergency services and worse outcomes for those already facing disadvantage (Digital Poverty Alliance, 2025). </w:t>
      </w:r>
      <w:r w:rsidRPr="00AE0E51">
        <w:rPr>
          <w:rFonts w:ascii="Arial Nova" w:eastAsia="Arial Nova" w:hAnsi="Arial Nova" w:cs="Arial Nova"/>
          <w:i/>
          <w:iCs/>
          <w:color w:val="000000" w:themeColor="text1"/>
          <w:lang w:val="en-GB"/>
        </w:rPr>
        <w:br/>
      </w:r>
      <w:r w:rsidRPr="00AE0E51">
        <w:rPr>
          <w:rFonts w:ascii="Arial Nova" w:eastAsia="Arial Nova" w:hAnsi="Arial Nova" w:cs="Arial Nova"/>
          <w:i/>
          <w:iCs/>
          <w:color w:val="000000" w:themeColor="text1"/>
          <w:lang w:val="en-GB"/>
        </w:rPr>
        <w:br/>
        <w:t>Health and social care professionals can play a key role by asking about digital access during assessments, offering face</w:t>
      </w:r>
      <w:r w:rsidRPr="00AE0E51">
        <w:rPr>
          <w:rFonts w:ascii="Arial Nova" w:eastAsia="Arial Nova" w:hAnsi="Arial Nova" w:cs="Arial Nova"/>
          <w:i/>
          <w:iCs/>
          <w:color w:val="000000" w:themeColor="text1"/>
          <w:lang w:val="en-GB"/>
        </w:rPr>
        <w:noBreakHyphen/>
        <w:t>to</w:t>
      </w:r>
      <w:r w:rsidRPr="00AE0E51">
        <w:rPr>
          <w:rFonts w:ascii="Arial Nova" w:eastAsia="Arial Nova" w:hAnsi="Arial Nova" w:cs="Arial Nova"/>
          <w:i/>
          <w:iCs/>
          <w:color w:val="000000" w:themeColor="text1"/>
          <w:lang w:val="en-GB"/>
        </w:rPr>
        <w:noBreakHyphen/>
        <w:t xml:space="preserve">face options, and signposting patients to local digital support programmes (NHS England, 2023; The King’s Fund, 2025). National initiatives, such as the NHS framework on inclusive digital healthcare and wider digital inclusion action plans, aim to ensure that digital transformation reduces – rather than deepens – health inequalities (NHS England, 2023; HM Government, 2025). As practitioners, we should all be asking: who is being left behind by digital health, and what can we do today to bring them in? </w:t>
      </w:r>
      <w:r w:rsidRPr="00AE0E51">
        <w:rPr>
          <w:rFonts w:ascii="Arial Nova" w:eastAsia="Arial Nova" w:hAnsi="Arial Nova" w:cs="Arial Nova"/>
          <w:i/>
          <w:iCs/>
          <w:color w:val="000000" w:themeColor="text1"/>
          <w:lang w:val="en-GB"/>
        </w:rPr>
        <w:br/>
      </w:r>
      <w:r w:rsidRPr="00AE0E51">
        <w:rPr>
          <w:rFonts w:ascii="Arial Nova" w:eastAsia="Arial Nova" w:hAnsi="Arial Nova" w:cs="Arial Nova"/>
          <w:i/>
          <w:iCs/>
          <w:color w:val="000000" w:themeColor="text1"/>
          <w:lang w:val="en-GB"/>
        </w:rPr>
        <w:br/>
        <w:t>Do you need this adapted for a specific audience, for example care home staff or family carers?</w:t>
      </w:r>
    </w:p>
    <w:p w14:paraId="487E9AD4" w14:textId="77777777" w:rsidR="00AF234E" w:rsidRPr="003D2038" w:rsidRDefault="00AF234E" w:rsidP="021F216E">
      <w:pPr>
        <w:rPr>
          <w:rFonts w:ascii="Arial Nova" w:eastAsia="Arial Nova" w:hAnsi="Arial Nova" w:cs="Arial Nova"/>
          <w:i/>
          <w:iCs/>
          <w:color w:val="000000" w:themeColor="text1"/>
          <w:lang w:val="en-GB"/>
        </w:rPr>
      </w:pPr>
    </w:p>
    <w:p w14:paraId="5AA068FC" w14:textId="589A37E5" w:rsidR="00AF234E" w:rsidRPr="00AF234E" w:rsidRDefault="00AF234E" w:rsidP="00AF234E">
      <w:pPr>
        <w:rPr>
          <w:rFonts w:ascii="Arial Nova" w:eastAsia="Arial Nova" w:hAnsi="Arial Nova" w:cs="Arial Nova"/>
          <w:color w:val="000000" w:themeColor="text1"/>
          <w:lang w:val="en-GB"/>
        </w:rPr>
      </w:pPr>
    </w:p>
    <w:p w14:paraId="1422809C" w14:textId="03B10199" w:rsidR="021F216E" w:rsidRPr="00AF234E" w:rsidRDefault="021F216E" w:rsidP="021F216E">
      <w:pPr>
        <w:rPr>
          <w:rFonts w:ascii="Arial Nova" w:eastAsia="Arial Nova" w:hAnsi="Arial Nova" w:cs="Arial Nova"/>
          <w:color w:val="000000" w:themeColor="text1"/>
          <w:lang w:val="en-GB"/>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7676AE0D"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p>
    <w:p w14:paraId="7B1FB0F8" w14:textId="2CA9DBA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107FCCFA" w14:textId="33A442D8" w:rsidR="0074426E" w:rsidRPr="0074426E" w:rsidRDefault="0074426E" w:rsidP="0074426E">
      <w:pPr>
        <w:spacing w:after="0" w:line="240" w:lineRule="auto"/>
        <w:ind w:left="360"/>
        <w:rPr>
          <w:rFonts w:ascii="Times New Roman" w:eastAsia="Times New Roman" w:hAnsi="Times New Roman" w:cs="Times New Roman"/>
          <w:lang w:val="en-GB" w:eastAsia="en-GB"/>
        </w:rPr>
      </w:pPr>
      <w:r w:rsidRPr="0074426E">
        <w:rPr>
          <w:rFonts w:ascii="Times New Roman" w:eastAsia="Times New Roman" w:hAnsi="Times New Roman" w:cs="Times New Roman"/>
          <w:lang w:val="en-GB" w:eastAsia="en-GB"/>
        </w:rPr>
        <w:t>The primary goal is to improve equality, diversity and inclusion and enhance staff’s sense of belonging so their experience, outcomes and workplace culture are fairer and more positive</w:t>
      </w:r>
    </w:p>
    <w:p w14:paraId="09D502EC" w14:textId="77777777" w:rsidR="0074551A" w:rsidRPr="0074426E" w:rsidRDefault="0074551A" w:rsidP="0074551A">
      <w:pPr>
        <w:pStyle w:val="ListParagraph"/>
        <w:spacing w:before="100" w:beforeAutospacing="1" w:after="100" w:afterAutospacing="1" w:line="240" w:lineRule="auto"/>
        <w:rPr>
          <w:rFonts w:asciiTheme="minorBidi" w:eastAsia="Times New Roman" w:hAnsiTheme="minorBidi"/>
          <w:lang w:val="en-GB"/>
        </w:rPr>
      </w:pPr>
    </w:p>
    <w:p w14:paraId="4BDDCFB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295DB45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3A92FD2" w14:textId="7C257DD7" w:rsidR="0074551A" w:rsidRPr="0074426E" w:rsidRDefault="0074426E" w:rsidP="0074426E">
      <w:pPr>
        <w:spacing w:after="0" w:line="240" w:lineRule="auto"/>
        <w:ind w:left="360"/>
        <w:rPr>
          <w:rFonts w:ascii="Times New Roman" w:eastAsia="Times New Roman" w:hAnsi="Times New Roman" w:cs="Times New Roman"/>
          <w:lang w:val="en-GB" w:eastAsia="en-GB"/>
        </w:rPr>
      </w:pPr>
      <w:r w:rsidRPr="0074426E">
        <w:rPr>
          <w:rFonts w:ascii="Times New Roman" w:eastAsia="Times New Roman" w:hAnsi="Times New Roman" w:cs="Times New Roman"/>
          <w:lang w:val="en-GB" w:eastAsia="en-GB"/>
        </w:rPr>
        <w:t>It requires organisations to analyse pay data by protected characteristic, implement the Mend the Gap recommendations for medical staff and develop targeted improvement plans, starting with sex and race pay gaps.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56900B15"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31C24F2A" w14:textId="77777777" w:rsidR="0074426E" w:rsidRPr="0074426E" w:rsidRDefault="0074426E" w:rsidP="0074426E">
      <w:pPr>
        <w:spacing w:after="0" w:line="240" w:lineRule="auto"/>
        <w:ind w:left="360"/>
        <w:rPr>
          <w:rFonts w:ascii="Times New Roman" w:eastAsia="Times New Roman" w:hAnsi="Times New Roman" w:cs="Times New Roman"/>
          <w:lang w:val="en-GB" w:eastAsia="en-GB"/>
        </w:rPr>
      </w:pPr>
      <w:r w:rsidRPr="0074426E">
        <w:rPr>
          <w:rFonts w:ascii="Times New Roman" w:eastAsia="Times New Roman" w:hAnsi="Times New Roman" w:cs="Times New Roman"/>
          <w:lang w:val="en-GB" w:eastAsia="en-GB"/>
        </w:rPr>
        <w:t>Intersectionality means recognising that people have multiple, overlapping identities (such as race, gender, disability) and that discrimination and disadvantage can combine and interact across these characteristics.</w:t>
      </w:r>
    </w:p>
    <w:p w14:paraId="3D82C9F0" w14:textId="77777777" w:rsidR="0074551A" w:rsidRPr="0074426E" w:rsidRDefault="0074551A" w:rsidP="0074551A">
      <w:pPr>
        <w:spacing w:before="100" w:beforeAutospacing="1" w:after="100" w:afterAutospacing="1" w:line="240" w:lineRule="auto"/>
        <w:rPr>
          <w:rFonts w:asciiTheme="minorBidi" w:eastAsia="Times New Roman" w:hAnsiTheme="minorBidi"/>
          <w:lang w:val="en-GB"/>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0E31F99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F912FC6" w14:textId="77777777" w:rsidR="00487FEF" w:rsidRPr="00487FEF" w:rsidRDefault="00487FEF" w:rsidP="00487FEF">
      <w:pPr>
        <w:pStyle w:val="ListParagraph"/>
        <w:spacing w:before="100" w:beforeAutospacing="1" w:after="100" w:afterAutospacing="1"/>
        <w:rPr>
          <w:rFonts w:asciiTheme="minorBidi" w:eastAsia="Times New Roman" w:hAnsiTheme="minorBidi"/>
          <w:lang w:val="en-GB"/>
        </w:rPr>
      </w:pPr>
      <w:r w:rsidRPr="00487FEF">
        <w:rPr>
          <w:rFonts w:asciiTheme="minorBidi" w:eastAsia="Times New Roman" w:hAnsiTheme="minorBidi"/>
          <w:lang w:val="en-GB"/>
        </w:rPr>
        <w:t>A psychologically safe environment is essential so that employees can speak up, report concerns, and share ideas without fear, promoting wellbeing, retention, and safer, more effective care.</w:t>
      </w:r>
    </w:p>
    <w:p w14:paraId="483F6ED0" w14:textId="4FC101D7" w:rsidR="0074426E" w:rsidRPr="00487FEF" w:rsidRDefault="0074426E" w:rsidP="00487FEF">
      <w:pPr>
        <w:spacing w:before="100" w:beforeAutospacing="1" w:after="100" w:afterAutospacing="1"/>
        <w:rPr>
          <w:rFonts w:asciiTheme="minorBidi" w:eastAsia="Times New Roman" w:hAnsiTheme="minorBidi"/>
          <w:lang w:val="en-GB"/>
        </w:rPr>
      </w:pPr>
    </w:p>
    <w:p w14:paraId="34316902" w14:textId="77777777" w:rsidR="0074551A" w:rsidRPr="0074426E" w:rsidRDefault="0074551A" w:rsidP="0074551A">
      <w:pPr>
        <w:pStyle w:val="ListParagraph"/>
        <w:spacing w:before="100" w:beforeAutospacing="1" w:after="100" w:afterAutospacing="1" w:line="240" w:lineRule="auto"/>
        <w:rPr>
          <w:rFonts w:asciiTheme="minorBidi" w:eastAsia="Times New Roman" w:hAnsiTheme="minorBidi"/>
          <w:lang w:val="en-GB"/>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312CE1E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E520068" w14:textId="77777777" w:rsidR="00487FEF" w:rsidRPr="00487FEF" w:rsidRDefault="00487FEF" w:rsidP="00487FEF">
      <w:pPr>
        <w:pStyle w:val="ListParagraph"/>
        <w:spacing w:before="100" w:beforeAutospacing="1" w:after="100" w:afterAutospacing="1"/>
        <w:rPr>
          <w:rFonts w:asciiTheme="minorBidi" w:eastAsia="Times New Roman" w:hAnsiTheme="minorBidi"/>
          <w:lang w:val="en-GB"/>
        </w:rPr>
      </w:pPr>
      <w:r w:rsidRPr="00487FEF">
        <w:rPr>
          <w:rFonts w:asciiTheme="minorBidi" w:eastAsia="Times New Roman" w:hAnsiTheme="minorBidi"/>
          <w:lang w:val="en-GB"/>
        </w:rPr>
        <w:lastRenderedPageBreak/>
        <w:t>The plan prioritises providing clear pre-arrival information, comprehensive onboarding and pastoral support, culturally aware teams, and equal access to development and progression opportunities for international recruits.</w:t>
      </w:r>
    </w:p>
    <w:p w14:paraId="74F4F6C1" w14:textId="77777777" w:rsidR="0074551A" w:rsidRPr="00487FEF" w:rsidRDefault="0074551A" w:rsidP="00487FEF">
      <w:pPr>
        <w:spacing w:before="100" w:beforeAutospacing="1" w:after="100" w:afterAutospacing="1" w:line="240" w:lineRule="auto"/>
        <w:rPr>
          <w:rFonts w:asciiTheme="minorBidi" w:eastAsia="Times New Roman" w:hAnsiTheme="minorBidi"/>
          <w:lang w:val="en-GB"/>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114A3F5D"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p>
    <w:p w14:paraId="15F875B5" w14:textId="77777777" w:rsidR="00487FEF" w:rsidRPr="000E38BD" w:rsidRDefault="00487FEF" w:rsidP="000E38BD">
      <w:pPr>
        <w:spacing w:after="0" w:line="240" w:lineRule="auto"/>
        <w:ind w:left="360"/>
        <w:rPr>
          <w:rFonts w:ascii="Times New Roman" w:eastAsia="Times New Roman" w:hAnsi="Times New Roman" w:cs="Times New Roman"/>
          <w:lang w:val="en-GB" w:eastAsia="en-GB"/>
        </w:rPr>
      </w:pPr>
      <w:r w:rsidRPr="000E38BD">
        <w:rPr>
          <w:rFonts w:ascii="Times New Roman" w:eastAsia="Times New Roman" w:hAnsi="Times New Roman" w:cs="Times New Roman"/>
          <w:lang w:val="en-GB" w:eastAsia="en-GB"/>
        </w:rPr>
        <w:t>Leaders must take ownership of specific EDI objectives, drive change with data and lived experience, and model inclusive behaviours to embed EDI in organisational culture and accountability.</w:t>
      </w:r>
    </w:p>
    <w:p w14:paraId="4A1229F6" w14:textId="77777777" w:rsidR="0074551A" w:rsidRPr="00487FEF" w:rsidRDefault="0074551A" w:rsidP="00487FEF">
      <w:pPr>
        <w:spacing w:before="100" w:beforeAutospacing="1" w:after="100" w:afterAutospacing="1" w:line="240" w:lineRule="auto"/>
        <w:ind w:left="360"/>
        <w:rPr>
          <w:rFonts w:asciiTheme="minorBidi" w:eastAsia="Times New Roman" w:hAnsiTheme="minorBidi"/>
          <w:lang w:val="en-GB"/>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1DE268A8"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4613D1E" w14:textId="77777777" w:rsidR="00487FEF" w:rsidRPr="00487FEF" w:rsidRDefault="00487FEF" w:rsidP="00487FEF">
      <w:pPr>
        <w:pStyle w:val="ListParagraph"/>
        <w:spacing w:before="100" w:beforeAutospacing="1" w:after="100" w:afterAutospacing="1"/>
        <w:rPr>
          <w:rFonts w:asciiTheme="minorBidi" w:eastAsia="Times New Roman" w:hAnsiTheme="minorBidi"/>
          <w:lang w:val="en-GB"/>
        </w:rPr>
      </w:pPr>
      <w:r w:rsidRPr="00487FEF">
        <w:rPr>
          <w:rFonts w:asciiTheme="minorBidi" w:eastAsia="Times New Roman" w:hAnsiTheme="minorBidi"/>
          <w:lang w:val="en-GB"/>
        </w:rPr>
        <w:t>One approach is to review data on bullying, harassment, discrimination, and violence by protected characteristic and set reduction targets with actions to improve staff experience annually.</w:t>
      </w:r>
    </w:p>
    <w:p w14:paraId="53B7217B" w14:textId="77777777" w:rsidR="0074551A" w:rsidRPr="00487FEF" w:rsidRDefault="0074551A" w:rsidP="00487FEF">
      <w:pPr>
        <w:spacing w:before="100" w:beforeAutospacing="1" w:after="100" w:afterAutospacing="1" w:line="240" w:lineRule="auto"/>
        <w:rPr>
          <w:rFonts w:asciiTheme="minorBidi" w:eastAsia="Times New Roman" w:hAnsiTheme="minorBidi"/>
          <w:lang w:val="en-GB"/>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5F9F76BE"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p>
    <w:p w14:paraId="19BB4814" w14:textId="77777777" w:rsidR="00487FEF" w:rsidRPr="00487FEF" w:rsidRDefault="00487FEF" w:rsidP="00487FEF">
      <w:pPr>
        <w:spacing w:after="0" w:line="240" w:lineRule="auto"/>
        <w:ind w:left="360"/>
        <w:rPr>
          <w:rFonts w:ascii="Times New Roman" w:eastAsia="Times New Roman" w:hAnsi="Times New Roman" w:cs="Times New Roman"/>
          <w:lang w:val="en-GB" w:eastAsia="en-GB"/>
        </w:rPr>
      </w:pPr>
      <w:r w:rsidRPr="00487FEF">
        <w:rPr>
          <w:rFonts w:ascii="Times New Roman" w:eastAsia="Times New Roman" w:hAnsi="Times New Roman" w:cs="Times New Roman"/>
          <w:lang w:val="en-GB" w:eastAsia="en-GB"/>
        </w:rPr>
        <w:t>Collecting and analysing data on protected characteristics allows us to identify inequalities, target interventions appropriately, and track whether actions are closing gaps over time.</w:t>
      </w:r>
    </w:p>
    <w:p w14:paraId="431C2024" w14:textId="77777777" w:rsidR="0074551A" w:rsidRPr="00487FEF" w:rsidRDefault="0074551A" w:rsidP="0074551A">
      <w:pPr>
        <w:pStyle w:val="ListParagraph"/>
        <w:spacing w:before="100" w:beforeAutospacing="1" w:after="100" w:afterAutospacing="1" w:line="240" w:lineRule="auto"/>
        <w:rPr>
          <w:rFonts w:asciiTheme="minorBidi" w:eastAsia="Times New Roman" w:hAnsiTheme="minorBidi"/>
          <w:lang w:val="en-GB"/>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5DE70AF3"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p>
    <w:p w14:paraId="6EFBA50A" w14:textId="77777777" w:rsidR="00487FEF" w:rsidRPr="000E38BD" w:rsidRDefault="00487FEF" w:rsidP="000E38BD">
      <w:pPr>
        <w:spacing w:after="0" w:line="240" w:lineRule="auto"/>
        <w:ind w:left="360"/>
        <w:rPr>
          <w:rFonts w:ascii="Times New Roman" w:eastAsia="Times New Roman" w:hAnsi="Times New Roman" w:cs="Times New Roman"/>
          <w:lang w:val="en-GB" w:eastAsia="en-GB"/>
        </w:rPr>
      </w:pPr>
      <w:r w:rsidRPr="000E38BD">
        <w:rPr>
          <w:rFonts w:ascii="Times New Roman" w:eastAsia="Times New Roman" w:hAnsi="Times New Roman" w:cs="Times New Roman"/>
          <w:lang w:val="en-GB" w:eastAsia="en-GB"/>
        </w:rPr>
        <w:lastRenderedPageBreak/>
        <w:t>Flexible working promotes equality by allowing employees to balance work with caring responsibilities, disabilities, or health needs, which can boost retention and open up roles to a more diverse workforce.</w:t>
      </w:r>
    </w:p>
    <w:p w14:paraId="23911E1F" w14:textId="77777777" w:rsidR="0074551A" w:rsidRPr="00487FEF" w:rsidRDefault="0074551A" w:rsidP="00487FEF">
      <w:pPr>
        <w:spacing w:before="100" w:beforeAutospacing="1" w:after="100" w:afterAutospacing="1" w:line="240" w:lineRule="auto"/>
        <w:ind w:left="360"/>
        <w:rPr>
          <w:rFonts w:asciiTheme="minorBidi" w:eastAsia="Times New Roman" w:hAnsiTheme="minorBidi"/>
          <w:lang w:val="en-GB"/>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2F6A6760" w:rsidR="0074551A" w:rsidRPr="000E38B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p>
    <w:p w14:paraId="1C0A42FD" w14:textId="77777777" w:rsidR="000E38BD" w:rsidRPr="000E38BD" w:rsidRDefault="000E38BD" w:rsidP="000E38BD">
      <w:pPr>
        <w:spacing w:before="100" w:beforeAutospacing="1" w:after="100" w:afterAutospacing="1" w:line="240" w:lineRule="auto"/>
        <w:ind w:left="360"/>
        <w:rPr>
          <w:rFonts w:asciiTheme="minorBidi" w:eastAsia="Times New Roman" w:hAnsiTheme="minorBidi"/>
        </w:rPr>
      </w:pPr>
    </w:p>
    <w:p w14:paraId="27447D74" w14:textId="77777777" w:rsidR="000E38BD" w:rsidRPr="000E38BD" w:rsidRDefault="000E38BD" w:rsidP="000E38BD">
      <w:pPr>
        <w:spacing w:after="0" w:line="240" w:lineRule="auto"/>
        <w:ind w:left="360"/>
        <w:rPr>
          <w:rFonts w:ascii="Times New Roman" w:eastAsia="Times New Roman" w:hAnsi="Times New Roman" w:cs="Times New Roman"/>
          <w:lang w:val="en-GB" w:eastAsia="en-GB"/>
        </w:rPr>
      </w:pPr>
      <w:r w:rsidRPr="000E38BD">
        <w:rPr>
          <w:rFonts w:ascii="Times New Roman" w:eastAsia="Times New Roman" w:hAnsi="Times New Roman" w:cs="Times New Roman"/>
          <w:lang w:val="en-GB" w:eastAsia="en-GB"/>
        </w:rPr>
        <w:t>One strategy is to review bullying and harassment data by protected characteristic, establish specific reduction targets, and provide psychological support and protections to employees who report abuse or raise concerns.</w:t>
      </w:r>
    </w:p>
    <w:p w14:paraId="6578F6D8" w14:textId="687B7DC4" w:rsidR="021F216E" w:rsidRPr="000E38BD" w:rsidRDefault="021F216E" w:rsidP="021F216E">
      <w:pPr>
        <w:rPr>
          <w:rFonts w:ascii="Arial Nova" w:eastAsia="Arial Nova" w:hAnsi="Arial Nova" w:cs="Arial Nova"/>
          <w:color w:val="000000" w:themeColor="text1"/>
          <w:lang w:val="en-GB"/>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3417326" w14:textId="77777777" w:rsidR="0074551A" w:rsidRDefault="0074551A" w:rsidP="021F216E">
      <w:pPr>
        <w:spacing w:after="0"/>
        <w:rPr>
          <w:rFonts w:ascii="Arial Nova" w:eastAsia="Arial Nova" w:hAnsi="Arial Nova" w:cs="Arial Nova"/>
          <w:i/>
          <w:iCs/>
          <w:color w:val="000000" w:themeColor="text1"/>
        </w:rPr>
      </w:pPr>
    </w:p>
    <w:p w14:paraId="0F0C51A6" w14:textId="77777777" w:rsidR="00BA2D4C" w:rsidRPr="00B726F0" w:rsidRDefault="001E31B6" w:rsidP="00BA2D4C">
      <w:pPr>
        <w:spacing w:after="0"/>
        <w:rPr>
          <w:rFonts w:ascii="Arial Nova" w:eastAsia="Arial Nova" w:hAnsi="Arial Nova" w:cs="Arial Nova"/>
          <w:color w:val="000000" w:themeColor="text1"/>
          <w:lang w:val="en-GB"/>
        </w:rPr>
      </w:pPr>
      <w:r w:rsidRPr="001E31B6">
        <w:rPr>
          <w:rFonts w:ascii="Arial Nova" w:eastAsia="Arial Nova" w:hAnsi="Arial Nova" w:cs="Arial Nova"/>
          <w:i/>
          <w:iCs/>
          <w:color w:val="000000" w:themeColor="text1"/>
          <w:lang w:val="en-GB"/>
        </w:rPr>
        <w:t xml:space="preserve"> </w:t>
      </w:r>
      <w:r w:rsidRPr="001E31B6">
        <w:rPr>
          <w:rFonts w:ascii="Arial Nova" w:eastAsia="Arial Nova" w:hAnsi="Arial Nova" w:cs="Arial Nova"/>
          <w:i/>
          <w:iCs/>
          <w:color w:val="000000" w:themeColor="text1"/>
          <w:lang w:val="en-GB"/>
        </w:rPr>
        <w:br/>
      </w:r>
      <w:r w:rsidRPr="001E31B6">
        <w:rPr>
          <w:rFonts w:ascii="Arial Nova" w:eastAsia="Arial Nova" w:hAnsi="Arial Nova" w:cs="Arial Nova"/>
          <w:i/>
          <w:iCs/>
          <w:color w:val="000000" w:themeColor="text1"/>
          <w:lang w:val="en-GB"/>
        </w:rPr>
        <w:br/>
      </w:r>
      <w:r w:rsidRPr="00B726F0">
        <w:rPr>
          <w:rFonts w:ascii="Arial Nova" w:eastAsia="Arial Nova" w:hAnsi="Arial Nova" w:cs="Arial Nova"/>
          <w:color w:val="000000" w:themeColor="text1"/>
          <w:lang w:val="en-GB"/>
        </w:rPr>
        <w:t xml:space="preserve">Greetings, Younger, Me!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t xml:space="preserve">Dear Younger Me </w:t>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t xml:space="preserve">I recall a time when life felt especially difficult — juggling your studies, part-time work, and personal obligations frequently left you feeling anxious and inadequate. At that point, you were unsure of your ability to effectively manage stress. Now that I think </w:t>
      </w:r>
      <w:r w:rsidR="00BA2D4C" w:rsidRPr="00B726F0">
        <w:rPr>
          <w:rFonts w:ascii="Arial Nova" w:eastAsia="Arial Nova" w:hAnsi="Arial Nova" w:cs="Arial Nova"/>
          <w:color w:val="000000" w:themeColor="text1"/>
          <w:lang w:val="en-GB"/>
        </w:rPr>
        <w:lastRenderedPageBreak/>
        <w:t>about it, I can see how developing emotional intelligence and resilience would have helped you get through those difficulties.</w:t>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t xml:space="preserve">Emotional intelligence starts with self-awareness. If you had been able to recognise and label your emotions rather than dismissing them, you might have realised how stress and self-doubt were influencing your decisions. Self-regulation would have enabled you to pause before reacting, allowing for calmer and more rational problem solving. Empathy would have also enabled you to see situations from the perspective of others, strengthening relationships rather than withdrawing when overwhelmed. </w:t>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t xml:space="preserve">I now understand that resilience is more than just enduring hardship; it is also about learning and growing from it. Building resilience would have enabled you to view challenges as temporary obstacles rather than permanent failures. Self-compassion and maintaining perspective could have provided a sense of hope and control. </w:t>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t xml:space="preserve">Looking back, I can see how practicing these qualities early on could have benefited your well-being, academic performance, and relationships. You would have realised that emotional intelligence and resilience are built through reflection, honesty, and perseverance. Importantly, you now understand that these qualities continue to help you grow and allow you to respond to life with more emotional balance and purpose. </w:t>
      </w:r>
      <w:r w:rsidR="00BA2D4C" w:rsidRPr="00B726F0">
        <w:rPr>
          <w:rFonts w:ascii="Arial Nova" w:eastAsia="Arial Nova" w:hAnsi="Arial Nova" w:cs="Arial Nova"/>
          <w:color w:val="000000" w:themeColor="text1"/>
          <w:lang w:val="en-GB"/>
        </w:rPr>
        <w:br/>
      </w:r>
      <w:r w:rsidR="00BA2D4C" w:rsidRPr="00B726F0">
        <w:rPr>
          <w:rFonts w:ascii="Arial Nova" w:eastAsia="Arial Nova" w:hAnsi="Arial Nova" w:cs="Arial Nova"/>
          <w:color w:val="000000" w:themeColor="text1"/>
          <w:lang w:val="en-GB"/>
        </w:rPr>
        <w:br/>
        <w:t>With understanding, your older self.</w:t>
      </w:r>
    </w:p>
    <w:p w14:paraId="2C167588" w14:textId="66A5177B" w:rsidR="001E31B6" w:rsidRPr="001E31B6" w:rsidRDefault="001E31B6" w:rsidP="001E31B6">
      <w:pPr>
        <w:spacing w:after="0"/>
        <w:rPr>
          <w:rFonts w:ascii="Arial Nova" w:eastAsia="Arial Nova" w:hAnsi="Arial Nova" w:cs="Arial Nova"/>
          <w:i/>
          <w:iCs/>
          <w:color w:val="000000" w:themeColor="text1"/>
          <w:lang w:val="en-GB"/>
        </w:rPr>
      </w:pPr>
    </w:p>
    <w:p w14:paraId="2ABEF74B" w14:textId="74A7A191"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06E443DD" w14:textId="460F0F84" w:rsidR="001B0C9D" w:rsidRPr="001B0C9D" w:rsidRDefault="001B0C9D" w:rsidP="001B0C9D">
      <w:pPr>
        <w:rPr>
          <w:rFonts w:ascii="Arial Nova" w:eastAsia="Arial Nova" w:hAnsi="Arial Nova" w:cs="Arial Nova"/>
          <w:i/>
          <w:iCs/>
          <w:lang w:val="en-GB"/>
        </w:rPr>
      </w:pPr>
      <w:r w:rsidRPr="001B0C9D">
        <w:rPr>
          <w:rFonts w:ascii="Arial Nova" w:eastAsia="Arial Nova" w:hAnsi="Arial Nova" w:cs="Arial Nova"/>
          <w:i/>
          <w:iCs/>
          <w:lang w:val="en-GB"/>
        </w:rPr>
        <w:drawing>
          <wp:inline distT="0" distB="0" distL="0" distR="0" wp14:anchorId="35472F09" wp14:editId="51824BB6">
            <wp:extent cx="5943600" cy="3343275"/>
            <wp:effectExtent l="0" t="0" r="0" b="9525"/>
            <wp:docPr id="14819541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AD05CBE" w14:textId="2598192A"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2E23D15C" w:rsidR="021F216E" w:rsidRDefault="00632F8B"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w:t>
      </w:r>
      <w:r w:rsidR="00D17D41">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2CF2054B" w14:textId="77777777" w:rsidR="00B609A9" w:rsidRDefault="00B609A9" w:rsidP="00B609A9">
      <w:pPr>
        <w:rPr>
          <w:rFonts w:ascii="Arial Nova" w:eastAsia="Arial Nova" w:hAnsi="Arial Nova" w:cs="Arial Nova"/>
          <w:i/>
          <w:iCs/>
          <w:color w:val="000000" w:themeColor="text1"/>
          <w:lang w:val="en-GB"/>
        </w:rPr>
      </w:pPr>
      <w:r w:rsidRPr="00B726F0">
        <w:rPr>
          <w:rFonts w:ascii="Arial Nova" w:eastAsia="Arial Nova" w:hAnsi="Arial Nova" w:cs="Arial Nova"/>
          <w:color w:val="000000" w:themeColor="text1"/>
          <w:lang w:val="en-GB"/>
        </w:rPr>
        <w:t xml:space="preserve">Implementing a Staff Wellbeing Program at Sunrise Care Home: A Change Management Report.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lastRenderedPageBreak/>
        <w:t>As the manager of Sunrise Care Home, I propose implementing a structured staff wellbeing program that includes monthly reflective supervision sessions and access to peer support. High burnout and turnover rates among carers highlight the urgent need for this change, as research confirms that staff well-being is critical to morale and care quality in care home settings (Benson et al., 2019).</w:t>
      </w:r>
      <w:r w:rsidRPr="00B726F0">
        <w:rPr>
          <w:rFonts w:ascii="Arial Nova" w:eastAsia="Arial Nova" w:hAnsi="Arial Nova" w:cs="Arial Nova"/>
          <w:color w:val="000000" w:themeColor="text1"/>
          <w:lang w:val="en-GB"/>
        </w:rPr>
        <w:br/>
      </w:r>
      <w:r w:rsidRPr="00B726F0">
        <w:rPr>
          <w:rFonts w:ascii="Arial" w:eastAsia="Arial Nova" w:hAnsi="Arial" w:cs="Arial"/>
          <w:color w:val="000000" w:themeColor="text1"/>
          <w:lang w:val="en-GB"/>
        </w:rPr>
        <w:t>​</w:t>
      </w:r>
      <w:r w:rsidRPr="00B726F0">
        <w:rPr>
          <w:rFonts w:ascii="Arial Nova" w:eastAsia="Arial Nova" w:hAnsi="Arial Nova" w:cs="Arial Nova"/>
          <w:color w:val="000000" w:themeColor="text1"/>
          <w:lang w:val="en-GB"/>
        </w:rPr>
        <w:t xml:space="preserve">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t xml:space="preserve">Kotter's (1996) 8-Step Change Model provides an effective framework for implementation. Initially, urgency will be established by sharing sickness absence data during a team meeting. A guiding coalition of senior carers will co-design the program, ensuring employee ownership. A clear vision — "supported staff delivering compassionate care" — will be communicated through meetings, notice boards, and one-on-one conversations. Short-term wins, such as higher staff satisfaction scores after the first quarter, will help to maintain momentum (Mitchell, 2013). </w:t>
      </w:r>
      <w:r w:rsidRPr="00B726F0">
        <w:rPr>
          <w:rFonts w:ascii="Arial Nova" w:eastAsia="Arial Nova" w:hAnsi="Arial Nova" w:cs="Arial Nova"/>
          <w:color w:val="000000" w:themeColor="text1"/>
          <w:lang w:val="en-GB"/>
        </w:rPr>
        <w:br/>
      </w:r>
      <w:r w:rsidRPr="00B726F0">
        <w:rPr>
          <w:rFonts w:ascii="Arial" w:eastAsia="Arial Nova" w:hAnsi="Arial" w:cs="Arial"/>
          <w:color w:val="000000" w:themeColor="text1"/>
          <w:lang w:val="en-GB"/>
        </w:rPr>
        <w:t>​</w:t>
      </w:r>
      <w:r w:rsidRPr="00B726F0">
        <w:rPr>
          <w:rFonts w:ascii="Arial Nova" w:eastAsia="Arial Nova" w:hAnsi="Arial Nova" w:cs="Arial Nova"/>
          <w:color w:val="000000" w:themeColor="text1"/>
          <w:lang w:val="en-GB"/>
        </w:rPr>
        <w:t xml:space="preserve">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t xml:space="preserve">Effective communication, empathy, and the ability to motivate others through a common goal are all essential leadership skills. Project management skills are also required for coordinating training schedules with care delivery. </w:t>
      </w:r>
      <w:r w:rsidRPr="00B726F0">
        <w:rPr>
          <w:rFonts w:ascii="Arial Nova" w:eastAsia="Arial Nova" w:hAnsi="Arial Nova" w:cs="Arial Nova"/>
          <w:color w:val="000000" w:themeColor="text1"/>
          <w:lang w:val="en-GB"/>
        </w:rPr>
        <w:br/>
      </w:r>
      <w:r w:rsidRPr="00B726F0">
        <w:rPr>
          <w:rFonts w:ascii="Arial Nova" w:eastAsia="Arial Nova" w:hAnsi="Arial Nova" w:cs="Arial Nova"/>
          <w:color w:val="000000" w:themeColor="text1"/>
          <w:lang w:val="en-GB"/>
        </w:rPr>
        <w:br/>
        <w:t>Staff resistance due to time constraints and scepticism toward change are two potential barriers. According to Mitchell (2013), skipping steps or failing to apply earlier stages of Kotter's model increases the risk of failure. These barriers will be addressed through open dialogue, staff participation in decision-making, and a pilot program on a single unit before a wider rollout.</w:t>
      </w:r>
      <w:r w:rsidRPr="00B609A9">
        <w:rPr>
          <w:rFonts w:ascii="Arial Nova" w:eastAsia="Arial Nova" w:hAnsi="Arial Nova" w:cs="Arial Nova"/>
          <w:i/>
          <w:iCs/>
          <w:color w:val="000000" w:themeColor="text1"/>
          <w:lang w:val="en-GB"/>
        </w:rPr>
        <w:t xml:space="preserve"> </w:t>
      </w:r>
      <w:r w:rsidRPr="00B609A9">
        <w:rPr>
          <w:rFonts w:ascii="Arial Nova" w:eastAsia="Arial Nova" w:hAnsi="Arial Nova" w:cs="Arial Nova"/>
          <w:i/>
          <w:iCs/>
          <w:color w:val="000000" w:themeColor="text1"/>
          <w:lang w:val="en-GB"/>
        </w:rPr>
        <w:br/>
      </w:r>
      <w:r w:rsidRPr="00B609A9">
        <w:rPr>
          <w:rFonts w:ascii="Arial" w:eastAsia="Arial Nova" w:hAnsi="Arial" w:cs="Arial"/>
          <w:i/>
          <w:iCs/>
          <w:color w:val="000000" w:themeColor="text1"/>
          <w:lang w:val="en-GB"/>
        </w:rPr>
        <w:t>​</w:t>
      </w:r>
      <w:r w:rsidRPr="00B609A9">
        <w:rPr>
          <w:rFonts w:ascii="Arial Nova" w:eastAsia="Arial Nova" w:hAnsi="Arial Nova" w:cs="Arial Nova"/>
          <w:i/>
          <w:iCs/>
          <w:color w:val="000000" w:themeColor="text1"/>
          <w:lang w:val="en-GB"/>
        </w:rPr>
        <w:t xml:space="preserve"> </w:t>
      </w:r>
      <w:r w:rsidRPr="00B609A9">
        <w:rPr>
          <w:rFonts w:ascii="Arial Nova" w:eastAsia="Arial Nova" w:hAnsi="Arial Nova" w:cs="Arial Nova"/>
          <w:i/>
          <w:iCs/>
          <w:color w:val="000000" w:themeColor="text1"/>
          <w:lang w:val="en-GB"/>
        </w:rPr>
        <w:br/>
      </w:r>
      <w:r w:rsidRPr="00B609A9">
        <w:rPr>
          <w:rFonts w:ascii="Arial Nova" w:eastAsia="Arial Nova" w:hAnsi="Arial Nova" w:cs="Arial Nova"/>
          <w:i/>
          <w:iCs/>
          <w:color w:val="000000" w:themeColor="text1"/>
          <w:lang w:val="en-GB"/>
        </w:rPr>
        <w:br/>
        <w:t xml:space="preserve">. </w:t>
      </w:r>
      <w:r w:rsidRPr="00B609A9">
        <w:rPr>
          <w:rFonts w:ascii="Arial Nova" w:eastAsia="Arial Nova" w:hAnsi="Arial Nova" w:cs="Arial Nova"/>
          <w:i/>
          <w:iCs/>
          <w:color w:val="000000" w:themeColor="text1"/>
          <w:lang w:val="en-GB"/>
        </w:rPr>
        <w:br/>
      </w:r>
      <w:r w:rsidRPr="00B609A9">
        <w:rPr>
          <w:rFonts w:ascii="Arial Nova" w:eastAsia="Arial Nova" w:hAnsi="Arial Nova" w:cs="Arial Nova"/>
          <w:i/>
          <w:iCs/>
          <w:color w:val="000000" w:themeColor="text1"/>
          <w:lang w:val="en-GB"/>
        </w:rPr>
        <w:br/>
        <w:t xml:space="preserve">References </w:t>
      </w:r>
    </w:p>
    <w:p w14:paraId="0573F2E6" w14:textId="77777777" w:rsidR="00B609A9" w:rsidRPr="00B609A9" w:rsidRDefault="00B609A9" w:rsidP="00B609A9">
      <w:pPr>
        <w:rPr>
          <w:rFonts w:ascii="Arial Nova" w:eastAsia="Arial Nova" w:hAnsi="Arial Nova" w:cs="Arial Nova"/>
          <w:i/>
          <w:iCs/>
          <w:color w:val="000000" w:themeColor="text1"/>
          <w:lang w:val="en-GB"/>
        </w:rPr>
      </w:pPr>
      <w:r w:rsidRPr="00B609A9">
        <w:rPr>
          <w:rFonts w:ascii="Arial Nova" w:eastAsia="Arial Nova" w:hAnsi="Arial Nova" w:cs="Arial Nova"/>
          <w:i/>
          <w:iCs/>
          <w:color w:val="000000" w:themeColor="text1"/>
          <w:lang w:val="en-GB"/>
        </w:rPr>
        <w:t xml:space="preserve">Benson, T., </w:t>
      </w:r>
      <w:proofErr w:type="spellStart"/>
      <w:r w:rsidRPr="00B609A9">
        <w:rPr>
          <w:rFonts w:ascii="Arial Nova" w:eastAsia="Arial Nova" w:hAnsi="Arial Nova" w:cs="Arial Nova"/>
          <w:i/>
          <w:iCs/>
          <w:color w:val="000000" w:themeColor="text1"/>
          <w:lang w:val="en-GB"/>
        </w:rPr>
        <w:t>Sladen</w:t>
      </w:r>
      <w:proofErr w:type="spellEnd"/>
      <w:r w:rsidRPr="00B609A9">
        <w:rPr>
          <w:rFonts w:ascii="Arial Nova" w:eastAsia="Arial Nova" w:hAnsi="Arial Nova" w:cs="Arial Nova"/>
          <w:i/>
          <w:iCs/>
          <w:color w:val="000000" w:themeColor="text1"/>
          <w:lang w:val="en-GB"/>
        </w:rPr>
        <w:t>, J., Done, J. and Bowman, C. (2019) 'Monitoring work well-being, job confidence and care provided by care home staff using a self-report survey', BMJ Open Quality, 8(2), e000621. doi:10.1136/bmjoq-2018-000621.</w:t>
      </w:r>
    </w:p>
    <w:p w14:paraId="33F7FEF5" w14:textId="1D42805A" w:rsidR="00B609A9" w:rsidRDefault="00B609A9" w:rsidP="00B609A9">
      <w:pPr>
        <w:rPr>
          <w:rFonts w:ascii="Arial Nova" w:eastAsia="Arial Nova" w:hAnsi="Arial Nova" w:cs="Arial Nova"/>
          <w:i/>
          <w:iCs/>
          <w:color w:val="000000" w:themeColor="text1"/>
          <w:lang w:val="en-GB"/>
        </w:rPr>
      </w:pPr>
      <w:r w:rsidRPr="00B609A9">
        <w:rPr>
          <w:rFonts w:ascii="Arial Nova" w:eastAsia="Arial Nova" w:hAnsi="Arial Nova" w:cs="Arial Nova"/>
          <w:i/>
          <w:iCs/>
          <w:color w:val="000000" w:themeColor="text1"/>
          <w:lang w:val="en-GB"/>
        </w:rPr>
        <w:t>Mitchell, G. (2013) 'Selecting the best theory to implement planned change', Nursing Management, 20(1), pp. 32–37. doi:10.7748/nm2013.04.20.1.32.e1013.</w:t>
      </w:r>
    </w:p>
    <w:p w14:paraId="05EDAF8D" w14:textId="3795DDBD" w:rsidR="00B609A9" w:rsidRPr="00B609A9" w:rsidRDefault="00B609A9" w:rsidP="00B609A9">
      <w:pPr>
        <w:rPr>
          <w:rFonts w:ascii="Arial Nova" w:eastAsia="Arial Nova" w:hAnsi="Arial Nova" w:cs="Arial Nova"/>
          <w:i/>
          <w:iCs/>
          <w:color w:val="000000" w:themeColor="text1"/>
          <w:lang w:val="en-GB"/>
        </w:rPr>
      </w:pPr>
      <w:r w:rsidRPr="00572880">
        <w:rPr>
          <w:rFonts w:ascii="Arial Nova" w:eastAsia="Arial Nova" w:hAnsi="Arial Nova" w:cs="Arial Nova"/>
          <w:i/>
          <w:iCs/>
          <w:color w:val="000000" w:themeColor="text1"/>
          <w:lang w:val="de-DE"/>
        </w:rPr>
        <w:lastRenderedPageBreak/>
        <w:br/>
      </w:r>
      <w:r w:rsidRPr="00572880">
        <w:rPr>
          <w:rFonts w:ascii="Arial Nova" w:eastAsia="Arial Nova" w:hAnsi="Arial Nova" w:cs="Arial Nova"/>
          <w:i/>
          <w:iCs/>
          <w:color w:val="000000" w:themeColor="text1"/>
          <w:lang w:val="de-DE"/>
        </w:rPr>
        <w:br/>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58967517" w14:textId="77777777" w:rsidR="00AC5114" w:rsidRDefault="00AC5114" w:rsidP="00AC5114">
      <w:pPr>
        <w:rPr>
          <w:rFonts w:ascii="Arial Nova" w:eastAsia="Arial Nova" w:hAnsi="Arial Nova" w:cs="Arial Nova"/>
          <w:i/>
          <w:iCs/>
          <w:color w:val="000000" w:themeColor="text1"/>
        </w:rPr>
      </w:pPr>
    </w:p>
    <w:p w14:paraId="5873574F" w14:textId="4B6EF078" w:rsidR="00AC5114" w:rsidRPr="00B11280" w:rsidRDefault="00AC5114" w:rsidP="00AC5114">
      <w:pPr>
        <w:rPr>
          <w:rFonts w:ascii="Arial Nova" w:eastAsia="Arial Nova" w:hAnsi="Arial Nova" w:cs="Arial Nova"/>
          <w:i/>
          <w:iCs/>
          <w:color w:val="000000" w:themeColor="text1"/>
          <w:sz w:val="36"/>
          <w:szCs w:val="36"/>
          <w:lang w:val="en-GB"/>
        </w:rPr>
      </w:pPr>
      <w:r w:rsidRPr="00B11280">
        <w:rPr>
          <w:rFonts w:ascii="Arial Nova" w:eastAsia="Arial Nova" w:hAnsi="Arial Nova" w:cs="Arial Nova"/>
          <w:i/>
          <w:iCs/>
          <w:color w:val="000000" w:themeColor="text1"/>
          <w:sz w:val="36"/>
          <w:szCs w:val="36"/>
          <w:lang w:val="en-GB"/>
        </w:rPr>
        <w:t>Task 8  Self Reflect</w:t>
      </w:r>
      <w:r w:rsidR="00B11280" w:rsidRPr="00B11280">
        <w:rPr>
          <w:rFonts w:ascii="Arial Nova" w:eastAsia="Arial Nova" w:hAnsi="Arial Nova" w:cs="Arial Nova"/>
          <w:i/>
          <w:iCs/>
          <w:color w:val="000000" w:themeColor="text1"/>
          <w:sz w:val="36"/>
          <w:szCs w:val="36"/>
          <w:lang w:val="en-GB"/>
        </w:rPr>
        <w:t>ion</w:t>
      </w:r>
    </w:p>
    <w:p w14:paraId="21512FCE" w14:textId="77777777" w:rsidR="00AC5114" w:rsidRDefault="00AC5114" w:rsidP="00AC5114">
      <w:pPr>
        <w:rPr>
          <w:rFonts w:ascii="Arial Nova" w:eastAsia="Arial Nova" w:hAnsi="Arial Nova" w:cs="Arial Nova"/>
          <w:i/>
          <w:iCs/>
          <w:color w:val="000000" w:themeColor="text1"/>
          <w:lang w:val="en-GB"/>
        </w:rPr>
      </w:pPr>
    </w:p>
    <w:p w14:paraId="1E11DCD2" w14:textId="77777777" w:rsidR="00AC5114" w:rsidRDefault="00AC5114" w:rsidP="00AC5114">
      <w:pPr>
        <w:rPr>
          <w:rFonts w:ascii="Arial Nova" w:eastAsia="Arial Nova" w:hAnsi="Arial Nova" w:cs="Arial Nova"/>
          <w:i/>
          <w:iCs/>
          <w:color w:val="000000" w:themeColor="text1"/>
          <w:lang w:val="en-GB"/>
        </w:rPr>
      </w:pPr>
    </w:p>
    <w:p w14:paraId="77F28CE8" w14:textId="77777777" w:rsidR="00AC5114" w:rsidRDefault="00AC5114" w:rsidP="00AC5114">
      <w:pPr>
        <w:rPr>
          <w:rFonts w:ascii="Arial Nova" w:eastAsia="Arial Nova" w:hAnsi="Arial Nova" w:cs="Arial Nova"/>
          <w:i/>
          <w:iCs/>
          <w:color w:val="000000" w:themeColor="text1"/>
          <w:lang w:val="en-GB"/>
        </w:rPr>
      </w:pPr>
    </w:p>
    <w:p w14:paraId="447D50E2" w14:textId="77777777" w:rsidR="00AC5114" w:rsidRDefault="00AC5114" w:rsidP="00AC5114">
      <w:pPr>
        <w:rPr>
          <w:rFonts w:ascii="Arial Nova" w:eastAsia="Arial Nova" w:hAnsi="Arial Nova" w:cs="Arial Nova"/>
          <w:i/>
          <w:iCs/>
          <w:color w:val="000000" w:themeColor="text1"/>
          <w:lang w:val="en-GB"/>
        </w:rPr>
      </w:pPr>
    </w:p>
    <w:p w14:paraId="0846790E" w14:textId="5BCBE17A" w:rsidR="00AC5114" w:rsidRPr="00AC5114" w:rsidRDefault="00AC5114" w:rsidP="00AC5114">
      <w:pPr>
        <w:rPr>
          <w:rFonts w:ascii="Arial Nova" w:eastAsia="Arial Nova" w:hAnsi="Arial Nova" w:cs="Arial Nova"/>
          <w:i/>
          <w:iCs/>
          <w:color w:val="000000" w:themeColor="text1"/>
          <w:lang w:val="en-GB"/>
        </w:rPr>
      </w:pPr>
      <w:r w:rsidRPr="00AC5114">
        <w:rPr>
          <w:rFonts w:ascii="Arial Nova" w:eastAsia="Arial Nova" w:hAnsi="Arial Nova" w:cs="Arial Nova"/>
          <w:i/>
          <w:iCs/>
          <w:color w:val="000000" w:themeColor="text1"/>
          <w:lang w:val="en-GB"/>
        </w:rPr>
        <w:t xml:space="preserve">During the BMHP5015 module, I used Gibbs’ Reflective Cycle to examine how learning about change management and career planning reshaped my understanding of myself as a developing health and social care leader (Gibbs, 1988).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In the early sessions, I felt uncertain and slightly overwhelmed when asked to articulate a clear career vision and lead change-focused discussions, which challenged my confidence in my leadership potential. As the module progressed, I became more engaged and curious, particularly when linking theory to my current practice setting.</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I recognised that I contributed well to structured tasks, such as analysing case studies and applying change models, but I was less proactive in initiating debate or challenging </w:t>
      </w:r>
      <w:r w:rsidRPr="00AC5114">
        <w:rPr>
          <w:rFonts w:ascii="Arial Nova" w:eastAsia="Arial Nova" w:hAnsi="Arial Nova" w:cs="Arial Nova"/>
          <w:i/>
          <w:iCs/>
          <w:color w:val="000000" w:themeColor="text1"/>
          <w:lang w:val="en-GB"/>
        </w:rPr>
        <w:lastRenderedPageBreak/>
        <w:t xml:space="preserve">others’ assumptions. This highlighted a tendency to prioritise harmony over critical questioning, which can limit effective leadership in complex care environments.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Using Gibbs’ stages of evaluation and analysis helped me see that these reactions were shaped by previous workplace cultures that discouraged open challenge, rather than a lack of ability. The module therefore strengthened my self-awareness, critical thinking, and ability to connect theory with real practice.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In conclusion, this reflection has shown me that I need to be more intentionally assertive and evidence-informed when leading change discussions. My action plan is to use Gibbs’ cycle regularly after key meetings, seek feedback from colleagues on my leadership style, and set specific goals to practise constructive challenge, so that my future practice is more reflective, confident, and improvement-focused.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Follow-ups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Yes adapt it to a recent change project at work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 xml:space="preserve">Please make it focus more on my confidence growth </w:t>
      </w:r>
      <w:r w:rsidRPr="00AC5114">
        <w:rPr>
          <w:rFonts w:ascii="Arial Nova" w:eastAsia="Arial Nova" w:hAnsi="Arial Nova" w:cs="Arial Nova"/>
          <w:i/>
          <w:iCs/>
          <w:color w:val="000000" w:themeColor="text1"/>
          <w:lang w:val="en-GB"/>
        </w:rPr>
        <w:br/>
      </w:r>
      <w:r w:rsidRPr="00AC5114">
        <w:rPr>
          <w:rFonts w:ascii="Arial Nova" w:eastAsia="Arial Nova" w:hAnsi="Arial Nova" w:cs="Arial Nova"/>
          <w:i/>
          <w:iCs/>
          <w:color w:val="000000" w:themeColor="text1"/>
          <w:lang w:val="en-GB"/>
        </w:rPr>
        <w:br/>
        <w:t>Can you simplify the language but keep Gibbs</w:t>
      </w:r>
    </w:p>
    <w:p w14:paraId="3BAA750F" w14:textId="3DFF3209" w:rsidR="021F216E" w:rsidRPr="00AC5114" w:rsidRDefault="021F216E" w:rsidP="021F216E">
      <w:pPr>
        <w:rPr>
          <w:rFonts w:ascii="Arial Nova" w:eastAsia="Arial Nova" w:hAnsi="Arial Nova" w:cs="Arial Nova"/>
          <w:i/>
          <w:iCs/>
          <w:color w:val="000000" w:themeColor="text1"/>
          <w:lang w:val="en-GB"/>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0279DD" w14:textId="77777777" w:rsidR="00642DF5" w:rsidRPr="00642DF5" w:rsidRDefault="00642DF5" w:rsidP="00642DF5">
      <w:pPr>
        <w:rPr>
          <w:rFonts w:ascii="Arial Nova" w:eastAsia="Arial Nova" w:hAnsi="Arial Nova" w:cs="Arial Nova"/>
          <w:i/>
          <w:iCs/>
          <w:color w:val="000000" w:themeColor="text1"/>
          <w:lang w:val="en-GB"/>
        </w:rPr>
      </w:pPr>
      <w:r w:rsidRPr="00642DF5">
        <w:rPr>
          <w:rFonts w:ascii="Arial Nova" w:eastAsia="Arial Nova" w:hAnsi="Arial Nova" w:cs="Arial Nova"/>
          <w:b/>
          <w:bCs/>
          <w:i/>
          <w:iCs/>
          <w:color w:val="000000" w:themeColor="text1"/>
          <w:lang w:val="en-GB"/>
        </w:rPr>
        <w:t>References</w:t>
      </w:r>
    </w:p>
    <w:p w14:paraId="2709C1E4" w14:textId="77777777" w:rsidR="00642DF5" w:rsidRPr="00642DF5" w:rsidRDefault="00642DF5" w:rsidP="00642DF5">
      <w:pPr>
        <w:rPr>
          <w:rFonts w:ascii="Arial Nova" w:eastAsia="Arial Nova" w:hAnsi="Arial Nova" w:cs="Arial Nova"/>
          <w:i/>
          <w:iCs/>
          <w:color w:val="000000" w:themeColor="text1"/>
          <w:lang w:val="en-GB"/>
        </w:rPr>
      </w:pPr>
      <w:r w:rsidRPr="00642DF5">
        <w:rPr>
          <w:rFonts w:ascii="Arial Nova" w:eastAsia="Arial Nova" w:hAnsi="Arial Nova" w:cs="Arial Nova"/>
          <w:i/>
          <w:iCs/>
          <w:color w:val="000000" w:themeColor="text1"/>
          <w:lang w:val="en-GB"/>
        </w:rPr>
        <w:t>Gibbs, G. (1988) Learning by doing: a guide to teaching and learning methods. Oxford: Further Education Unit, Oxford Polytechnic.</w:t>
      </w:r>
    </w:p>
    <w:p w14:paraId="06F6AC41" w14:textId="16656033" w:rsidR="021F216E" w:rsidRPr="00642DF5" w:rsidRDefault="00642DF5" w:rsidP="021F216E">
      <w:pPr>
        <w:rPr>
          <w:rFonts w:ascii="Arial Nova" w:eastAsia="Arial Nova" w:hAnsi="Arial Nova" w:cs="Arial Nova"/>
          <w:i/>
          <w:iCs/>
          <w:color w:val="000000" w:themeColor="text1"/>
          <w:lang w:val="en-GB"/>
        </w:rPr>
      </w:pPr>
      <w:r w:rsidRPr="00642DF5">
        <w:rPr>
          <w:rFonts w:ascii="Arial Nova" w:eastAsia="Arial Nova" w:hAnsi="Arial Nova" w:cs="Arial Nova"/>
          <w:i/>
          <w:iCs/>
          <w:color w:val="000000" w:themeColor="text1"/>
          <w:lang w:val="en-GB"/>
        </w:rPr>
        <w:t>Goleman, D. (1996) Emotional intelligence: why it can matter more than IQ. London: Bloomsbury Publishing.</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029CF0F5" w14:textId="4140696A" w:rsidR="021F216E" w:rsidRDefault="021F216E" w:rsidP="021F216E">
      <w:pPr>
        <w:rPr>
          <w:rFonts w:ascii="Arial Nova" w:eastAsia="Arial Nova" w:hAnsi="Arial Nova" w:cs="Arial Nova"/>
          <w:i/>
          <w:iCs/>
          <w:color w:val="000000" w:themeColor="text1"/>
        </w:rPr>
      </w:pPr>
    </w:p>
    <w:p w14:paraId="676F25E7" w14:textId="6E78A4E8"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45701BE0" w14:textId="076D9174" w:rsidR="021F216E" w:rsidRPr="00555295" w:rsidRDefault="00555295" w:rsidP="021F216E">
      <w:pPr>
        <w:rPr>
          <w:rFonts w:ascii="Aptos" w:eastAsia="Aptos" w:hAnsi="Aptos" w:cs="Aptos"/>
          <w:color w:val="000000" w:themeColor="text1"/>
        </w:rPr>
      </w:pPr>
      <w:r w:rsidRPr="00555295">
        <w:rPr>
          <w:rFonts w:ascii="Aptos" w:eastAsia="Aptos" w:hAnsi="Aptos" w:cs="Aptos"/>
          <w:color w:val="000000" w:themeColor="text1"/>
        </w:rPr>
        <w:t>Harvard Business School Online (2024) ‘Personal branding: What it is and why it matters’. Available at: </w:t>
      </w:r>
      <w:hyperlink r:id="rId18" w:tgtFrame="_blank" w:history="1">
        <w:r w:rsidRPr="00555295">
          <w:rPr>
            <w:rStyle w:val="Hyperlink"/>
            <w:rFonts w:ascii="Aptos" w:eastAsia="Aptos" w:hAnsi="Aptos" w:cs="Aptos"/>
          </w:rPr>
          <w:t>https://online.hbs.edu/blog/post/personal-branding-at-work</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r w:rsidRPr="00555295">
        <w:rPr>
          <w:rFonts w:ascii="Aptos" w:eastAsia="Aptos" w:hAnsi="Aptos" w:cs="Aptos"/>
          <w:color w:val="000000" w:themeColor="text1"/>
        </w:rPr>
        <w:br/>
        <w:t>Hays (2026) ‘Developing a personal brand’. Available at: </w:t>
      </w:r>
      <w:hyperlink r:id="rId19" w:tgtFrame="_blank" w:history="1">
        <w:r w:rsidRPr="00555295">
          <w:rPr>
            <w:rStyle w:val="Hyperlink"/>
            <w:rFonts w:ascii="Aptos" w:eastAsia="Aptos" w:hAnsi="Aptos" w:cs="Aptos"/>
          </w:rPr>
          <w:t>https://www.hays.de/en/recruitment-agency/career-centre/personal-branding</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r w:rsidRPr="00555295">
        <w:rPr>
          <w:rFonts w:ascii="Aptos" w:eastAsia="Aptos" w:hAnsi="Aptos" w:cs="Aptos"/>
          <w:color w:val="000000" w:themeColor="text1"/>
        </w:rPr>
        <w:br/>
      </w:r>
      <w:proofErr w:type="spellStart"/>
      <w:r w:rsidRPr="00555295">
        <w:rPr>
          <w:rFonts w:ascii="Aptos" w:eastAsia="Aptos" w:hAnsi="Aptos" w:cs="Aptos"/>
          <w:color w:val="000000" w:themeColor="text1"/>
        </w:rPr>
        <w:t>JobSkills</w:t>
      </w:r>
      <w:proofErr w:type="spellEnd"/>
      <w:r w:rsidRPr="00555295">
        <w:rPr>
          <w:rFonts w:ascii="Aptos" w:eastAsia="Aptos" w:hAnsi="Aptos" w:cs="Aptos"/>
          <w:color w:val="000000" w:themeColor="text1"/>
        </w:rPr>
        <w:t xml:space="preserve"> (2025) ‘The top 10 skills employers look for in job candidates’. Available at: </w:t>
      </w:r>
      <w:hyperlink r:id="rId20" w:tgtFrame="_blank" w:history="1">
        <w:r w:rsidRPr="00555295">
          <w:rPr>
            <w:rStyle w:val="Hyperlink"/>
            <w:rFonts w:ascii="Aptos" w:eastAsia="Aptos" w:hAnsi="Aptos" w:cs="Aptos"/>
          </w:rPr>
          <w:t>https://www.jobskills.org/the-top-10-skills-employers-look-for-in-job-candidates/</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r w:rsidRPr="00555295">
        <w:rPr>
          <w:rFonts w:ascii="Aptos" w:eastAsia="Aptos" w:hAnsi="Aptos" w:cs="Aptos"/>
          <w:color w:val="000000" w:themeColor="text1"/>
        </w:rPr>
        <w:br/>
        <w:t>More Than My Title (2024) ‘What is professional identity development and why we need it in companies’. Available at: </w:t>
      </w:r>
      <w:hyperlink r:id="rId21" w:tgtFrame="_blank" w:history="1">
        <w:r w:rsidRPr="00555295">
          <w:rPr>
            <w:rStyle w:val="Hyperlink"/>
            <w:rFonts w:ascii="Aptos" w:eastAsia="Aptos" w:hAnsi="Aptos" w:cs="Aptos"/>
          </w:rPr>
          <w:t>https://www.morethanmytitle.com/blog/2024/7/3/what-is-professional-identity-development-and-why-we-need-it-in-companies</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r w:rsidRPr="00555295">
        <w:rPr>
          <w:rFonts w:ascii="Aptos" w:eastAsia="Aptos" w:hAnsi="Aptos" w:cs="Aptos"/>
          <w:color w:val="000000" w:themeColor="text1"/>
        </w:rPr>
        <w:br/>
        <w:t xml:space="preserve">Northeastern University (2024) ‘Boosting </w:t>
      </w:r>
      <w:proofErr w:type="spellStart"/>
      <w:r w:rsidRPr="00555295">
        <w:rPr>
          <w:rFonts w:ascii="Aptos" w:eastAsia="Aptos" w:hAnsi="Aptos" w:cs="Aptos"/>
          <w:color w:val="000000" w:themeColor="text1"/>
        </w:rPr>
        <w:t>yeer</w:t>
      </w:r>
      <w:proofErr w:type="spellEnd"/>
      <w:r w:rsidRPr="00555295">
        <w:rPr>
          <w:rFonts w:ascii="Aptos" w:eastAsia="Aptos" w:hAnsi="Aptos" w:cs="Aptos"/>
          <w:color w:val="000000" w:themeColor="text1"/>
        </w:rPr>
        <w:t xml:space="preserve"> with personal branding: 10 tips’. Available at: </w:t>
      </w:r>
      <w:hyperlink r:id="rId22" w:tgtFrame="_blank" w:history="1">
        <w:r w:rsidRPr="00555295">
          <w:rPr>
            <w:rStyle w:val="Hyperlink"/>
            <w:rFonts w:ascii="Aptos" w:eastAsia="Aptos" w:hAnsi="Aptos" w:cs="Aptos"/>
          </w:rPr>
          <w:t>https://graduate.northeastern.edu/knowledge-hub/tips-for-building-your-personal-brand/</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r w:rsidRPr="00555295">
        <w:rPr>
          <w:rFonts w:ascii="Aptos" w:eastAsia="Aptos" w:hAnsi="Aptos" w:cs="Aptos"/>
          <w:color w:val="000000" w:themeColor="text1"/>
        </w:rPr>
        <w:br/>
        <w:t>Southern New Hampshire University (2021) ‘Building a personal brand’. Available at: </w:t>
      </w:r>
      <w:hyperlink r:id="rId23" w:tgtFrame="_blank" w:history="1">
        <w:r w:rsidRPr="00555295">
          <w:rPr>
            <w:rStyle w:val="Hyperlink"/>
            <w:rFonts w:ascii="Aptos" w:eastAsia="Aptos" w:hAnsi="Aptos" w:cs="Aptos"/>
          </w:rPr>
          <w:t>https://www.snhu.edu/about-us/newsroom/career/what-is-a-personal-brand</w:t>
        </w:r>
      </w:hyperlink>
      <w:r w:rsidRPr="00555295">
        <w:rPr>
          <w:rFonts w:ascii="Aptos" w:eastAsia="Aptos" w:hAnsi="Aptos" w:cs="Aptos"/>
          <w:color w:val="000000" w:themeColor="text1"/>
        </w:rPr>
        <w:t> (Accessed: 6 March 2026).</w:t>
      </w:r>
      <w:r w:rsidRPr="00555295">
        <w:rPr>
          <w:rFonts w:ascii="Arial" w:eastAsia="Aptos" w:hAnsi="Arial" w:cs="Arial"/>
          <w:color w:val="000000" w:themeColor="text1"/>
        </w:rPr>
        <w:t>​</w:t>
      </w:r>
    </w:p>
    <w:p w14:paraId="6D72AE3F" w14:textId="141E3128" w:rsidR="021F216E" w:rsidRPr="00555295" w:rsidRDefault="00033D34" w:rsidP="021F216E">
      <w:pPr>
        <w:rPr>
          <w:rFonts w:ascii="Aptos" w:eastAsia="Aptos" w:hAnsi="Aptos" w:cs="Aptos"/>
          <w:color w:val="000000" w:themeColor="text1"/>
        </w:rPr>
      </w:pPr>
      <w:r w:rsidRPr="00033D34">
        <w:rPr>
          <w:rFonts w:ascii="Aptos" w:eastAsia="Aptos" w:hAnsi="Aptos" w:cs="Aptos"/>
          <w:color w:val="000000" w:themeColor="text1"/>
        </w:rPr>
        <w:t>Good Things Foundation (2024) Digital inclusion and health statistics.</w:t>
      </w:r>
      <w:r w:rsidRPr="00033D34">
        <w:rPr>
          <w:rFonts w:ascii="Aptos" w:eastAsia="Aptos" w:hAnsi="Aptos" w:cs="Aptos"/>
          <w:color w:val="000000" w:themeColor="text1"/>
        </w:rPr>
        <w:br/>
        <w:t>NHS England (2023) Inclusive digital healthcare: a framework for NHS action on digital inclusion.</w:t>
      </w:r>
      <w:r w:rsidRPr="00033D34">
        <w:rPr>
          <w:rFonts w:ascii="Aptos" w:eastAsia="Aptos" w:hAnsi="Aptos" w:cs="Aptos"/>
          <w:color w:val="000000" w:themeColor="text1"/>
        </w:rPr>
        <w:br/>
        <w:t>Age UK (2023) Facts and figures about digital inclusion and older people.</w:t>
      </w:r>
      <w:r w:rsidRPr="00033D34">
        <w:rPr>
          <w:rFonts w:ascii="Aptos" w:eastAsia="Aptos" w:hAnsi="Aptos" w:cs="Aptos"/>
          <w:color w:val="000000" w:themeColor="text1"/>
        </w:rPr>
        <w:br/>
        <w:t>Digital Poverty Alliance (2025) Inquiry into Digital Inclusion and Health: Call for Evidence.</w:t>
      </w:r>
      <w:r w:rsidRPr="00033D34">
        <w:rPr>
          <w:rFonts w:ascii="Aptos" w:eastAsia="Aptos" w:hAnsi="Aptos" w:cs="Aptos"/>
          <w:color w:val="000000" w:themeColor="text1"/>
        </w:rPr>
        <w:br/>
        <w:t>The King’s Fund (2025) Designing inclusive digital health services with communities.</w:t>
      </w:r>
      <w:r w:rsidRPr="00033D34">
        <w:rPr>
          <w:rFonts w:ascii="Aptos" w:eastAsia="Aptos" w:hAnsi="Aptos" w:cs="Aptos"/>
          <w:color w:val="000000" w:themeColor="text1"/>
        </w:rPr>
        <w:br/>
        <w:t>HM Government (2025) Digital Inclusion Action Plan: First Steps.</w:t>
      </w:r>
    </w:p>
    <w:p w14:paraId="6BB25047" w14:textId="766DBABD" w:rsidR="021F216E" w:rsidRPr="00555295" w:rsidRDefault="021F216E" w:rsidP="021F216E">
      <w:pPr>
        <w:rPr>
          <w:rFonts w:ascii="Aptos" w:eastAsia="Aptos" w:hAnsi="Aptos" w:cs="Aptos"/>
          <w:color w:val="000000" w:themeColor="text1"/>
        </w:rPr>
      </w:pPr>
    </w:p>
    <w:p w14:paraId="3974B5FE" w14:textId="736421FC" w:rsidR="021F216E" w:rsidRPr="00555295" w:rsidRDefault="021F216E" w:rsidP="021F216E">
      <w:pPr>
        <w:rPr>
          <w:rFonts w:ascii="Aptos" w:eastAsia="Aptos" w:hAnsi="Aptos" w:cs="Aptos"/>
          <w:color w:val="000000" w:themeColor="text1"/>
        </w:rPr>
      </w:pPr>
    </w:p>
    <w:p w14:paraId="39D61FC0" w14:textId="2F10F095" w:rsidR="021F216E" w:rsidRPr="00555295" w:rsidRDefault="021F216E" w:rsidP="021F216E">
      <w:pPr>
        <w:rPr>
          <w:rFonts w:ascii="Aptos" w:eastAsia="Aptos" w:hAnsi="Aptos" w:cs="Aptos"/>
          <w:color w:val="000000" w:themeColor="text1"/>
        </w:rPr>
      </w:pPr>
    </w:p>
    <w:p w14:paraId="1AB1E2C7" w14:textId="5F54C5AD" w:rsidR="021F216E" w:rsidRPr="00555295" w:rsidRDefault="021F216E" w:rsidP="021F216E">
      <w:pPr>
        <w:rPr>
          <w:rFonts w:ascii="Aptos" w:eastAsia="Aptos" w:hAnsi="Aptos" w:cs="Aptos"/>
          <w:color w:val="000000" w:themeColor="text1"/>
        </w:rPr>
      </w:pPr>
    </w:p>
    <w:p w14:paraId="6BB63F87" w14:textId="72FB10C2" w:rsidR="021F216E" w:rsidRPr="00555295"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7EB07" w14:textId="77777777" w:rsidR="000D5019" w:rsidRDefault="000D5019">
      <w:pPr>
        <w:spacing w:after="0" w:line="240" w:lineRule="auto"/>
      </w:pPr>
    </w:p>
  </w:endnote>
  <w:endnote w:type="continuationSeparator" w:id="0">
    <w:p w14:paraId="1344BFDB" w14:textId="77777777" w:rsidR="000D5019" w:rsidRDefault="000D50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C04C4" w14:textId="77777777" w:rsidR="000D5019" w:rsidRDefault="000D5019">
      <w:pPr>
        <w:spacing w:after="0" w:line="240" w:lineRule="auto"/>
      </w:pPr>
    </w:p>
  </w:footnote>
  <w:footnote w:type="continuationSeparator" w:id="0">
    <w:p w14:paraId="07EB1588" w14:textId="77777777" w:rsidR="000D5019" w:rsidRDefault="000D501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8CB4D53"/>
    <w:multiLevelType w:val="multilevel"/>
    <w:tmpl w:val="5A2A7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7359789">
    <w:abstractNumId w:val="0"/>
  </w:num>
  <w:num w:numId="2" w16cid:durableId="1670451385">
    <w:abstractNumId w:val="2"/>
  </w:num>
  <w:num w:numId="3" w16cid:durableId="1418599781">
    <w:abstractNumId w:val="1"/>
  </w:num>
  <w:num w:numId="4" w16cid:durableId="789664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027D"/>
    <w:rsid w:val="00032648"/>
    <w:rsid w:val="00033D34"/>
    <w:rsid w:val="000D5019"/>
    <w:rsid w:val="000E38BD"/>
    <w:rsid w:val="00186486"/>
    <w:rsid w:val="001B0C9D"/>
    <w:rsid w:val="001E31B6"/>
    <w:rsid w:val="001E6F1E"/>
    <w:rsid w:val="00253868"/>
    <w:rsid w:val="00337F08"/>
    <w:rsid w:val="003D2038"/>
    <w:rsid w:val="00422662"/>
    <w:rsid w:val="00487FEF"/>
    <w:rsid w:val="00555295"/>
    <w:rsid w:val="005667D3"/>
    <w:rsid w:val="00572880"/>
    <w:rsid w:val="00577423"/>
    <w:rsid w:val="006122E4"/>
    <w:rsid w:val="00632F8B"/>
    <w:rsid w:val="00642DF5"/>
    <w:rsid w:val="0064786E"/>
    <w:rsid w:val="00693284"/>
    <w:rsid w:val="006E6679"/>
    <w:rsid w:val="0074426E"/>
    <w:rsid w:val="0074551A"/>
    <w:rsid w:val="007C1599"/>
    <w:rsid w:val="007D3AD0"/>
    <w:rsid w:val="008F4F3F"/>
    <w:rsid w:val="00903517"/>
    <w:rsid w:val="00961DD8"/>
    <w:rsid w:val="00997DBD"/>
    <w:rsid w:val="009B34A8"/>
    <w:rsid w:val="00A72AED"/>
    <w:rsid w:val="00AC281E"/>
    <w:rsid w:val="00AC5114"/>
    <w:rsid w:val="00AE0E51"/>
    <w:rsid w:val="00AF234E"/>
    <w:rsid w:val="00B11280"/>
    <w:rsid w:val="00B43E4A"/>
    <w:rsid w:val="00B609A9"/>
    <w:rsid w:val="00B726F0"/>
    <w:rsid w:val="00B7418E"/>
    <w:rsid w:val="00BA2D4C"/>
    <w:rsid w:val="00BC1F65"/>
    <w:rsid w:val="00C402CC"/>
    <w:rsid w:val="00C70DDF"/>
    <w:rsid w:val="00C76478"/>
    <w:rsid w:val="00C838DF"/>
    <w:rsid w:val="00D17D41"/>
    <w:rsid w:val="00D618AB"/>
    <w:rsid w:val="00DD305A"/>
    <w:rsid w:val="00E02C1B"/>
    <w:rsid w:val="00EA0F40"/>
    <w:rsid w:val="00ED089B"/>
    <w:rsid w:val="00EF6ECE"/>
    <w:rsid w:val="00F11BB7"/>
    <w:rsid w:val="00F32CC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ABA23BEC-0169-4B8A-929E-6F37EDCD6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55295"/>
    <w:rPr>
      <w:color w:val="605E5C"/>
      <w:shd w:val="clear" w:color="auto" w:fill="E1DFDD"/>
    </w:rPr>
  </w:style>
  <w:style w:type="paragraph" w:customStyle="1" w:styleId="my-2">
    <w:name w:val="my-2"/>
    <w:basedOn w:val="Normal"/>
    <w:rsid w:val="0074426E"/>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hyperlink" Target="https://online.hbs.edu/blog/post/personal-branding-at-wor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orethanmytitle.com/blog/2024/7/3/what-is-professional-identity-development-and-why-we-need-it-in-companies" TargetMode="Externa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www.jobskills.org/the-top-10-skills-employers-look-for-in-job-candidat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www.snhu.edu/about-us/newsroom/career/what-is-a-personal-brand" TargetMode="External"/><Relationship Id="rId10" Type="http://schemas.openxmlformats.org/officeDocument/2006/relationships/image" Target="media/image1.png"/><Relationship Id="rId19" Type="http://schemas.openxmlformats.org/officeDocument/2006/relationships/hyperlink" Target="https://www.hays.de/en/recruitment-agency/career-centre/personal-brand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hyperlink" Target="https://graduate.northeastern.edu/knowledge-hub/tips-for-building-your-personal-brand/"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0431ED-7035-4FE7-B05E-5C611B64BAC5}"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E029F90C-32B9-4A8A-8BA6-7C5706A82DC4}">
      <dgm:prSet phldrT="[Text]" custT="1"/>
      <dgm:spPr>
        <a:solidFill>
          <a:srgbClr val="EE0000"/>
        </a:solidFill>
      </dgm:spPr>
      <dgm:t>
        <a:bodyPr/>
        <a:lstStyle/>
        <a:p>
          <a:r>
            <a:rPr lang="en-GB" sz="1200"/>
            <a:t>My personal brand  network</a:t>
          </a:r>
        </a:p>
      </dgm:t>
    </dgm:pt>
    <dgm:pt modelId="{E852D2B2-F3BE-4A13-8E4A-26F07D631B36}" type="parTrans" cxnId="{539BA435-533F-45B4-AEA7-5CBAA9BEFB56}">
      <dgm:prSet/>
      <dgm:spPr/>
      <dgm:t>
        <a:bodyPr/>
        <a:lstStyle/>
        <a:p>
          <a:endParaRPr lang="en-GB"/>
        </a:p>
      </dgm:t>
    </dgm:pt>
    <dgm:pt modelId="{C4FAE28C-E81C-44B9-B9E0-AA445C3AAEE6}" type="sibTrans" cxnId="{539BA435-533F-45B4-AEA7-5CBAA9BEFB56}">
      <dgm:prSet/>
      <dgm:spPr/>
      <dgm:t>
        <a:bodyPr/>
        <a:lstStyle/>
        <a:p>
          <a:endParaRPr lang="en-GB"/>
        </a:p>
      </dgm:t>
    </dgm:pt>
    <dgm:pt modelId="{B2AEF39D-5F44-4E90-B5B7-654729133900}">
      <dgm:prSet phldrT="[Text]" custT="1"/>
      <dgm:spPr>
        <a:solidFill>
          <a:schemeClr val="accent6">
            <a:lumMod val="60000"/>
            <a:lumOff val="40000"/>
          </a:schemeClr>
        </a:solidFill>
      </dgm:spPr>
      <dgm:t>
        <a:bodyPr/>
        <a:lstStyle/>
        <a:p>
          <a:r>
            <a:rPr lang="en-GB" sz="1200"/>
            <a:t>Career  relevant professional groups linkedln,career events  </a:t>
          </a:r>
        </a:p>
      </dgm:t>
    </dgm:pt>
    <dgm:pt modelId="{B419613C-2971-4A0B-8458-B2A5A9D6CA8C}" type="parTrans" cxnId="{4A212235-20C8-418E-AD4E-6C58EA4E5388}">
      <dgm:prSet/>
      <dgm:spPr/>
      <dgm:t>
        <a:bodyPr/>
        <a:lstStyle/>
        <a:p>
          <a:endParaRPr lang="en-GB"/>
        </a:p>
      </dgm:t>
    </dgm:pt>
    <dgm:pt modelId="{F5BFEC4B-7EDD-4178-9955-A773A187A7FE}" type="sibTrans" cxnId="{4A212235-20C8-418E-AD4E-6C58EA4E5388}">
      <dgm:prSet/>
      <dgm:spPr/>
      <dgm:t>
        <a:bodyPr/>
        <a:lstStyle/>
        <a:p>
          <a:endParaRPr lang="en-GB"/>
        </a:p>
      </dgm:t>
    </dgm:pt>
    <dgm:pt modelId="{77F2CFED-A089-4F8F-B9AD-F475F682916B}">
      <dgm:prSet phldrT="[Text]" custT="1"/>
      <dgm:spPr>
        <a:solidFill>
          <a:srgbClr val="C00000"/>
        </a:solidFill>
      </dgm:spPr>
      <dgm:t>
        <a:bodyPr/>
        <a:lstStyle/>
        <a:p>
          <a:r>
            <a:rPr lang="en-GB" sz="1200"/>
            <a:t>Support</a:t>
          </a:r>
        </a:p>
      </dgm:t>
    </dgm:pt>
    <dgm:pt modelId="{7F65D114-2565-4388-8567-2E9CC5DA3031}" type="parTrans" cxnId="{856F9C5B-6C73-4837-B356-8B1F2624B668}">
      <dgm:prSet/>
      <dgm:spPr/>
      <dgm:t>
        <a:bodyPr/>
        <a:lstStyle/>
        <a:p>
          <a:endParaRPr lang="en-GB"/>
        </a:p>
      </dgm:t>
    </dgm:pt>
    <dgm:pt modelId="{1CD3CD71-CC1A-4FB9-A252-C1F750FB841E}" type="sibTrans" cxnId="{856F9C5B-6C73-4837-B356-8B1F2624B668}">
      <dgm:prSet/>
      <dgm:spPr/>
      <dgm:t>
        <a:bodyPr/>
        <a:lstStyle/>
        <a:p>
          <a:endParaRPr lang="en-GB"/>
        </a:p>
      </dgm:t>
    </dgm:pt>
    <dgm:pt modelId="{D1559B50-155F-40CF-8003-B06EC694DBF3}">
      <dgm:prSet phldrT="[Text]"/>
      <dgm:spPr>
        <a:solidFill>
          <a:schemeClr val="accent2">
            <a:lumMod val="40000"/>
            <a:lumOff val="60000"/>
          </a:schemeClr>
        </a:solidFill>
      </dgm:spPr>
      <dgm:t>
        <a:bodyPr/>
        <a:lstStyle/>
        <a:p>
          <a:r>
            <a:rPr lang="en-GB"/>
            <a:t>Immediate family &amp;close friends peer of my course</a:t>
          </a:r>
        </a:p>
      </dgm:t>
    </dgm:pt>
    <dgm:pt modelId="{7C4FE5DD-1C34-4118-919A-FC7FE2414E50}" type="parTrans" cxnId="{780C735D-F789-4CB3-A2C5-5C1E448C7AF0}">
      <dgm:prSet/>
      <dgm:spPr/>
      <dgm:t>
        <a:bodyPr/>
        <a:lstStyle/>
        <a:p>
          <a:endParaRPr lang="en-GB"/>
        </a:p>
      </dgm:t>
    </dgm:pt>
    <dgm:pt modelId="{29E721E4-B5BB-41F4-A459-832B83161125}" type="sibTrans" cxnId="{780C735D-F789-4CB3-A2C5-5C1E448C7AF0}">
      <dgm:prSet/>
      <dgm:spPr/>
      <dgm:t>
        <a:bodyPr/>
        <a:lstStyle/>
        <a:p>
          <a:endParaRPr lang="en-GB"/>
        </a:p>
      </dgm:t>
    </dgm:pt>
    <dgm:pt modelId="{D38B23F9-0FAB-44E6-8DDA-3575003CBEE3}">
      <dgm:prSet phldrT="[Text]"/>
      <dgm:spPr>
        <a:solidFill>
          <a:schemeClr val="accent5">
            <a:lumMod val="60000"/>
            <a:lumOff val="40000"/>
          </a:schemeClr>
        </a:solidFill>
      </dgm:spPr>
      <dgm:t>
        <a:bodyPr/>
        <a:lstStyle/>
        <a:p>
          <a:r>
            <a:rPr lang="en-GB"/>
            <a:t>community  Chruch Group  and volunteer Group</a:t>
          </a:r>
        </a:p>
      </dgm:t>
    </dgm:pt>
    <dgm:pt modelId="{6161FCA9-50AA-4AA7-A00B-C986AEE9B2C9}" type="parTrans" cxnId="{28653C4F-CED4-4C69-BF08-5B4A5DD54059}">
      <dgm:prSet/>
      <dgm:spPr/>
      <dgm:t>
        <a:bodyPr/>
        <a:lstStyle/>
        <a:p>
          <a:endParaRPr lang="en-GB"/>
        </a:p>
      </dgm:t>
    </dgm:pt>
    <dgm:pt modelId="{787CC257-9122-46F3-BE45-ED1AE97DA24F}" type="sibTrans" cxnId="{28653C4F-CED4-4C69-BF08-5B4A5DD54059}">
      <dgm:prSet/>
      <dgm:spPr/>
      <dgm:t>
        <a:bodyPr/>
        <a:lstStyle/>
        <a:p>
          <a:endParaRPr lang="en-GB"/>
        </a:p>
      </dgm:t>
    </dgm:pt>
    <dgm:pt modelId="{30445D6C-2B98-4F58-AE0E-05C1BCB23A73}">
      <dgm:prSet phldrT="[Text]"/>
      <dgm:spPr>
        <a:solidFill>
          <a:schemeClr val="accent4">
            <a:lumMod val="40000"/>
            <a:lumOff val="60000"/>
          </a:schemeClr>
        </a:solidFill>
      </dgm:spPr>
      <dgm:t>
        <a:bodyPr/>
        <a:lstStyle/>
        <a:p>
          <a:r>
            <a:rPr lang="en-GB"/>
            <a:t>Senior pratitioner &amp; manager</a:t>
          </a:r>
        </a:p>
      </dgm:t>
    </dgm:pt>
    <dgm:pt modelId="{9942047D-D54F-4418-824A-628D7CCE9501}" type="parTrans" cxnId="{B4892D06-4E5B-4A9D-B48E-493DD39C8E83}">
      <dgm:prSet/>
      <dgm:spPr/>
      <dgm:t>
        <a:bodyPr/>
        <a:lstStyle/>
        <a:p>
          <a:endParaRPr lang="en-GB"/>
        </a:p>
      </dgm:t>
    </dgm:pt>
    <dgm:pt modelId="{DC054B63-CE5A-4E7E-9A69-3B58B3C48832}" type="sibTrans" cxnId="{B4892D06-4E5B-4A9D-B48E-493DD39C8E83}">
      <dgm:prSet/>
      <dgm:spPr/>
      <dgm:t>
        <a:bodyPr/>
        <a:lstStyle/>
        <a:p>
          <a:endParaRPr lang="en-GB"/>
        </a:p>
      </dgm:t>
    </dgm:pt>
    <dgm:pt modelId="{C6CDE316-F7FA-4D2D-B8E2-B8F91A342837}">
      <dgm:prSet phldrT="[Text]" custT="1"/>
      <dgm:spPr>
        <a:solidFill>
          <a:schemeClr val="bg2">
            <a:lumMod val="75000"/>
          </a:schemeClr>
        </a:solidFill>
      </dgm:spPr>
      <dgm:t>
        <a:bodyPr/>
        <a:lstStyle/>
        <a:p>
          <a:r>
            <a:rPr lang="en-GB" sz="1200"/>
            <a:t>social  </a:t>
          </a:r>
        </a:p>
      </dgm:t>
    </dgm:pt>
    <dgm:pt modelId="{9E00A1C5-95B3-4CC9-AB49-77E759648F8E}" type="parTrans" cxnId="{1AC99E1C-8EBD-4BF9-B3E7-7E934C5AEEE1}">
      <dgm:prSet/>
      <dgm:spPr/>
      <dgm:t>
        <a:bodyPr/>
        <a:lstStyle/>
        <a:p>
          <a:endParaRPr lang="en-GB"/>
        </a:p>
      </dgm:t>
    </dgm:pt>
    <dgm:pt modelId="{826BDAE1-83E0-4557-BAC1-A87CD6246A3D}" type="sibTrans" cxnId="{1AC99E1C-8EBD-4BF9-B3E7-7E934C5AEEE1}">
      <dgm:prSet/>
      <dgm:spPr/>
      <dgm:t>
        <a:bodyPr/>
        <a:lstStyle/>
        <a:p>
          <a:endParaRPr lang="en-GB"/>
        </a:p>
      </dgm:t>
    </dgm:pt>
    <dgm:pt modelId="{F238CC38-A8AD-4990-999C-6273ECCD9085}" type="pres">
      <dgm:prSet presAssocID="{910431ED-7035-4FE7-B05E-5C611B64BAC5}" presName="Name0" presStyleCnt="0">
        <dgm:presLayoutVars>
          <dgm:chMax val="1"/>
          <dgm:chPref val="1"/>
          <dgm:dir/>
          <dgm:animOne val="branch"/>
          <dgm:animLvl val="lvl"/>
        </dgm:presLayoutVars>
      </dgm:prSet>
      <dgm:spPr/>
    </dgm:pt>
    <dgm:pt modelId="{B5E90AD1-23C0-4DBF-A354-BA39C279B1CA}" type="pres">
      <dgm:prSet presAssocID="{E029F90C-32B9-4A8A-8BA6-7C5706A82DC4}" presName="Parent" presStyleLbl="node0" presStyleIdx="0" presStyleCnt="1">
        <dgm:presLayoutVars>
          <dgm:chMax val="6"/>
          <dgm:chPref val="6"/>
        </dgm:presLayoutVars>
      </dgm:prSet>
      <dgm:spPr/>
    </dgm:pt>
    <dgm:pt modelId="{D31A6869-9712-4EE0-812C-6EAA5A99490F}" type="pres">
      <dgm:prSet presAssocID="{B2AEF39D-5F44-4E90-B5B7-654729133900}" presName="Accent1" presStyleCnt="0"/>
      <dgm:spPr/>
    </dgm:pt>
    <dgm:pt modelId="{F5C02EAF-379D-4D73-8F14-E442FD850AEA}" type="pres">
      <dgm:prSet presAssocID="{B2AEF39D-5F44-4E90-B5B7-654729133900}" presName="Accent" presStyleLbl="bgShp" presStyleIdx="0" presStyleCnt="6"/>
      <dgm:spPr/>
    </dgm:pt>
    <dgm:pt modelId="{7526BD30-C70C-4CC0-B926-362B54F8B41E}" type="pres">
      <dgm:prSet presAssocID="{B2AEF39D-5F44-4E90-B5B7-654729133900}" presName="Child1" presStyleLbl="node1" presStyleIdx="0" presStyleCnt="6" custLinFactNeighborX="2884" custLinFactNeighborY="461">
        <dgm:presLayoutVars>
          <dgm:chMax val="0"/>
          <dgm:chPref val="0"/>
          <dgm:bulletEnabled val="1"/>
        </dgm:presLayoutVars>
      </dgm:prSet>
      <dgm:spPr/>
    </dgm:pt>
    <dgm:pt modelId="{0A8D4536-C90C-4502-98BD-81BC04F03137}" type="pres">
      <dgm:prSet presAssocID="{77F2CFED-A089-4F8F-B9AD-F475F682916B}" presName="Accent2" presStyleCnt="0"/>
      <dgm:spPr/>
    </dgm:pt>
    <dgm:pt modelId="{0E7F12E8-EA9F-4B3A-B751-792CEA40CF13}" type="pres">
      <dgm:prSet presAssocID="{77F2CFED-A089-4F8F-B9AD-F475F682916B}" presName="Accent" presStyleLbl="bgShp" presStyleIdx="1" presStyleCnt="6"/>
      <dgm:spPr/>
    </dgm:pt>
    <dgm:pt modelId="{477AD166-E28F-4A72-81CC-26EC857F18E0}" type="pres">
      <dgm:prSet presAssocID="{77F2CFED-A089-4F8F-B9AD-F475F682916B}" presName="Child2" presStyleLbl="node1" presStyleIdx="1" presStyleCnt="6" custLinFactNeighborX="-10038" custLinFactNeighborY="4778">
        <dgm:presLayoutVars>
          <dgm:chMax val="0"/>
          <dgm:chPref val="0"/>
          <dgm:bulletEnabled val="1"/>
        </dgm:presLayoutVars>
      </dgm:prSet>
      <dgm:spPr/>
    </dgm:pt>
    <dgm:pt modelId="{A17240C9-DDCF-440E-9150-34BE5B4F8C1E}" type="pres">
      <dgm:prSet presAssocID="{D1559B50-155F-40CF-8003-B06EC694DBF3}" presName="Accent3" presStyleCnt="0"/>
      <dgm:spPr/>
    </dgm:pt>
    <dgm:pt modelId="{89016171-9B3D-41F8-B57E-AEAC9CB0FBB5}" type="pres">
      <dgm:prSet presAssocID="{D1559B50-155F-40CF-8003-B06EC694DBF3}" presName="Accent" presStyleLbl="bgShp" presStyleIdx="2" presStyleCnt="6"/>
      <dgm:spPr/>
    </dgm:pt>
    <dgm:pt modelId="{2CF66626-CE7C-44CE-AF24-523C0CEFDA57}" type="pres">
      <dgm:prSet presAssocID="{D1559B50-155F-40CF-8003-B06EC694DBF3}" presName="Child3" presStyleLbl="node1" presStyleIdx="2" presStyleCnt="6" custLinFactNeighborX="-11219" custLinFactNeighborY="12783">
        <dgm:presLayoutVars>
          <dgm:chMax val="0"/>
          <dgm:chPref val="0"/>
          <dgm:bulletEnabled val="1"/>
        </dgm:presLayoutVars>
      </dgm:prSet>
      <dgm:spPr/>
    </dgm:pt>
    <dgm:pt modelId="{419A9992-E673-4FA3-B5DC-6A759082D224}" type="pres">
      <dgm:prSet presAssocID="{D38B23F9-0FAB-44E6-8DDA-3575003CBEE3}" presName="Accent4" presStyleCnt="0"/>
      <dgm:spPr/>
    </dgm:pt>
    <dgm:pt modelId="{E9F8AEC1-3AA5-4D7F-9672-F195DE1E90D4}" type="pres">
      <dgm:prSet presAssocID="{D38B23F9-0FAB-44E6-8DDA-3575003CBEE3}" presName="Accent" presStyleLbl="bgShp" presStyleIdx="3" presStyleCnt="6"/>
      <dgm:spPr/>
    </dgm:pt>
    <dgm:pt modelId="{2402BDCB-045A-450A-94A3-D6182A369E19}" type="pres">
      <dgm:prSet presAssocID="{D38B23F9-0FAB-44E6-8DDA-3575003CBEE3}" presName="Child4" presStyleLbl="node1" presStyleIdx="3" presStyleCnt="6">
        <dgm:presLayoutVars>
          <dgm:chMax val="0"/>
          <dgm:chPref val="0"/>
          <dgm:bulletEnabled val="1"/>
        </dgm:presLayoutVars>
      </dgm:prSet>
      <dgm:spPr/>
    </dgm:pt>
    <dgm:pt modelId="{56ADE0FD-208D-43E7-ABCE-6ECDCBC00581}" type="pres">
      <dgm:prSet presAssocID="{30445D6C-2B98-4F58-AE0E-05C1BCB23A73}" presName="Accent5" presStyleCnt="0"/>
      <dgm:spPr/>
    </dgm:pt>
    <dgm:pt modelId="{AA9A1597-90B1-426D-A7D0-51F579C2846A}" type="pres">
      <dgm:prSet presAssocID="{30445D6C-2B98-4F58-AE0E-05C1BCB23A73}" presName="Accent" presStyleLbl="bgShp" presStyleIdx="4" presStyleCnt="6"/>
      <dgm:spPr/>
    </dgm:pt>
    <dgm:pt modelId="{BE05356A-5CA2-4E60-860F-45F1C5EA9A77}" type="pres">
      <dgm:prSet presAssocID="{30445D6C-2B98-4F58-AE0E-05C1BCB23A73}" presName="Child5" presStyleLbl="node1" presStyleIdx="4" presStyleCnt="6">
        <dgm:presLayoutVars>
          <dgm:chMax val="0"/>
          <dgm:chPref val="0"/>
          <dgm:bulletEnabled val="1"/>
        </dgm:presLayoutVars>
      </dgm:prSet>
      <dgm:spPr/>
    </dgm:pt>
    <dgm:pt modelId="{1685B33F-FD39-4372-9C8C-FB71E1262D23}" type="pres">
      <dgm:prSet presAssocID="{C6CDE316-F7FA-4D2D-B8E2-B8F91A342837}" presName="Accent6" presStyleCnt="0"/>
      <dgm:spPr/>
    </dgm:pt>
    <dgm:pt modelId="{3A4ACD4E-E52E-4040-A1C9-006F88ED4340}" type="pres">
      <dgm:prSet presAssocID="{C6CDE316-F7FA-4D2D-B8E2-B8F91A342837}" presName="Accent" presStyleLbl="bgShp" presStyleIdx="5" presStyleCnt="6"/>
      <dgm:spPr/>
    </dgm:pt>
    <dgm:pt modelId="{F78623E9-0DDB-4ED0-8F11-92BA55EF16F1}" type="pres">
      <dgm:prSet presAssocID="{C6CDE316-F7FA-4D2D-B8E2-B8F91A342837}" presName="Child6" presStyleLbl="node1" presStyleIdx="5" presStyleCnt="6">
        <dgm:presLayoutVars>
          <dgm:chMax val="0"/>
          <dgm:chPref val="0"/>
          <dgm:bulletEnabled val="1"/>
        </dgm:presLayoutVars>
      </dgm:prSet>
      <dgm:spPr/>
    </dgm:pt>
  </dgm:ptLst>
  <dgm:cxnLst>
    <dgm:cxn modelId="{B4892D06-4E5B-4A9D-B48E-493DD39C8E83}" srcId="{E029F90C-32B9-4A8A-8BA6-7C5706A82DC4}" destId="{30445D6C-2B98-4F58-AE0E-05C1BCB23A73}" srcOrd="4" destOrd="0" parTransId="{9942047D-D54F-4418-824A-628D7CCE9501}" sibTransId="{DC054B63-CE5A-4E7E-9A69-3B58B3C48832}"/>
    <dgm:cxn modelId="{1AC99E1C-8EBD-4BF9-B3E7-7E934C5AEEE1}" srcId="{E029F90C-32B9-4A8A-8BA6-7C5706A82DC4}" destId="{C6CDE316-F7FA-4D2D-B8E2-B8F91A342837}" srcOrd="5" destOrd="0" parTransId="{9E00A1C5-95B3-4CC9-AB49-77E759648F8E}" sibTransId="{826BDAE1-83E0-4557-BAC1-A87CD6246A3D}"/>
    <dgm:cxn modelId="{4A212235-20C8-418E-AD4E-6C58EA4E5388}" srcId="{E029F90C-32B9-4A8A-8BA6-7C5706A82DC4}" destId="{B2AEF39D-5F44-4E90-B5B7-654729133900}" srcOrd="0" destOrd="0" parTransId="{B419613C-2971-4A0B-8458-B2A5A9D6CA8C}" sibTransId="{F5BFEC4B-7EDD-4178-9955-A773A187A7FE}"/>
    <dgm:cxn modelId="{BC204F35-1ADB-4DF4-82BD-7E108E2767AE}" type="presOf" srcId="{C6CDE316-F7FA-4D2D-B8E2-B8F91A342837}" destId="{F78623E9-0DDB-4ED0-8F11-92BA55EF16F1}" srcOrd="0" destOrd="0" presId="urn:microsoft.com/office/officeart/2011/layout/HexagonRadial"/>
    <dgm:cxn modelId="{539BA435-533F-45B4-AEA7-5CBAA9BEFB56}" srcId="{910431ED-7035-4FE7-B05E-5C611B64BAC5}" destId="{E029F90C-32B9-4A8A-8BA6-7C5706A82DC4}" srcOrd="0" destOrd="0" parTransId="{E852D2B2-F3BE-4A13-8E4A-26F07D631B36}" sibTransId="{C4FAE28C-E81C-44B9-B9E0-AA445C3AAEE6}"/>
    <dgm:cxn modelId="{3B04B135-28E5-4EAF-96B5-11B4F47FCB87}" type="presOf" srcId="{D38B23F9-0FAB-44E6-8DDA-3575003CBEE3}" destId="{2402BDCB-045A-450A-94A3-D6182A369E19}" srcOrd="0" destOrd="0" presId="urn:microsoft.com/office/officeart/2011/layout/HexagonRadial"/>
    <dgm:cxn modelId="{856F9C5B-6C73-4837-B356-8B1F2624B668}" srcId="{E029F90C-32B9-4A8A-8BA6-7C5706A82DC4}" destId="{77F2CFED-A089-4F8F-B9AD-F475F682916B}" srcOrd="1" destOrd="0" parTransId="{7F65D114-2565-4388-8567-2E9CC5DA3031}" sibTransId="{1CD3CD71-CC1A-4FB9-A252-C1F750FB841E}"/>
    <dgm:cxn modelId="{780C735D-F789-4CB3-A2C5-5C1E448C7AF0}" srcId="{E029F90C-32B9-4A8A-8BA6-7C5706A82DC4}" destId="{D1559B50-155F-40CF-8003-B06EC694DBF3}" srcOrd="2" destOrd="0" parTransId="{7C4FE5DD-1C34-4118-919A-FC7FE2414E50}" sibTransId="{29E721E4-B5BB-41F4-A459-832B83161125}"/>
    <dgm:cxn modelId="{850FB361-D007-4993-A575-C3FC9E7C2FF8}" type="presOf" srcId="{30445D6C-2B98-4F58-AE0E-05C1BCB23A73}" destId="{BE05356A-5CA2-4E60-860F-45F1C5EA9A77}" srcOrd="0" destOrd="0" presId="urn:microsoft.com/office/officeart/2011/layout/HexagonRadial"/>
    <dgm:cxn modelId="{54A67A6E-0CC8-4721-AC43-F19FA2020302}" type="presOf" srcId="{D1559B50-155F-40CF-8003-B06EC694DBF3}" destId="{2CF66626-CE7C-44CE-AF24-523C0CEFDA57}" srcOrd="0" destOrd="0" presId="urn:microsoft.com/office/officeart/2011/layout/HexagonRadial"/>
    <dgm:cxn modelId="{28653C4F-CED4-4C69-BF08-5B4A5DD54059}" srcId="{E029F90C-32B9-4A8A-8BA6-7C5706A82DC4}" destId="{D38B23F9-0FAB-44E6-8DDA-3575003CBEE3}" srcOrd="3" destOrd="0" parTransId="{6161FCA9-50AA-4AA7-A00B-C986AEE9B2C9}" sibTransId="{787CC257-9122-46F3-BE45-ED1AE97DA24F}"/>
    <dgm:cxn modelId="{10148450-B9CB-41A4-B9A5-0BC341072878}" type="presOf" srcId="{910431ED-7035-4FE7-B05E-5C611B64BAC5}" destId="{F238CC38-A8AD-4990-999C-6273ECCD9085}" srcOrd="0" destOrd="0" presId="urn:microsoft.com/office/officeart/2011/layout/HexagonRadial"/>
    <dgm:cxn modelId="{F8AF5C81-18CF-41A2-B951-31B168BB8BB4}" type="presOf" srcId="{B2AEF39D-5F44-4E90-B5B7-654729133900}" destId="{7526BD30-C70C-4CC0-B926-362B54F8B41E}" srcOrd="0" destOrd="0" presId="urn:microsoft.com/office/officeart/2011/layout/HexagonRadial"/>
    <dgm:cxn modelId="{990F5797-82EC-4D12-8C9C-CA730B1F1569}" type="presOf" srcId="{77F2CFED-A089-4F8F-B9AD-F475F682916B}" destId="{477AD166-E28F-4A72-81CC-26EC857F18E0}" srcOrd="0" destOrd="0" presId="urn:microsoft.com/office/officeart/2011/layout/HexagonRadial"/>
    <dgm:cxn modelId="{6069459C-6AA3-4DD0-8D22-BDDF4FB3CE65}" type="presOf" srcId="{E029F90C-32B9-4A8A-8BA6-7C5706A82DC4}" destId="{B5E90AD1-23C0-4DBF-A354-BA39C279B1CA}" srcOrd="0" destOrd="0" presId="urn:microsoft.com/office/officeart/2011/layout/HexagonRadial"/>
    <dgm:cxn modelId="{0A23262F-8767-4A0A-B885-1F11C667FA60}" type="presParOf" srcId="{F238CC38-A8AD-4990-999C-6273ECCD9085}" destId="{B5E90AD1-23C0-4DBF-A354-BA39C279B1CA}" srcOrd="0" destOrd="0" presId="urn:microsoft.com/office/officeart/2011/layout/HexagonRadial"/>
    <dgm:cxn modelId="{E4E3CA0F-A205-4460-808A-28EEB0EBE9A5}" type="presParOf" srcId="{F238CC38-A8AD-4990-999C-6273ECCD9085}" destId="{D31A6869-9712-4EE0-812C-6EAA5A99490F}" srcOrd="1" destOrd="0" presId="urn:microsoft.com/office/officeart/2011/layout/HexagonRadial"/>
    <dgm:cxn modelId="{00B574A5-C9C7-47F3-B925-7016D631182B}" type="presParOf" srcId="{D31A6869-9712-4EE0-812C-6EAA5A99490F}" destId="{F5C02EAF-379D-4D73-8F14-E442FD850AEA}" srcOrd="0" destOrd="0" presId="urn:microsoft.com/office/officeart/2011/layout/HexagonRadial"/>
    <dgm:cxn modelId="{2ECDC866-D3F0-48A0-8F13-2AA85B30E3C2}" type="presParOf" srcId="{F238CC38-A8AD-4990-999C-6273ECCD9085}" destId="{7526BD30-C70C-4CC0-B926-362B54F8B41E}" srcOrd="2" destOrd="0" presId="urn:microsoft.com/office/officeart/2011/layout/HexagonRadial"/>
    <dgm:cxn modelId="{D8EACAB8-57F9-46A3-8BD2-A8AC261763B0}" type="presParOf" srcId="{F238CC38-A8AD-4990-999C-6273ECCD9085}" destId="{0A8D4536-C90C-4502-98BD-81BC04F03137}" srcOrd="3" destOrd="0" presId="urn:microsoft.com/office/officeart/2011/layout/HexagonRadial"/>
    <dgm:cxn modelId="{1F5CF2EA-2138-4B2B-9DE8-5F5FDA02B4DC}" type="presParOf" srcId="{0A8D4536-C90C-4502-98BD-81BC04F03137}" destId="{0E7F12E8-EA9F-4B3A-B751-792CEA40CF13}" srcOrd="0" destOrd="0" presId="urn:microsoft.com/office/officeart/2011/layout/HexagonRadial"/>
    <dgm:cxn modelId="{5FFDA69C-367E-4A07-96BE-BDDE5E0B71CE}" type="presParOf" srcId="{F238CC38-A8AD-4990-999C-6273ECCD9085}" destId="{477AD166-E28F-4A72-81CC-26EC857F18E0}" srcOrd="4" destOrd="0" presId="urn:microsoft.com/office/officeart/2011/layout/HexagonRadial"/>
    <dgm:cxn modelId="{B551F74B-F342-4BA5-8F5E-4DB119141BE0}" type="presParOf" srcId="{F238CC38-A8AD-4990-999C-6273ECCD9085}" destId="{A17240C9-DDCF-440E-9150-34BE5B4F8C1E}" srcOrd="5" destOrd="0" presId="urn:microsoft.com/office/officeart/2011/layout/HexagonRadial"/>
    <dgm:cxn modelId="{1580FEDD-0B73-44FB-BC49-40E8B5C28C2D}" type="presParOf" srcId="{A17240C9-DDCF-440E-9150-34BE5B4F8C1E}" destId="{89016171-9B3D-41F8-B57E-AEAC9CB0FBB5}" srcOrd="0" destOrd="0" presId="urn:microsoft.com/office/officeart/2011/layout/HexagonRadial"/>
    <dgm:cxn modelId="{CD9891D9-00A5-489C-8F4B-C3D3AB4DB00D}" type="presParOf" srcId="{F238CC38-A8AD-4990-999C-6273ECCD9085}" destId="{2CF66626-CE7C-44CE-AF24-523C0CEFDA57}" srcOrd="6" destOrd="0" presId="urn:microsoft.com/office/officeart/2011/layout/HexagonRadial"/>
    <dgm:cxn modelId="{ED1989CA-9AB2-4873-B25B-BE7C23A9D0CB}" type="presParOf" srcId="{F238CC38-A8AD-4990-999C-6273ECCD9085}" destId="{419A9992-E673-4FA3-B5DC-6A759082D224}" srcOrd="7" destOrd="0" presId="urn:microsoft.com/office/officeart/2011/layout/HexagonRadial"/>
    <dgm:cxn modelId="{E2F18EF2-AF80-4A64-B892-88C9167FA10F}" type="presParOf" srcId="{419A9992-E673-4FA3-B5DC-6A759082D224}" destId="{E9F8AEC1-3AA5-4D7F-9672-F195DE1E90D4}" srcOrd="0" destOrd="0" presId="urn:microsoft.com/office/officeart/2011/layout/HexagonRadial"/>
    <dgm:cxn modelId="{4ABE3D43-5E28-4747-87C6-E677BBF77631}" type="presParOf" srcId="{F238CC38-A8AD-4990-999C-6273ECCD9085}" destId="{2402BDCB-045A-450A-94A3-D6182A369E19}" srcOrd="8" destOrd="0" presId="urn:microsoft.com/office/officeart/2011/layout/HexagonRadial"/>
    <dgm:cxn modelId="{AF715B2F-EBBF-45E9-84F0-95912C60F699}" type="presParOf" srcId="{F238CC38-A8AD-4990-999C-6273ECCD9085}" destId="{56ADE0FD-208D-43E7-ABCE-6ECDCBC00581}" srcOrd="9" destOrd="0" presId="urn:microsoft.com/office/officeart/2011/layout/HexagonRadial"/>
    <dgm:cxn modelId="{A41C9AA2-F2AA-4C53-ACF1-CB6B67293E55}" type="presParOf" srcId="{56ADE0FD-208D-43E7-ABCE-6ECDCBC00581}" destId="{AA9A1597-90B1-426D-A7D0-51F579C2846A}" srcOrd="0" destOrd="0" presId="urn:microsoft.com/office/officeart/2011/layout/HexagonRadial"/>
    <dgm:cxn modelId="{989ADEDA-9004-45A8-AEFD-7E97F206C278}" type="presParOf" srcId="{F238CC38-A8AD-4990-999C-6273ECCD9085}" destId="{BE05356A-5CA2-4E60-860F-45F1C5EA9A77}" srcOrd="10" destOrd="0" presId="urn:microsoft.com/office/officeart/2011/layout/HexagonRadial"/>
    <dgm:cxn modelId="{55D6363C-A3C4-432F-B23B-0FACC481EA7B}" type="presParOf" srcId="{F238CC38-A8AD-4990-999C-6273ECCD9085}" destId="{1685B33F-FD39-4372-9C8C-FB71E1262D23}" srcOrd="11" destOrd="0" presId="urn:microsoft.com/office/officeart/2011/layout/HexagonRadial"/>
    <dgm:cxn modelId="{1F4EC491-C73C-41B7-80E9-06D1DF81E723}" type="presParOf" srcId="{1685B33F-FD39-4372-9C8C-FB71E1262D23}" destId="{3A4ACD4E-E52E-4040-A1C9-006F88ED4340}" srcOrd="0" destOrd="0" presId="urn:microsoft.com/office/officeart/2011/layout/HexagonRadial"/>
    <dgm:cxn modelId="{4AD6ABBC-7485-4939-BCCD-9FE25628DDA0}" type="presParOf" srcId="{F238CC38-A8AD-4990-999C-6273ECCD9085}" destId="{F78623E9-0DDB-4ED0-8F11-92BA55EF16F1}"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E90AD1-23C0-4DBF-A354-BA39C279B1CA}">
      <dsp:nvSpPr>
        <dsp:cNvPr id="0" name=""/>
        <dsp:cNvSpPr/>
      </dsp:nvSpPr>
      <dsp:spPr>
        <a:xfrm>
          <a:off x="2013077" y="1528188"/>
          <a:ext cx="1942393" cy="1680249"/>
        </a:xfrm>
        <a:prstGeom prst="hexagon">
          <a:avLst>
            <a:gd name="adj" fmla="val 28570"/>
            <a:gd name="vf" fmla="val 115470"/>
          </a:avLst>
        </a:prstGeom>
        <a:solidFill>
          <a:srgbClr val="EE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My personal brand  network</a:t>
          </a:r>
        </a:p>
      </dsp:txBody>
      <dsp:txXfrm>
        <a:off x="2334959" y="1806629"/>
        <a:ext cx="1298629" cy="1123367"/>
      </dsp:txXfrm>
    </dsp:sp>
    <dsp:sp modelId="{0E7F12E8-EA9F-4B3A-B751-792CEA40CF13}">
      <dsp:nvSpPr>
        <dsp:cNvPr id="0" name=""/>
        <dsp:cNvSpPr/>
      </dsp:nvSpPr>
      <dsp:spPr>
        <a:xfrm>
          <a:off x="3229388" y="724302"/>
          <a:ext cx="732859" cy="63145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526BD30-C70C-4CC0-B926-362B54F8B41E}">
      <dsp:nvSpPr>
        <dsp:cNvPr id="0" name=""/>
        <dsp:cNvSpPr/>
      </dsp:nvSpPr>
      <dsp:spPr>
        <a:xfrm>
          <a:off x="2237906" y="6348"/>
          <a:ext cx="1591778" cy="1377074"/>
        </a:xfrm>
        <a:prstGeom prst="hexagon">
          <a:avLst>
            <a:gd name="adj" fmla="val 28570"/>
            <a:gd name="vf" fmla="val 11547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Career  relevant professional groups linkedln,career events  </a:t>
          </a:r>
        </a:p>
      </dsp:txBody>
      <dsp:txXfrm>
        <a:off x="2501698" y="234558"/>
        <a:ext cx="1064194" cy="920654"/>
      </dsp:txXfrm>
    </dsp:sp>
    <dsp:sp modelId="{89016171-9B3D-41F8-B57E-AEAC9CB0FBB5}">
      <dsp:nvSpPr>
        <dsp:cNvPr id="0" name=""/>
        <dsp:cNvSpPr/>
      </dsp:nvSpPr>
      <dsp:spPr>
        <a:xfrm>
          <a:off x="4084692" y="1904787"/>
          <a:ext cx="732859" cy="63145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77AD166-E28F-4A72-81CC-26EC857F18E0}">
      <dsp:nvSpPr>
        <dsp:cNvPr id="0" name=""/>
        <dsp:cNvSpPr/>
      </dsp:nvSpPr>
      <dsp:spPr>
        <a:xfrm>
          <a:off x="3492062" y="912790"/>
          <a:ext cx="1591778" cy="1377074"/>
        </a:xfrm>
        <a:prstGeom prst="hexagon">
          <a:avLst>
            <a:gd name="adj" fmla="val 28570"/>
            <a:gd name="vf" fmla="val 11547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Support</a:t>
          </a:r>
        </a:p>
      </dsp:txBody>
      <dsp:txXfrm>
        <a:off x="3755854" y="1141000"/>
        <a:ext cx="1064194" cy="920654"/>
      </dsp:txXfrm>
    </dsp:sp>
    <dsp:sp modelId="{E9F8AEC1-3AA5-4D7F-9672-F195DE1E90D4}">
      <dsp:nvSpPr>
        <dsp:cNvPr id="0" name=""/>
        <dsp:cNvSpPr/>
      </dsp:nvSpPr>
      <dsp:spPr>
        <a:xfrm>
          <a:off x="3490543" y="3237334"/>
          <a:ext cx="732859" cy="63145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F66626-CE7C-44CE-AF24-523C0CEFDA57}">
      <dsp:nvSpPr>
        <dsp:cNvPr id="0" name=""/>
        <dsp:cNvSpPr/>
      </dsp:nvSpPr>
      <dsp:spPr>
        <a:xfrm>
          <a:off x="3473263" y="2688115"/>
          <a:ext cx="1591778" cy="1377074"/>
        </a:xfrm>
        <a:prstGeom prst="hexagon">
          <a:avLst>
            <a:gd name="adj" fmla="val 28570"/>
            <a:gd name="vf" fmla="val 115470"/>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Immediate family &amp;close friends peer of my course</a:t>
          </a:r>
        </a:p>
      </dsp:txBody>
      <dsp:txXfrm>
        <a:off x="3737055" y="2916325"/>
        <a:ext cx="1064194" cy="920654"/>
      </dsp:txXfrm>
    </dsp:sp>
    <dsp:sp modelId="{AA9A1597-90B1-426D-A7D0-51F579C2846A}">
      <dsp:nvSpPr>
        <dsp:cNvPr id="0" name=""/>
        <dsp:cNvSpPr/>
      </dsp:nvSpPr>
      <dsp:spPr>
        <a:xfrm>
          <a:off x="2016691" y="3375657"/>
          <a:ext cx="732859" cy="63145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402BDCB-045A-450A-94A3-D6182A369E19}">
      <dsp:nvSpPr>
        <dsp:cNvPr id="0" name=""/>
        <dsp:cNvSpPr/>
      </dsp:nvSpPr>
      <dsp:spPr>
        <a:xfrm>
          <a:off x="2191999" y="3360025"/>
          <a:ext cx="1591778" cy="1377074"/>
        </a:xfrm>
        <a:prstGeom prst="hexagon">
          <a:avLst>
            <a:gd name="adj" fmla="val 28570"/>
            <a:gd name="vf" fmla="val 115470"/>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community  Chruch Group  and volunteer Group</a:t>
          </a:r>
        </a:p>
      </dsp:txBody>
      <dsp:txXfrm>
        <a:off x="2455791" y="3588235"/>
        <a:ext cx="1064194" cy="920654"/>
      </dsp:txXfrm>
    </dsp:sp>
    <dsp:sp modelId="{3A4ACD4E-E52E-4040-A1C9-006F88ED4340}">
      <dsp:nvSpPr>
        <dsp:cNvPr id="0" name=""/>
        <dsp:cNvSpPr/>
      </dsp:nvSpPr>
      <dsp:spPr>
        <a:xfrm>
          <a:off x="1147381" y="2195645"/>
          <a:ext cx="732859" cy="63145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E05356A-5CA2-4E60-860F-45F1C5EA9A77}">
      <dsp:nvSpPr>
        <dsp:cNvPr id="0" name=""/>
        <dsp:cNvSpPr/>
      </dsp:nvSpPr>
      <dsp:spPr>
        <a:xfrm>
          <a:off x="725377" y="2513031"/>
          <a:ext cx="1591778" cy="1377074"/>
        </a:xfrm>
        <a:prstGeom prst="hexagon">
          <a:avLst>
            <a:gd name="adj" fmla="val 28570"/>
            <a:gd name="vf" fmla="val 115470"/>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Senior pratitioner &amp; manager</a:t>
          </a:r>
        </a:p>
      </dsp:txBody>
      <dsp:txXfrm>
        <a:off x="989169" y="2741241"/>
        <a:ext cx="1064194" cy="920654"/>
      </dsp:txXfrm>
    </dsp:sp>
    <dsp:sp modelId="{F78623E9-0DDB-4ED0-8F11-92BA55EF16F1}">
      <dsp:nvSpPr>
        <dsp:cNvPr id="0" name=""/>
        <dsp:cNvSpPr/>
      </dsp:nvSpPr>
      <dsp:spPr>
        <a:xfrm>
          <a:off x="725377" y="845098"/>
          <a:ext cx="1591778" cy="1377074"/>
        </a:xfrm>
        <a:prstGeom prst="hexagon">
          <a:avLst>
            <a:gd name="adj" fmla="val 28570"/>
            <a:gd name="vf" fmla="val 115470"/>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social  </a:t>
          </a:r>
        </a:p>
      </dsp:txBody>
      <dsp:txXfrm>
        <a:off x="989169" y="1073308"/>
        <a:ext cx="1064194" cy="92065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e19499c58b93f0512ae29f2730b45fc3">
  <xsd:schema xmlns:xsd="http://www.w3.org/2001/XMLSchema" xmlns:xs="http://www.w3.org/2001/XMLSchema" xmlns:p="http://schemas.microsoft.com/office/2006/metadata/properties" xmlns:ns3="6642d537-5170-4cd9-a3f2-9ec198ee3eac" targetNamespace="http://schemas.microsoft.com/office/2006/metadata/properties" ma:root="true" ma:fieldsID="54308b6cc372ed172533b4c2feae9c6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BF9B97CC-F089-42A2-92CC-1CD36B9D11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A4D9D7-EA2E-472B-903F-932E26E17840}">
  <ds:schemaRefs>
    <ds:schemaRef ds:uri="http://schemas.microsoft.com/sharepoint/v3/contenttype/forms"/>
  </ds:schemaRefs>
</ds:datastoreItem>
</file>

<file path=customXml/itemProps3.xml><?xml version="1.0" encoding="utf-8"?>
<ds:datastoreItem xmlns:ds="http://schemas.openxmlformats.org/officeDocument/2006/customXml" ds:itemID="{25F7821F-CAC0-45FD-8B9F-25E184D42241}">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Shabana Tabasum (2331699)</cp:lastModifiedBy>
  <cp:revision>3</cp:revision>
  <dcterms:created xsi:type="dcterms:W3CDTF">2026-03-20T14:29:00Z</dcterms:created>
  <dcterms:modified xsi:type="dcterms:W3CDTF">2026-03-20T14:30:00Z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