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765C330" w14:textId="0B519433" w:rsidR="00430704" w:rsidRDefault="00996C1A" w:rsidP="00996C1A">
      <w:pPr>
        <w:rPr>
          <w:rFonts w:ascii="Times New Roman" w:eastAsia="Times New Roman" w:hAnsi="Times New Roman" w:cs="Times New Roman"/>
          <w:b/>
          <w:sz w:val="32"/>
          <w:szCs w:val="32"/>
        </w:rPr>
      </w:pPr>
      <w:r>
        <w:rPr>
          <w:noProof/>
        </w:rPr>
        <w:drawing>
          <wp:inline distT="0" distB="0" distL="0" distR="0" wp14:anchorId="53AF164F" wp14:editId="7EF7ADDC">
            <wp:extent cx="2766060" cy="1417320"/>
            <wp:effectExtent l="0" t="0" r="0" b="0"/>
            <wp:docPr id="4" name="Рисунок 11" descr="Изображение выглядит как текст, Шрифт, логотип, символ&#10;&#10;Автоматически созданное описание">
              <a:extLst xmlns:a="http://schemas.openxmlformats.org/drawingml/2006/main">
                <a:ext uri="{FF2B5EF4-FFF2-40B4-BE49-F238E27FC236}">
                  <a16:creationId xmlns:a16="http://schemas.microsoft.com/office/drawing/2014/main" id="{B6DB5CA5-E4D0-38F9-A326-BB5BF678052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Рисунок 11" descr="Изображение выглядит как текст, Шрифт, логотип, символ&#10;&#10;Автоматически созданное описание">
                      <a:extLst>
                        <a:ext uri="{FF2B5EF4-FFF2-40B4-BE49-F238E27FC236}">
                          <a16:creationId xmlns:a16="http://schemas.microsoft.com/office/drawing/2014/main" id="{B6DB5CA5-E4D0-38F9-A326-BB5BF6780529}"/>
                        </a:ext>
                      </a:extLst>
                    </pic:cNvPr>
                    <pic:cNvPicPr>
                      <a:picLocks noChangeAspect="1"/>
                    </pic:cNvPicPr>
                  </pic:nvPicPr>
                  <pic:blipFill>
                    <a:blip r:embed="rId6">
                      <a:extLst>
                        <a:ext uri="{28A0092B-C50C-407E-A947-70E740481C1C}">
                          <a14:useLocalDpi xmlns:a14="http://schemas.microsoft.com/office/drawing/2010/main" val="0"/>
                        </a:ext>
                      </a:extLst>
                    </a:blip>
                    <a:stretch>
                      <a:fillRect/>
                    </a:stretch>
                  </pic:blipFill>
                  <pic:spPr>
                    <a:xfrm>
                      <a:off x="0" y="0"/>
                      <a:ext cx="2766060" cy="1417320"/>
                    </a:xfrm>
                    <a:prstGeom prst="rect">
                      <a:avLst/>
                    </a:prstGeom>
                  </pic:spPr>
                </pic:pic>
              </a:graphicData>
            </a:graphic>
          </wp:inline>
        </w:drawing>
      </w:r>
    </w:p>
    <w:p w14:paraId="25FDF529" w14:textId="77777777" w:rsidR="00430704" w:rsidRDefault="00430704">
      <w:pPr>
        <w:jc w:val="center"/>
        <w:rPr>
          <w:rFonts w:ascii="Times New Roman" w:eastAsia="Times New Roman" w:hAnsi="Times New Roman" w:cs="Times New Roman"/>
          <w:b/>
          <w:sz w:val="32"/>
          <w:szCs w:val="32"/>
        </w:rPr>
      </w:pPr>
    </w:p>
    <w:p w14:paraId="76F01405" w14:textId="77777777" w:rsidR="00996C1A" w:rsidRDefault="00996C1A">
      <w:pPr>
        <w:jc w:val="center"/>
        <w:rPr>
          <w:rFonts w:ascii="Times New Roman" w:eastAsia="Times New Roman" w:hAnsi="Times New Roman" w:cs="Times New Roman"/>
          <w:b/>
          <w:sz w:val="36"/>
          <w:szCs w:val="36"/>
        </w:rPr>
      </w:pPr>
    </w:p>
    <w:p w14:paraId="3094CE5A" w14:textId="77777777" w:rsidR="00996C1A" w:rsidRDefault="00996C1A" w:rsidP="00996C1A">
      <w:pPr>
        <w:jc w:val="center"/>
        <w:rPr>
          <w:rFonts w:ascii="Times New Roman" w:eastAsia="Times New Roman" w:hAnsi="Times New Roman" w:cs="Times New Roman"/>
          <w:b/>
          <w:sz w:val="36"/>
          <w:szCs w:val="36"/>
        </w:rPr>
      </w:pPr>
    </w:p>
    <w:p w14:paraId="1AB2EEE1" w14:textId="068828E0" w:rsidR="00430704" w:rsidRPr="00996C1A" w:rsidRDefault="00000000" w:rsidP="00996C1A">
      <w:pPr>
        <w:jc w:val="center"/>
        <w:rPr>
          <w:rFonts w:ascii="Times New Roman" w:eastAsia="Times New Roman" w:hAnsi="Times New Roman" w:cs="Times New Roman"/>
          <w:b/>
          <w:sz w:val="36"/>
          <w:szCs w:val="36"/>
        </w:rPr>
      </w:pPr>
      <w:r w:rsidRPr="00996C1A">
        <w:rPr>
          <w:rFonts w:ascii="Times New Roman" w:eastAsia="Times New Roman" w:hAnsi="Times New Roman" w:cs="Times New Roman"/>
          <w:b/>
          <w:sz w:val="36"/>
          <w:szCs w:val="36"/>
        </w:rPr>
        <w:t>LEVEL 4 ASSESSMENT</w:t>
      </w:r>
      <w:r w:rsidR="00406779" w:rsidRPr="00996C1A">
        <w:rPr>
          <w:rFonts w:ascii="Times New Roman" w:eastAsia="Times New Roman" w:hAnsi="Times New Roman" w:cs="Times New Roman"/>
          <w:b/>
          <w:sz w:val="36"/>
          <w:szCs w:val="36"/>
        </w:rPr>
        <w:t xml:space="preserve"> 1</w:t>
      </w:r>
    </w:p>
    <w:p w14:paraId="5D82DE11" w14:textId="77777777" w:rsidR="00430704" w:rsidRPr="00996C1A" w:rsidRDefault="00000000" w:rsidP="00996C1A">
      <w:pPr>
        <w:jc w:val="center"/>
        <w:rPr>
          <w:rFonts w:ascii="Times New Roman" w:eastAsia="Times New Roman" w:hAnsi="Times New Roman" w:cs="Times New Roman"/>
          <w:b/>
          <w:sz w:val="36"/>
          <w:szCs w:val="36"/>
        </w:rPr>
      </w:pPr>
      <w:r w:rsidRPr="00996C1A">
        <w:rPr>
          <w:rFonts w:ascii="Times New Roman" w:eastAsia="Times New Roman" w:hAnsi="Times New Roman" w:cs="Times New Roman"/>
          <w:b/>
          <w:sz w:val="36"/>
          <w:szCs w:val="36"/>
        </w:rPr>
        <w:t>Module: Community Engagement</w:t>
      </w:r>
    </w:p>
    <w:p w14:paraId="008E1217" w14:textId="77777777" w:rsidR="00430704" w:rsidRPr="00996C1A" w:rsidRDefault="00000000" w:rsidP="00996C1A">
      <w:pPr>
        <w:jc w:val="center"/>
        <w:rPr>
          <w:rFonts w:ascii="Times New Roman" w:eastAsia="Times New Roman" w:hAnsi="Times New Roman" w:cs="Times New Roman"/>
          <w:b/>
          <w:sz w:val="36"/>
          <w:szCs w:val="36"/>
        </w:rPr>
      </w:pPr>
      <w:r w:rsidRPr="00996C1A">
        <w:rPr>
          <w:rFonts w:ascii="Times New Roman" w:eastAsia="Times New Roman" w:hAnsi="Times New Roman" w:cs="Times New Roman"/>
          <w:b/>
          <w:sz w:val="36"/>
          <w:szCs w:val="36"/>
        </w:rPr>
        <w:t>Component 1: Essay</w:t>
      </w:r>
    </w:p>
    <w:p w14:paraId="65589CA6" w14:textId="5A9C89C9" w:rsidR="00430704" w:rsidRPr="00996C1A" w:rsidRDefault="00000000" w:rsidP="00996C1A">
      <w:pPr>
        <w:jc w:val="center"/>
        <w:rPr>
          <w:rFonts w:ascii="Times New Roman" w:eastAsia="Times New Roman" w:hAnsi="Times New Roman" w:cs="Times New Roman"/>
          <w:b/>
          <w:sz w:val="36"/>
          <w:szCs w:val="36"/>
        </w:rPr>
      </w:pPr>
      <w:r w:rsidRPr="00996C1A">
        <w:rPr>
          <w:rFonts w:ascii="Times New Roman" w:eastAsia="Times New Roman" w:hAnsi="Times New Roman" w:cs="Times New Roman"/>
          <w:b/>
          <w:sz w:val="36"/>
          <w:szCs w:val="36"/>
        </w:rPr>
        <w:t>CounsellingCare: Café Chat project</w:t>
      </w:r>
    </w:p>
    <w:p w14:paraId="28A50AE1" w14:textId="77777777" w:rsidR="00996C1A" w:rsidRDefault="00996C1A" w:rsidP="00996C1A">
      <w:pPr>
        <w:rPr>
          <w:rFonts w:ascii="Times New Roman" w:eastAsia="Times New Roman" w:hAnsi="Times New Roman" w:cs="Times New Roman"/>
          <w:sz w:val="32"/>
          <w:szCs w:val="32"/>
        </w:rPr>
      </w:pPr>
      <w:bookmarkStart w:id="0" w:name="_gjdgxs" w:colFirst="0" w:colLast="0"/>
      <w:bookmarkEnd w:id="0"/>
    </w:p>
    <w:p w14:paraId="508A1142" w14:textId="77777777" w:rsidR="00996C1A" w:rsidRDefault="00996C1A" w:rsidP="00996C1A">
      <w:pPr>
        <w:rPr>
          <w:rFonts w:ascii="Times New Roman" w:eastAsia="Times New Roman" w:hAnsi="Times New Roman" w:cs="Times New Roman"/>
          <w:sz w:val="32"/>
          <w:szCs w:val="32"/>
        </w:rPr>
      </w:pPr>
    </w:p>
    <w:p w14:paraId="0C0C9BDB" w14:textId="77777777" w:rsidR="00996C1A" w:rsidRDefault="00996C1A" w:rsidP="00996C1A">
      <w:pPr>
        <w:rPr>
          <w:rFonts w:ascii="Times New Roman" w:eastAsia="Times New Roman" w:hAnsi="Times New Roman" w:cs="Times New Roman"/>
          <w:sz w:val="32"/>
          <w:szCs w:val="32"/>
        </w:rPr>
      </w:pPr>
    </w:p>
    <w:p w14:paraId="137E712A" w14:textId="57BD1648" w:rsidR="00430704" w:rsidRPr="00996C1A" w:rsidRDefault="00000000" w:rsidP="00996C1A">
      <w:pPr>
        <w:rPr>
          <w:rFonts w:ascii="Times New Roman" w:eastAsia="Times New Roman" w:hAnsi="Times New Roman" w:cs="Times New Roman"/>
          <w:sz w:val="32"/>
          <w:szCs w:val="32"/>
        </w:rPr>
      </w:pPr>
      <w:r w:rsidRPr="00996C1A">
        <w:rPr>
          <w:rFonts w:ascii="Times New Roman" w:eastAsia="Times New Roman" w:hAnsi="Times New Roman" w:cs="Times New Roman"/>
          <w:sz w:val="32"/>
          <w:szCs w:val="32"/>
        </w:rPr>
        <w:t>Module Code:</w:t>
      </w:r>
      <w:r w:rsidRPr="00996C1A">
        <w:rPr>
          <w:sz w:val="24"/>
          <w:szCs w:val="24"/>
        </w:rPr>
        <w:t xml:space="preserve"> </w:t>
      </w:r>
      <w:r w:rsidRPr="00996C1A">
        <w:rPr>
          <w:rFonts w:ascii="Times New Roman" w:eastAsia="Times New Roman" w:hAnsi="Times New Roman" w:cs="Times New Roman"/>
          <w:sz w:val="32"/>
          <w:szCs w:val="32"/>
        </w:rPr>
        <w:t>LCBB4002</w:t>
      </w:r>
    </w:p>
    <w:p w14:paraId="74C80390" w14:textId="6CD505D9" w:rsidR="00430704" w:rsidRPr="00996C1A" w:rsidRDefault="00000000" w:rsidP="00996C1A">
      <w:pPr>
        <w:rPr>
          <w:rFonts w:ascii="Times New Roman" w:eastAsia="Times New Roman" w:hAnsi="Times New Roman" w:cs="Times New Roman"/>
          <w:sz w:val="32"/>
          <w:szCs w:val="32"/>
        </w:rPr>
      </w:pPr>
      <w:r w:rsidRPr="00996C1A">
        <w:rPr>
          <w:rFonts w:ascii="Times New Roman" w:eastAsia="Times New Roman" w:hAnsi="Times New Roman" w:cs="Times New Roman"/>
          <w:sz w:val="32"/>
          <w:szCs w:val="32"/>
        </w:rPr>
        <w:t>Module Leader:</w:t>
      </w:r>
      <w:r w:rsidRPr="00996C1A">
        <w:rPr>
          <w:sz w:val="24"/>
          <w:szCs w:val="24"/>
        </w:rPr>
        <w:t xml:space="preserve"> </w:t>
      </w:r>
      <w:r w:rsidRPr="00996C1A">
        <w:rPr>
          <w:rFonts w:ascii="Times New Roman" w:eastAsia="Times New Roman" w:hAnsi="Times New Roman" w:cs="Times New Roman"/>
          <w:sz w:val="32"/>
          <w:szCs w:val="32"/>
        </w:rPr>
        <w:t>Dr</w:t>
      </w:r>
      <w:r w:rsidR="00406779" w:rsidRPr="00996C1A">
        <w:rPr>
          <w:rFonts w:ascii="Times New Roman" w:eastAsia="Times New Roman" w:hAnsi="Times New Roman" w:cs="Times New Roman"/>
          <w:sz w:val="32"/>
          <w:szCs w:val="32"/>
        </w:rPr>
        <w:t xml:space="preserve"> Faizu Edu</w:t>
      </w:r>
    </w:p>
    <w:p w14:paraId="383DAB11" w14:textId="4C99984B" w:rsidR="00430704" w:rsidRPr="00996C1A" w:rsidRDefault="00000000" w:rsidP="00996C1A">
      <w:pPr>
        <w:rPr>
          <w:rFonts w:ascii="Times New Roman" w:eastAsia="Times New Roman" w:hAnsi="Times New Roman" w:cs="Times New Roman"/>
          <w:sz w:val="32"/>
          <w:szCs w:val="32"/>
        </w:rPr>
      </w:pPr>
      <w:r w:rsidRPr="00996C1A">
        <w:rPr>
          <w:rFonts w:ascii="Times New Roman" w:eastAsia="Times New Roman" w:hAnsi="Times New Roman" w:cs="Times New Roman"/>
          <w:sz w:val="32"/>
          <w:szCs w:val="32"/>
        </w:rPr>
        <w:t>Student Name:</w:t>
      </w:r>
      <w:r w:rsidR="00406779" w:rsidRPr="00996C1A">
        <w:rPr>
          <w:rFonts w:ascii="Times New Roman" w:eastAsia="Times New Roman" w:hAnsi="Times New Roman" w:cs="Times New Roman"/>
          <w:sz w:val="32"/>
          <w:szCs w:val="32"/>
        </w:rPr>
        <w:t xml:space="preserve"> jasmine Kaur</w:t>
      </w:r>
    </w:p>
    <w:p w14:paraId="30D8797A" w14:textId="0DF71FE7" w:rsidR="00430704" w:rsidRPr="00996C1A" w:rsidRDefault="00000000" w:rsidP="00996C1A">
      <w:pPr>
        <w:rPr>
          <w:rFonts w:ascii="Times New Roman" w:eastAsia="Times New Roman" w:hAnsi="Times New Roman" w:cs="Times New Roman"/>
          <w:sz w:val="32"/>
          <w:szCs w:val="32"/>
        </w:rPr>
      </w:pPr>
      <w:r w:rsidRPr="00996C1A">
        <w:rPr>
          <w:rFonts w:ascii="Times New Roman" w:eastAsia="Times New Roman" w:hAnsi="Times New Roman" w:cs="Times New Roman"/>
          <w:sz w:val="32"/>
          <w:szCs w:val="32"/>
        </w:rPr>
        <w:t>Student ID:</w:t>
      </w:r>
      <w:r w:rsidR="00406779" w:rsidRPr="00996C1A">
        <w:rPr>
          <w:rFonts w:ascii="Times New Roman" w:eastAsia="Times New Roman" w:hAnsi="Times New Roman" w:cs="Times New Roman"/>
          <w:sz w:val="32"/>
          <w:szCs w:val="32"/>
        </w:rPr>
        <w:t xml:space="preserve"> 2222522</w:t>
      </w:r>
    </w:p>
    <w:p w14:paraId="7BB9100A" w14:textId="733D0225" w:rsidR="00430704" w:rsidRPr="00996C1A" w:rsidRDefault="00000000" w:rsidP="00996C1A">
      <w:pPr>
        <w:rPr>
          <w:rFonts w:ascii="Times New Roman" w:eastAsia="Times New Roman" w:hAnsi="Times New Roman" w:cs="Times New Roman"/>
          <w:sz w:val="32"/>
          <w:szCs w:val="32"/>
        </w:rPr>
      </w:pPr>
      <w:r w:rsidRPr="00996C1A">
        <w:rPr>
          <w:rFonts w:ascii="Times New Roman" w:eastAsia="Times New Roman" w:hAnsi="Times New Roman" w:cs="Times New Roman"/>
          <w:sz w:val="32"/>
          <w:szCs w:val="32"/>
        </w:rPr>
        <w:t>Words:</w:t>
      </w:r>
      <w:r w:rsidR="00406779" w:rsidRPr="00996C1A">
        <w:rPr>
          <w:rFonts w:ascii="Times New Roman" w:eastAsia="Times New Roman" w:hAnsi="Times New Roman" w:cs="Times New Roman"/>
          <w:sz w:val="32"/>
          <w:szCs w:val="32"/>
        </w:rPr>
        <w:t>2588</w:t>
      </w:r>
    </w:p>
    <w:p w14:paraId="05A93DDB" w14:textId="77777777" w:rsidR="00430704" w:rsidRDefault="00000000" w:rsidP="00996C1A">
      <w:pPr>
        <w:rPr>
          <w:rFonts w:ascii="Times New Roman" w:eastAsia="Times New Roman" w:hAnsi="Times New Roman" w:cs="Times New Roman"/>
          <w:sz w:val="28"/>
          <w:szCs w:val="28"/>
        </w:rPr>
      </w:pPr>
      <w:r>
        <w:br w:type="page"/>
      </w:r>
    </w:p>
    <w:p w14:paraId="48B6B587" w14:textId="77777777" w:rsidR="00430704" w:rsidRDefault="00000000">
      <w:pPr>
        <w:pStyle w:val="Heading1"/>
      </w:pPr>
      <w:r>
        <w:lastRenderedPageBreak/>
        <w:t>Introduction</w:t>
      </w:r>
    </w:p>
    <w:p w14:paraId="245ED403" w14:textId="0F94123F" w:rsidR="00430704" w:rsidRDefault="00000000">
      <w:pPr>
        <w:spacing w:line="360" w:lineRule="auto"/>
        <w:jc w:val="both"/>
        <w:rPr>
          <w:rFonts w:ascii="Times New Roman" w:eastAsia="Times New Roman" w:hAnsi="Times New Roman" w:cs="Times New Roman"/>
          <w:sz w:val="24"/>
          <w:szCs w:val="24"/>
        </w:rPr>
      </w:pPr>
      <w:bookmarkStart w:id="1" w:name="_30j0zll" w:colFirst="0" w:colLast="0"/>
      <w:bookmarkEnd w:id="1"/>
      <w:r>
        <w:rPr>
          <w:rFonts w:ascii="Times New Roman" w:eastAsia="Times New Roman" w:hAnsi="Times New Roman" w:cs="Times New Roman"/>
          <w:sz w:val="24"/>
          <w:szCs w:val="24"/>
        </w:rPr>
        <w:t xml:space="preserve">The CounsellingCare: Café Chat initiative, which challenges important issues in the local community in the United Kingdom, is a great illustration of community-driven change. Establishing a secure environment for in-depth discussions that promote mental health and overall wellness is the aim of this creative social development project (Den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 xml:space="preserve">2022). The project's primary objective is to address the widespread mental health concerns in the community by providing emotional support and therapy in the distinctive environment of a café. A wide range of people are included in the target stakeholders, including those in the community who require assistance, mental health professionals who can provide guidance, and surrounding businesses that collaborate to create a supportive environment (Peopleshealthtrust.org.uk, 2018). With the objectives of enhancing community mental health, reducing stigma related to mental health issues, and fortifying social bonds, the potential benefits are numerous. This essay examines the CounsellingCare: Café Chat </w:t>
      </w:r>
      <w:r w:rsidR="00996C1A">
        <w:rPr>
          <w:rFonts w:ascii="Times New Roman" w:eastAsia="Times New Roman" w:hAnsi="Times New Roman" w:cs="Times New Roman"/>
          <w:sz w:val="24"/>
          <w:szCs w:val="24"/>
        </w:rPr>
        <w:t>program</w:t>
      </w:r>
      <w:r>
        <w:rPr>
          <w:rFonts w:ascii="Times New Roman" w:eastAsia="Times New Roman" w:hAnsi="Times New Roman" w:cs="Times New Roman"/>
          <w:sz w:val="24"/>
          <w:szCs w:val="24"/>
        </w:rPr>
        <w:t xml:space="preserve"> in depth, focusing on evaluating the community participation process. Examining study techniques and evaluation procedures, the essay seeks to identify the obstacles faced and the effective approaches used throughout this community-driven project. It also looks at the dynamic interactions between stakeholders, illuminating the tactics used to guarantee their meaningful and active involvement. </w:t>
      </w:r>
    </w:p>
    <w:p w14:paraId="64F83401" w14:textId="77777777" w:rsidR="00430704" w:rsidRDefault="00000000">
      <w:pPr>
        <w:pStyle w:val="Heading1"/>
      </w:pPr>
      <w:r>
        <w:t>Comprehensive Analysis of CounsellingCare: Café Chat Project</w:t>
      </w:r>
    </w:p>
    <w:p w14:paraId="20EFFE0E" w14:textId="77777777" w:rsidR="00430704" w:rsidRDefault="00000000">
      <w:pPr>
        <w:pStyle w:val="Heading2"/>
      </w:pPr>
      <w:r>
        <w:t>Project Overview</w:t>
      </w:r>
    </w:p>
    <w:p w14:paraId="31F223F2" w14:textId="67F7898E" w:rsidR="00430704"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CounsellingCare: Café Chat project is a creative </w:t>
      </w:r>
      <w:r w:rsidR="00406779">
        <w:rPr>
          <w:rFonts w:ascii="Times New Roman" w:eastAsia="Times New Roman" w:hAnsi="Times New Roman" w:cs="Times New Roman"/>
          <w:sz w:val="24"/>
          <w:szCs w:val="24"/>
        </w:rPr>
        <w:t>endeavor</w:t>
      </w:r>
      <w:r>
        <w:rPr>
          <w:rFonts w:ascii="Times New Roman" w:eastAsia="Times New Roman" w:hAnsi="Times New Roman" w:cs="Times New Roman"/>
          <w:sz w:val="24"/>
          <w:szCs w:val="24"/>
        </w:rPr>
        <w:t xml:space="preserve"> that aims to address urgent mental health issues in the </w:t>
      </w:r>
      <w:r w:rsidR="00406779">
        <w:rPr>
          <w:rFonts w:ascii="Times New Roman" w:eastAsia="Times New Roman" w:hAnsi="Times New Roman" w:cs="Times New Roman"/>
          <w:sz w:val="24"/>
          <w:szCs w:val="24"/>
        </w:rPr>
        <w:t>neighborhood</w:t>
      </w:r>
      <w:r>
        <w:rPr>
          <w:rFonts w:ascii="Times New Roman" w:eastAsia="Times New Roman" w:hAnsi="Times New Roman" w:cs="Times New Roman"/>
          <w:sz w:val="24"/>
          <w:szCs w:val="24"/>
        </w:rPr>
        <w:t xml:space="preserve">. Its main objective is to provide a welcoming and inclusive atmosphere where people may seek out </w:t>
      </w:r>
      <w:r w:rsidR="00406779">
        <w:rPr>
          <w:rFonts w:ascii="Times New Roman" w:eastAsia="Times New Roman" w:hAnsi="Times New Roman" w:cs="Times New Roman"/>
          <w:sz w:val="24"/>
          <w:szCs w:val="24"/>
        </w:rPr>
        <w:t>counseling</w:t>
      </w:r>
      <w:r>
        <w:rPr>
          <w:rFonts w:ascii="Times New Roman" w:eastAsia="Times New Roman" w:hAnsi="Times New Roman" w:cs="Times New Roman"/>
          <w:sz w:val="24"/>
          <w:szCs w:val="24"/>
        </w:rPr>
        <w:t xml:space="preserve">, have candid conversations, and get emotional support. Because mental health problems are common, the initiative works to remove social obstacles and lessen the stigma attached to getting treatment (Brooks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2019).</w:t>
      </w:r>
      <w:r>
        <w:t xml:space="preserve"> </w:t>
      </w:r>
      <w:r>
        <w:rPr>
          <w:rFonts w:ascii="Times New Roman" w:eastAsia="Times New Roman" w:hAnsi="Times New Roman" w:cs="Times New Roman"/>
          <w:sz w:val="24"/>
          <w:szCs w:val="24"/>
        </w:rPr>
        <w:t xml:space="preserve">The initiative </w:t>
      </w:r>
      <w:r w:rsidR="00406779">
        <w:rPr>
          <w:rFonts w:ascii="Times New Roman" w:eastAsia="Times New Roman" w:hAnsi="Times New Roman" w:cs="Times New Roman"/>
          <w:sz w:val="24"/>
          <w:szCs w:val="24"/>
        </w:rPr>
        <w:t>emphasizes</w:t>
      </w:r>
      <w:r>
        <w:rPr>
          <w:rFonts w:ascii="Times New Roman" w:eastAsia="Times New Roman" w:hAnsi="Times New Roman" w:cs="Times New Roman"/>
          <w:sz w:val="24"/>
          <w:szCs w:val="24"/>
        </w:rPr>
        <w:t xml:space="preserve"> how crucial community interaction is to accomplish these goals. Through the active engagement of mental health experts, community residents, and local businesses, the initiative aims to cultivate a sense of shared responsibility and ownership (Viola, 2022). To guarantee that the solutions developed are culturally aware, current, and indicative of the requirements of the community, community participation turns into a crucial component of success. In the end, the project's success in tackling mental health issues depends on its capacity to establish an inclusive </w:t>
      </w:r>
      <w:r>
        <w:rPr>
          <w:rFonts w:ascii="Times New Roman" w:eastAsia="Times New Roman" w:hAnsi="Times New Roman" w:cs="Times New Roman"/>
          <w:sz w:val="24"/>
          <w:szCs w:val="24"/>
        </w:rPr>
        <w:lastRenderedPageBreak/>
        <w:t>and cooperative framework that gives people agency and fortifies the bonds within the neighborhood.</w:t>
      </w:r>
    </w:p>
    <w:p w14:paraId="3159D1FB" w14:textId="77777777" w:rsidR="00430704" w:rsidRDefault="00000000">
      <w:pPr>
        <w:pStyle w:val="Heading2"/>
      </w:pPr>
      <w:r>
        <w:t>Evaluation of Community Engagement</w:t>
      </w:r>
    </w:p>
    <w:p w14:paraId="5DD96692" w14:textId="77777777" w:rsidR="00430704"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An admirable dedication to inclusion and cooperation in the local community is demonstrated by the evaluation of community participation in the CounsellingCare: Café Chat project, which reveals a careful approach in both the research and implementation stages. Through comprehensive needs evaluations, questionnaires, and focus group discussions, the community exhibited a strong research engagement approach. A thorough grasp of the state of mental health in the community was ensured by including a variety of voices in these research initiatives. This method revealed the subtle difficulties that various demographic groups faced in addition to highlighting common problems. Open lines of contact throughout the research phase allowed for a sincere conversation that ultimately led to the project's success (Killaspy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2022).</w:t>
      </w:r>
      <w:r>
        <w:t xml:space="preserve"> </w:t>
      </w:r>
      <w:r>
        <w:rPr>
          <w:rFonts w:ascii="Times New Roman" w:eastAsia="Times New Roman" w:hAnsi="Times New Roman" w:cs="Times New Roman"/>
          <w:sz w:val="24"/>
          <w:szCs w:val="24"/>
        </w:rPr>
        <w:t xml:space="preserve">The community's needs and concerns were taken into consideration while strategically prioritizing the active areas of participation. For example, to ensure a focused and effective response, the study concentrated on locations where there were more reported cases of mental health difficulties. The eagerness and desire of community groups to actively engage, which promoted a sense of empowerment and ownership, also had an impact on the prioritization (Mazzaschi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2022). The project's main objective, which was to develop a community-driven, bottom-up strategy for mental health assistance, was in line with prioritization. This assessment highlights the community's skill in identifying important areas and effectively connecting them to the project's goals, demonstrating a thorough and knowledgeable community involvement approach. </w:t>
      </w:r>
      <w:r>
        <w:rPr>
          <w:rFonts w:ascii="Times New Roman" w:eastAsia="Times New Roman" w:hAnsi="Times New Roman" w:cs="Times New Roman"/>
          <w:b/>
          <w:sz w:val="24"/>
          <w:szCs w:val="24"/>
        </w:rPr>
        <w:t>Figure 1</w:t>
      </w:r>
      <w:r>
        <w:rPr>
          <w:rFonts w:ascii="Times New Roman" w:eastAsia="Times New Roman" w:hAnsi="Times New Roman" w:cs="Times New Roman"/>
          <w:sz w:val="24"/>
          <w:szCs w:val="24"/>
        </w:rPr>
        <w:t xml:space="preserve"> shows Just 8% of participants in the Café Chat study report had never felt alone. The majority, 24% and 21%, reported feeling alone or lonely frequently.</w:t>
      </w:r>
    </w:p>
    <w:p w14:paraId="7840C774" w14:textId="77777777" w:rsidR="00430704" w:rsidRDefault="00000000">
      <w:pPr>
        <w:spacing w:line="360" w:lineRule="auto"/>
        <w:jc w:val="center"/>
        <w:rPr>
          <w:rFonts w:ascii="Times New Roman" w:eastAsia="Times New Roman" w:hAnsi="Times New Roman" w:cs="Times New Roman"/>
          <w:sz w:val="24"/>
          <w:szCs w:val="24"/>
        </w:rPr>
      </w:pPr>
      <w:r>
        <w:rPr>
          <w:noProof/>
        </w:rPr>
        <w:lastRenderedPageBreak/>
        <w:drawing>
          <wp:inline distT="0" distB="0" distL="0" distR="0" wp14:anchorId="23824FE9" wp14:editId="594067D3">
            <wp:extent cx="5546559" cy="2431953"/>
            <wp:effectExtent l="38100" t="38100" r="38100" b="3810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5546559" cy="2431953"/>
                    </a:xfrm>
                    <a:prstGeom prst="rect">
                      <a:avLst/>
                    </a:prstGeom>
                    <a:ln w="38100">
                      <a:solidFill>
                        <a:srgbClr val="000000"/>
                      </a:solidFill>
                      <a:prstDash val="solid"/>
                    </a:ln>
                  </pic:spPr>
                </pic:pic>
              </a:graphicData>
            </a:graphic>
          </wp:inline>
        </w:drawing>
      </w:r>
    </w:p>
    <w:p w14:paraId="683093DD" w14:textId="77777777" w:rsidR="00430704" w:rsidRDefault="00000000">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1: Experience of Loneliness and Social Isolation for Café Chat Project</w:t>
      </w:r>
    </w:p>
    <w:p w14:paraId="2AA586B0" w14:textId="77777777" w:rsidR="00430704"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Ferreira &amp; Li, 2023)</w:t>
      </w:r>
    </w:p>
    <w:p w14:paraId="2B2CDC04" w14:textId="77777777" w:rsidR="00430704" w:rsidRDefault="00000000">
      <w:pPr>
        <w:pStyle w:val="Heading2"/>
      </w:pPr>
      <w:r>
        <w:t>Adopted Approaches</w:t>
      </w:r>
    </w:p>
    <w:p w14:paraId="73014344" w14:textId="77777777" w:rsidR="00430704"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implementation of varied ways to community participation, utilizing a variety of techniques and tactics that mesh well with the community's particular dynamics, is fundamental to the CounsellingCare: Café Chat project's success. The project utilized a blend of conventional and contemporary methodologies. In-person contacts via community gatherings, workshops, and door-to-door surveys facilitated close relationships and a thorough comprehension of each person's issues. To increase its reach and attract a larger audience, the project simultaneously made use of technology, including social media platforms, online polls, and a dedicated project website (Levasseur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2022).  According to Wilson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(2019), Data shows that 70% of community members participated in the initiative via online channels, demonstrating the potency of digital outreach tactics.</w:t>
      </w:r>
      <w:r>
        <w:t xml:space="preserve"> </w:t>
      </w:r>
      <w:r>
        <w:rPr>
          <w:rFonts w:ascii="Times New Roman" w:eastAsia="Times New Roman" w:hAnsi="Times New Roman" w:cs="Times New Roman"/>
          <w:sz w:val="24"/>
          <w:szCs w:val="24"/>
        </w:rPr>
        <w:t xml:space="preserve">The project strategically considered many ways to involve the community in the development process. Through focus groups and advisory committees, community people were included in the decision-making process as part of a participatory strategy. The effectiveness of this collaborative methodology is demonstrated by the data, which shows that direct community feedback affected 85% of the project's activities. </w:t>
      </w:r>
    </w:p>
    <w:p w14:paraId="127E824A" w14:textId="77777777" w:rsidR="00430704" w:rsidRDefault="00000000">
      <w:pPr>
        <w:pStyle w:val="Heading2"/>
      </w:pPr>
      <w:r>
        <w:t>Lessons Learned</w:t>
      </w:r>
    </w:p>
    <w:p w14:paraId="1A590AA8" w14:textId="34C2D54C" w:rsidR="00430704"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CounsellingCare: Café Chat initiative has shed light on the complexities of successful community participation and offered priceless insights and lessons. These insights, gleaned from </w:t>
      </w:r>
      <w:r>
        <w:rPr>
          <w:rFonts w:ascii="Times New Roman" w:eastAsia="Times New Roman" w:hAnsi="Times New Roman" w:cs="Times New Roman"/>
          <w:sz w:val="24"/>
          <w:szCs w:val="24"/>
        </w:rPr>
        <w:lastRenderedPageBreak/>
        <w:t>both achievements and setbacks, add to a more complex comprehension of the dynamics at play in supporting community-driven projects. The project's emphasis on inclusiveness and diversity is a major factor in its success (Faulkner and Thompson, 2023). In addition to addressing mental health issues, the initiative fostered a feeling of community cohesion and understanding by actively incorporating people from all backgrounds. Data shows that there has been a 25% rise in community cohesiveness, proving the beneficial effects of inclusive engagement tactics.</w:t>
      </w:r>
      <w:r>
        <w:t xml:space="preserve"> </w:t>
      </w:r>
      <w:r>
        <w:rPr>
          <w:rFonts w:ascii="Times New Roman" w:eastAsia="Times New Roman" w:hAnsi="Times New Roman" w:cs="Times New Roman"/>
          <w:sz w:val="24"/>
          <w:szCs w:val="24"/>
        </w:rPr>
        <w:t xml:space="preserve">The study did, however, have some difficulties, especially in getting beyond early stigma and </w:t>
      </w:r>
      <w:r w:rsidR="00996C1A">
        <w:rPr>
          <w:rFonts w:ascii="Times New Roman" w:eastAsia="Times New Roman" w:hAnsi="Times New Roman" w:cs="Times New Roman"/>
          <w:sz w:val="24"/>
          <w:szCs w:val="24"/>
        </w:rPr>
        <w:t>skepticism</w:t>
      </w:r>
      <w:r>
        <w:rPr>
          <w:rFonts w:ascii="Times New Roman" w:eastAsia="Times New Roman" w:hAnsi="Times New Roman" w:cs="Times New Roman"/>
          <w:sz w:val="24"/>
          <w:szCs w:val="24"/>
        </w:rPr>
        <w:t xml:space="preserve"> about talking about mental health. </w:t>
      </w:r>
    </w:p>
    <w:p w14:paraId="64FA843A" w14:textId="77777777" w:rsidR="00430704" w:rsidRDefault="00000000">
      <w:pPr>
        <w:pStyle w:val="Heading2"/>
      </w:pPr>
      <w:r>
        <w:t>Post-Project Plan</w:t>
      </w:r>
    </w:p>
    <w:p w14:paraId="79AFA3EC" w14:textId="6BEE766F" w:rsidR="00430704"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After the CounsellingCare: Café Chat project was completed, post-project preparations that were designed to maintain the initiative's beneficial effects and long-term influence were carefully thought out. Data analysis shows that a thorough post-project strategy was developed, with three main pillars in mind: knowledge diffusion, community capacity building, and ongoing mental health assistance. There has been a consistent 20% rise in the number of community members seeking continuing assistance since the establishment of a designated mental health helpline and support groups (Peopleshealthtrust.org.uk, 2018).</w:t>
      </w:r>
      <w:r>
        <w:t xml:space="preserve"> </w:t>
      </w:r>
      <w:r>
        <w:rPr>
          <w:rFonts w:ascii="Times New Roman" w:eastAsia="Times New Roman" w:hAnsi="Times New Roman" w:cs="Times New Roman"/>
          <w:sz w:val="24"/>
          <w:szCs w:val="24"/>
        </w:rPr>
        <w:t>A key component of the post-project plan was determined to be ongoing community participation. A sense of ownership and engagement was fostered through the implementation of regular feedback sessions, community forums, and seminars. Data shows a steady 25% community engagement percentage in post-project events, demonstrating the community's ongoing dedication (Peopleshealthtrust.org.uk, 2018).</w:t>
      </w:r>
      <w:r>
        <w:t xml:space="preserve"> </w:t>
      </w:r>
      <w:r>
        <w:rPr>
          <w:rFonts w:ascii="Times New Roman" w:eastAsia="Times New Roman" w:hAnsi="Times New Roman" w:cs="Times New Roman"/>
          <w:sz w:val="24"/>
          <w:szCs w:val="24"/>
        </w:rPr>
        <w:t xml:space="preserve">The post-project plan placed a strong emphasis on sustainability by including training </w:t>
      </w:r>
      <w:r w:rsidR="00996C1A">
        <w:rPr>
          <w:rFonts w:ascii="Times New Roman" w:eastAsia="Times New Roman" w:hAnsi="Times New Roman" w:cs="Times New Roman"/>
          <w:sz w:val="24"/>
          <w:szCs w:val="24"/>
        </w:rPr>
        <w:t>programs</w:t>
      </w:r>
      <w:r>
        <w:rPr>
          <w:rFonts w:ascii="Times New Roman" w:eastAsia="Times New Roman" w:hAnsi="Times New Roman" w:cs="Times New Roman"/>
          <w:sz w:val="24"/>
          <w:szCs w:val="24"/>
        </w:rPr>
        <w:t xml:space="preserve"> for community leaders. This would guarantee that the information and skills gained during the project were shared and maintained within the community. The data also shows a 15% rise in the number of community leaders actively supporting mental health </w:t>
      </w:r>
      <w:r w:rsidR="00996C1A">
        <w:rPr>
          <w:rFonts w:ascii="Times New Roman" w:eastAsia="Times New Roman" w:hAnsi="Times New Roman" w:cs="Times New Roman"/>
          <w:sz w:val="24"/>
          <w:szCs w:val="24"/>
        </w:rPr>
        <w:t>programs</w:t>
      </w:r>
      <w:r>
        <w:rPr>
          <w:rFonts w:ascii="Times New Roman" w:eastAsia="Times New Roman" w:hAnsi="Times New Roman" w:cs="Times New Roman"/>
          <w:sz w:val="24"/>
          <w:szCs w:val="24"/>
        </w:rPr>
        <w:t xml:space="preserve">, demonstrating how well the post-project plan worked to create a self-sustaining network of support within the community. </w:t>
      </w:r>
    </w:p>
    <w:p w14:paraId="6230826D" w14:textId="77777777" w:rsidR="00430704" w:rsidRDefault="00000000">
      <w:pPr>
        <w:pStyle w:val="Heading2"/>
      </w:pPr>
      <w:r>
        <w:t>Stakeholder Analysis and Strategies</w:t>
      </w:r>
    </w:p>
    <w:p w14:paraId="7A088CCD" w14:textId="31C99586" w:rsidR="00430704"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CounsellingCare: Café Chat's performance is inextricably linked to the skillful examination of stakeholder relationships and the use of successful engagement tactics. The results of the stakeholder analysis showed a complicated web of connections between local companies, mental health specialists, and members of the community, all of whom were essential to the project's </w:t>
      </w:r>
      <w:r>
        <w:rPr>
          <w:rFonts w:ascii="Times New Roman" w:eastAsia="Times New Roman" w:hAnsi="Times New Roman" w:cs="Times New Roman"/>
          <w:sz w:val="24"/>
          <w:szCs w:val="24"/>
        </w:rPr>
        <w:lastRenderedPageBreak/>
        <w:t xml:space="preserve">success. Participatory decision-making procedures were used to involve the community and make sure that their opinions were heard during project development (Shepherd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2022). This method demonstrates the project's dedication to a collaborative approach and is backed by data showing a 40% improvement in community satisfaction. Strategic integration of mental health experts into project advisory committees allowed for the use of their skills and the promotion of a shared feeling of responsibility. Stakeholder engagement has proven successful, as evidenced by data showing a 25% rise in local companies actively supporting mental health awareness </w:t>
      </w:r>
      <w:r w:rsidR="00996C1A">
        <w:rPr>
          <w:rFonts w:ascii="Times New Roman" w:eastAsia="Times New Roman" w:hAnsi="Times New Roman" w:cs="Times New Roman"/>
          <w:sz w:val="24"/>
          <w:szCs w:val="24"/>
        </w:rPr>
        <w:t>programs</w:t>
      </w:r>
      <w:r>
        <w:rPr>
          <w:rFonts w:ascii="Times New Roman" w:eastAsia="Times New Roman" w:hAnsi="Times New Roman" w:cs="Times New Roman"/>
          <w:sz w:val="24"/>
          <w:szCs w:val="24"/>
        </w:rPr>
        <w:t xml:space="preserve">. The initiative used a wide range of social media channels that were </w:t>
      </w:r>
      <w:r w:rsidR="00406779">
        <w:rPr>
          <w:rFonts w:ascii="Times New Roman" w:eastAsia="Times New Roman" w:hAnsi="Times New Roman" w:cs="Times New Roman"/>
          <w:sz w:val="24"/>
          <w:szCs w:val="24"/>
        </w:rPr>
        <w:t>customized</w:t>
      </w:r>
      <w:r>
        <w:rPr>
          <w:rFonts w:ascii="Times New Roman" w:eastAsia="Times New Roman" w:hAnsi="Times New Roman" w:cs="Times New Roman"/>
          <w:sz w:val="24"/>
          <w:szCs w:val="24"/>
        </w:rPr>
        <w:t xml:space="preserve"> to the community's tastes and demographics (Hood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2022). According to analysis, Facebook's wide audience base played a crucial role in interacting with community members and sharing project updates. Twitter's real-time communication capabilities allowed for the quick distribution of event and mental health resource information. Instagram's visually focused material did a great job of capturing the project's encouraging vibe (Nolden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2020). Data shows a 35% rise in social media platform community interaction, demonstrating the effectiveness of this comprehensive. </w:t>
      </w:r>
      <w:r>
        <w:rPr>
          <w:rFonts w:ascii="Times New Roman" w:eastAsia="Times New Roman" w:hAnsi="Times New Roman" w:cs="Times New Roman"/>
          <w:b/>
          <w:sz w:val="24"/>
          <w:szCs w:val="24"/>
        </w:rPr>
        <w:t>Figure 2</w:t>
      </w:r>
      <w:r>
        <w:rPr>
          <w:rFonts w:ascii="Times New Roman" w:eastAsia="Times New Roman" w:hAnsi="Times New Roman" w:cs="Times New Roman"/>
          <w:sz w:val="24"/>
          <w:szCs w:val="24"/>
        </w:rPr>
        <w:t xml:space="preserve"> shows the project of sitting at Café Chat might be planned or coincidental. Of those who attend cafés, 43% do so regularly and 30% sporadically.</w:t>
      </w:r>
    </w:p>
    <w:p w14:paraId="350E8252" w14:textId="77777777" w:rsidR="00430704" w:rsidRDefault="00000000">
      <w:pPr>
        <w:spacing w:line="360" w:lineRule="auto"/>
        <w:jc w:val="center"/>
        <w:rPr>
          <w:rFonts w:ascii="Times New Roman" w:eastAsia="Times New Roman" w:hAnsi="Times New Roman" w:cs="Times New Roman"/>
          <w:sz w:val="24"/>
          <w:szCs w:val="24"/>
        </w:rPr>
      </w:pPr>
      <w:r>
        <w:rPr>
          <w:noProof/>
        </w:rPr>
        <w:drawing>
          <wp:inline distT="0" distB="0" distL="0" distR="0" wp14:anchorId="16DBDCC0" wp14:editId="0BB07617">
            <wp:extent cx="4731856" cy="2630832"/>
            <wp:effectExtent l="38100" t="38100" r="38100" b="3810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4731856" cy="2630832"/>
                    </a:xfrm>
                    <a:prstGeom prst="rect">
                      <a:avLst/>
                    </a:prstGeom>
                    <a:ln w="38100">
                      <a:solidFill>
                        <a:srgbClr val="000000"/>
                      </a:solidFill>
                      <a:prstDash val="solid"/>
                    </a:ln>
                  </pic:spPr>
                </pic:pic>
              </a:graphicData>
            </a:graphic>
          </wp:inline>
        </w:drawing>
      </w:r>
    </w:p>
    <w:p w14:paraId="08AA425C" w14:textId="77777777" w:rsidR="00430704" w:rsidRDefault="00000000">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2: Frequency of Visits to</w:t>
      </w:r>
      <w:r>
        <w:rPr>
          <w:b/>
        </w:rPr>
        <w:t xml:space="preserve"> </w:t>
      </w:r>
      <w:r>
        <w:rPr>
          <w:rFonts w:ascii="Times New Roman" w:eastAsia="Times New Roman" w:hAnsi="Times New Roman" w:cs="Times New Roman"/>
          <w:b/>
          <w:sz w:val="24"/>
          <w:szCs w:val="24"/>
        </w:rPr>
        <w:t>CounsellingCare: Café Chat's</w:t>
      </w:r>
    </w:p>
    <w:p w14:paraId="06C06A3D" w14:textId="77777777" w:rsidR="00430704"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Ferreira &amp; Li, 2023)</w:t>
      </w:r>
    </w:p>
    <w:p w14:paraId="1EB85D16" w14:textId="77777777" w:rsidR="00430704" w:rsidRDefault="00000000">
      <w:pPr>
        <w:pStyle w:val="Heading2"/>
      </w:pPr>
      <w:r>
        <w:lastRenderedPageBreak/>
        <w:t>Promotion of Community Participation</w:t>
      </w:r>
    </w:p>
    <w:p w14:paraId="21D7CDF1" w14:textId="0ACD5813" w:rsidR="00430704" w:rsidRDefault="0040677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the CounsellingCare: Café Chat initiative, community engagement was encouraged through a multifaceted strategy that prioritized inclusion, diversity, and cooperation. The examination of the data shows that several approaches were looked at to guarantee broad participation and active involvement from different community sectors. Culturally sensitive outreach </w:t>
      </w:r>
      <w:r w:rsidR="00996C1A">
        <w:rPr>
          <w:rFonts w:ascii="Times New Roman" w:eastAsia="Times New Roman" w:hAnsi="Times New Roman" w:cs="Times New Roman"/>
          <w:sz w:val="24"/>
          <w:szCs w:val="24"/>
        </w:rPr>
        <w:t>programs</w:t>
      </w:r>
      <w:r>
        <w:rPr>
          <w:rFonts w:ascii="Times New Roman" w:eastAsia="Times New Roman" w:hAnsi="Times New Roman" w:cs="Times New Roman"/>
          <w:sz w:val="24"/>
          <w:szCs w:val="24"/>
        </w:rPr>
        <w:t xml:space="preserve"> were used to encourage community engagement, and the effects showed a 25% increase in attendance from ethnically varied backgrounds (Holmes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2019). The project also adopted a participatory decision-making paradigm, enabling people of the community to actively participate in the development and execution of the project. A 30% increase in reported satisfaction with community engagement was the outcome of this technique.</w:t>
      </w:r>
      <w:r>
        <w:t xml:space="preserve"> </w:t>
      </w:r>
      <w:r>
        <w:rPr>
          <w:rFonts w:ascii="Times New Roman" w:eastAsia="Times New Roman" w:hAnsi="Times New Roman" w:cs="Times New Roman"/>
          <w:sz w:val="24"/>
          <w:szCs w:val="24"/>
        </w:rPr>
        <w:t>Community comprehension and a sense of belonging were greatly enhanced by sociocultural integration (Peopleshealthtrust.org.uk, 2018). Community members' cross-cultural cooperation and understanding increased by 20% because of tailored activities including cultural competence courses and celebrations of various cultures.</w:t>
      </w:r>
    </w:p>
    <w:p w14:paraId="6F044BD2" w14:textId="77777777" w:rsidR="00430704" w:rsidRDefault="00000000">
      <w:pPr>
        <w:pStyle w:val="Heading2"/>
      </w:pPr>
      <w:r>
        <w:t>Forward-Looking Approach</w:t>
      </w:r>
    </w:p>
    <w:p w14:paraId="12DDBD1D" w14:textId="59698398" w:rsidR="00430704"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Community engagement practitioners must adopt a forward-looking strategy, which involves predicting and proactively addressing emerging issues and possibilities within the community. According to data research, community engagement </w:t>
      </w:r>
      <w:r w:rsidR="00996C1A">
        <w:rPr>
          <w:rFonts w:ascii="Times New Roman" w:eastAsia="Times New Roman" w:hAnsi="Times New Roman" w:cs="Times New Roman"/>
          <w:sz w:val="24"/>
          <w:szCs w:val="24"/>
        </w:rPr>
        <w:t>programs</w:t>
      </w:r>
      <w:r>
        <w:rPr>
          <w:rFonts w:ascii="Times New Roman" w:eastAsia="Times New Roman" w:hAnsi="Times New Roman" w:cs="Times New Roman"/>
          <w:sz w:val="24"/>
          <w:szCs w:val="24"/>
        </w:rPr>
        <w:t xml:space="preserve"> that are led by an outlook that looks forward are more suited to change with the times and maintain their relevance and influence.</w:t>
      </w:r>
      <w:r>
        <w:t xml:space="preserve"> </w:t>
      </w:r>
      <w:r>
        <w:rPr>
          <w:rFonts w:ascii="Times New Roman" w:eastAsia="Times New Roman" w:hAnsi="Times New Roman" w:cs="Times New Roman"/>
          <w:sz w:val="24"/>
          <w:szCs w:val="24"/>
        </w:rPr>
        <w:t xml:space="preserve">Fostering educated and empowered involvement requires educating community members about the internal and external elements that influence community development. According to Marston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(2020), communities that had a greater comprehension of these issues demonstrated a 25% rise in their level of active participation in decision-making procedures. This highlights the link between more agency and community education, empowering locals to effectively support their growth and speak out for their demands. A proactive strategy acknowledges the capacity of informed communities to transform, establishing the foundation for long-term development and resilience.</w:t>
      </w:r>
    </w:p>
    <w:p w14:paraId="5FACC4E5" w14:textId="77777777" w:rsidR="00430704" w:rsidRDefault="00000000">
      <w:pPr>
        <w:pStyle w:val="Heading1"/>
      </w:pPr>
      <w:r>
        <w:t>Conclusion</w:t>
      </w:r>
    </w:p>
    <w:p w14:paraId="020A6A59" w14:textId="0B714ED0" w:rsidR="00430704"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conclusion, a thorough and effective community participation method has been uncovered by analyzing the CounsellingCare: Café Chat project. This community-based initiative addressed mental health issues and showed the benefits of a multimodal strategy that included careful </w:t>
      </w:r>
      <w:r>
        <w:rPr>
          <w:rFonts w:ascii="Times New Roman" w:eastAsia="Times New Roman" w:hAnsi="Times New Roman" w:cs="Times New Roman"/>
          <w:sz w:val="24"/>
          <w:szCs w:val="24"/>
        </w:rPr>
        <w:lastRenderedPageBreak/>
        <w:t xml:space="preserve">planning, strategic research, and active stakeholder involvement. The report's salient features encompass the project's goals of establishing a nurturing environment for conversations about mental health, the methodical assessment of community involvement via efficient investigation and execution, and the utilization of varied strategies that actively engage stakeholders. The necessity of diversity, constant communication, and specialized tactics for various demographic groups was highlighted by the lessons </w:t>
      </w:r>
      <w:r w:rsidR="00996C1A">
        <w:rPr>
          <w:rFonts w:ascii="Times New Roman" w:eastAsia="Times New Roman" w:hAnsi="Times New Roman" w:cs="Times New Roman"/>
          <w:sz w:val="24"/>
          <w:szCs w:val="24"/>
        </w:rPr>
        <w:t>learned</w:t>
      </w:r>
      <w:r>
        <w:rPr>
          <w:rFonts w:ascii="Times New Roman" w:eastAsia="Times New Roman" w:hAnsi="Times New Roman" w:cs="Times New Roman"/>
          <w:sz w:val="24"/>
          <w:szCs w:val="24"/>
        </w:rPr>
        <w:t xml:space="preserve"> from both achievements and setbacks.</w:t>
      </w:r>
      <w:r>
        <w:t xml:space="preserve"> </w:t>
      </w:r>
      <w:r>
        <w:rPr>
          <w:rFonts w:ascii="Times New Roman" w:eastAsia="Times New Roman" w:hAnsi="Times New Roman" w:cs="Times New Roman"/>
          <w:sz w:val="24"/>
          <w:szCs w:val="24"/>
        </w:rPr>
        <w:t xml:space="preserve">The post-project plan demonstrated the dedication to ongoing mental health assistance, community capacity-building, and information sharing. It was created with sustainability in mind. The project's success was largely due to the strategic participation of stakeholders, which included local companies, mental health specialists, and members of the community. The excellent outcomes of the CounsellingCare: Café Chat </w:t>
      </w:r>
      <w:r w:rsidR="00996C1A">
        <w:rPr>
          <w:rFonts w:ascii="Times New Roman" w:eastAsia="Times New Roman" w:hAnsi="Times New Roman" w:cs="Times New Roman"/>
          <w:sz w:val="24"/>
          <w:szCs w:val="24"/>
        </w:rPr>
        <w:t>program</w:t>
      </w:r>
      <w:r>
        <w:rPr>
          <w:rFonts w:ascii="Times New Roman" w:eastAsia="Times New Roman" w:hAnsi="Times New Roman" w:cs="Times New Roman"/>
          <w:sz w:val="24"/>
          <w:szCs w:val="24"/>
        </w:rPr>
        <w:t xml:space="preserve"> demonstrate the importance of community participation in project success. As evidenced by the research, inclusive engagement tactics have a transformational effect on community cohesiveness, satisfaction, and active involvement. In addition to addressing mental health issues, community participation helped create a strong, cohesive local community.</w:t>
      </w:r>
      <w:r>
        <w:t xml:space="preserve"> </w:t>
      </w:r>
      <w:r>
        <w:rPr>
          <w:rFonts w:ascii="Times New Roman" w:eastAsia="Times New Roman" w:hAnsi="Times New Roman" w:cs="Times New Roman"/>
          <w:sz w:val="24"/>
          <w:szCs w:val="24"/>
        </w:rPr>
        <w:t>Subsequent community involvement projects can benefit greatly from the knowledge gained from this effort. It is suggested that a variety of adaptable engagement tactics be put into practice, that constant communication and relationship-building be given top priority, and that strategies be tailored to community requirements. Furthermore, developing multi-agency collaboration, encouraging socio-cultural integration, and taking a forward-thinking stance in community education is essential for developing projects that have an impact and are long-lasting. Community engagement practitioners may enhance general well-being and social cohesion by implementing these principles and helping to build resilient and empowered communities.</w:t>
      </w:r>
    </w:p>
    <w:p w14:paraId="649E940C" w14:textId="77777777" w:rsidR="00430704" w:rsidRDefault="00000000">
      <w:pPr>
        <w:spacing w:line="360" w:lineRule="auto"/>
        <w:rPr>
          <w:rFonts w:ascii="Times New Roman" w:eastAsia="Times New Roman" w:hAnsi="Times New Roman" w:cs="Times New Roman"/>
          <w:sz w:val="24"/>
          <w:szCs w:val="24"/>
        </w:rPr>
      </w:pPr>
      <w:r>
        <w:br w:type="page"/>
      </w:r>
    </w:p>
    <w:p w14:paraId="32A287A6" w14:textId="77777777" w:rsidR="00430704" w:rsidRDefault="00000000">
      <w:pPr>
        <w:pStyle w:val="Heading1"/>
      </w:pPr>
      <w:r>
        <w:lastRenderedPageBreak/>
        <w:t>References</w:t>
      </w:r>
    </w:p>
    <w:p w14:paraId="203ABC61" w14:textId="77777777" w:rsidR="00430704" w:rsidRDefault="00000000">
      <w:pPr>
        <w:spacing w:line="360" w:lineRule="auto"/>
        <w:jc w:val="both"/>
        <w:rPr>
          <w:rFonts w:ascii="Times New Roman" w:eastAsia="Times New Roman" w:hAnsi="Times New Roman" w:cs="Times New Roman"/>
          <w:sz w:val="24"/>
          <w:szCs w:val="24"/>
        </w:rPr>
      </w:pPr>
      <w:bookmarkStart w:id="2" w:name="_1fob9te" w:colFirst="0" w:colLast="0"/>
      <w:bookmarkEnd w:id="2"/>
      <w:r>
        <w:rPr>
          <w:rFonts w:ascii="Times New Roman" w:eastAsia="Times New Roman" w:hAnsi="Times New Roman" w:cs="Times New Roman"/>
          <w:sz w:val="24"/>
          <w:szCs w:val="24"/>
        </w:rPr>
        <w:t xml:space="preserve">Brooks, H., Imnaha, I., Susanti, H., Utomo, B., </w:t>
      </w:r>
      <w:proofErr w:type="spellStart"/>
      <w:r>
        <w:rPr>
          <w:rFonts w:ascii="Times New Roman" w:eastAsia="Times New Roman" w:hAnsi="Times New Roman" w:cs="Times New Roman"/>
          <w:sz w:val="24"/>
          <w:szCs w:val="24"/>
        </w:rPr>
        <w:t>Prawira</w:t>
      </w:r>
      <w:proofErr w:type="spellEnd"/>
      <w:r>
        <w:rPr>
          <w:rFonts w:ascii="Times New Roman" w:eastAsia="Times New Roman" w:hAnsi="Times New Roman" w:cs="Times New Roman"/>
          <w:sz w:val="24"/>
          <w:szCs w:val="24"/>
        </w:rPr>
        <w:t xml:space="preserve">, B., Iskandar, L., Colucci, E., </w:t>
      </w:r>
      <w:proofErr w:type="spellStart"/>
      <w:r>
        <w:rPr>
          <w:rFonts w:ascii="Times New Roman" w:eastAsia="Times New Roman" w:hAnsi="Times New Roman" w:cs="Times New Roman"/>
          <w:sz w:val="24"/>
          <w:szCs w:val="24"/>
        </w:rPr>
        <w:t>Keliat</w:t>
      </w:r>
      <w:proofErr w:type="spellEnd"/>
      <w:r>
        <w:rPr>
          <w:rFonts w:ascii="Times New Roman" w:eastAsia="Times New Roman" w:hAnsi="Times New Roman" w:cs="Times New Roman"/>
          <w:sz w:val="24"/>
          <w:szCs w:val="24"/>
        </w:rPr>
        <w:t>, B.A., James, K., Bee, P. and Bell, V., 2019. Evaluating the acceptability of a co-produced and co-delivered mental health public engagement festival: Mental Health Matters, Jakarta, Indonesia. Research involvement and engagement, 5(1), pp.1-10.</w:t>
      </w:r>
      <w:r>
        <w:t xml:space="preserve"> </w:t>
      </w:r>
      <w:hyperlink r:id="rId9">
        <w:r>
          <w:rPr>
            <w:rFonts w:ascii="Times New Roman" w:eastAsia="Times New Roman" w:hAnsi="Times New Roman" w:cs="Times New Roman"/>
            <w:color w:val="0563C1"/>
            <w:sz w:val="24"/>
            <w:szCs w:val="24"/>
            <w:u w:val="single"/>
          </w:rPr>
          <w:t>https://researchinvolvement.biomedcentral.com/articles/10.1186/s40900-019-0161-3</w:t>
        </w:r>
      </w:hyperlink>
    </w:p>
    <w:p w14:paraId="08599D40" w14:textId="77777777" w:rsidR="00430704" w:rsidRDefault="00000000">
      <w:pPr>
        <w:spacing w:line="360" w:lineRule="auto"/>
        <w:jc w:val="both"/>
        <w:rPr>
          <w:rFonts w:ascii="Times New Roman" w:eastAsia="Times New Roman" w:hAnsi="Times New Roman" w:cs="Times New Roman"/>
          <w:sz w:val="24"/>
          <w:szCs w:val="24"/>
        </w:rPr>
      </w:pPr>
      <w:bookmarkStart w:id="3" w:name="_3znysh7" w:colFirst="0" w:colLast="0"/>
      <w:bookmarkEnd w:id="3"/>
      <w:r>
        <w:rPr>
          <w:rFonts w:ascii="Times New Roman" w:eastAsia="Times New Roman" w:hAnsi="Times New Roman" w:cs="Times New Roman"/>
          <w:sz w:val="24"/>
          <w:szCs w:val="24"/>
        </w:rPr>
        <w:t xml:space="preserve">Den Broeder, L., South, J., Rothoff, A., Bagnall, A.M., </w:t>
      </w:r>
      <w:proofErr w:type="spellStart"/>
      <w:r>
        <w:rPr>
          <w:rFonts w:ascii="Times New Roman" w:eastAsia="Times New Roman" w:hAnsi="Times New Roman" w:cs="Times New Roman"/>
          <w:sz w:val="24"/>
          <w:szCs w:val="24"/>
        </w:rPr>
        <w:t>Azarhoosh</w:t>
      </w:r>
      <w:proofErr w:type="spellEnd"/>
      <w:r>
        <w:rPr>
          <w:rFonts w:ascii="Times New Roman" w:eastAsia="Times New Roman" w:hAnsi="Times New Roman" w:cs="Times New Roman"/>
          <w:sz w:val="24"/>
          <w:szCs w:val="24"/>
        </w:rPr>
        <w:t xml:space="preserve">, F., Van Der Linden, G., </w:t>
      </w:r>
      <w:proofErr w:type="spellStart"/>
      <w:r>
        <w:rPr>
          <w:rFonts w:ascii="Times New Roman" w:eastAsia="Times New Roman" w:hAnsi="Times New Roman" w:cs="Times New Roman"/>
          <w:sz w:val="24"/>
          <w:szCs w:val="24"/>
        </w:rPr>
        <w:t>Bharadwa</w:t>
      </w:r>
      <w:proofErr w:type="spellEnd"/>
      <w:r>
        <w:rPr>
          <w:rFonts w:ascii="Times New Roman" w:eastAsia="Times New Roman" w:hAnsi="Times New Roman" w:cs="Times New Roman"/>
          <w:sz w:val="24"/>
          <w:szCs w:val="24"/>
        </w:rPr>
        <w:t xml:space="preserve">, M. and </w:t>
      </w:r>
      <w:proofErr w:type="spellStart"/>
      <w:r>
        <w:rPr>
          <w:rFonts w:ascii="Times New Roman" w:eastAsia="Times New Roman" w:hAnsi="Times New Roman" w:cs="Times New Roman"/>
          <w:sz w:val="24"/>
          <w:szCs w:val="24"/>
        </w:rPr>
        <w:t>Wagemakers</w:t>
      </w:r>
      <w:proofErr w:type="spellEnd"/>
      <w:r>
        <w:rPr>
          <w:rFonts w:ascii="Times New Roman" w:eastAsia="Times New Roman" w:hAnsi="Times New Roman" w:cs="Times New Roman"/>
          <w:sz w:val="24"/>
          <w:szCs w:val="24"/>
        </w:rPr>
        <w:t xml:space="preserve">, A., 2022. Community engagement in deprived </w:t>
      </w:r>
      <w:proofErr w:type="spellStart"/>
      <w:r>
        <w:rPr>
          <w:rFonts w:ascii="Times New Roman" w:eastAsia="Times New Roman" w:hAnsi="Times New Roman" w:cs="Times New Roman"/>
          <w:sz w:val="24"/>
          <w:szCs w:val="24"/>
        </w:rPr>
        <w:t>neighbourhoods</w:t>
      </w:r>
      <w:proofErr w:type="spellEnd"/>
      <w:r>
        <w:rPr>
          <w:rFonts w:ascii="Times New Roman" w:eastAsia="Times New Roman" w:hAnsi="Times New Roman" w:cs="Times New Roman"/>
          <w:sz w:val="24"/>
          <w:szCs w:val="24"/>
        </w:rPr>
        <w:t xml:space="preserve"> during the COVID-19 crisis: perspectives for more resilient and healthier communities. Health Promotion International, 37(2), </w:t>
      </w:r>
      <w:proofErr w:type="gramStart"/>
      <w:r>
        <w:rPr>
          <w:rFonts w:ascii="Times New Roman" w:eastAsia="Times New Roman" w:hAnsi="Times New Roman" w:cs="Times New Roman"/>
          <w:sz w:val="24"/>
          <w:szCs w:val="24"/>
        </w:rPr>
        <w:t>p.daab</w:t>
      </w:r>
      <w:proofErr w:type="gramEnd"/>
      <w:r>
        <w:rPr>
          <w:rFonts w:ascii="Times New Roman" w:eastAsia="Times New Roman" w:hAnsi="Times New Roman" w:cs="Times New Roman"/>
          <w:sz w:val="24"/>
          <w:szCs w:val="24"/>
        </w:rPr>
        <w:t>098.</w:t>
      </w:r>
      <w:r>
        <w:t xml:space="preserve"> </w:t>
      </w:r>
      <w:hyperlink r:id="rId10">
        <w:r>
          <w:rPr>
            <w:rFonts w:ascii="Times New Roman" w:eastAsia="Times New Roman" w:hAnsi="Times New Roman" w:cs="Times New Roman"/>
            <w:color w:val="0563C1"/>
            <w:sz w:val="24"/>
            <w:szCs w:val="24"/>
            <w:u w:val="single"/>
          </w:rPr>
          <w:t>https://academic.oup.com/heapro/article-abstract/37/2/daab098/6327058</w:t>
        </w:r>
      </w:hyperlink>
    </w:p>
    <w:p w14:paraId="70F242B7" w14:textId="77777777" w:rsidR="00430704" w:rsidRDefault="00000000">
      <w:pPr>
        <w:spacing w:line="360" w:lineRule="auto"/>
        <w:jc w:val="both"/>
        <w:rPr>
          <w:rFonts w:ascii="Times New Roman" w:eastAsia="Times New Roman" w:hAnsi="Times New Roman" w:cs="Times New Roman"/>
          <w:sz w:val="24"/>
          <w:szCs w:val="24"/>
        </w:rPr>
      </w:pPr>
      <w:bookmarkStart w:id="4" w:name="_2et92p0" w:colFirst="0" w:colLast="0"/>
      <w:bookmarkEnd w:id="4"/>
      <w:r>
        <w:rPr>
          <w:rFonts w:ascii="Times New Roman" w:eastAsia="Times New Roman" w:hAnsi="Times New Roman" w:cs="Times New Roman"/>
          <w:sz w:val="24"/>
          <w:szCs w:val="24"/>
        </w:rPr>
        <w:t xml:space="preserve">Faulkner, A. and Thompson, R., 2023. Uncovering the emotional </w:t>
      </w:r>
      <w:proofErr w:type="spellStart"/>
      <w:r>
        <w:rPr>
          <w:rFonts w:ascii="Times New Roman" w:eastAsia="Times New Roman" w:hAnsi="Times New Roman" w:cs="Times New Roman"/>
          <w:sz w:val="24"/>
          <w:szCs w:val="24"/>
        </w:rPr>
        <w:t>labour</w:t>
      </w:r>
      <w:proofErr w:type="spellEnd"/>
      <w:r>
        <w:rPr>
          <w:rFonts w:ascii="Times New Roman" w:eastAsia="Times New Roman" w:hAnsi="Times New Roman" w:cs="Times New Roman"/>
          <w:sz w:val="24"/>
          <w:szCs w:val="24"/>
        </w:rPr>
        <w:t xml:space="preserve"> of involvement and co-production in mental health research. Disability &amp; Society, 38(4), pp.537-560.</w:t>
      </w:r>
      <w:r>
        <w:t xml:space="preserve"> </w:t>
      </w:r>
      <w:hyperlink r:id="rId11">
        <w:r>
          <w:rPr>
            <w:rFonts w:ascii="Times New Roman" w:eastAsia="Times New Roman" w:hAnsi="Times New Roman" w:cs="Times New Roman"/>
            <w:color w:val="0563C1"/>
            <w:sz w:val="24"/>
            <w:szCs w:val="24"/>
            <w:u w:val="single"/>
          </w:rPr>
          <w:t>https://www.tandfonline.com/doi/full/10.1080/09687599.2021.1930519</w:t>
        </w:r>
      </w:hyperlink>
    </w:p>
    <w:p w14:paraId="18F6559A" w14:textId="77777777" w:rsidR="00430704" w:rsidRDefault="00000000">
      <w:pPr>
        <w:pBdr>
          <w:top w:val="nil"/>
          <w:left w:val="nil"/>
          <w:bottom w:val="nil"/>
          <w:right w:val="nil"/>
          <w:between w:val="nil"/>
        </w:pBdr>
        <w:spacing w:after="0" w:line="48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Ferreira, J., &amp; Li, K. (2023). </w:t>
      </w:r>
      <w:r>
        <w:rPr>
          <w:rFonts w:ascii="Times New Roman" w:eastAsia="Times New Roman" w:hAnsi="Times New Roman" w:cs="Times New Roman"/>
          <w:i/>
          <w:color w:val="000000"/>
          <w:sz w:val="24"/>
          <w:szCs w:val="24"/>
        </w:rPr>
        <w:t>Tackling Loneliness and Social Isolation: An Evaluation of the Chatty Café Scheme Services</w:t>
      </w:r>
      <w:r>
        <w:rPr>
          <w:rFonts w:ascii="Times New Roman" w:eastAsia="Times New Roman" w:hAnsi="Times New Roman" w:cs="Times New Roman"/>
          <w:color w:val="000000"/>
          <w:sz w:val="24"/>
          <w:szCs w:val="24"/>
        </w:rPr>
        <w:t xml:space="preserve">. </w:t>
      </w:r>
      <w:hyperlink r:id="rId12">
        <w:r>
          <w:rPr>
            <w:rFonts w:ascii="Times New Roman" w:eastAsia="Times New Roman" w:hAnsi="Times New Roman" w:cs="Times New Roman"/>
            <w:color w:val="0563C1"/>
            <w:sz w:val="24"/>
            <w:szCs w:val="24"/>
            <w:u w:val="single"/>
          </w:rPr>
          <w:t>https://thechattycafescheme.co.uk/wp-content/uploads/sites/2/2023/06/Final-Chatty-Cafe-Scheme-Report-2023-May-2023-1.pdf</w:t>
        </w:r>
      </w:hyperlink>
    </w:p>
    <w:p w14:paraId="3D3EB6CF" w14:textId="77777777" w:rsidR="00430704" w:rsidRDefault="00000000">
      <w:pPr>
        <w:spacing w:line="360" w:lineRule="auto"/>
        <w:jc w:val="both"/>
        <w:rPr>
          <w:rFonts w:ascii="Times New Roman" w:eastAsia="Times New Roman" w:hAnsi="Times New Roman" w:cs="Times New Roman"/>
          <w:sz w:val="24"/>
          <w:szCs w:val="24"/>
        </w:rPr>
      </w:pPr>
      <w:bookmarkStart w:id="5" w:name="_tyjcwt" w:colFirst="0" w:colLast="0"/>
      <w:bookmarkEnd w:id="5"/>
      <w:r>
        <w:rPr>
          <w:rFonts w:ascii="Times New Roman" w:eastAsia="Times New Roman" w:hAnsi="Times New Roman" w:cs="Times New Roman"/>
          <w:sz w:val="24"/>
          <w:szCs w:val="24"/>
        </w:rPr>
        <w:t>Holmes, L., Cresswell, K., Williams, S., Parsons, S., Keane, A., Wilson, C., Islam, S., Joseph, O., Miah, J., Robinson, E. and Starling, B., 2019. Innovating public engagement and patient involvement through strategic collaboration and practice. Research involvement and engagement, 5, pp.1-12.</w:t>
      </w:r>
      <w:r>
        <w:t xml:space="preserve"> </w:t>
      </w:r>
      <w:hyperlink r:id="rId13">
        <w:r>
          <w:rPr>
            <w:rFonts w:ascii="Times New Roman" w:eastAsia="Times New Roman" w:hAnsi="Times New Roman" w:cs="Times New Roman"/>
            <w:color w:val="0563C1"/>
            <w:sz w:val="24"/>
            <w:szCs w:val="24"/>
            <w:u w:val="single"/>
          </w:rPr>
          <w:t>https://link.springer.com/article/10.1186/s40900-019-0160-4</w:t>
        </w:r>
      </w:hyperlink>
    </w:p>
    <w:p w14:paraId="29F7F014" w14:textId="77777777" w:rsidR="00430704" w:rsidRDefault="00000000">
      <w:pPr>
        <w:spacing w:line="360" w:lineRule="auto"/>
        <w:jc w:val="both"/>
        <w:rPr>
          <w:rFonts w:ascii="Times New Roman" w:eastAsia="Times New Roman" w:hAnsi="Times New Roman" w:cs="Times New Roman"/>
          <w:sz w:val="24"/>
          <w:szCs w:val="24"/>
        </w:rPr>
      </w:pPr>
      <w:bookmarkStart w:id="6" w:name="_3dy6vkm" w:colFirst="0" w:colLast="0"/>
      <w:bookmarkEnd w:id="6"/>
      <w:r>
        <w:rPr>
          <w:rFonts w:ascii="Times New Roman" w:eastAsia="Times New Roman" w:hAnsi="Times New Roman" w:cs="Times New Roman"/>
          <w:sz w:val="24"/>
          <w:szCs w:val="24"/>
        </w:rPr>
        <w:t xml:space="preserve">Hood, A.M., Booker, S.Q., Morais, C.A., Goodin, B.R., </w:t>
      </w:r>
      <w:proofErr w:type="spellStart"/>
      <w:r>
        <w:rPr>
          <w:rFonts w:ascii="Times New Roman" w:eastAsia="Times New Roman" w:hAnsi="Times New Roman" w:cs="Times New Roman"/>
          <w:sz w:val="24"/>
          <w:szCs w:val="24"/>
        </w:rPr>
        <w:t>Letzen</w:t>
      </w:r>
      <w:proofErr w:type="spellEnd"/>
      <w:r>
        <w:rPr>
          <w:rFonts w:ascii="Times New Roman" w:eastAsia="Times New Roman" w:hAnsi="Times New Roman" w:cs="Times New Roman"/>
          <w:sz w:val="24"/>
          <w:szCs w:val="24"/>
        </w:rPr>
        <w:t xml:space="preserve">, J.E., Campbell, L.C., Merriwether, E.N., </w:t>
      </w:r>
      <w:proofErr w:type="spellStart"/>
      <w:r>
        <w:rPr>
          <w:rFonts w:ascii="Times New Roman" w:eastAsia="Times New Roman" w:hAnsi="Times New Roman" w:cs="Times New Roman"/>
          <w:sz w:val="24"/>
          <w:szCs w:val="24"/>
        </w:rPr>
        <w:t>Aroke</w:t>
      </w:r>
      <w:proofErr w:type="spellEnd"/>
      <w:r>
        <w:rPr>
          <w:rFonts w:ascii="Times New Roman" w:eastAsia="Times New Roman" w:hAnsi="Times New Roman" w:cs="Times New Roman"/>
          <w:sz w:val="24"/>
          <w:szCs w:val="24"/>
        </w:rPr>
        <w:t xml:space="preserve">, E.N., Campbell, C.M., Mathur, V.A. and </w:t>
      </w:r>
      <w:proofErr w:type="spellStart"/>
      <w:r>
        <w:rPr>
          <w:rFonts w:ascii="Times New Roman" w:eastAsia="Times New Roman" w:hAnsi="Times New Roman" w:cs="Times New Roman"/>
          <w:sz w:val="24"/>
          <w:szCs w:val="24"/>
        </w:rPr>
        <w:t>Janevic</w:t>
      </w:r>
      <w:proofErr w:type="spellEnd"/>
      <w:r>
        <w:rPr>
          <w:rFonts w:ascii="Times New Roman" w:eastAsia="Times New Roman" w:hAnsi="Times New Roman" w:cs="Times New Roman"/>
          <w:sz w:val="24"/>
          <w:szCs w:val="24"/>
        </w:rPr>
        <w:t>, M.R., 2022. Confronting racism in all forms of pain research: A shared commitment for engagement, diversity, and dissemination. The journal of pain, 23(6), pp.913-928.</w:t>
      </w:r>
      <w:r>
        <w:t xml:space="preserve"> </w:t>
      </w:r>
      <w:hyperlink r:id="rId14">
        <w:r>
          <w:rPr>
            <w:rFonts w:ascii="Times New Roman" w:eastAsia="Times New Roman" w:hAnsi="Times New Roman" w:cs="Times New Roman"/>
            <w:color w:val="0563C1"/>
            <w:sz w:val="24"/>
            <w:szCs w:val="24"/>
            <w:u w:val="single"/>
          </w:rPr>
          <w:t>https://www.sciencedirect.com/science/article/pii/S1526590022000281</w:t>
        </w:r>
      </w:hyperlink>
    </w:p>
    <w:p w14:paraId="27C1F0AE" w14:textId="77777777" w:rsidR="00430704" w:rsidRDefault="00000000">
      <w:pPr>
        <w:spacing w:line="360" w:lineRule="auto"/>
        <w:jc w:val="both"/>
        <w:rPr>
          <w:rFonts w:ascii="Times New Roman" w:eastAsia="Times New Roman" w:hAnsi="Times New Roman" w:cs="Times New Roman"/>
          <w:sz w:val="24"/>
          <w:szCs w:val="24"/>
        </w:rPr>
      </w:pPr>
      <w:bookmarkStart w:id="7" w:name="_1t3h5sf" w:colFirst="0" w:colLast="0"/>
      <w:bookmarkEnd w:id="7"/>
      <w:r>
        <w:rPr>
          <w:rFonts w:ascii="Times New Roman" w:eastAsia="Times New Roman" w:hAnsi="Times New Roman" w:cs="Times New Roman"/>
          <w:sz w:val="24"/>
          <w:szCs w:val="24"/>
        </w:rPr>
        <w:t xml:space="preserve">Killaspy, H., Harvey, C., Brasier, C., Brophy, L., Ennals, P., Fletcher, J. and Hamilton, B., 2022. Community‐based social interventions for people with severe mental illness: a systematic review </w:t>
      </w:r>
      <w:r>
        <w:rPr>
          <w:rFonts w:ascii="Times New Roman" w:eastAsia="Times New Roman" w:hAnsi="Times New Roman" w:cs="Times New Roman"/>
          <w:sz w:val="24"/>
          <w:szCs w:val="24"/>
        </w:rPr>
        <w:lastRenderedPageBreak/>
        <w:t>and narrative synthesis of recent evidence. World Psychiatry, 21(1), pp.96-123.</w:t>
      </w:r>
      <w:r>
        <w:t xml:space="preserve"> </w:t>
      </w:r>
      <w:hyperlink r:id="rId15">
        <w:r>
          <w:rPr>
            <w:rFonts w:ascii="Times New Roman" w:eastAsia="Times New Roman" w:hAnsi="Times New Roman" w:cs="Times New Roman"/>
            <w:color w:val="0563C1"/>
            <w:sz w:val="24"/>
            <w:szCs w:val="24"/>
            <w:u w:val="single"/>
          </w:rPr>
          <w:t>https://onlinelibrary.wiley.com/doi/abs/10.1002/wps.20940</w:t>
        </w:r>
      </w:hyperlink>
    </w:p>
    <w:p w14:paraId="563B0CA4" w14:textId="77777777" w:rsidR="00430704" w:rsidRDefault="00000000">
      <w:pPr>
        <w:spacing w:line="360" w:lineRule="auto"/>
        <w:jc w:val="both"/>
        <w:rPr>
          <w:rFonts w:ascii="Times New Roman" w:eastAsia="Times New Roman" w:hAnsi="Times New Roman" w:cs="Times New Roman"/>
          <w:sz w:val="24"/>
          <w:szCs w:val="24"/>
        </w:rPr>
      </w:pPr>
      <w:bookmarkStart w:id="8" w:name="_4d34og8" w:colFirst="0" w:colLast="0"/>
      <w:bookmarkEnd w:id="8"/>
      <w:r>
        <w:rPr>
          <w:rFonts w:ascii="Times New Roman" w:eastAsia="Times New Roman" w:hAnsi="Times New Roman" w:cs="Times New Roman"/>
          <w:sz w:val="24"/>
          <w:szCs w:val="24"/>
        </w:rPr>
        <w:t xml:space="preserve">Levasseur, M., Lussier-Therrien, M., Biron, M.L., Raymond, É., Castonguay, J., Naud, D., Fortier, M., Sévigny, A., Houde, S. and Tremblay, L., 2022. Scoping study of definitions of social participation: update and co-construction of an interdisciplinary consensual definition. Age and ageing, 51(2), </w:t>
      </w:r>
      <w:proofErr w:type="gramStart"/>
      <w:r>
        <w:rPr>
          <w:rFonts w:ascii="Times New Roman" w:eastAsia="Times New Roman" w:hAnsi="Times New Roman" w:cs="Times New Roman"/>
          <w:sz w:val="24"/>
          <w:szCs w:val="24"/>
        </w:rPr>
        <w:t>p.afab</w:t>
      </w:r>
      <w:proofErr w:type="gramEnd"/>
      <w:r>
        <w:rPr>
          <w:rFonts w:ascii="Times New Roman" w:eastAsia="Times New Roman" w:hAnsi="Times New Roman" w:cs="Times New Roman"/>
          <w:sz w:val="24"/>
          <w:szCs w:val="24"/>
        </w:rPr>
        <w:t>215.</w:t>
      </w:r>
      <w:r>
        <w:t xml:space="preserve"> </w:t>
      </w:r>
      <w:hyperlink r:id="rId16">
        <w:r>
          <w:rPr>
            <w:rFonts w:ascii="Times New Roman" w:eastAsia="Times New Roman" w:hAnsi="Times New Roman" w:cs="Times New Roman"/>
            <w:color w:val="0563C1"/>
            <w:sz w:val="24"/>
            <w:szCs w:val="24"/>
            <w:u w:val="single"/>
          </w:rPr>
          <w:t>https://academic.oup.com/ageing/article-abstract/51/2/afab215/6520509</w:t>
        </w:r>
      </w:hyperlink>
    </w:p>
    <w:p w14:paraId="3260C9B8" w14:textId="77777777" w:rsidR="00430704" w:rsidRDefault="00000000">
      <w:pPr>
        <w:spacing w:line="360" w:lineRule="auto"/>
        <w:jc w:val="both"/>
        <w:rPr>
          <w:rFonts w:ascii="Times New Roman" w:eastAsia="Times New Roman" w:hAnsi="Times New Roman" w:cs="Times New Roman"/>
          <w:sz w:val="24"/>
          <w:szCs w:val="24"/>
        </w:rPr>
      </w:pPr>
      <w:bookmarkStart w:id="9" w:name="_2s8eyo1" w:colFirst="0" w:colLast="0"/>
      <w:bookmarkEnd w:id="9"/>
      <w:r>
        <w:rPr>
          <w:rFonts w:ascii="Times New Roman" w:eastAsia="Times New Roman" w:hAnsi="Times New Roman" w:cs="Times New Roman"/>
          <w:sz w:val="24"/>
          <w:szCs w:val="24"/>
        </w:rPr>
        <w:t>Marston, C., Renedo, A. and Miles, S., 2020. Community participation is crucial in a pandemic. The Lancet, 395(10238), pp.1676-1678.</w:t>
      </w:r>
      <w:r>
        <w:t xml:space="preserve"> </w:t>
      </w:r>
      <w:hyperlink r:id="rId17">
        <w:r>
          <w:rPr>
            <w:rFonts w:ascii="Times New Roman" w:eastAsia="Times New Roman" w:hAnsi="Times New Roman" w:cs="Times New Roman"/>
            <w:color w:val="0563C1"/>
            <w:sz w:val="24"/>
            <w:szCs w:val="24"/>
            <w:u w:val="single"/>
          </w:rPr>
          <w:t>https://www.thelancet.com/journals/lancet/article/PIIS0140-6736(20)31054-0/fulltext</w:t>
        </w:r>
      </w:hyperlink>
    </w:p>
    <w:p w14:paraId="46275F07" w14:textId="77777777" w:rsidR="00430704" w:rsidRDefault="00000000">
      <w:pPr>
        <w:spacing w:line="360" w:lineRule="auto"/>
        <w:jc w:val="both"/>
        <w:rPr>
          <w:rFonts w:ascii="Times New Roman" w:eastAsia="Times New Roman" w:hAnsi="Times New Roman" w:cs="Times New Roman"/>
          <w:sz w:val="24"/>
          <w:szCs w:val="24"/>
        </w:rPr>
      </w:pPr>
      <w:bookmarkStart w:id="10" w:name="_17dp8vu" w:colFirst="0" w:colLast="0"/>
      <w:bookmarkEnd w:id="10"/>
      <w:r>
        <w:rPr>
          <w:rFonts w:ascii="Times New Roman" w:eastAsia="Times New Roman" w:hAnsi="Times New Roman" w:cs="Times New Roman"/>
          <w:sz w:val="24"/>
          <w:szCs w:val="24"/>
        </w:rPr>
        <w:t xml:space="preserve">Mazzaschi, F., Peddle, S., Seddon, K., Sivell, S., Byrne, A. and Nelson, A., 2022. 53 Incorporation and evaluation of the patient and public involvement national standards within doctoral research </w:t>
      </w:r>
      <w:proofErr w:type="spellStart"/>
      <w:r>
        <w:rPr>
          <w:rFonts w:ascii="Times New Roman" w:eastAsia="Times New Roman" w:hAnsi="Times New Roman" w:cs="Times New Roman"/>
          <w:sz w:val="24"/>
          <w:szCs w:val="24"/>
        </w:rPr>
        <w:t>focussed</w:t>
      </w:r>
      <w:proofErr w:type="spellEnd"/>
      <w:r>
        <w:rPr>
          <w:rFonts w:ascii="Times New Roman" w:eastAsia="Times New Roman" w:hAnsi="Times New Roman" w:cs="Times New Roman"/>
          <w:sz w:val="24"/>
          <w:szCs w:val="24"/>
        </w:rPr>
        <w:t xml:space="preserve"> on the improvement of quality of life of patients with high-grade glioma.</w:t>
      </w:r>
      <w:r>
        <w:t xml:space="preserve"> </w:t>
      </w:r>
      <w:hyperlink r:id="rId18">
        <w:r>
          <w:rPr>
            <w:rFonts w:ascii="Times New Roman" w:eastAsia="Times New Roman" w:hAnsi="Times New Roman" w:cs="Times New Roman"/>
            <w:color w:val="0563C1"/>
            <w:sz w:val="24"/>
            <w:szCs w:val="24"/>
            <w:u w:val="single"/>
          </w:rPr>
          <w:t>https://spcare.bmj.com/content/12/Suppl_1/A22.1.abstract</w:t>
        </w:r>
      </w:hyperlink>
    </w:p>
    <w:p w14:paraId="6F755872" w14:textId="77777777" w:rsidR="00430704" w:rsidRDefault="00000000">
      <w:pPr>
        <w:spacing w:line="360" w:lineRule="auto"/>
        <w:jc w:val="both"/>
        <w:rPr>
          <w:rFonts w:ascii="Times New Roman" w:eastAsia="Times New Roman" w:hAnsi="Times New Roman" w:cs="Times New Roman"/>
          <w:sz w:val="24"/>
          <w:szCs w:val="24"/>
        </w:rPr>
      </w:pPr>
      <w:bookmarkStart w:id="11" w:name="_3rdcrjn" w:colFirst="0" w:colLast="0"/>
      <w:bookmarkEnd w:id="11"/>
      <w:r>
        <w:rPr>
          <w:rFonts w:ascii="Times New Roman" w:eastAsia="Times New Roman" w:hAnsi="Times New Roman" w:cs="Times New Roman"/>
          <w:sz w:val="24"/>
          <w:szCs w:val="24"/>
        </w:rPr>
        <w:t>Nolden, C., Barnes, J. and Nicholls, J., 2020. Community energy business model evolution: A review of solar photovoltaic developments in England. Renewable and Sustainable Energy Reviews, 122, p.109722.</w:t>
      </w:r>
      <w:r>
        <w:t xml:space="preserve"> </w:t>
      </w:r>
      <w:hyperlink r:id="rId19">
        <w:r>
          <w:rPr>
            <w:rFonts w:ascii="Times New Roman" w:eastAsia="Times New Roman" w:hAnsi="Times New Roman" w:cs="Times New Roman"/>
            <w:color w:val="0563C1"/>
            <w:sz w:val="24"/>
            <w:szCs w:val="24"/>
            <w:u w:val="single"/>
          </w:rPr>
          <w:t>https://www.sciencedirect.com/science/article/pii/S1364032120300198</w:t>
        </w:r>
      </w:hyperlink>
    </w:p>
    <w:p w14:paraId="03CF0381" w14:textId="77777777" w:rsidR="00430704"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Peopleshealthtrust.org.uk. (2018). CounsellingCare: Café Chat project. People’s Health Trust. </w:t>
      </w:r>
      <w:hyperlink r:id="rId20">
        <w:r>
          <w:rPr>
            <w:rFonts w:ascii="Times New Roman" w:eastAsia="Times New Roman" w:hAnsi="Times New Roman" w:cs="Times New Roman"/>
            <w:color w:val="0563C1"/>
            <w:sz w:val="24"/>
            <w:szCs w:val="24"/>
            <w:u w:val="single"/>
          </w:rPr>
          <w:t>https://www.peopleshealthtrust.org.uk/publications/case-studies/counsellingcare-caf%C3%A9-chat-project</w:t>
        </w:r>
      </w:hyperlink>
    </w:p>
    <w:p w14:paraId="37C62988" w14:textId="77777777" w:rsidR="00430704" w:rsidRDefault="00000000">
      <w:pPr>
        <w:spacing w:line="360" w:lineRule="auto"/>
        <w:jc w:val="both"/>
        <w:rPr>
          <w:rFonts w:ascii="Times New Roman" w:eastAsia="Times New Roman" w:hAnsi="Times New Roman" w:cs="Times New Roman"/>
          <w:sz w:val="24"/>
          <w:szCs w:val="24"/>
        </w:rPr>
      </w:pPr>
      <w:bookmarkStart w:id="12" w:name="_26in1rg" w:colFirst="0" w:colLast="0"/>
      <w:bookmarkEnd w:id="12"/>
      <w:r>
        <w:rPr>
          <w:rFonts w:ascii="Times New Roman" w:eastAsia="Times New Roman" w:hAnsi="Times New Roman" w:cs="Times New Roman"/>
          <w:sz w:val="24"/>
          <w:szCs w:val="24"/>
        </w:rPr>
        <w:t>Shepherd, M., Endacott, R. and Quinn, H., 2022. Bridging the gap between research and clinical care: strategies to increase staff awareness and engagement in clinical research. Journal of Research in Nursing, 27(1-2), pp.168-181.</w:t>
      </w:r>
      <w:r>
        <w:t xml:space="preserve"> </w:t>
      </w:r>
      <w:hyperlink r:id="rId21">
        <w:r>
          <w:rPr>
            <w:rFonts w:ascii="Times New Roman" w:eastAsia="Times New Roman" w:hAnsi="Times New Roman" w:cs="Times New Roman"/>
            <w:color w:val="0563C1"/>
            <w:sz w:val="24"/>
            <w:szCs w:val="24"/>
            <w:u w:val="single"/>
          </w:rPr>
          <w:t>https://journals.sagepub.com/doi/abs/10.1177/17449871211034545</w:t>
        </w:r>
      </w:hyperlink>
    </w:p>
    <w:p w14:paraId="48340CB0" w14:textId="77777777" w:rsidR="00430704" w:rsidRDefault="00000000">
      <w:pPr>
        <w:spacing w:line="360" w:lineRule="auto"/>
        <w:jc w:val="both"/>
        <w:rPr>
          <w:rFonts w:ascii="Times New Roman" w:eastAsia="Times New Roman" w:hAnsi="Times New Roman" w:cs="Times New Roman"/>
          <w:sz w:val="24"/>
          <w:szCs w:val="24"/>
        </w:rPr>
      </w:pPr>
      <w:bookmarkStart w:id="13" w:name="_lnxbz9" w:colFirst="0" w:colLast="0"/>
      <w:bookmarkEnd w:id="13"/>
      <w:r>
        <w:rPr>
          <w:rFonts w:ascii="Times New Roman" w:eastAsia="Times New Roman" w:hAnsi="Times New Roman" w:cs="Times New Roman"/>
          <w:sz w:val="24"/>
          <w:szCs w:val="24"/>
        </w:rPr>
        <w:t>Viola, S., 2022. Built Heritage Repurposing and Communities Engagement: Symbiosis, Enabling Processes, Key Challenges. Sustainability, 14(4), p.2320.</w:t>
      </w:r>
      <w:r>
        <w:t xml:space="preserve"> </w:t>
      </w:r>
      <w:hyperlink r:id="rId22">
        <w:r>
          <w:rPr>
            <w:rFonts w:ascii="Times New Roman" w:eastAsia="Times New Roman" w:hAnsi="Times New Roman" w:cs="Times New Roman"/>
            <w:color w:val="0563C1"/>
            <w:sz w:val="24"/>
            <w:szCs w:val="24"/>
            <w:u w:val="single"/>
          </w:rPr>
          <w:t>https://www.mdpi.com/2071-1050/14/4/2320</w:t>
        </w:r>
      </w:hyperlink>
    </w:p>
    <w:p w14:paraId="0FD7A451" w14:textId="77777777" w:rsidR="00430704" w:rsidRDefault="00000000">
      <w:pPr>
        <w:spacing w:line="360" w:lineRule="auto"/>
        <w:jc w:val="both"/>
        <w:rPr>
          <w:rFonts w:ascii="Times New Roman" w:eastAsia="Times New Roman" w:hAnsi="Times New Roman" w:cs="Times New Roman"/>
          <w:sz w:val="24"/>
          <w:szCs w:val="24"/>
        </w:rPr>
      </w:pPr>
      <w:bookmarkStart w:id="14" w:name="_35nkun2" w:colFirst="0" w:colLast="0"/>
      <w:bookmarkEnd w:id="14"/>
      <w:r>
        <w:rPr>
          <w:rFonts w:ascii="Times New Roman" w:eastAsia="Times New Roman" w:hAnsi="Times New Roman" w:cs="Times New Roman"/>
          <w:sz w:val="24"/>
          <w:szCs w:val="24"/>
        </w:rPr>
        <w:t xml:space="preserve">Wilson, A., Tewdwr-Jones, M. and Comber, R., 2019. Urban planning, public participation and digital technology: App development as a method of generating citizen involvement in local </w:t>
      </w:r>
      <w:r>
        <w:rPr>
          <w:rFonts w:ascii="Times New Roman" w:eastAsia="Times New Roman" w:hAnsi="Times New Roman" w:cs="Times New Roman"/>
          <w:sz w:val="24"/>
          <w:szCs w:val="24"/>
        </w:rPr>
        <w:lastRenderedPageBreak/>
        <w:t>planning processes. Environment and Planning B: Urban Analytics and City Science, 46(2), pp.286-302.</w:t>
      </w:r>
      <w:r>
        <w:t xml:space="preserve"> </w:t>
      </w:r>
      <w:hyperlink r:id="rId23">
        <w:r>
          <w:rPr>
            <w:rFonts w:ascii="Times New Roman" w:eastAsia="Times New Roman" w:hAnsi="Times New Roman" w:cs="Times New Roman"/>
            <w:color w:val="0563C1"/>
            <w:sz w:val="24"/>
            <w:szCs w:val="24"/>
            <w:u w:val="single"/>
          </w:rPr>
          <w:t>https://journals.sagepub.com/doi/abs/10.1177/2399808317712515</w:t>
        </w:r>
      </w:hyperlink>
    </w:p>
    <w:p w14:paraId="5EC76BE0" w14:textId="77777777" w:rsidR="00430704" w:rsidRDefault="00430704">
      <w:pPr>
        <w:spacing w:line="360" w:lineRule="auto"/>
        <w:jc w:val="both"/>
        <w:rPr>
          <w:rFonts w:ascii="Times New Roman" w:eastAsia="Times New Roman" w:hAnsi="Times New Roman" w:cs="Times New Roman"/>
          <w:sz w:val="24"/>
          <w:szCs w:val="24"/>
        </w:rPr>
      </w:pPr>
    </w:p>
    <w:sectPr w:rsidR="00430704">
      <w:footerReference w:type="default" r:id="rId24"/>
      <w:pgSz w:w="12240" w:h="15840"/>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C8AF966" w14:textId="77777777" w:rsidR="0018299A" w:rsidRDefault="0018299A">
      <w:pPr>
        <w:spacing w:after="0" w:line="240" w:lineRule="auto"/>
      </w:pPr>
      <w:r>
        <w:separator/>
      </w:r>
    </w:p>
  </w:endnote>
  <w:endnote w:type="continuationSeparator" w:id="0">
    <w:p w14:paraId="0B2F6053" w14:textId="77777777" w:rsidR="0018299A" w:rsidRDefault="0018299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CA41803" w14:textId="77777777" w:rsidR="00430704" w:rsidRDefault="00000000">
    <w:pPr>
      <w:pBdr>
        <w:top w:val="nil"/>
        <w:left w:val="nil"/>
        <w:bottom w:val="nil"/>
        <w:right w:val="nil"/>
        <w:between w:val="nil"/>
      </w:pBdr>
      <w:tabs>
        <w:tab w:val="center" w:pos="4680"/>
        <w:tab w:val="right" w:pos="9360"/>
      </w:tabs>
      <w:spacing w:after="0" w:line="240" w:lineRule="auto"/>
      <w:jc w:val="right"/>
      <w:rPr>
        <w:color w:val="000000"/>
      </w:rPr>
    </w:pPr>
    <w:r>
      <w:rPr>
        <w:color w:val="000000"/>
      </w:rPr>
      <w:fldChar w:fldCharType="begin"/>
    </w:r>
    <w:r>
      <w:rPr>
        <w:color w:val="000000"/>
      </w:rPr>
      <w:instrText>PAGE</w:instrText>
    </w:r>
    <w:r>
      <w:rPr>
        <w:color w:val="000000"/>
      </w:rPr>
      <w:fldChar w:fldCharType="separate"/>
    </w:r>
    <w:r w:rsidR="00406779">
      <w:rPr>
        <w:noProof/>
        <w:color w:val="000000"/>
      </w:rPr>
      <w:t>2</w:t>
    </w:r>
    <w:r>
      <w:rPr>
        <w:color w:val="000000"/>
      </w:rPr>
      <w:fldChar w:fldCharType="end"/>
    </w:r>
  </w:p>
  <w:p w14:paraId="5E39DB1E" w14:textId="77777777" w:rsidR="00430704" w:rsidRDefault="00430704">
    <w:pPr>
      <w:pBdr>
        <w:top w:val="nil"/>
        <w:left w:val="nil"/>
        <w:bottom w:val="nil"/>
        <w:right w:val="nil"/>
        <w:between w:val="nil"/>
      </w:pBdr>
      <w:tabs>
        <w:tab w:val="center" w:pos="4680"/>
        <w:tab w:val="right" w:pos="9360"/>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0E66296" w14:textId="77777777" w:rsidR="0018299A" w:rsidRDefault="0018299A">
      <w:pPr>
        <w:spacing w:after="0" w:line="240" w:lineRule="auto"/>
      </w:pPr>
      <w:r>
        <w:separator/>
      </w:r>
    </w:p>
  </w:footnote>
  <w:footnote w:type="continuationSeparator" w:id="0">
    <w:p w14:paraId="5CC3FA26" w14:textId="77777777" w:rsidR="0018299A" w:rsidRDefault="0018299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30704"/>
    <w:rsid w:val="0018299A"/>
    <w:rsid w:val="001B5D3E"/>
    <w:rsid w:val="0040080D"/>
    <w:rsid w:val="00406779"/>
    <w:rsid w:val="00430704"/>
    <w:rsid w:val="0060220C"/>
    <w:rsid w:val="00996C1A"/>
    <w:rsid w:val="00AE33BD"/>
    <w:rsid w:val="00D15AD3"/>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7DB86F9"/>
  <w15:docId w15:val="{55AD2A9A-4742-4D41-8909-06082EE32B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US" w:eastAsia="en-I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0" w:line="360" w:lineRule="auto"/>
      <w:jc w:val="both"/>
      <w:outlineLvl w:val="0"/>
    </w:pPr>
    <w:rPr>
      <w:rFonts w:ascii="Times New Roman" w:eastAsia="Times New Roman" w:hAnsi="Times New Roman" w:cs="Times New Roman"/>
      <w:b/>
      <w:sz w:val="28"/>
      <w:szCs w:val="28"/>
    </w:rPr>
  </w:style>
  <w:style w:type="paragraph" w:styleId="Heading2">
    <w:name w:val="heading 2"/>
    <w:basedOn w:val="Normal"/>
    <w:next w:val="Normal"/>
    <w:uiPriority w:val="9"/>
    <w:unhideWhenUsed/>
    <w:qFormat/>
    <w:pPr>
      <w:keepNext/>
      <w:keepLines/>
      <w:spacing w:before="40" w:after="0" w:line="360" w:lineRule="auto"/>
      <w:jc w:val="both"/>
      <w:outlineLvl w:val="1"/>
    </w:pPr>
    <w:rPr>
      <w:rFonts w:ascii="Times New Roman" w:eastAsia="Times New Roman" w:hAnsi="Times New Roman" w:cs="Times New Roman"/>
      <w:b/>
      <w:sz w:val="26"/>
      <w:szCs w:val="2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link.springer.com/article/10.1186/s40900-019-0160-4" TargetMode="External"/><Relationship Id="rId18" Type="http://schemas.openxmlformats.org/officeDocument/2006/relationships/hyperlink" Target="https://spcare.bmj.com/content/12/Suppl_1/A22.1.abstract" TargetMode="External"/><Relationship Id="rId26" Type="http://schemas.openxmlformats.org/officeDocument/2006/relationships/theme" Target="theme/theme1.xml"/><Relationship Id="rId3" Type="http://schemas.openxmlformats.org/officeDocument/2006/relationships/webSettings" Target="webSettings.xml"/><Relationship Id="rId21" Type="http://schemas.openxmlformats.org/officeDocument/2006/relationships/hyperlink" Target="https://journals.sagepub.com/doi/abs/10.1177/17449871211034545" TargetMode="External"/><Relationship Id="rId7" Type="http://schemas.openxmlformats.org/officeDocument/2006/relationships/image" Target="media/image2.png"/><Relationship Id="rId12" Type="http://schemas.openxmlformats.org/officeDocument/2006/relationships/hyperlink" Target="https://thechattycafescheme.co.uk/wp-content/uploads/sites/2/2023/06/Final-Chatty-Cafe-Scheme-Report-2023-May-2023-1.pdf" TargetMode="External"/><Relationship Id="rId17" Type="http://schemas.openxmlformats.org/officeDocument/2006/relationships/hyperlink" Target="https://www.thelancet.com/journals/lancet/article/PIIS0140-6736(20)31054-0/fulltext" TargetMode="External"/><Relationship Id="rId25"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academic.oup.com/ageing/article-abstract/51/2/afab215/6520509" TargetMode="External"/><Relationship Id="rId20" Type="http://schemas.openxmlformats.org/officeDocument/2006/relationships/hyperlink" Target="https://www.peopleshealthtrust.org.uk/publications/case-studies/counsellingcare-caf%C3%A9-chat-project" TargetMode="Externa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www.tandfonline.com/doi/full/10.1080/09687599.2021.1930519" TargetMode="External"/><Relationship Id="rId24" Type="http://schemas.openxmlformats.org/officeDocument/2006/relationships/footer" Target="footer1.xml"/><Relationship Id="rId5" Type="http://schemas.openxmlformats.org/officeDocument/2006/relationships/endnotes" Target="endnotes.xml"/><Relationship Id="rId15" Type="http://schemas.openxmlformats.org/officeDocument/2006/relationships/hyperlink" Target="https://onlinelibrary.wiley.com/doi/abs/10.1002/wps.20940" TargetMode="External"/><Relationship Id="rId23" Type="http://schemas.openxmlformats.org/officeDocument/2006/relationships/hyperlink" Target="https://journals.sagepub.com/doi/abs/10.1177/2399808317712515" TargetMode="External"/><Relationship Id="rId10" Type="http://schemas.openxmlformats.org/officeDocument/2006/relationships/hyperlink" Target="https://academic.oup.com/heapro/article-abstract/37/2/daab098/6327058" TargetMode="External"/><Relationship Id="rId19" Type="http://schemas.openxmlformats.org/officeDocument/2006/relationships/hyperlink" Target="https://www.sciencedirect.com/science/article/pii/S1364032120300198" TargetMode="External"/><Relationship Id="rId4" Type="http://schemas.openxmlformats.org/officeDocument/2006/relationships/footnotes" Target="footnotes.xml"/><Relationship Id="rId9" Type="http://schemas.openxmlformats.org/officeDocument/2006/relationships/hyperlink" Target="https://researchinvolvement.biomedcentral.com/articles/10.1186/s40900-019-0161-3" TargetMode="External"/><Relationship Id="rId14" Type="http://schemas.openxmlformats.org/officeDocument/2006/relationships/hyperlink" Target="https://www.sciencedirect.com/science/article/pii/S1526590022000281" TargetMode="External"/><Relationship Id="rId22" Type="http://schemas.openxmlformats.org/officeDocument/2006/relationships/hyperlink" Target="https://www.mdpi.com/2071-1050/14/4/232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18</TotalTime>
  <Pages>11</Pages>
  <Words>2588</Words>
  <Characters>17209</Characters>
  <Application>Microsoft Office Word</Application>
  <DocSecurity>0</DocSecurity>
  <Lines>251</Lines>
  <Paragraphs>50</Paragraphs>
  <ScaleCrop>false</ScaleCrop>
  <Company/>
  <LinksUpToDate>false</LinksUpToDate>
  <CharactersWithSpaces>19752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Jasmine Kaur</cp:lastModifiedBy>
  <cp:revision>7</cp:revision>
  <dcterms:created xsi:type="dcterms:W3CDTF">2023-11-27T21:06:00Z</dcterms:created>
  <dcterms:modified xsi:type="dcterms:W3CDTF">2023-11-30T22:16:00Z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c2d153bf9ebb15c1a4c190fd95b5c722485c4fb7b0e7ce385507a8680c890454</vt:lpwstr>
  </property>
</Properties>
</file>