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6ED9" w:rsidRPr="004E1F72" w:rsidRDefault="0083622D" w:rsidP="004E1F72">
      <w:pPr>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The Domesday book, also referred to as the ‘Great Survey’,</w:t>
      </w:r>
      <w:r w:rsidRPr="004E1F72">
        <w:rPr>
          <w:rStyle w:val="FootnoteReference"/>
          <w:rFonts w:ascii="Times New Roman" w:hAnsi="Times New Roman" w:cs="Times New Roman"/>
          <w:sz w:val="24"/>
          <w:szCs w:val="24"/>
        </w:rPr>
        <w:footnoteReference w:id="1"/>
      </w:r>
      <w:r w:rsidR="00141A25" w:rsidRPr="004E1F72">
        <w:rPr>
          <w:rFonts w:ascii="Times New Roman" w:hAnsi="Times New Roman" w:cs="Times New Roman"/>
          <w:sz w:val="24"/>
          <w:szCs w:val="24"/>
        </w:rPr>
        <w:t xml:space="preserve"> was a detailed study of</w:t>
      </w:r>
      <w:r w:rsidR="00C4383C" w:rsidRPr="004E1F72">
        <w:rPr>
          <w:rFonts w:ascii="Times New Roman" w:hAnsi="Times New Roman" w:cs="Times New Roman"/>
          <w:sz w:val="24"/>
          <w:szCs w:val="24"/>
        </w:rPr>
        <w:t xml:space="preserve"> eleventh century England, and was known for judging ‘all men indifferently, as the Lord in that great day will do’.</w:t>
      </w:r>
      <w:r w:rsidR="00C4383C" w:rsidRPr="004E1F72">
        <w:rPr>
          <w:rStyle w:val="FootnoteReference"/>
          <w:rFonts w:ascii="Times New Roman" w:hAnsi="Times New Roman" w:cs="Times New Roman"/>
          <w:sz w:val="24"/>
          <w:szCs w:val="24"/>
        </w:rPr>
        <w:footnoteReference w:id="2"/>
      </w:r>
      <w:r w:rsidR="00C4383C" w:rsidRPr="004E1F72">
        <w:rPr>
          <w:rFonts w:ascii="Times New Roman" w:hAnsi="Times New Roman" w:cs="Times New Roman"/>
          <w:sz w:val="24"/>
          <w:szCs w:val="24"/>
        </w:rPr>
        <w:t xml:space="preserve"> Compiling ‘the results of a huge survey of land and landholding’ into one document,</w:t>
      </w:r>
      <w:r w:rsidR="00C4383C" w:rsidRPr="004E1F72">
        <w:rPr>
          <w:rStyle w:val="FootnoteReference"/>
          <w:rFonts w:ascii="Times New Roman" w:hAnsi="Times New Roman" w:cs="Times New Roman"/>
          <w:sz w:val="24"/>
          <w:szCs w:val="24"/>
        </w:rPr>
        <w:footnoteReference w:id="3"/>
      </w:r>
      <w:r w:rsidR="00C4383C" w:rsidRPr="004E1F72">
        <w:rPr>
          <w:rFonts w:ascii="Times New Roman" w:hAnsi="Times New Roman" w:cs="Times New Roman"/>
          <w:sz w:val="24"/>
          <w:szCs w:val="24"/>
        </w:rPr>
        <w:t xml:space="preserve"> Domesday provided William I with a greater understanding of what he now ruled. </w:t>
      </w:r>
      <w:r w:rsidR="001C68BA" w:rsidRPr="004E1F72">
        <w:rPr>
          <w:rFonts w:ascii="Times New Roman" w:hAnsi="Times New Roman" w:cs="Times New Roman"/>
          <w:sz w:val="24"/>
          <w:szCs w:val="24"/>
        </w:rPr>
        <w:t xml:space="preserve">Because of its significance as a historical record, there have been several copies made from the original document, demonstrating its use, both at the time of its creation, and in the centuries that followed. </w:t>
      </w:r>
    </w:p>
    <w:p w:rsidR="000450D5" w:rsidRPr="004E1F72" w:rsidRDefault="000450D5" w:rsidP="004E1F72">
      <w:pPr>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One of the biggest uses of the Domesday Survey is to demonstrate the breakdown of society following the invasion of the Normans in 1066. This division within society can clearly be seen in the instructions for the Domesday returns, which detail a variety of different social groups to be recorded within the Domesday survey. One such group that were separated by the survey were ‘Frenchmen’.</w:t>
      </w:r>
      <w:r w:rsidRPr="004E1F72">
        <w:rPr>
          <w:rStyle w:val="FootnoteReference"/>
          <w:rFonts w:ascii="Times New Roman" w:hAnsi="Times New Roman" w:cs="Times New Roman"/>
          <w:sz w:val="24"/>
          <w:szCs w:val="24"/>
        </w:rPr>
        <w:footnoteReference w:id="4"/>
      </w:r>
      <w:r w:rsidRPr="004E1F72">
        <w:rPr>
          <w:rFonts w:ascii="Times New Roman" w:hAnsi="Times New Roman" w:cs="Times New Roman"/>
          <w:sz w:val="24"/>
          <w:szCs w:val="24"/>
        </w:rPr>
        <w:t xml:space="preserve"> What this illustrates is that there was little integration between the conquering Normans and the conquered English in the decades that followed the Norman conquest in 1066, something that was succinctly described by A.L Poole, who references England as a ‘country inhabited by two peoples, a small dominant Norman aristocracy and the English natives’.</w:t>
      </w:r>
      <w:r w:rsidRPr="004E1F72">
        <w:rPr>
          <w:rStyle w:val="FootnoteReference"/>
          <w:rFonts w:ascii="Times New Roman" w:hAnsi="Times New Roman" w:cs="Times New Roman"/>
          <w:sz w:val="24"/>
          <w:szCs w:val="24"/>
        </w:rPr>
        <w:footnoteReference w:id="5"/>
      </w:r>
      <w:r w:rsidRPr="004E1F72">
        <w:rPr>
          <w:rFonts w:ascii="Times New Roman" w:hAnsi="Times New Roman" w:cs="Times New Roman"/>
          <w:sz w:val="24"/>
          <w:szCs w:val="24"/>
        </w:rPr>
        <w:t xml:space="preserve"> This differing name for the Normans (are they the Normans or the French?) could be one explanation behind this split between the ‘free-men’ and ‘barons’,</w:t>
      </w:r>
      <w:r w:rsidRPr="004E1F72">
        <w:rPr>
          <w:rStyle w:val="FootnoteReference"/>
          <w:rFonts w:ascii="Times New Roman" w:hAnsi="Times New Roman" w:cs="Times New Roman"/>
          <w:sz w:val="24"/>
          <w:szCs w:val="24"/>
        </w:rPr>
        <w:footnoteReference w:id="6"/>
      </w:r>
      <w:r w:rsidRPr="004E1F72">
        <w:rPr>
          <w:rFonts w:ascii="Times New Roman" w:hAnsi="Times New Roman" w:cs="Times New Roman"/>
          <w:sz w:val="24"/>
          <w:szCs w:val="24"/>
        </w:rPr>
        <w:t xml:space="preserve"> and ‘Frenchmen’.</w:t>
      </w:r>
      <w:r w:rsidRPr="004E1F72">
        <w:rPr>
          <w:rStyle w:val="FootnoteReference"/>
          <w:rFonts w:ascii="Times New Roman" w:hAnsi="Times New Roman" w:cs="Times New Roman"/>
          <w:sz w:val="24"/>
          <w:szCs w:val="24"/>
        </w:rPr>
        <w:footnoteReference w:id="7"/>
      </w:r>
      <w:r w:rsidRPr="004E1F72">
        <w:rPr>
          <w:rFonts w:ascii="Times New Roman" w:hAnsi="Times New Roman" w:cs="Times New Roman"/>
          <w:sz w:val="24"/>
          <w:szCs w:val="24"/>
        </w:rPr>
        <w:t xml:space="preserve"> Despite the great differences between the two groups, the Normans were </w:t>
      </w:r>
      <w:r w:rsidRPr="004E1F72">
        <w:rPr>
          <w:rFonts w:ascii="Times New Roman" w:hAnsi="Times New Roman" w:cs="Times New Roman"/>
          <w:sz w:val="24"/>
          <w:szCs w:val="24"/>
        </w:rPr>
        <w:lastRenderedPageBreak/>
        <w:t>referred to on the Bayeux Tapestry as ‘</w:t>
      </w:r>
      <w:r w:rsidRPr="004E1F72">
        <w:rPr>
          <w:rFonts w:ascii="Times New Roman" w:hAnsi="Times New Roman" w:cs="Times New Roman"/>
          <w:i/>
          <w:sz w:val="24"/>
          <w:szCs w:val="24"/>
        </w:rPr>
        <w:t>Franci’</w:t>
      </w:r>
      <w:r w:rsidRPr="004E1F72">
        <w:rPr>
          <w:rFonts w:ascii="Times New Roman" w:hAnsi="Times New Roman" w:cs="Times New Roman"/>
          <w:sz w:val="24"/>
          <w:szCs w:val="24"/>
        </w:rPr>
        <w:t>, or ‘Frenchmen’, rather than Normans (‘</w:t>
      </w:r>
      <w:r w:rsidRPr="004E1F72">
        <w:rPr>
          <w:rFonts w:ascii="Times New Roman" w:hAnsi="Times New Roman" w:cs="Times New Roman"/>
          <w:i/>
          <w:sz w:val="24"/>
          <w:szCs w:val="24"/>
        </w:rPr>
        <w:t>Normanni’</w:t>
      </w:r>
      <w:r w:rsidRPr="004E1F72">
        <w:rPr>
          <w:rFonts w:ascii="Times New Roman" w:hAnsi="Times New Roman" w:cs="Times New Roman"/>
          <w:sz w:val="24"/>
          <w:szCs w:val="24"/>
        </w:rPr>
        <w:t>).</w:t>
      </w:r>
      <w:r w:rsidRPr="004E1F72">
        <w:rPr>
          <w:rStyle w:val="FootnoteReference"/>
          <w:rFonts w:ascii="Times New Roman" w:hAnsi="Times New Roman" w:cs="Times New Roman"/>
          <w:sz w:val="24"/>
          <w:szCs w:val="24"/>
        </w:rPr>
        <w:footnoteReference w:id="8"/>
      </w:r>
      <w:r w:rsidRPr="004E1F72">
        <w:rPr>
          <w:rFonts w:ascii="Times New Roman" w:hAnsi="Times New Roman" w:cs="Times New Roman"/>
          <w:sz w:val="24"/>
          <w:szCs w:val="24"/>
        </w:rPr>
        <w:t xml:space="preserve"> Whilst this may seem to blur the differences between the French and the Normans, the fact that it was created by Anglo-Saxon seamstresses suggests that it could have been used as an insult towards the Normans, much in the same way Harold Godwinson was referred to as ‘Harold the King’.</w:t>
      </w:r>
      <w:r w:rsidRPr="004E1F72">
        <w:rPr>
          <w:rStyle w:val="FootnoteReference"/>
          <w:rFonts w:ascii="Times New Roman" w:hAnsi="Times New Roman" w:cs="Times New Roman"/>
          <w:sz w:val="24"/>
          <w:szCs w:val="24"/>
        </w:rPr>
        <w:footnoteReference w:id="9"/>
      </w:r>
      <w:r w:rsidRPr="004E1F72">
        <w:rPr>
          <w:rFonts w:ascii="Times New Roman" w:hAnsi="Times New Roman" w:cs="Times New Roman"/>
          <w:sz w:val="24"/>
          <w:szCs w:val="24"/>
        </w:rPr>
        <w:t xml:space="preserve"> As a result of this, it becomes clear that the Normans constantly differentiated themselves from the French, placing further distinction between the ‘Frenchmen’ and the ‘freemen’ referenced in the Domesday Book.</w:t>
      </w:r>
      <w:r w:rsidRPr="004E1F72">
        <w:rPr>
          <w:rStyle w:val="FootnoteReference"/>
          <w:rFonts w:ascii="Times New Roman" w:hAnsi="Times New Roman" w:cs="Times New Roman"/>
          <w:sz w:val="24"/>
          <w:szCs w:val="24"/>
        </w:rPr>
        <w:footnoteReference w:id="10"/>
      </w:r>
    </w:p>
    <w:p w:rsidR="000450D5" w:rsidRPr="004E1F72" w:rsidRDefault="000450D5" w:rsidP="004E1F72">
      <w:pPr>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 xml:space="preserve">Another social identifier that can be found in the Domesday recordings is the number of ‘slaves’ owned by a </w:t>
      </w:r>
      <w:r w:rsidRPr="004E1F72">
        <w:rPr>
          <w:rFonts w:ascii="Times New Roman" w:hAnsi="Times New Roman" w:cs="Times New Roman"/>
          <w:sz w:val="24"/>
          <w:szCs w:val="24"/>
        </w:rPr>
        <w:t>landowner</w:t>
      </w:r>
      <w:r w:rsidRPr="004E1F72">
        <w:rPr>
          <w:rFonts w:ascii="Times New Roman" w:hAnsi="Times New Roman" w:cs="Times New Roman"/>
          <w:sz w:val="24"/>
          <w:szCs w:val="24"/>
        </w:rPr>
        <w:t>.</w:t>
      </w:r>
      <w:r w:rsidRPr="004E1F72">
        <w:rPr>
          <w:rStyle w:val="FootnoteReference"/>
          <w:rFonts w:ascii="Times New Roman" w:hAnsi="Times New Roman" w:cs="Times New Roman"/>
          <w:sz w:val="24"/>
          <w:szCs w:val="24"/>
        </w:rPr>
        <w:footnoteReference w:id="11"/>
      </w:r>
      <w:r w:rsidRPr="004E1F72">
        <w:rPr>
          <w:rFonts w:ascii="Times New Roman" w:hAnsi="Times New Roman" w:cs="Times New Roman"/>
          <w:sz w:val="24"/>
          <w:szCs w:val="24"/>
        </w:rPr>
        <w:t xml:space="preserve"> Where this word differs from the modern usage, however, is that ‘slaves’ were not individuals who were forced to serve their overlord, but rather men or women who held no land, and, as such, belonged to their lord.</w:t>
      </w:r>
      <w:r w:rsidRPr="004E1F72">
        <w:rPr>
          <w:rStyle w:val="FootnoteReference"/>
          <w:rFonts w:ascii="Times New Roman" w:hAnsi="Times New Roman" w:cs="Times New Roman"/>
          <w:sz w:val="24"/>
          <w:szCs w:val="24"/>
        </w:rPr>
        <w:footnoteReference w:id="12"/>
      </w:r>
      <w:r w:rsidRPr="004E1F72">
        <w:rPr>
          <w:rFonts w:ascii="Times New Roman" w:hAnsi="Times New Roman" w:cs="Times New Roman"/>
          <w:sz w:val="24"/>
          <w:szCs w:val="24"/>
        </w:rPr>
        <w:t xml:space="preserve"> As such, this illustrates that having or renting land was not only a desirable way to increase social standing, but a necessity. Therefore, the Domesday survey clearly highlights the influence that the Norman invasion had on the ordinary people, with life changing little for those who were at the bottom of the Anglo-Saxon social system.  </w:t>
      </w:r>
    </w:p>
    <w:p w:rsidR="00E254AB" w:rsidRPr="004E1F72" w:rsidRDefault="00E254AB" w:rsidP="004E1F72">
      <w:pPr>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A secondary demonstration of the anti-Norman sentiment that can be found within the Bayeux Tapestry is that it refers to Harold Godwinson as ‘</w:t>
      </w:r>
      <w:r w:rsidRPr="004E1F72">
        <w:rPr>
          <w:rFonts w:ascii="Times New Roman" w:hAnsi="Times New Roman" w:cs="Times New Roman"/>
          <w:i/>
          <w:sz w:val="24"/>
          <w:szCs w:val="24"/>
        </w:rPr>
        <w:t>Harold Rex’</w:t>
      </w:r>
      <w:r w:rsidRPr="004E1F72">
        <w:rPr>
          <w:rFonts w:ascii="Times New Roman" w:hAnsi="Times New Roman" w:cs="Times New Roman"/>
          <w:sz w:val="24"/>
          <w:szCs w:val="24"/>
        </w:rPr>
        <w:t>,</w:t>
      </w:r>
      <w:r w:rsidRPr="004E1F72">
        <w:rPr>
          <w:rStyle w:val="FootnoteReference"/>
          <w:rFonts w:ascii="Times New Roman" w:hAnsi="Times New Roman" w:cs="Times New Roman"/>
          <w:sz w:val="24"/>
          <w:szCs w:val="24"/>
        </w:rPr>
        <w:footnoteReference w:id="13"/>
      </w:r>
      <w:r w:rsidRPr="004E1F72">
        <w:rPr>
          <w:rFonts w:ascii="Times New Roman" w:hAnsi="Times New Roman" w:cs="Times New Roman"/>
          <w:sz w:val="24"/>
          <w:szCs w:val="24"/>
        </w:rPr>
        <w:t xml:space="preserve"> differing from the Domesday Survey, which refers to ‘King William’ and ‘King Edward’,</w:t>
      </w:r>
      <w:r w:rsidRPr="004E1F72">
        <w:rPr>
          <w:rStyle w:val="FootnoteReference"/>
          <w:rFonts w:ascii="Times New Roman" w:hAnsi="Times New Roman" w:cs="Times New Roman"/>
          <w:sz w:val="24"/>
          <w:szCs w:val="24"/>
        </w:rPr>
        <w:footnoteReference w:id="14"/>
      </w:r>
      <w:r w:rsidRPr="004E1F72">
        <w:rPr>
          <w:rFonts w:ascii="Times New Roman" w:hAnsi="Times New Roman" w:cs="Times New Roman"/>
          <w:sz w:val="24"/>
          <w:szCs w:val="24"/>
        </w:rPr>
        <w:t xml:space="preserve"> excluding Harold from the line </w:t>
      </w:r>
      <w:r w:rsidRPr="004E1F72">
        <w:rPr>
          <w:rFonts w:ascii="Times New Roman" w:hAnsi="Times New Roman" w:cs="Times New Roman"/>
          <w:sz w:val="24"/>
          <w:szCs w:val="24"/>
        </w:rPr>
        <w:lastRenderedPageBreak/>
        <w:t>of succession to the English throne. This exclusion has two effective roles. The first of which is the suggestion that William was the rightful heir to Edward the Confessor’s throne, something which is a repetitive theme throughout Norman records for the Battle of Hastings and the early years of William I’s reign, especially in historical material, such as the Bayeux Tapestry, which shows Harold swearing on holy relics to recognise William as the rightful claimant of the English Throne,</w:t>
      </w:r>
      <w:r w:rsidRPr="004E1F72">
        <w:rPr>
          <w:rStyle w:val="FootnoteReference"/>
          <w:rFonts w:ascii="Times New Roman" w:hAnsi="Times New Roman" w:cs="Times New Roman"/>
          <w:sz w:val="24"/>
          <w:szCs w:val="24"/>
        </w:rPr>
        <w:footnoteReference w:id="15"/>
      </w:r>
      <w:r w:rsidRPr="004E1F72">
        <w:rPr>
          <w:rFonts w:ascii="Times New Roman" w:hAnsi="Times New Roman" w:cs="Times New Roman"/>
          <w:sz w:val="24"/>
          <w:szCs w:val="24"/>
        </w:rPr>
        <w:t xml:space="preserve"> and the chronicles covering the period in which Edward the Confessor lived in Normandy.</w:t>
      </w:r>
      <w:r w:rsidRPr="004E1F72">
        <w:rPr>
          <w:rStyle w:val="FootnoteReference"/>
          <w:rFonts w:ascii="Times New Roman" w:hAnsi="Times New Roman" w:cs="Times New Roman"/>
          <w:sz w:val="24"/>
          <w:szCs w:val="24"/>
        </w:rPr>
        <w:footnoteReference w:id="16"/>
      </w:r>
      <w:r w:rsidRPr="004E1F72">
        <w:rPr>
          <w:rFonts w:ascii="Times New Roman" w:hAnsi="Times New Roman" w:cs="Times New Roman"/>
          <w:sz w:val="24"/>
          <w:szCs w:val="24"/>
        </w:rPr>
        <w:t xml:space="preserve"> The second role behind this exclusion is that it allows William to create a continuity for the English throne, providing his claim with greater legitimacy, suggesting that, despite its later claims in historical material, William’s claim was disputed at the time of his conquest, and it required the legitimacy an established royal lineage provided. </w:t>
      </w:r>
    </w:p>
    <w:p w:rsidR="00104EF1" w:rsidRPr="004E1F72" w:rsidRDefault="00104EF1" w:rsidP="004E1F72">
      <w:pPr>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An alternative interpretation behind this exclusion of Harold from the line of succession is the need for establishing national and familial histories and creation tales, often linking the country or individual to great dynastic figures or biblical characters. By inserting himself into a continuing dynasty, William is able to link himself into the existing histories of England, such as Bede’s ‘Ecclesiastical History of the English People’,</w:t>
      </w:r>
      <w:r w:rsidRPr="004E1F72">
        <w:rPr>
          <w:rStyle w:val="FootnoteReference"/>
          <w:rFonts w:ascii="Times New Roman" w:hAnsi="Times New Roman" w:cs="Times New Roman"/>
          <w:sz w:val="24"/>
          <w:szCs w:val="24"/>
        </w:rPr>
        <w:footnoteReference w:id="17"/>
      </w:r>
      <w:r w:rsidRPr="004E1F72">
        <w:rPr>
          <w:rFonts w:ascii="Times New Roman" w:hAnsi="Times New Roman" w:cs="Times New Roman"/>
          <w:sz w:val="24"/>
          <w:szCs w:val="24"/>
        </w:rPr>
        <w:t xml:space="preserve"> and all the legendary figures that were linked to this. This insertion of William into the English histories also greatly secures Normandy and England, reducing the likelihood of rebellion from the English. </w:t>
      </w:r>
    </w:p>
    <w:p w:rsidR="00CD7ABC" w:rsidRPr="004E1F72" w:rsidRDefault="00CD7ABC" w:rsidP="004E1F72">
      <w:pPr>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 xml:space="preserve">A third use for the Domesday survey is in analysing what was important to a medieval mindset, particularly to a medieval ruler, such as William I. Because the survey records land holdings, including who live on the land, households, and livestock, and compares it to during the reign </w:t>
      </w:r>
      <w:r w:rsidRPr="004E1F72">
        <w:rPr>
          <w:rFonts w:ascii="Times New Roman" w:hAnsi="Times New Roman" w:cs="Times New Roman"/>
          <w:sz w:val="24"/>
          <w:szCs w:val="24"/>
        </w:rPr>
        <w:lastRenderedPageBreak/>
        <w:t>of Edward the Confessor,</w:t>
      </w:r>
      <w:r w:rsidRPr="004E1F72">
        <w:rPr>
          <w:rStyle w:val="FootnoteReference"/>
          <w:rFonts w:ascii="Times New Roman" w:hAnsi="Times New Roman" w:cs="Times New Roman"/>
          <w:sz w:val="24"/>
          <w:szCs w:val="24"/>
        </w:rPr>
        <w:footnoteReference w:id="18"/>
      </w:r>
      <w:r w:rsidRPr="004E1F72">
        <w:rPr>
          <w:rFonts w:ascii="Times New Roman" w:hAnsi="Times New Roman" w:cs="Times New Roman"/>
          <w:sz w:val="24"/>
          <w:szCs w:val="24"/>
        </w:rPr>
        <w:t xml:space="preserve"> it is possible to follow the development of the country, and the impact of the Norman conquest on the nobility and the peasantry. By studying the way each of these are recorded, it is possible to evaluate what held value in the medieval world, with itemisations such as how many sheep were on a landholding, and how much these were worth. When this is taken in consideration along with the other points mentioned above, it is possible to use the Domesday Survey to create a full and relatively </w:t>
      </w:r>
      <w:r w:rsidR="004D7DBD" w:rsidRPr="004E1F72">
        <w:rPr>
          <w:rFonts w:ascii="Times New Roman" w:hAnsi="Times New Roman" w:cs="Times New Roman"/>
          <w:sz w:val="24"/>
          <w:szCs w:val="24"/>
        </w:rPr>
        <w:t>well-rounded</w:t>
      </w:r>
      <w:r w:rsidRPr="004E1F72">
        <w:rPr>
          <w:rFonts w:ascii="Times New Roman" w:hAnsi="Times New Roman" w:cs="Times New Roman"/>
          <w:sz w:val="24"/>
          <w:szCs w:val="24"/>
        </w:rPr>
        <w:t xml:space="preserve"> picture of medieval life in England around the time of the Norman Conquest, an event which led to great change for the Anglo-Saxons. This is then furthered by the fact that the Domesday survey is a compilation of quantitative data, providing a relatively unbiased portrayal of Norman England, unlike written histories of the period, such as William of Poitier’s ‘</w:t>
      </w:r>
      <w:r w:rsidRPr="004E1F72">
        <w:rPr>
          <w:rFonts w:ascii="Times New Roman" w:hAnsi="Times New Roman" w:cs="Times New Roman"/>
          <w:i/>
          <w:sz w:val="24"/>
          <w:szCs w:val="24"/>
        </w:rPr>
        <w:t>Gesta Willelmi ducis Normannorum et regis Anglorum’,</w:t>
      </w:r>
      <w:r w:rsidRPr="004E1F72">
        <w:rPr>
          <w:rStyle w:val="FootnoteReference"/>
          <w:rFonts w:ascii="Times New Roman" w:hAnsi="Times New Roman" w:cs="Times New Roman"/>
          <w:i/>
          <w:sz w:val="24"/>
          <w:szCs w:val="24"/>
        </w:rPr>
        <w:footnoteReference w:id="19"/>
      </w:r>
      <w:r w:rsidRPr="004E1F72">
        <w:rPr>
          <w:rFonts w:ascii="Times New Roman" w:hAnsi="Times New Roman" w:cs="Times New Roman"/>
          <w:i/>
          <w:sz w:val="24"/>
          <w:szCs w:val="24"/>
        </w:rPr>
        <w:t xml:space="preserve"> </w:t>
      </w:r>
      <w:r w:rsidRPr="004E1F72">
        <w:rPr>
          <w:rFonts w:ascii="Times New Roman" w:hAnsi="Times New Roman" w:cs="Times New Roman"/>
          <w:sz w:val="24"/>
          <w:szCs w:val="24"/>
        </w:rPr>
        <w:t xml:space="preserve">which was the biography of William the Conqueror, and is extremely biased in favour of the Normans. </w:t>
      </w:r>
    </w:p>
    <w:p w:rsidR="004E1F72" w:rsidRDefault="004E1F72" w:rsidP="004E1F72">
      <w:pPr>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In conclusion, the Domesday Book of 1086 is a compilation of a variety of information regarding the population of England both in the reign of Edward the Confessor, and at the start of the reign of William I. Through the detailed, qualitative data recorded, the Domesday survey can be used to balance out the bias of many other sources regarding this period of history, thus enabling historians to create a more accurate view of the Normans and the England they conquered. Its use to William I and to history have ensured that this document remains one of the most important medieval documents ever created.</w:t>
      </w:r>
    </w:p>
    <w:p w:rsidR="004E1F72" w:rsidRDefault="004E1F72">
      <w:pPr>
        <w:rPr>
          <w:rFonts w:ascii="Times New Roman" w:hAnsi="Times New Roman" w:cs="Times New Roman"/>
          <w:sz w:val="24"/>
          <w:szCs w:val="24"/>
        </w:rPr>
      </w:pPr>
      <w:r>
        <w:rPr>
          <w:rFonts w:ascii="Times New Roman" w:hAnsi="Times New Roman" w:cs="Times New Roman"/>
          <w:sz w:val="24"/>
          <w:szCs w:val="24"/>
        </w:rPr>
        <w:br w:type="page"/>
      </w:r>
    </w:p>
    <w:p w:rsidR="004E1F72" w:rsidRDefault="004E1F72" w:rsidP="004E1F72">
      <w:pPr>
        <w:spacing w:line="48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Bibliography</w:t>
      </w:r>
    </w:p>
    <w:p w:rsidR="004E1F72" w:rsidRDefault="004E1F72" w:rsidP="004E1F72">
      <w:pPr>
        <w:pStyle w:val="FootnoteText"/>
        <w:spacing w:line="276" w:lineRule="auto"/>
        <w:jc w:val="both"/>
        <w:rPr>
          <w:rFonts w:ascii="Times New Roman" w:hAnsi="Times New Roman" w:cs="Times New Roman"/>
          <w:sz w:val="24"/>
          <w:szCs w:val="24"/>
          <w:u w:val="single"/>
        </w:rPr>
      </w:pPr>
      <w:r>
        <w:rPr>
          <w:rFonts w:ascii="Times New Roman" w:hAnsi="Times New Roman" w:cs="Times New Roman"/>
          <w:sz w:val="24"/>
          <w:szCs w:val="24"/>
          <w:u w:val="single"/>
        </w:rPr>
        <w:t>Primary Sources</w:t>
      </w:r>
    </w:p>
    <w:p w:rsidR="004E1F72" w:rsidRPr="004E1F72" w:rsidRDefault="004E1F72" w:rsidP="004E1F72">
      <w:pPr>
        <w:pStyle w:val="FootnoteText"/>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 xml:space="preserve"> </w:t>
      </w:r>
      <w:r w:rsidRPr="004E1F72">
        <w:rPr>
          <w:rFonts w:ascii="Times New Roman" w:hAnsi="Times New Roman" w:cs="Times New Roman"/>
          <w:sz w:val="24"/>
          <w:szCs w:val="24"/>
        </w:rPr>
        <w:t>A Contemporary chronicler in Lee</w:t>
      </w:r>
      <w:r>
        <w:rPr>
          <w:rFonts w:ascii="Times New Roman" w:hAnsi="Times New Roman" w:cs="Times New Roman"/>
          <w:sz w:val="24"/>
          <w:szCs w:val="24"/>
        </w:rPr>
        <w:t>,</w:t>
      </w:r>
      <w:r w:rsidRPr="004E1F72">
        <w:rPr>
          <w:rFonts w:ascii="Times New Roman" w:hAnsi="Times New Roman" w:cs="Times New Roman"/>
          <w:sz w:val="24"/>
          <w:szCs w:val="24"/>
        </w:rPr>
        <w:t xml:space="preserve"> </w:t>
      </w:r>
      <w:r w:rsidRPr="004E1F72">
        <w:rPr>
          <w:rFonts w:ascii="Times New Roman" w:hAnsi="Times New Roman" w:cs="Times New Roman"/>
          <w:sz w:val="24"/>
          <w:szCs w:val="24"/>
        </w:rPr>
        <w:t xml:space="preserve">C. </w:t>
      </w:r>
      <w:r w:rsidRPr="004E1F72">
        <w:rPr>
          <w:rFonts w:ascii="Times New Roman" w:hAnsi="Times New Roman" w:cs="Times New Roman"/>
          <w:i/>
          <w:sz w:val="24"/>
          <w:szCs w:val="24"/>
        </w:rPr>
        <w:t>This Sceptred isle: The Making of the British</w:t>
      </w:r>
      <w:r w:rsidRPr="004E1F72">
        <w:rPr>
          <w:rFonts w:ascii="Times New Roman" w:hAnsi="Times New Roman" w:cs="Times New Roman"/>
          <w:sz w:val="24"/>
          <w:szCs w:val="24"/>
        </w:rPr>
        <w:t xml:space="preserve"> (London: Consta</w:t>
      </w:r>
      <w:r>
        <w:rPr>
          <w:rFonts w:ascii="Times New Roman" w:hAnsi="Times New Roman" w:cs="Times New Roman"/>
          <w:sz w:val="24"/>
          <w:szCs w:val="24"/>
        </w:rPr>
        <w:t>ble and Robinson Ltd., 2012)</w:t>
      </w:r>
      <w:r w:rsidRPr="004E1F72">
        <w:rPr>
          <w:rFonts w:ascii="Times New Roman" w:hAnsi="Times New Roman" w:cs="Times New Roman"/>
          <w:sz w:val="24"/>
          <w:szCs w:val="24"/>
        </w:rPr>
        <w:t>.</w:t>
      </w:r>
    </w:p>
    <w:p w:rsidR="004E1F72" w:rsidRPr="004E1F72" w:rsidRDefault="004E1F72" w:rsidP="004E1F72">
      <w:pPr>
        <w:pStyle w:val="FootnoteText"/>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 xml:space="preserve">Bayeux Tapestry, The Battle of Hastings – Scene 6, Available on: </w:t>
      </w:r>
    </w:p>
    <w:p w:rsidR="004E1F72" w:rsidRPr="004E1F72" w:rsidRDefault="004E1F72" w:rsidP="004E1F72">
      <w:pPr>
        <w:pStyle w:val="FootnoteText"/>
        <w:spacing w:line="480" w:lineRule="auto"/>
        <w:jc w:val="both"/>
        <w:rPr>
          <w:rFonts w:ascii="Times New Roman" w:hAnsi="Times New Roman" w:cs="Times New Roman"/>
          <w:sz w:val="24"/>
          <w:szCs w:val="24"/>
        </w:rPr>
      </w:pPr>
      <w:hyperlink r:id="rId7" w:history="1">
        <w:r w:rsidRPr="004E1F72">
          <w:rPr>
            <w:rStyle w:val="Hyperlink"/>
            <w:rFonts w:ascii="Times New Roman" w:hAnsi="Times New Roman" w:cs="Times New Roman"/>
            <w:color w:val="auto"/>
            <w:sz w:val="24"/>
            <w:szCs w:val="24"/>
          </w:rPr>
          <w:t>http://www.bayeuxtapestry.org.uk/Bayeux31.htm</w:t>
        </w:r>
      </w:hyperlink>
      <w:r w:rsidRPr="004E1F72">
        <w:rPr>
          <w:rFonts w:ascii="Times New Roman" w:hAnsi="Times New Roman" w:cs="Times New Roman"/>
          <w:sz w:val="24"/>
          <w:szCs w:val="24"/>
        </w:rPr>
        <w:t xml:space="preserve"> Accessed on [05/12/2017].</w:t>
      </w:r>
    </w:p>
    <w:p w:rsidR="004E1F72" w:rsidRDefault="004E1F72" w:rsidP="004E1F72">
      <w:pPr>
        <w:pStyle w:val="FootnoteText"/>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 xml:space="preserve">Bayeux Tapestry, The Oath – Scene 1, Available on: </w:t>
      </w:r>
    </w:p>
    <w:p w:rsidR="004E1F72" w:rsidRPr="004E1F72" w:rsidRDefault="004E1F72" w:rsidP="004E1F72">
      <w:pPr>
        <w:pStyle w:val="FootnoteText"/>
        <w:spacing w:line="480" w:lineRule="auto"/>
        <w:jc w:val="both"/>
        <w:rPr>
          <w:rFonts w:ascii="Times New Roman" w:hAnsi="Times New Roman" w:cs="Times New Roman"/>
          <w:sz w:val="24"/>
          <w:szCs w:val="24"/>
        </w:rPr>
      </w:pPr>
      <w:hyperlink r:id="rId8" w:history="1">
        <w:r w:rsidRPr="004E1F72">
          <w:rPr>
            <w:rStyle w:val="Hyperlink"/>
            <w:rFonts w:ascii="Times New Roman" w:hAnsi="Times New Roman" w:cs="Times New Roman"/>
            <w:color w:val="auto"/>
            <w:sz w:val="24"/>
            <w:szCs w:val="24"/>
          </w:rPr>
          <w:t>http://www.bayeuxtapestry.org.uk/Bayeux11.htm</w:t>
        </w:r>
      </w:hyperlink>
      <w:r w:rsidRPr="004E1F72">
        <w:rPr>
          <w:rFonts w:ascii="Times New Roman" w:hAnsi="Times New Roman" w:cs="Times New Roman"/>
          <w:sz w:val="24"/>
          <w:szCs w:val="24"/>
        </w:rPr>
        <w:t xml:space="preserve"> Accessed on [05/12/2017].</w:t>
      </w:r>
    </w:p>
    <w:p w:rsidR="004E1F72" w:rsidRPr="004E1F72" w:rsidRDefault="004E1F72" w:rsidP="004E1F72">
      <w:pPr>
        <w:pStyle w:val="FootnoteText"/>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 xml:space="preserve">Bede, </w:t>
      </w:r>
      <w:r w:rsidRPr="004E1F72">
        <w:rPr>
          <w:rFonts w:ascii="Times New Roman" w:hAnsi="Times New Roman" w:cs="Times New Roman"/>
          <w:i/>
          <w:sz w:val="24"/>
          <w:szCs w:val="24"/>
        </w:rPr>
        <w:t xml:space="preserve">Ecclesiastical History of the English People, </w:t>
      </w:r>
      <w:r w:rsidRPr="004E1F72">
        <w:rPr>
          <w:rFonts w:ascii="Times New Roman" w:hAnsi="Times New Roman" w:cs="Times New Roman"/>
          <w:sz w:val="24"/>
          <w:szCs w:val="24"/>
        </w:rPr>
        <w:t>trans. Sherley-Price</w:t>
      </w:r>
      <w:r>
        <w:rPr>
          <w:rFonts w:ascii="Times New Roman" w:hAnsi="Times New Roman" w:cs="Times New Roman"/>
          <w:sz w:val="24"/>
          <w:szCs w:val="24"/>
        </w:rPr>
        <w:t>,</w:t>
      </w:r>
      <w:r w:rsidRPr="004E1F72">
        <w:rPr>
          <w:rFonts w:ascii="Times New Roman" w:hAnsi="Times New Roman" w:cs="Times New Roman"/>
          <w:sz w:val="24"/>
          <w:szCs w:val="24"/>
        </w:rPr>
        <w:t xml:space="preserve"> L.</w:t>
      </w:r>
      <w:r>
        <w:rPr>
          <w:rFonts w:ascii="Times New Roman" w:hAnsi="Times New Roman" w:cs="Times New Roman"/>
          <w:sz w:val="24"/>
          <w:szCs w:val="24"/>
        </w:rPr>
        <w:t xml:space="preserve"> </w:t>
      </w:r>
      <w:r w:rsidRPr="004E1F72">
        <w:rPr>
          <w:rFonts w:ascii="Times New Roman" w:hAnsi="Times New Roman" w:cs="Times New Roman"/>
          <w:sz w:val="24"/>
          <w:szCs w:val="24"/>
        </w:rPr>
        <w:t>and revised Latham</w:t>
      </w:r>
      <w:r>
        <w:rPr>
          <w:rFonts w:ascii="Times New Roman" w:hAnsi="Times New Roman" w:cs="Times New Roman"/>
          <w:sz w:val="24"/>
          <w:szCs w:val="24"/>
        </w:rPr>
        <w:t>,</w:t>
      </w:r>
      <w:r w:rsidRPr="004E1F72">
        <w:rPr>
          <w:rFonts w:ascii="Times New Roman" w:hAnsi="Times New Roman" w:cs="Times New Roman"/>
          <w:sz w:val="24"/>
          <w:szCs w:val="24"/>
        </w:rPr>
        <w:t xml:space="preserve"> R.E.</w:t>
      </w:r>
      <w:r w:rsidRPr="004E1F72">
        <w:rPr>
          <w:rFonts w:ascii="Times New Roman" w:hAnsi="Times New Roman" w:cs="Times New Roman"/>
          <w:sz w:val="24"/>
          <w:szCs w:val="24"/>
        </w:rPr>
        <w:t xml:space="preserve"> </w:t>
      </w:r>
      <w:r w:rsidRPr="004E1F72">
        <w:rPr>
          <w:rFonts w:ascii="Times New Roman" w:hAnsi="Times New Roman" w:cs="Times New Roman"/>
          <w:sz w:val="24"/>
          <w:szCs w:val="24"/>
        </w:rPr>
        <w:t>(London: Penguin Books, 1990).</w:t>
      </w:r>
    </w:p>
    <w:p w:rsidR="004E1F72" w:rsidRDefault="004E1F72" w:rsidP="004E1F72">
      <w:pPr>
        <w:pStyle w:val="FootnoteText"/>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 xml:space="preserve">The National Archives, The Domesday Book, Available on: </w:t>
      </w:r>
    </w:p>
    <w:p w:rsidR="004E1F72" w:rsidRPr="004E1F72" w:rsidRDefault="004E1F72" w:rsidP="004E1F72">
      <w:pPr>
        <w:pStyle w:val="FootnoteText"/>
        <w:spacing w:line="480" w:lineRule="auto"/>
        <w:jc w:val="both"/>
        <w:rPr>
          <w:rFonts w:ascii="Times New Roman" w:hAnsi="Times New Roman" w:cs="Times New Roman"/>
          <w:sz w:val="24"/>
          <w:szCs w:val="24"/>
        </w:rPr>
      </w:pPr>
      <w:hyperlink r:id="rId9" w:history="1">
        <w:r w:rsidRPr="004E1F72">
          <w:rPr>
            <w:rStyle w:val="Hyperlink"/>
            <w:rFonts w:ascii="Times New Roman" w:hAnsi="Times New Roman" w:cs="Times New Roman"/>
            <w:color w:val="auto"/>
            <w:sz w:val="24"/>
            <w:szCs w:val="24"/>
          </w:rPr>
          <w:t>http://www.nationalarchives.gov.uk/domesday/</w:t>
        </w:r>
      </w:hyperlink>
      <w:r w:rsidRPr="004E1F72">
        <w:rPr>
          <w:rFonts w:ascii="Times New Roman" w:hAnsi="Times New Roman" w:cs="Times New Roman"/>
          <w:sz w:val="24"/>
          <w:szCs w:val="24"/>
        </w:rPr>
        <w:t xml:space="preserve"> Accessed on [05/12/2017]. </w:t>
      </w:r>
    </w:p>
    <w:p w:rsidR="004E1F72" w:rsidRPr="004E1F72" w:rsidRDefault="004E1F72" w:rsidP="004E1F72">
      <w:pPr>
        <w:pStyle w:val="FootnoteText"/>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 xml:space="preserve">The Online Medieval Sourcebook, The Domesday Book 1086 – Instructions and Extracts, Available on: </w:t>
      </w:r>
      <w:hyperlink r:id="rId10" w:history="1">
        <w:r w:rsidRPr="004E1F72">
          <w:rPr>
            <w:rStyle w:val="Hyperlink"/>
            <w:rFonts w:ascii="Times New Roman" w:hAnsi="Times New Roman" w:cs="Times New Roman"/>
            <w:color w:val="auto"/>
            <w:sz w:val="24"/>
            <w:szCs w:val="24"/>
          </w:rPr>
          <w:t>https://sourcebooks.fordham.edu/source/domesday1.asp</w:t>
        </w:r>
      </w:hyperlink>
      <w:r w:rsidRPr="004E1F72">
        <w:rPr>
          <w:rFonts w:ascii="Times New Roman" w:hAnsi="Times New Roman" w:cs="Times New Roman"/>
          <w:sz w:val="24"/>
          <w:szCs w:val="24"/>
        </w:rPr>
        <w:t xml:space="preserve">  Accessed on [05/12/2017]. </w:t>
      </w:r>
    </w:p>
    <w:p w:rsidR="004E1F72" w:rsidRPr="004E1F72" w:rsidRDefault="004E1F72" w:rsidP="004E1F72">
      <w:pPr>
        <w:spacing w:line="480" w:lineRule="auto"/>
        <w:jc w:val="both"/>
        <w:rPr>
          <w:rFonts w:ascii="Times New Roman" w:hAnsi="Times New Roman" w:cs="Times New Roman"/>
          <w:sz w:val="24"/>
          <w:szCs w:val="24"/>
          <w:u w:val="single"/>
        </w:rPr>
      </w:pPr>
      <w:r w:rsidRPr="004E1F72">
        <w:rPr>
          <w:rFonts w:ascii="Times New Roman" w:hAnsi="Times New Roman" w:cs="Times New Roman"/>
          <w:sz w:val="24"/>
          <w:szCs w:val="24"/>
          <w:u w:val="single"/>
        </w:rPr>
        <w:t>Secondary Sources</w:t>
      </w:r>
    </w:p>
    <w:p w:rsidR="004E1F72" w:rsidRPr="004E1F72" w:rsidRDefault="004E1F72" w:rsidP="004E1F72">
      <w:pPr>
        <w:spacing w:line="480" w:lineRule="auto"/>
        <w:jc w:val="both"/>
        <w:rPr>
          <w:rFonts w:ascii="Times New Roman" w:hAnsi="Times New Roman" w:cs="Times New Roman"/>
          <w:sz w:val="24"/>
          <w:szCs w:val="24"/>
          <w:u w:val="single"/>
        </w:rPr>
      </w:pPr>
      <w:r w:rsidRPr="004E1F72">
        <w:rPr>
          <w:rFonts w:ascii="Times New Roman" w:hAnsi="Times New Roman" w:cs="Times New Roman"/>
          <w:sz w:val="24"/>
          <w:szCs w:val="24"/>
          <w:u w:val="single"/>
        </w:rPr>
        <w:t>Books</w:t>
      </w:r>
    </w:p>
    <w:p w:rsidR="004E1F72" w:rsidRPr="004E1F72" w:rsidRDefault="004E1F72" w:rsidP="004E1F72">
      <w:pPr>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 xml:space="preserve">Poole, A.L. </w:t>
      </w:r>
      <w:r w:rsidRPr="004E1F72">
        <w:rPr>
          <w:rFonts w:ascii="Times New Roman" w:hAnsi="Times New Roman" w:cs="Times New Roman"/>
          <w:i/>
          <w:sz w:val="24"/>
          <w:szCs w:val="24"/>
        </w:rPr>
        <w:t>From Domesday Book to Magna Carta: 1087-1216</w:t>
      </w:r>
      <w:r w:rsidRPr="004E1F72">
        <w:rPr>
          <w:rFonts w:ascii="Times New Roman" w:hAnsi="Times New Roman" w:cs="Times New Roman"/>
          <w:sz w:val="24"/>
          <w:szCs w:val="24"/>
        </w:rPr>
        <w:t xml:space="preserve"> (Oxford: Oxford University Press, 1998)</w:t>
      </w:r>
      <w:r w:rsidRPr="004E1F72">
        <w:rPr>
          <w:rFonts w:ascii="Times New Roman" w:hAnsi="Times New Roman" w:cs="Times New Roman"/>
          <w:sz w:val="24"/>
          <w:szCs w:val="24"/>
        </w:rPr>
        <w:t xml:space="preserve">. </w:t>
      </w:r>
    </w:p>
    <w:p w:rsidR="004E1F72" w:rsidRPr="004E1F72" w:rsidRDefault="004E1F72" w:rsidP="004E1F72">
      <w:pPr>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Clarke,</w:t>
      </w:r>
      <w:r>
        <w:rPr>
          <w:rFonts w:ascii="Times New Roman" w:hAnsi="Times New Roman" w:cs="Times New Roman"/>
          <w:sz w:val="24"/>
          <w:szCs w:val="24"/>
        </w:rPr>
        <w:t xml:space="preserve"> </w:t>
      </w:r>
      <w:r w:rsidRPr="004E1F72">
        <w:rPr>
          <w:rFonts w:ascii="Times New Roman" w:hAnsi="Times New Roman" w:cs="Times New Roman"/>
          <w:sz w:val="24"/>
          <w:szCs w:val="24"/>
        </w:rPr>
        <w:t>S.</w:t>
      </w:r>
      <w:r>
        <w:rPr>
          <w:rFonts w:ascii="Times New Roman" w:hAnsi="Times New Roman" w:cs="Times New Roman"/>
          <w:sz w:val="24"/>
          <w:szCs w:val="24"/>
        </w:rPr>
        <w:t xml:space="preserve"> </w:t>
      </w:r>
      <w:r w:rsidRPr="004E1F72">
        <w:rPr>
          <w:rFonts w:ascii="Times New Roman" w:hAnsi="Times New Roman" w:cs="Times New Roman"/>
          <w:i/>
          <w:sz w:val="24"/>
          <w:szCs w:val="24"/>
        </w:rPr>
        <w:t>1000 Years of Annoying the French</w:t>
      </w:r>
      <w:r w:rsidRPr="004E1F72">
        <w:rPr>
          <w:rFonts w:ascii="Times New Roman" w:hAnsi="Times New Roman" w:cs="Times New Roman"/>
          <w:sz w:val="24"/>
          <w:szCs w:val="24"/>
        </w:rPr>
        <w:t xml:space="preserve"> (London: Transworld Publishers, 2011</w:t>
      </w:r>
      <w:r w:rsidRPr="004E1F72">
        <w:rPr>
          <w:rFonts w:ascii="Times New Roman" w:hAnsi="Times New Roman" w:cs="Times New Roman"/>
          <w:sz w:val="24"/>
          <w:szCs w:val="24"/>
        </w:rPr>
        <w:t>).</w:t>
      </w:r>
    </w:p>
    <w:p w:rsidR="004E1F72" w:rsidRDefault="004E1F72" w:rsidP="004E1F72">
      <w:pPr>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 xml:space="preserve"> </w:t>
      </w:r>
      <w:r w:rsidRPr="004E1F72">
        <w:rPr>
          <w:rFonts w:ascii="Times New Roman" w:hAnsi="Times New Roman" w:cs="Times New Roman"/>
          <w:sz w:val="24"/>
          <w:szCs w:val="24"/>
        </w:rPr>
        <w:t>Morillo, S.</w:t>
      </w:r>
      <w:r>
        <w:rPr>
          <w:rFonts w:ascii="Times New Roman" w:hAnsi="Times New Roman" w:cs="Times New Roman"/>
          <w:sz w:val="24"/>
          <w:szCs w:val="24"/>
        </w:rPr>
        <w:t xml:space="preserve"> </w:t>
      </w:r>
      <w:r w:rsidRPr="004E1F72">
        <w:rPr>
          <w:rFonts w:ascii="Times New Roman" w:hAnsi="Times New Roman" w:cs="Times New Roman"/>
          <w:i/>
          <w:sz w:val="24"/>
          <w:szCs w:val="24"/>
        </w:rPr>
        <w:t>The Battle of Hastings: Sources and Interpretations</w:t>
      </w:r>
      <w:r w:rsidRPr="004E1F72">
        <w:rPr>
          <w:rFonts w:ascii="Times New Roman" w:hAnsi="Times New Roman" w:cs="Times New Roman"/>
          <w:sz w:val="24"/>
          <w:szCs w:val="24"/>
        </w:rPr>
        <w:t xml:space="preserve">, (Suffolk: </w:t>
      </w:r>
      <w:r w:rsidRPr="004E1F72">
        <w:rPr>
          <w:rFonts w:ascii="Times New Roman" w:hAnsi="Times New Roman" w:cs="Times New Roman"/>
          <w:sz w:val="24"/>
          <w:szCs w:val="24"/>
        </w:rPr>
        <w:t>Boydell and Brewer, 1996).</w:t>
      </w:r>
    </w:p>
    <w:p w:rsidR="004E1F72" w:rsidRDefault="004E1F72" w:rsidP="004E1F72">
      <w:pPr>
        <w:spacing w:line="480" w:lineRule="auto"/>
        <w:jc w:val="both"/>
        <w:rPr>
          <w:rFonts w:ascii="Times New Roman" w:hAnsi="Times New Roman" w:cs="Times New Roman"/>
          <w:sz w:val="24"/>
          <w:szCs w:val="24"/>
        </w:rPr>
      </w:pPr>
    </w:p>
    <w:p w:rsidR="004E1F72" w:rsidRPr="004E1F72" w:rsidRDefault="004E1F72" w:rsidP="004E1F72">
      <w:pPr>
        <w:spacing w:line="480" w:lineRule="auto"/>
        <w:jc w:val="both"/>
        <w:rPr>
          <w:rFonts w:ascii="Times New Roman" w:hAnsi="Times New Roman" w:cs="Times New Roman"/>
          <w:sz w:val="24"/>
          <w:szCs w:val="24"/>
        </w:rPr>
      </w:pPr>
    </w:p>
    <w:p w:rsidR="004E1F72" w:rsidRPr="004E1F72" w:rsidRDefault="004E1F72" w:rsidP="004E1F72">
      <w:pPr>
        <w:pStyle w:val="FootnoteText"/>
        <w:spacing w:line="480" w:lineRule="auto"/>
        <w:jc w:val="both"/>
        <w:rPr>
          <w:rFonts w:ascii="Times New Roman" w:hAnsi="Times New Roman" w:cs="Times New Roman"/>
          <w:sz w:val="24"/>
          <w:szCs w:val="24"/>
        </w:rPr>
      </w:pPr>
      <w:r w:rsidRPr="004E1F72">
        <w:rPr>
          <w:rFonts w:ascii="Times New Roman" w:hAnsi="Times New Roman" w:cs="Times New Roman"/>
          <w:sz w:val="24"/>
          <w:szCs w:val="24"/>
          <w:u w:val="single"/>
        </w:rPr>
        <w:lastRenderedPageBreak/>
        <w:t>Journals</w:t>
      </w:r>
      <w:r w:rsidRPr="004E1F72">
        <w:rPr>
          <w:rFonts w:ascii="Times New Roman" w:hAnsi="Times New Roman" w:cs="Times New Roman"/>
          <w:sz w:val="24"/>
          <w:szCs w:val="24"/>
        </w:rPr>
        <w:t xml:space="preserve"> </w:t>
      </w:r>
    </w:p>
    <w:p w:rsidR="004E1F72" w:rsidRPr="004E1F72" w:rsidRDefault="004E1F72" w:rsidP="004E1F72">
      <w:pPr>
        <w:pStyle w:val="FootnoteText"/>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Douglas, D.</w:t>
      </w:r>
      <w:r w:rsidRPr="004E1F72">
        <w:rPr>
          <w:rFonts w:ascii="Times New Roman" w:hAnsi="Times New Roman" w:cs="Times New Roman"/>
          <w:sz w:val="24"/>
          <w:szCs w:val="24"/>
        </w:rPr>
        <w:t xml:space="preserve"> </w:t>
      </w:r>
      <w:r w:rsidRPr="004E1F72">
        <w:rPr>
          <w:rFonts w:ascii="Times New Roman" w:hAnsi="Times New Roman" w:cs="Times New Roman"/>
          <w:sz w:val="24"/>
          <w:szCs w:val="24"/>
        </w:rPr>
        <w:t xml:space="preserve">‘Edward the Confessor, Duke William of Normandy, and the English Succession’, </w:t>
      </w:r>
      <w:r w:rsidRPr="004E1F72">
        <w:rPr>
          <w:rFonts w:ascii="Times New Roman" w:hAnsi="Times New Roman" w:cs="Times New Roman"/>
          <w:i/>
          <w:sz w:val="24"/>
          <w:szCs w:val="24"/>
        </w:rPr>
        <w:t xml:space="preserve">The English Historical Review, </w:t>
      </w:r>
      <w:r w:rsidRPr="004E1F72">
        <w:rPr>
          <w:rFonts w:ascii="Times New Roman" w:hAnsi="Times New Roman" w:cs="Times New Roman"/>
          <w:sz w:val="24"/>
          <w:szCs w:val="24"/>
        </w:rPr>
        <w:t>CCLXIX: (1953), pp. 526 –</w:t>
      </w:r>
      <w:r w:rsidRPr="004E1F72">
        <w:rPr>
          <w:rFonts w:ascii="Times New Roman" w:hAnsi="Times New Roman" w:cs="Times New Roman"/>
          <w:sz w:val="24"/>
          <w:szCs w:val="24"/>
        </w:rPr>
        <w:t xml:space="preserve"> 545</w:t>
      </w:r>
      <w:r w:rsidRPr="004E1F72">
        <w:rPr>
          <w:rFonts w:ascii="Times New Roman" w:hAnsi="Times New Roman" w:cs="Times New Roman"/>
          <w:sz w:val="24"/>
          <w:szCs w:val="24"/>
        </w:rPr>
        <w:t>.</w:t>
      </w:r>
    </w:p>
    <w:p w:rsidR="004E1F72" w:rsidRPr="004E1F72" w:rsidRDefault="004E1F72" w:rsidP="004E1F72">
      <w:pPr>
        <w:pStyle w:val="FootnoteText"/>
        <w:spacing w:line="480" w:lineRule="auto"/>
        <w:jc w:val="both"/>
        <w:rPr>
          <w:rFonts w:ascii="Times New Roman" w:hAnsi="Times New Roman" w:cs="Times New Roman"/>
          <w:sz w:val="24"/>
          <w:szCs w:val="24"/>
        </w:rPr>
      </w:pPr>
      <w:r w:rsidRPr="004E1F72">
        <w:rPr>
          <w:rFonts w:ascii="Times New Roman" w:hAnsi="Times New Roman" w:cs="Times New Roman"/>
          <w:sz w:val="24"/>
          <w:szCs w:val="24"/>
          <w:u w:val="single"/>
        </w:rPr>
        <w:t>Web Sources</w:t>
      </w:r>
      <w:r w:rsidRPr="004E1F72">
        <w:rPr>
          <w:rFonts w:ascii="Times New Roman" w:hAnsi="Times New Roman" w:cs="Times New Roman"/>
          <w:sz w:val="24"/>
          <w:szCs w:val="24"/>
        </w:rPr>
        <w:t xml:space="preserve"> </w:t>
      </w:r>
    </w:p>
    <w:p w:rsidR="004E1F72" w:rsidRPr="004E1F72" w:rsidRDefault="004E1F72" w:rsidP="004E1F72">
      <w:pPr>
        <w:pStyle w:val="FootnoteText"/>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 xml:space="preserve">The National Archives, Domesday Glossary, Available on: </w:t>
      </w:r>
    </w:p>
    <w:p w:rsidR="004E1F72" w:rsidRPr="004E1F72" w:rsidRDefault="004E1F72" w:rsidP="004E1F72">
      <w:pPr>
        <w:pStyle w:val="FootnoteText"/>
        <w:spacing w:line="480" w:lineRule="auto"/>
        <w:jc w:val="both"/>
        <w:rPr>
          <w:rFonts w:ascii="Times New Roman" w:hAnsi="Times New Roman" w:cs="Times New Roman"/>
          <w:sz w:val="24"/>
          <w:szCs w:val="24"/>
        </w:rPr>
      </w:pPr>
      <w:hyperlink r:id="rId11" w:history="1">
        <w:r w:rsidRPr="004E1F72">
          <w:rPr>
            <w:rStyle w:val="Hyperlink"/>
            <w:rFonts w:ascii="Times New Roman" w:hAnsi="Times New Roman" w:cs="Times New Roman"/>
            <w:color w:val="auto"/>
            <w:sz w:val="24"/>
            <w:szCs w:val="24"/>
          </w:rPr>
          <w:t>http://www.nationalarchives.gov.uk/domesday/glossary/default.htm#slave</w:t>
        </w:r>
      </w:hyperlink>
      <w:r w:rsidRPr="004E1F72">
        <w:rPr>
          <w:rFonts w:ascii="Times New Roman" w:hAnsi="Times New Roman" w:cs="Times New Roman"/>
          <w:sz w:val="24"/>
          <w:szCs w:val="24"/>
        </w:rPr>
        <w:t xml:space="preserve"> Accessed on [05/12/2017]. </w:t>
      </w:r>
    </w:p>
    <w:p w:rsidR="004E1F72" w:rsidRPr="004E1F72" w:rsidRDefault="004E1F72" w:rsidP="004E1F72">
      <w:pPr>
        <w:pStyle w:val="FootnoteText"/>
        <w:spacing w:line="480" w:lineRule="auto"/>
        <w:jc w:val="both"/>
        <w:rPr>
          <w:rFonts w:ascii="Times New Roman" w:hAnsi="Times New Roman" w:cs="Times New Roman"/>
          <w:sz w:val="24"/>
          <w:szCs w:val="24"/>
        </w:rPr>
      </w:pPr>
      <w:r w:rsidRPr="004E1F72">
        <w:rPr>
          <w:rFonts w:ascii="Times New Roman" w:hAnsi="Times New Roman" w:cs="Times New Roman"/>
          <w:sz w:val="24"/>
          <w:szCs w:val="24"/>
        </w:rPr>
        <w:t>The National Archives, Int</w:t>
      </w:r>
      <w:bookmarkStart w:id="1" w:name="_GoBack"/>
      <w:bookmarkEnd w:id="1"/>
      <w:r w:rsidRPr="004E1F72">
        <w:rPr>
          <w:rFonts w:ascii="Times New Roman" w:hAnsi="Times New Roman" w:cs="Times New Roman"/>
          <w:sz w:val="24"/>
          <w:szCs w:val="24"/>
        </w:rPr>
        <w:t xml:space="preserve">erpreting Domesday Available on: </w:t>
      </w:r>
    </w:p>
    <w:p w:rsidR="004E1F72" w:rsidRPr="004E1F72" w:rsidRDefault="004E1F72" w:rsidP="004E1F72">
      <w:pPr>
        <w:pStyle w:val="FootnoteText"/>
        <w:spacing w:line="480" w:lineRule="auto"/>
        <w:jc w:val="both"/>
        <w:rPr>
          <w:rFonts w:ascii="Times New Roman" w:hAnsi="Times New Roman" w:cs="Times New Roman"/>
          <w:sz w:val="24"/>
          <w:szCs w:val="24"/>
        </w:rPr>
      </w:pPr>
      <w:hyperlink r:id="rId12" w:history="1">
        <w:r w:rsidRPr="004E1F72">
          <w:rPr>
            <w:rStyle w:val="Hyperlink"/>
            <w:rFonts w:ascii="Times New Roman" w:hAnsi="Times New Roman" w:cs="Times New Roman"/>
            <w:color w:val="auto"/>
            <w:sz w:val="24"/>
            <w:szCs w:val="24"/>
          </w:rPr>
          <w:t>http://www.nationalarchives.gov.uk/domesday/discover-domesday/interpreting-domesday.htm</w:t>
        </w:r>
      </w:hyperlink>
      <w:r w:rsidRPr="004E1F72">
        <w:rPr>
          <w:rFonts w:ascii="Times New Roman" w:hAnsi="Times New Roman" w:cs="Times New Roman"/>
          <w:sz w:val="24"/>
          <w:szCs w:val="24"/>
        </w:rPr>
        <w:t xml:space="preserve"> Accessed on [05/12/2017].</w:t>
      </w:r>
    </w:p>
    <w:p w:rsidR="004E1F72" w:rsidRPr="004E1F72" w:rsidRDefault="004E1F72" w:rsidP="004E1F72">
      <w:pPr>
        <w:pStyle w:val="FootnoteText"/>
        <w:spacing w:line="276" w:lineRule="auto"/>
        <w:jc w:val="both"/>
        <w:rPr>
          <w:rFonts w:ascii="Times New Roman" w:hAnsi="Times New Roman" w:cs="Times New Roman"/>
        </w:rPr>
      </w:pPr>
    </w:p>
    <w:p w:rsidR="004E1F72" w:rsidRPr="004E1F72" w:rsidRDefault="004E1F72" w:rsidP="004E1F72">
      <w:pPr>
        <w:spacing w:line="480" w:lineRule="auto"/>
        <w:jc w:val="both"/>
        <w:rPr>
          <w:rFonts w:ascii="Times New Roman" w:hAnsi="Times New Roman" w:cs="Times New Roman"/>
          <w:sz w:val="24"/>
          <w:szCs w:val="24"/>
        </w:rPr>
      </w:pPr>
    </w:p>
    <w:p w:rsidR="00CD7ABC" w:rsidRPr="004E1F72" w:rsidRDefault="00CD7ABC" w:rsidP="004E1F72">
      <w:pPr>
        <w:spacing w:line="480" w:lineRule="auto"/>
        <w:jc w:val="both"/>
        <w:rPr>
          <w:rFonts w:ascii="Times New Roman" w:hAnsi="Times New Roman" w:cs="Times New Roman"/>
          <w:sz w:val="24"/>
          <w:szCs w:val="24"/>
        </w:rPr>
      </w:pPr>
    </w:p>
    <w:p w:rsidR="00104EF1" w:rsidRPr="004E1F72" w:rsidRDefault="00104EF1" w:rsidP="004E1F72">
      <w:pPr>
        <w:spacing w:line="480" w:lineRule="auto"/>
        <w:jc w:val="both"/>
        <w:rPr>
          <w:rFonts w:ascii="Times New Roman" w:hAnsi="Times New Roman" w:cs="Times New Roman"/>
          <w:sz w:val="24"/>
          <w:szCs w:val="24"/>
          <w:vertAlign w:val="subscript"/>
        </w:rPr>
      </w:pPr>
    </w:p>
    <w:p w:rsidR="00E254AB" w:rsidRPr="004E1F72" w:rsidRDefault="00E254AB" w:rsidP="004E1F72">
      <w:pPr>
        <w:spacing w:line="480" w:lineRule="auto"/>
        <w:jc w:val="both"/>
        <w:rPr>
          <w:rFonts w:ascii="Times New Roman" w:hAnsi="Times New Roman" w:cs="Times New Roman"/>
          <w:sz w:val="24"/>
          <w:szCs w:val="24"/>
        </w:rPr>
      </w:pPr>
    </w:p>
    <w:p w:rsidR="000450D5" w:rsidRPr="004E1F72" w:rsidRDefault="000450D5" w:rsidP="004E1F72">
      <w:pPr>
        <w:spacing w:line="480" w:lineRule="auto"/>
        <w:jc w:val="both"/>
        <w:rPr>
          <w:rFonts w:ascii="Times New Roman" w:hAnsi="Times New Roman" w:cs="Times New Roman"/>
          <w:sz w:val="24"/>
          <w:szCs w:val="24"/>
        </w:rPr>
      </w:pPr>
    </w:p>
    <w:sectPr w:rsidR="000450D5" w:rsidRPr="004E1F7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29AA" w:rsidRDefault="00AF29AA" w:rsidP="00BA45F4">
      <w:pPr>
        <w:spacing w:after="0" w:line="240" w:lineRule="auto"/>
      </w:pPr>
      <w:r>
        <w:separator/>
      </w:r>
    </w:p>
  </w:endnote>
  <w:endnote w:type="continuationSeparator" w:id="0">
    <w:p w:rsidR="00AF29AA" w:rsidRDefault="00AF29AA" w:rsidP="00BA45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046200"/>
      <w:docPartObj>
        <w:docPartGallery w:val="Page Numbers (Bottom of Page)"/>
        <w:docPartUnique/>
      </w:docPartObj>
    </w:sdtPr>
    <w:sdtEndPr>
      <w:rPr>
        <w:noProof/>
      </w:rPr>
    </w:sdtEndPr>
    <w:sdtContent>
      <w:p w:rsidR="004E1F72" w:rsidRDefault="004E1F72">
        <w:pPr>
          <w:pStyle w:val="Footer"/>
          <w:jc w:val="right"/>
        </w:pPr>
        <w:r>
          <w:fldChar w:fldCharType="begin"/>
        </w:r>
        <w:r>
          <w:instrText xml:space="preserve"> PAGE   \* MERGEFORMAT </w:instrText>
        </w:r>
        <w:r>
          <w:fldChar w:fldCharType="separate"/>
        </w:r>
        <w:r w:rsidR="004D7DBD">
          <w:rPr>
            <w:noProof/>
          </w:rPr>
          <w:t>1</w:t>
        </w:r>
        <w:r>
          <w:rPr>
            <w:noProof/>
          </w:rPr>
          <w:fldChar w:fldCharType="end"/>
        </w:r>
      </w:p>
    </w:sdtContent>
  </w:sdt>
  <w:p w:rsidR="004E1F72" w:rsidRDefault="004E1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29AA" w:rsidRDefault="00AF29AA" w:rsidP="00BA45F4">
      <w:pPr>
        <w:spacing w:after="0" w:line="240" w:lineRule="auto"/>
      </w:pPr>
      <w:r>
        <w:separator/>
      </w:r>
    </w:p>
  </w:footnote>
  <w:footnote w:type="continuationSeparator" w:id="0">
    <w:p w:rsidR="00AF29AA" w:rsidRDefault="00AF29AA" w:rsidP="00BA45F4">
      <w:pPr>
        <w:spacing w:after="0" w:line="240" w:lineRule="auto"/>
      </w:pPr>
      <w:r>
        <w:continuationSeparator/>
      </w:r>
    </w:p>
  </w:footnote>
  <w:footnote w:id="1">
    <w:p w:rsidR="0083622D" w:rsidRPr="004E1F72" w:rsidRDefault="0083622D"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A.L. Poole, </w:t>
      </w:r>
      <w:r w:rsidRPr="004E1F72">
        <w:rPr>
          <w:rFonts w:ascii="Times New Roman" w:hAnsi="Times New Roman" w:cs="Times New Roman"/>
          <w:i/>
        </w:rPr>
        <w:t>From Domesday Book to Magna Carta: 1087-1216</w:t>
      </w:r>
      <w:r w:rsidRPr="004E1F72">
        <w:rPr>
          <w:rFonts w:ascii="Times New Roman" w:hAnsi="Times New Roman" w:cs="Times New Roman"/>
        </w:rPr>
        <w:t xml:space="preserve"> (Oxford: Oxford University Press, 1998), p. 1.</w:t>
      </w:r>
    </w:p>
  </w:footnote>
  <w:footnote w:id="2">
    <w:p w:rsidR="00C4383C" w:rsidRPr="004E1F72" w:rsidRDefault="00C4383C"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 A Contemporary chronicler in C. Lee, </w:t>
      </w:r>
      <w:r w:rsidRPr="004E1F72">
        <w:rPr>
          <w:rFonts w:ascii="Times New Roman" w:hAnsi="Times New Roman" w:cs="Times New Roman"/>
          <w:i/>
        </w:rPr>
        <w:t>This Sceptred isle: The Making of the British</w:t>
      </w:r>
      <w:r w:rsidRPr="004E1F72">
        <w:rPr>
          <w:rFonts w:ascii="Times New Roman" w:hAnsi="Times New Roman" w:cs="Times New Roman"/>
        </w:rPr>
        <w:t xml:space="preserve"> (London: Constable and Robinson Ltd., 2012), p. 57.</w:t>
      </w:r>
    </w:p>
  </w:footnote>
  <w:footnote w:id="3">
    <w:p w:rsidR="00C4383C" w:rsidRPr="004E1F72" w:rsidRDefault="00C4383C"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 The National Archives, The Domesday Book, Available on: </w:t>
      </w:r>
      <w:hyperlink r:id="rId1" w:history="1">
        <w:r w:rsidRPr="004E1F72">
          <w:rPr>
            <w:rStyle w:val="Hyperlink"/>
            <w:rFonts w:ascii="Times New Roman" w:hAnsi="Times New Roman" w:cs="Times New Roman"/>
            <w:color w:val="auto"/>
          </w:rPr>
          <w:t>http://www.nationalarchives.gov.uk/domesday/</w:t>
        </w:r>
      </w:hyperlink>
      <w:r w:rsidRPr="004E1F72">
        <w:rPr>
          <w:rFonts w:ascii="Times New Roman" w:hAnsi="Times New Roman" w:cs="Times New Roman"/>
        </w:rPr>
        <w:t xml:space="preserve"> Accessed on [05/12/2017]. </w:t>
      </w:r>
    </w:p>
  </w:footnote>
  <w:footnote w:id="4">
    <w:p w:rsidR="000450D5" w:rsidRPr="004E1F72" w:rsidRDefault="000450D5"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 The Online Medieval Sourcebook, The Domesday Book 1086 – Instructions and Extracts, Available on: </w:t>
      </w:r>
      <w:hyperlink r:id="rId2" w:history="1">
        <w:r w:rsidRPr="004E1F72">
          <w:rPr>
            <w:rStyle w:val="Hyperlink"/>
            <w:rFonts w:ascii="Times New Roman" w:hAnsi="Times New Roman" w:cs="Times New Roman"/>
            <w:color w:val="auto"/>
          </w:rPr>
          <w:t>https://sourcebooks.fordham.edu/source/domesday1.asp</w:t>
        </w:r>
      </w:hyperlink>
      <w:r w:rsidRPr="004E1F72">
        <w:rPr>
          <w:rFonts w:ascii="Times New Roman" w:hAnsi="Times New Roman" w:cs="Times New Roman"/>
        </w:rPr>
        <w:t xml:space="preserve">  Accessed on [05/12/2017]. </w:t>
      </w:r>
    </w:p>
  </w:footnote>
  <w:footnote w:id="5">
    <w:p w:rsidR="000450D5" w:rsidRPr="004E1F72" w:rsidRDefault="000450D5"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 Poole, </w:t>
      </w:r>
      <w:r w:rsidRPr="004E1F72">
        <w:rPr>
          <w:rFonts w:ascii="Times New Roman" w:hAnsi="Times New Roman" w:cs="Times New Roman"/>
          <w:i/>
        </w:rPr>
        <w:t xml:space="preserve">From Domesday Book to Magna Carta </w:t>
      </w:r>
      <w:r w:rsidRPr="004E1F72">
        <w:rPr>
          <w:rFonts w:ascii="Times New Roman" w:hAnsi="Times New Roman" w:cs="Times New Roman"/>
        </w:rPr>
        <w:t xml:space="preserve">(1998), p. 1. </w:t>
      </w:r>
    </w:p>
  </w:footnote>
  <w:footnote w:id="6">
    <w:p w:rsidR="004E1F72" w:rsidRDefault="000450D5"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 The National Archives, Interpreting Domesday Available on: </w:t>
      </w:r>
    </w:p>
    <w:p w:rsidR="000450D5" w:rsidRPr="004E1F72" w:rsidRDefault="000450D5" w:rsidP="004E1F72">
      <w:pPr>
        <w:pStyle w:val="FootnoteText"/>
        <w:spacing w:line="276" w:lineRule="auto"/>
        <w:jc w:val="both"/>
        <w:rPr>
          <w:rFonts w:ascii="Times New Roman" w:hAnsi="Times New Roman" w:cs="Times New Roman"/>
        </w:rPr>
      </w:pPr>
      <w:hyperlink r:id="rId3" w:history="1">
        <w:r w:rsidRPr="004E1F72">
          <w:rPr>
            <w:rStyle w:val="Hyperlink"/>
            <w:rFonts w:ascii="Times New Roman" w:hAnsi="Times New Roman" w:cs="Times New Roman"/>
            <w:color w:val="auto"/>
          </w:rPr>
          <w:t>http://www.nationalarchives.gov.uk/domesday/discover-domesday/interpreting-domesday.htm</w:t>
        </w:r>
      </w:hyperlink>
      <w:r w:rsidRPr="004E1F72">
        <w:rPr>
          <w:rFonts w:ascii="Times New Roman" w:hAnsi="Times New Roman" w:cs="Times New Roman"/>
        </w:rPr>
        <w:t xml:space="preserve"> Accessed on [05/12/2017].</w:t>
      </w:r>
    </w:p>
  </w:footnote>
  <w:footnote w:id="7">
    <w:p w:rsidR="000450D5" w:rsidRPr="004E1F72" w:rsidRDefault="000450D5"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 </w:t>
      </w:r>
      <w:r w:rsidRPr="004E1F72">
        <w:rPr>
          <w:rFonts w:ascii="Times New Roman" w:hAnsi="Times New Roman" w:cs="Times New Roman"/>
          <w:i/>
        </w:rPr>
        <w:t xml:space="preserve">Ibid. </w:t>
      </w:r>
    </w:p>
  </w:footnote>
  <w:footnote w:id="8">
    <w:p w:rsidR="000450D5" w:rsidRPr="004E1F72" w:rsidRDefault="000450D5"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 S. Clarke, </w:t>
      </w:r>
      <w:r w:rsidRPr="004E1F72">
        <w:rPr>
          <w:rFonts w:ascii="Times New Roman" w:hAnsi="Times New Roman" w:cs="Times New Roman"/>
          <w:i/>
        </w:rPr>
        <w:t>1000 Years of Annoying the French</w:t>
      </w:r>
      <w:r w:rsidRPr="004E1F72">
        <w:rPr>
          <w:rFonts w:ascii="Times New Roman" w:hAnsi="Times New Roman" w:cs="Times New Roman"/>
        </w:rPr>
        <w:t xml:space="preserve"> (London: Transworld Publishers, 2011) p. 39.</w:t>
      </w:r>
    </w:p>
  </w:footnote>
  <w:footnote w:id="9">
    <w:p w:rsidR="000450D5" w:rsidRPr="004E1F72" w:rsidRDefault="000450D5"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 </w:t>
      </w:r>
      <w:r w:rsidRPr="004E1F72">
        <w:rPr>
          <w:rFonts w:ascii="Times New Roman" w:hAnsi="Times New Roman" w:cs="Times New Roman"/>
          <w:i/>
        </w:rPr>
        <w:t xml:space="preserve">Ibid. </w:t>
      </w:r>
    </w:p>
  </w:footnote>
  <w:footnote w:id="10">
    <w:p w:rsidR="004E1F72" w:rsidRDefault="000450D5"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 The Online Medieval Sourcebook, The Domesday Book 1086 – Instructions and Extracts, Available on: </w:t>
      </w:r>
    </w:p>
    <w:p w:rsidR="000450D5" w:rsidRPr="004E1F72" w:rsidRDefault="000450D5" w:rsidP="004E1F72">
      <w:pPr>
        <w:pStyle w:val="FootnoteText"/>
        <w:spacing w:line="276" w:lineRule="auto"/>
        <w:jc w:val="both"/>
        <w:rPr>
          <w:rFonts w:ascii="Times New Roman" w:hAnsi="Times New Roman" w:cs="Times New Roman"/>
        </w:rPr>
      </w:pPr>
      <w:hyperlink r:id="rId4" w:history="1">
        <w:r w:rsidRPr="004E1F72">
          <w:rPr>
            <w:rStyle w:val="Hyperlink"/>
            <w:rFonts w:ascii="Times New Roman" w:hAnsi="Times New Roman" w:cs="Times New Roman"/>
            <w:color w:val="auto"/>
          </w:rPr>
          <w:t>https://sourcebooks.fordham.edu/source/domesday1.asp</w:t>
        </w:r>
      </w:hyperlink>
      <w:r w:rsidRPr="004E1F72">
        <w:rPr>
          <w:rFonts w:ascii="Times New Roman" w:hAnsi="Times New Roman" w:cs="Times New Roman"/>
        </w:rPr>
        <w:t xml:space="preserve">  Accessed on [05/12/2017]. </w:t>
      </w:r>
    </w:p>
  </w:footnote>
  <w:footnote w:id="11">
    <w:p w:rsidR="000450D5" w:rsidRPr="004E1F72" w:rsidRDefault="000450D5"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 </w:t>
      </w:r>
      <w:r w:rsidR="00E254AB" w:rsidRPr="004E1F72">
        <w:rPr>
          <w:rFonts w:ascii="Times New Roman" w:hAnsi="Times New Roman" w:cs="Times New Roman"/>
          <w:i/>
        </w:rPr>
        <w:t>Ibid.</w:t>
      </w:r>
    </w:p>
  </w:footnote>
  <w:footnote w:id="12">
    <w:p w:rsidR="004E1F72" w:rsidRDefault="000450D5"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 The National Archives, Domesday Glossary, Available on: </w:t>
      </w:r>
    </w:p>
    <w:p w:rsidR="000450D5" w:rsidRPr="004E1F72" w:rsidRDefault="000450D5" w:rsidP="004E1F72">
      <w:pPr>
        <w:pStyle w:val="FootnoteText"/>
        <w:spacing w:line="276" w:lineRule="auto"/>
        <w:jc w:val="both"/>
        <w:rPr>
          <w:rFonts w:ascii="Times New Roman" w:hAnsi="Times New Roman" w:cs="Times New Roman"/>
        </w:rPr>
      </w:pPr>
      <w:hyperlink r:id="rId5" w:history="1">
        <w:r w:rsidRPr="004E1F72">
          <w:rPr>
            <w:rStyle w:val="Hyperlink"/>
            <w:rFonts w:ascii="Times New Roman" w:hAnsi="Times New Roman" w:cs="Times New Roman"/>
            <w:color w:val="auto"/>
          </w:rPr>
          <w:t>http://www.nationalarchives.gov.uk/domesday/glossary/default.htm#slave</w:t>
        </w:r>
      </w:hyperlink>
      <w:r w:rsidRPr="004E1F72">
        <w:rPr>
          <w:rFonts w:ascii="Times New Roman" w:hAnsi="Times New Roman" w:cs="Times New Roman"/>
        </w:rPr>
        <w:t xml:space="preserve"> Accessed on [05/12/2017]. </w:t>
      </w:r>
    </w:p>
  </w:footnote>
  <w:footnote w:id="13">
    <w:p w:rsidR="004E1F72" w:rsidRDefault="00E254AB"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 Bayeux Tapestry, The Battle of Hastings – Scene 6, Available on: </w:t>
      </w:r>
    </w:p>
    <w:p w:rsidR="00E254AB" w:rsidRPr="004E1F72" w:rsidRDefault="00E254AB" w:rsidP="004E1F72">
      <w:pPr>
        <w:pStyle w:val="FootnoteText"/>
        <w:spacing w:line="276" w:lineRule="auto"/>
        <w:jc w:val="both"/>
        <w:rPr>
          <w:rFonts w:ascii="Times New Roman" w:hAnsi="Times New Roman" w:cs="Times New Roman"/>
        </w:rPr>
      </w:pPr>
      <w:hyperlink r:id="rId6" w:history="1">
        <w:r w:rsidRPr="004E1F72">
          <w:rPr>
            <w:rStyle w:val="Hyperlink"/>
            <w:rFonts w:ascii="Times New Roman" w:hAnsi="Times New Roman" w:cs="Times New Roman"/>
            <w:color w:val="auto"/>
          </w:rPr>
          <w:t>http://www.bayeuxtapestry.org.uk/Bayeux31.htm</w:t>
        </w:r>
      </w:hyperlink>
      <w:r w:rsidRPr="004E1F72">
        <w:rPr>
          <w:rFonts w:ascii="Times New Roman" w:hAnsi="Times New Roman" w:cs="Times New Roman"/>
        </w:rPr>
        <w:t xml:space="preserve"> Accessed on [05/12/2017].</w:t>
      </w:r>
    </w:p>
  </w:footnote>
  <w:footnote w:id="14">
    <w:p w:rsidR="00E254AB" w:rsidRPr="004E1F72" w:rsidRDefault="00E254AB"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 </w:t>
      </w:r>
      <w:bookmarkStart w:id="0" w:name="_Hlk500520346"/>
      <w:r w:rsidRPr="004E1F72">
        <w:rPr>
          <w:rFonts w:ascii="Times New Roman" w:hAnsi="Times New Roman" w:cs="Times New Roman"/>
        </w:rPr>
        <w:t xml:space="preserve">The Online Medieval Sourcebook, The Domesday Book 1086 – Instructions and Extracts, Available on: </w:t>
      </w:r>
      <w:hyperlink r:id="rId7" w:history="1">
        <w:r w:rsidRPr="004E1F72">
          <w:rPr>
            <w:rStyle w:val="Hyperlink"/>
            <w:rFonts w:ascii="Times New Roman" w:hAnsi="Times New Roman" w:cs="Times New Roman"/>
            <w:color w:val="auto"/>
          </w:rPr>
          <w:t>https://sourcebooks.fordham.edu/source/domesday1.asp</w:t>
        </w:r>
      </w:hyperlink>
      <w:r w:rsidRPr="004E1F72">
        <w:rPr>
          <w:rFonts w:ascii="Times New Roman" w:hAnsi="Times New Roman" w:cs="Times New Roman"/>
        </w:rPr>
        <w:t xml:space="preserve">  Accessed on [05/12/2017].</w:t>
      </w:r>
    </w:p>
    <w:bookmarkEnd w:id="0"/>
  </w:footnote>
  <w:footnote w:id="15">
    <w:p w:rsidR="00E254AB" w:rsidRPr="004E1F72" w:rsidRDefault="00E254AB"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 Bayeux Tapestry, The Oath – Scene 1, Available on: </w:t>
      </w:r>
      <w:hyperlink r:id="rId8" w:history="1">
        <w:r w:rsidRPr="004E1F72">
          <w:rPr>
            <w:rStyle w:val="Hyperlink"/>
            <w:rFonts w:ascii="Times New Roman" w:hAnsi="Times New Roman" w:cs="Times New Roman"/>
            <w:color w:val="auto"/>
          </w:rPr>
          <w:t>http://www.bayeuxtapestry.org.uk/Bayeux11.htm</w:t>
        </w:r>
      </w:hyperlink>
      <w:r w:rsidRPr="004E1F72">
        <w:rPr>
          <w:rFonts w:ascii="Times New Roman" w:hAnsi="Times New Roman" w:cs="Times New Roman"/>
        </w:rPr>
        <w:t xml:space="preserve"> Accessed on [05/12/2017].</w:t>
      </w:r>
    </w:p>
  </w:footnote>
  <w:footnote w:id="16">
    <w:p w:rsidR="00E254AB" w:rsidRPr="004E1F72" w:rsidRDefault="00E254AB"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 D. Douglas, ‘Edward the Confessor, Duke William of Normandy, and the English Succession’, </w:t>
      </w:r>
      <w:r w:rsidRPr="004E1F72">
        <w:rPr>
          <w:rFonts w:ascii="Times New Roman" w:hAnsi="Times New Roman" w:cs="Times New Roman"/>
          <w:i/>
        </w:rPr>
        <w:t xml:space="preserve">The English Historical Review, </w:t>
      </w:r>
      <w:r w:rsidRPr="004E1F72">
        <w:rPr>
          <w:rFonts w:ascii="Times New Roman" w:hAnsi="Times New Roman" w:cs="Times New Roman"/>
        </w:rPr>
        <w:t>CCLXIX: (1953), pp. 526 – 545, p. 526.</w:t>
      </w:r>
    </w:p>
  </w:footnote>
  <w:footnote w:id="17">
    <w:p w:rsidR="00104EF1" w:rsidRPr="004E1F72" w:rsidRDefault="00104EF1"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 Bede, </w:t>
      </w:r>
      <w:r w:rsidRPr="004E1F72">
        <w:rPr>
          <w:rFonts w:ascii="Times New Roman" w:hAnsi="Times New Roman" w:cs="Times New Roman"/>
          <w:i/>
        </w:rPr>
        <w:t xml:space="preserve">Ecclesiastical History of the English People, </w:t>
      </w:r>
      <w:r w:rsidRPr="004E1F72">
        <w:rPr>
          <w:rFonts w:ascii="Times New Roman" w:hAnsi="Times New Roman" w:cs="Times New Roman"/>
        </w:rPr>
        <w:t>trans. L. Sherley-Price</w:t>
      </w:r>
      <w:r w:rsidR="004E1F72">
        <w:rPr>
          <w:rFonts w:ascii="Times New Roman" w:hAnsi="Times New Roman" w:cs="Times New Roman"/>
        </w:rPr>
        <w:t>,</w:t>
      </w:r>
      <w:r w:rsidRPr="004E1F72">
        <w:rPr>
          <w:rFonts w:ascii="Times New Roman" w:hAnsi="Times New Roman" w:cs="Times New Roman"/>
        </w:rPr>
        <w:t xml:space="preserve"> and revised R.E. Latham (London: Penguin Books, 1990).</w:t>
      </w:r>
    </w:p>
  </w:footnote>
  <w:footnote w:id="18">
    <w:p w:rsidR="00CD7ABC" w:rsidRPr="004E1F72" w:rsidRDefault="00CD7ABC"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 The Online Medieval Sourcebook, The Domesday Book 1086 – Instructions and Extracts, Available on: </w:t>
      </w:r>
      <w:hyperlink r:id="rId9" w:history="1">
        <w:r w:rsidRPr="004E1F72">
          <w:rPr>
            <w:rStyle w:val="Hyperlink"/>
            <w:rFonts w:ascii="Times New Roman" w:hAnsi="Times New Roman" w:cs="Times New Roman"/>
            <w:color w:val="auto"/>
          </w:rPr>
          <w:t>https://sourcebooks.fordham.edu/source/domesday1.asp</w:t>
        </w:r>
      </w:hyperlink>
      <w:r w:rsidRPr="004E1F72">
        <w:rPr>
          <w:rFonts w:ascii="Times New Roman" w:hAnsi="Times New Roman" w:cs="Times New Roman"/>
        </w:rPr>
        <w:t xml:space="preserve">  Accessed on [05/12/2017].</w:t>
      </w:r>
    </w:p>
  </w:footnote>
  <w:footnote w:id="19">
    <w:p w:rsidR="00CD7ABC" w:rsidRPr="004E1F72" w:rsidRDefault="00CD7ABC" w:rsidP="004E1F72">
      <w:pPr>
        <w:pStyle w:val="FootnoteText"/>
        <w:spacing w:line="276" w:lineRule="auto"/>
        <w:jc w:val="both"/>
        <w:rPr>
          <w:rFonts w:ascii="Times New Roman" w:hAnsi="Times New Roman" w:cs="Times New Roman"/>
        </w:rPr>
      </w:pPr>
      <w:r w:rsidRPr="004E1F72">
        <w:rPr>
          <w:rStyle w:val="FootnoteReference"/>
          <w:rFonts w:ascii="Times New Roman" w:hAnsi="Times New Roman" w:cs="Times New Roman"/>
        </w:rPr>
        <w:footnoteRef/>
      </w:r>
      <w:r w:rsidRPr="004E1F72">
        <w:rPr>
          <w:rFonts w:ascii="Times New Roman" w:hAnsi="Times New Roman" w:cs="Times New Roman"/>
        </w:rPr>
        <w:t xml:space="preserve"> S. Morillo, </w:t>
      </w:r>
      <w:r w:rsidRPr="004E1F72">
        <w:rPr>
          <w:rFonts w:ascii="Times New Roman" w:hAnsi="Times New Roman" w:cs="Times New Roman"/>
          <w:i/>
        </w:rPr>
        <w:t>The Battle of Hastings: Sources and Interpretations</w:t>
      </w:r>
      <w:r w:rsidRPr="004E1F72">
        <w:rPr>
          <w:rFonts w:ascii="Times New Roman" w:hAnsi="Times New Roman" w:cs="Times New Roman"/>
        </w:rPr>
        <w:t xml:space="preserve">, (Suffolk: Boydell and Brewer, 1996), p. 3.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A45F4" w:rsidRDefault="00BA45F4" w:rsidP="00BA45F4">
    <w:pPr>
      <w:pStyle w:val="Header"/>
      <w:jc w:val="right"/>
    </w:pPr>
    <w:r>
      <w:t>Thomas J. Dobson (1500215)</w:t>
    </w:r>
  </w:p>
  <w:p w:rsidR="00BA45F4" w:rsidRDefault="00BA45F4" w:rsidP="00BA45F4">
    <w:pPr>
      <w:pStyle w:val="Header"/>
      <w:jc w:val="right"/>
    </w:pPr>
    <w:r>
      <w:t>Normans Portfolio #3: Domesday Survey Returns</w:t>
    </w:r>
  </w:p>
  <w:p w:rsidR="00BA45F4" w:rsidRPr="004E1F72" w:rsidRDefault="00BA45F4" w:rsidP="004E1F72">
    <w:pPr>
      <w:pStyle w:val="Header"/>
      <w:jc w:val="right"/>
    </w:pPr>
    <w:r>
      <w:t>Due Friday 8</w:t>
    </w:r>
    <w:r w:rsidRPr="00BA45F4">
      <w:rPr>
        <w:vertAlign w:val="superscript"/>
      </w:rPr>
      <w:t>th</w:t>
    </w:r>
    <w:r>
      <w:t xml:space="preserve"> December</w:t>
    </w:r>
    <w:r w:rsidR="004E1F72">
      <w:t xml:space="preserve"> 2017, 23.59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45F4"/>
    <w:rsid w:val="00010BF8"/>
    <w:rsid w:val="000450D5"/>
    <w:rsid w:val="000477D1"/>
    <w:rsid w:val="00104EF1"/>
    <w:rsid w:val="00141A25"/>
    <w:rsid w:val="00177788"/>
    <w:rsid w:val="001C68BA"/>
    <w:rsid w:val="004B4BE2"/>
    <w:rsid w:val="004D7DBD"/>
    <w:rsid w:val="004E1F72"/>
    <w:rsid w:val="004F3A56"/>
    <w:rsid w:val="005B0AF9"/>
    <w:rsid w:val="007317D6"/>
    <w:rsid w:val="00792D31"/>
    <w:rsid w:val="0083622D"/>
    <w:rsid w:val="00AB6ED9"/>
    <w:rsid w:val="00AF29AA"/>
    <w:rsid w:val="00BA45F4"/>
    <w:rsid w:val="00C23D6A"/>
    <w:rsid w:val="00C4383C"/>
    <w:rsid w:val="00CD7ABC"/>
    <w:rsid w:val="00E25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674784"/>
  <w15:chartTrackingRefBased/>
  <w15:docId w15:val="{04597403-8186-4530-8D25-12CFEEC50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45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5F4"/>
  </w:style>
  <w:style w:type="paragraph" w:styleId="Footer">
    <w:name w:val="footer"/>
    <w:basedOn w:val="Normal"/>
    <w:link w:val="FooterChar"/>
    <w:uiPriority w:val="99"/>
    <w:unhideWhenUsed/>
    <w:rsid w:val="00BA45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5F4"/>
  </w:style>
  <w:style w:type="paragraph" w:styleId="FootnoteText">
    <w:name w:val="footnote text"/>
    <w:basedOn w:val="Normal"/>
    <w:link w:val="FootnoteTextChar"/>
    <w:uiPriority w:val="99"/>
    <w:unhideWhenUsed/>
    <w:rsid w:val="0083622D"/>
    <w:pPr>
      <w:spacing w:after="0" w:line="240" w:lineRule="auto"/>
    </w:pPr>
    <w:rPr>
      <w:sz w:val="20"/>
      <w:szCs w:val="20"/>
    </w:rPr>
  </w:style>
  <w:style w:type="character" w:customStyle="1" w:styleId="FootnoteTextChar">
    <w:name w:val="Footnote Text Char"/>
    <w:basedOn w:val="DefaultParagraphFont"/>
    <w:link w:val="FootnoteText"/>
    <w:uiPriority w:val="99"/>
    <w:rsid w:val="0083622D"/>
    <w:rPr>
      <w:sz w:val="20"/>
      <w:szCs w:val="20"/>
    </w:rPr>
  </w:style>
  <w:style w:type="character" w:styleId="FootnoteReference">
    <w:name w:val="footnote reference"/>
    <w:basedOn w:val="DefaultParagraphFont"/>
    <w:uiPriority w:val="99"/>
    <w:semiHidden/>
    <w:unhideWhenUsed/>
    <w:rsid w:val="0083622D"/>
    <w:rPr>
      <w:vertAlign w:val="superscript"/>
    </w:rPr>
  </w:style>
  <w:style w:type="character" w:styleId="Hyperlink">
    <w:name w:val="Hyperlink"/>
    <w:basedOn w:val="DefaultParagraphFont"/>
    <w:uiPriority w:val="99"/>
    <w:unhideWhenUsed/>
    <w:rsid w:val="00C4383C"/>
    <w:rPr>
      <w:color w:val="0563C1" w:themeColor="hyperlink"/>
      <w:u w:val="single"/>
    </w:rPr>
  </w:style>
  <w:style w:type="character" w:styleId="UnresolvedMention">
    <w:name w:val="Unresolved Mention"/>
    <w:basedOn w:val="DefaultParagraphFont"/>
    <w:uiPriority w:val="99"/>
    <w:semiHidden/>
    <w:unhideWhenUsed/>
    <w:rsid w:val="00C4383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yeuxtapestry.org.uk/Bayeux11.htm"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bayeuxtapestry.org.uk/Bayeux31.htm" TargetMode="External"/><Relationship Id="rId12" Type="http://schemas.openxmlformats.org/officeDocument/2006/relationships/hyperlink" Target="http://www.nationalarchives.gov.uk/domesday/discover-domesday/interpreting-domesday.ht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nationalarchives.gov.uk/domesday/glossary/default.htm#slav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sourcebooks.fordham.edu/source/domesday1.asp" TargetMode="External"/><Relationship Id="rId4" Type="http://schemas.openxmlformats.org/officeDocument/2006/relationships/webSettings" Target="webSettings.xml"/><Relationship Id="rId9" Type="http://schemas.openxmlformats.org/officeDocument/2006/relationships/hyperlink" Target="http://www.nationalarchives.gov.uk/domesday/"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www.bayeuxtapestry.org.uk/Bayeux11.htm" TargetMode="External"/><Relationship Id="rId3" Type="http://schemas.openxmlformats.org/officeDocument/2006/relationships/hyperlink" Target="http://www.nationalarchives.gov.uk/domesday/discover-domesday/interpreting-domesday.htm" TargetMode="External"/><Relationship Id="rId7" Type="http://schemas.openxmlformats.org/officeDocument/2006/relationships/hyperlink" Target="https://sourcebooks.fordham.edu/source/domesday1.asp" TargetMode="External"/><Relationship Id="rId2" Type="http://schemas.openxmlformats.org/officeDocument/2006/relationships/hyperlink" Target="https://sourcebooks.fordham.edu/source/domesday1.asp" TargetMode="External"/><Relationship Id="rId1" Type="http://schemas.openxmlformats.org/officeDocument/2006/relationships/hyperlink" Target="http://www.nationalarchives.gov.uk/domesday/" TargetMode="External"/><Relationship Id="rId6" Type="http://schemas.openxmlformats.org/officeDocument/2006/relationships/hyperlink" Target="http://www.bayeuxtapestry.org.uk/Bayeux31.htm" TargetMode="External"/><Relationship Id="rId5" Type="http://schemas.openxmlformats.org/officeDocument/2006/relationships/hyperlink" Target="http://www.nationalarchives.gov.uk/domesday/glossary/default.htm#slave" TargetMode="External"/><Relationship Id="rId4" Type="http://schemas.openxmlformats.org/officeDocument/2006/relationships/hyperlink" Target="https://sourcebooks.fordham.edu/source/domesday1.asp" TargetMode="External"/><Relationship Id="rId9" Type="http://schemas.openxmlformats.org/officeDocument/2006/relationships/hyperlink" Target="https://sourcebooks.fordham.edu/source/domesday1.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2F72E0-C8C2-4CB2-BC10-91165635E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1399</Words>
  <Characters>7376</Characters>
  <Application>Microsoft Office Word</Application>
  <DocSecurity>0</DocSecurity>
  <Lines>98</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John Dobson</dc:creator>
  <cp:keywords/>
  <dc:description/>
  <cp:lastModifiedBy>Thomas John Dobson</cp:lastModifiedBy>
  <cp:revision>3</cp:revision>
  <dcterms:created xsi:type="dcterms:W3CDTF">2017-12-08T18:49:00Z</dcterms:created>
  <dcterms:modified xsi:type="dcterms:W3CDTF">2017-12-08T18:50:00Z</dcterms:modified>
</cp:coreProperties>
</file>