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D3125" w14:textId="77777777" w:rsidR="00B268F0" w:rsidRDefault="00B268F0" w:rsidP="00570545"/>
    <w:p w14:paraId="539081F1" w14:textId="614B4FCD" w:rsidR="00AA4B39" w:rsidRPr="00AA4B39" w:rsidRDefault="00AA4B39" w:rsidP="00570545">
      <w:pPr>
        <w:tabs>
          <w:tab w:val="left" w:pos="2796"/>
        </w:tabs>
        <w:rPr>
          <w:b/>
          <w:bCs/>
        </w:rPr>
      </w:pPr>
      <w:r w:rsidRPr="00AA4B39">
        <w:rPr>
          <w:b/>
          <w:bCs/>
        </w:rPr>
        <w:t>Explanation of Significant Year-on-Year Changes</w:t>
      </w:r>
    </w:p>
    <w:p w14:paraId="69D5DA4F" w14:textId="77777777" w:rsidR="00AA4B39" w:rsidRPr="00AA4B39" w:rsidRDefault="00AA4B39" w:rsidP="00570545">
      <w:pPr>
        <w:tabs>
          <w:tab w:val="left" w:pos="2796"/>
        </w:tabs>
      </w:pPr>
      <w:r w:rsidRPr="00AA4B39">
        <w:t>Whitbread's CCC has been negative for each of the past five years. This is a very strong position for a hospitality business, as it means the company is effectively using its suppliers' money to finance its operations before it needs to pay them.</w:t>
      </w:r>
    </w:p>
    <w:p w14:paraId="4C24E7C8" w14:textId="77777777" w:rsidR="00AA4B39" w:rsidRPr="00AA4B39" w:rsidRDefault="00AA4B39" w:rsidP="00570545">
      <w:pPr>
        <w:numPr>
          <w:ilvl w:val="0"/>
          <w:numId w:val="1"/>
        </w:numPr>
        <w:tabs>
          <w:tab w:val="left" w:pos="2796"/>
        </w:tabs>
      </w:pPr>
      <w:r w:rsidRPr="00AA4B39">
        <w:rPr>
          <w:b/>
          <w:bCs/>
        </w:rPr>
        <w:t>2019/20 to 2020/21 (FY20 → FY21): Significant Improvement (-78.6 to -111.3 days).</w:t>
      </w:r>
    </w:p>
    <w:p w14:paraId="3EDCD0C1" w14:textId="77777777" w:rsidR="00AA4B39" w:rsidRPr="00AA4B39" w:rsidRDefault="00AA4B39" w:rsidP="00570545">
      <w:pPr>
        <w:numPr>
          <w:ilvl w:val="1"/>
          <w:numId w:val="1"/>
        </w:numPr>
        <w:tabs>
          <w:tab w:val="left" w:pos="2796"/>
        </w:tabs>
      </w:pPr>
      <w:r w:rsidRPr="00AA4B39">
        <w:t>This massive improvement in the CCC (by ~33 days) is almost entirely due to a </w:t>
      </w:r>
      <w:r w:rsidRPr="00AA4B39">
        <w:rPr>
          <w:b/>
          <w:bCs/>
        </w:rPr>
        <w:t>drastic increase in Payable Days (from 113 to 201 days)</w:t>
      </w:r>
      <w:r w:rsidRPr="00AA4B39">
        <w:t>. This was a direct result of the COVID-19 pandemic:</w:t>
      </w:r>
    </w:p>
    <w:p w14:paraId="38414193" w14:textId="77777777" w:rsidR="00AA4B39" w:rsidRPr="00AA4B39" w:rsidRDefault="00AA4B39" w:rsidP="00570545">
      <w:pPr>
        <w:numPr>
          <w:ilvl w:val="2"/>
          <w:numId w:val="1"/>
        </w:numPr>
        <w:tabs>
          <w:tab w:val="left" w:pos="2796"/>
        </w:tabs>
      </w:pPr>
      <w:r w:rsidRPr="00AA4B39">
        <w:rPr>
          <w:b/>
          <w:bCs/>
        </w:rPr>
        <w:t>Cost of Sales collapsed</w:t>
      </w:r>
      <w:r w:rsidRPr="00AA4B39">
        <w:t> from £208.5m to £72.2m as hotels and restaurants were forced to close.</w:t>
      </w:r>
    </w:p>
    <w:p w14:paraId="3A7D667D" w14:textId="77777777" w:rsidR="00AA4B39" w:rsidRPr="00AA4B39" w:rsidRDefault="00AA4B39" w:rsidP="00570545">
      <w:pPr>
        <w:numPr>
          <w:ilvl w:val="2"/>
          <w:numId w:val="1"/>
        </w:numPr>
        <w:tabs>
          <w:tab w:val="left" w:pos="2796"/>
        </w:tabs>
      </w:pPr>
      <w:r w:rsidRPr="00AA4B39">
        <w:t>Suppliers were owed a large amount of money from the previous trading period, but purchases (the denominator for Payable Days) were significantly lower, causing the metric to spike. This was also partly due to Whitbread negotiating extended payment terms with landlords and suppliers to preserve cash during the crisis, as noted in the reports (e.g., deferral of rent payments).</w:t>
      </w:r>
    </w:p>
    <w:p w14:paraId="77D1AB30" w14:textId="77777777" w:rsidR="00AA4B39" w:rsidRPr="00AA4B39" w:rsidRDefault="00AA4B39" w:rsidP="00570545">
      <w:pPr>
        <w:numPr>
          <w:ilvl w:val="0"/>
          <w:numId w:val="1"/>
        </w:numPr>
        <w:tabs>
          <w:tab w:val="left" w:pos="2796"/>
        </w:tabs>
      </w:pPr>
      <w:r w:rsidRPr="00AA4B39">
        <w:rPr>
          <w:b/>
          <w:bCs/>
        </w:rPr>
        <w:t>2020/21 to 2021/22 (FY21 → FY22): Significant Deterioration (-111.3 to -75.5 days).</w:t>
      </w:r>
    </w:p>
    <w:p w14:paraId="41A15237" w14:textId="77777777" w:rsidR="00AA4B39" w:rsidRPr="00AA4B39" w:rsidRDefault="00AA4B39" w:rsidP="00570545">
      <w:pPr>
        <w:numPr>
          <w:ilvl w:val="1"/>
          <w:numId w:val="1"/>
        </w:numPr>
        <w:tabs>
          <w:tab w:val="left" w:pos="2796"/>
        </w:tabs>
      </w:pPr>
      <w:r w:rsidRPr="00AA4B39">
        <w:t>This swing of ~36 days back towards a less efficient (though still strongly negative) cycle was caused by the </w:t>
      </w:r>
      <w:r w:rsidRPr="00AA4B39">
        <w:rPr>
          <w:b/>
          <w:bCs/>
        </w:rPr>
        <w:t>normalization of Payable Days</w:t>
      </w:r>
      <w:r w:rsidRPr="00AA4B39">
        <w:t>. As the business reopened, Cost of Sales skyrocketed back up to £146.6m, making the payable days ratio decrease. The company was buying again and had to start paying off its existing debts.</w:t>
      </w:r>
    </w:p>
    <w:p w14:paraId="64DBD288" w14:textId="77777777" w:rsidR="00AA4B39" w:rsidRPr="00AA4B39" w:rsidRDefault="00AA4B39" w:rsidP="00570545">
      <w:pPr>
        <w:numPr>
          <w:ilvl w:val="0"/>
          <w:numId w:val="1"/>
        </w:numPr>
        <w:tabs>
          <w:tab w:val="left" w:pos="2796"/>
        </w:tabs>
      </w:pPr>
      <w:r w:rsidRPr="00AA4B39">
        <w:rPr>
          <w:b/>
          <w:bCs/>
        </w:rPr>
        <w:t>2021/22 to 2022/23 (FY22 → FY23): Significant Improvement (-75.5 to -95.4 days).</w:t>
      </w:r>
    </w:p>
    <w:p w14:paraId="6028A157" w14:textId="77777777" w:rsidR="00AA4B39" w:rsidRPr="00AA4B39" w:rsidRDefault="00AA4B39" w:rsidP="00570545">
      <w:pPr>
        <w:numPr>
          <w:ilvl w:val="1"/>
          <w:numId w:val="1"/>
        </w:numPr>
        <w:tabs>
          <w:tab w:val="left" w:pos="2796"/>
        </w:tabs>
      </w:pPr>
      <w:r w:rsidRPr="00AA4B39">
        <w:t>The cycle improved again by ~20 days. This was driven by </w:t>
      </w:r>
      <w:r w:rsidRPr="00AA4B39">
        <w:rPr>
          <w:b/>
          <w:bCs/>
        </w:rPr>
        <w:t>higher Payable Days (121.9 → 134.6)</w:t>
      </w:r>
      <w:r w:rsidRPr="00AA4B39">
        <w:t>, which coincided with a significant increase in Cost of Sales (£146.6m → £229.0m). This suggests Whitbread was successful in maintaining extended payment terms with its suppliers as the business scaled up.</w:t>
      </w:r>
    </w:p>
    <w:p w14:paraId="11C28311" w14:textId="77777777" w:rsidR="00AA4B39" w:rsidRPr="00AA4B39" w:rsidRDefault="00AA4B39" w:rsidP="00570545">
      <w:pPr>
        <w:numPr>
          <w:ilvl w:val="0"/>
          <w:numId w:val="1"/>
        </w:numPr>
        <w:tabs>
          <w:tab w:val="left" w:pos="2796"/>
        </w:tabs>
      </w:pPr>
      <w:r w:rsidRPr="00AA4B39">
        <w:rPr>
          <w:b/>
          <w:bCs/>
        </w:rPr>
        <w:t>2022/23 to 2023/24 (FY23 → FY24): Stable/ Slight Improvement (-95.4 to -97.0 days).</w:t>
      </w:r>
    </w:p>
    <w:p w14:paraId="6E2ACB56" w14:textId="77777777" w:rsidR="00AA4B39" w:rsidRPr="00AA4B39" w:rsidRDefault="00AA4B39" w:rsidP="00570545">
      <w:pPr>
        <w:numPr>
          <w:ilvl w:val="1"/>
          <w:numId w:val="1"/>
        </w:numPr>
        <w:tabs>
          <w:tab w:val="left" w:pos="2796"/>
        </w:tabs>
      </w:pPr>
      <w:r w:rsidRPr="00AA4B39">
        <w:t>The CCC remained highly efficient and was stable year-on-year. Inventory Days and Receivable Days stayed consistent, and the slight increase in Payable Days (134.6 to 133.9) was offset by a rise in Cost of Sales. This indicates a mature and optimized working capital management process.</w:t>
      </w:r>
    </w:p>
    <w:p w14:paraId="4D68DB3C" w14:textId="7AC789DD" w:rsidR="00AA4B39" w:rsidRPr="00AA4B39" w:rsidRDefault="00AA4B39" w:rsidP="00570545">
      <w:pPr>
        <w:tabs>
          <w:tab w:val="left" w:pos="2796"/>
        </w:tabs>
      </w:pPr>
    </w:p>
    <w:sectPr w:rsidR="00AA4B39" w:rsidRPr="00AA4B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C19DA"/>
    <w:multiLevelType w:val="multilevel"/>
    <w:tmpl w:val="D8806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0538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B39"/>
    <w:rsid w:val="00570545"/>
    <w:rsid w:val="00AA4B39"/>
    <w:rsid w:val="00B268F0"/>
    <w:rsid w:val="00E67B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99DF0"/>
  <w15:chartTrackingRefBased/>
  <w15:docId w15:val="{D78FA26F-0AF8-487E-978A-D7DD6548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B39"/>
    <w:rPr>
      <w:rFonts w:eastAsiaTheme="majorEastAsia" w:cstheme="majorBidi"/>
      <w:color w:val="272727" w:themeColor="text1" w:themeTint="D8"/>
    </w:rPr>
  </w:style>
  <w:style w:type="paragraph" w:styleId="Title">
    <w:name w:val="Title"/>
    <w:basedOn w:val="Normal"/>
    <w:next w:val="Normal"/>
    <w:link w:val="TitleChar"/>
    <w:uiPriority w:val="10"/>
    <w:qFormat/>
    <w:rsid w:val="00AA4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B39"/>
    <w:pPr>
      <w:spacing w:before="160"/>
      <w:jc w:val="center"/>
    </w:pPr>
    <w:rPr>
      <w:i/>
      <w:iCs/>
      <w:color w:val="404040" w:themeColor="text1" w:themeTint="BF"/>
    </w:rPr>
  </w:style>
  <w:style w:type="character" w:customStyle="1" w:styleId="QuoteChar">
    <w:name w:val="Quote Char"/>
    <w:basedOn w:val="DefaultParagraphFont"/>
    <w:link w:val="Quote"/>
    <w:uiPriority w:val="29"/>
    <w:rsid w:val="00AA4B39"/>
    <w:rPr>
      <w:i/>
      <w:iCs/>
      <w:color w:val="404040" w:themeColor="text1" w:themeTint="BF"/>
    </w:rPr>
  </w:style>
  <w:style w:type="paragraph" w:styleId="ListParagraph">
    <w:name w:val="List Paragraph"/>
    <w:basedOn w:val="Normal"/>
    <w:uiPriority w:val="34"/>
    <w:qFormat/>
    <w:rsid w:val="00AA4B39"/>
    <w:pPr>
      <w:ind w:left="720"/>
      <w:contextualSpacing/>
    </w:pPr>
  </w:style>
  <w:style w:type="character" w:styleId="IntenseEmphasis">
    <w:name w:val="Intense Emphasis"/>
    <w:basedOn w:val="DefaultParagraphFont"/>
    <w:uiPriority w:val="21"/>
    <w:qFormat/>
    <w:rsid w:val="00AA4B39"/>
    <w:rPr>
      <w:i/>
      <w:iCs/>
      <w:color w:val="0F4761" w:themeColor="accent1" w:themeShade="BF"/>
    </w:rPr>
  </w:style>
  <w:style w:type="paragraph" w:styleId="IntenseQuote">
    <w:name w:val="Intense Quote"/>
    <w:basedOn w:val="Normal"/>
    <w:next w:val="Normal"/>
    <w:link w:val="IntenseQuoteChar"/>
    <w:uiPriority w:val="30"/>
    <w:qFormat/>
    <w:rsid w:val="00AA4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B39"/>
    <w:rPr>
      <w:i/>
      <w:iCs/>
      <w:color w:val="0F4761" w:themeColor="accent1" w:themeShade="BF"/>
    </w:rPr>
  </w:style>
  <w:style w:type="character" w:styleId="IntenseReference">
    <w:name w:val="Intense Reference"/>
    <w:basedOn w:val="DefaultParagraphFont"/>
    <w:uiPriority w:val="32"/>
    <w:qFormat/>
    <w:rsid w:val="00AA4B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328</Words>
  <Characters>1876</Characters>
  <Application>Microsoft Office Word</Application>
  <DocSecurity>0</DocSecurity>
  <Lines>15</Lines>
  <Paragraphs>4</Paragraphs>
  <ScaleCrop>false</ScaleCrop>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Harshil Ghanshyambhai Beladiya (2543506)</dc:creator>
  <cp:keywords/>
  <dc:description/>
  <cp:lastModifiedBy>Harshil Ghanshyambhai Beladiya (2543506)</cp:lastModifiedBy>
  <cp:revision>2</cp:revision>
  <dcterms:created xsi:type="dcterms:W3CDTF">2026-07-31T09:54:00Z</dcterms:created>
  <dcterms:modified xsi:type="dcterms:W3CDTF">2026-07-31T09:56:00Z</dcterms:modified>
</cp:coreProperties>
</file>