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71218" w14:textId="77777777" w:rsidR="00A17FDB" w:rsidRDefault="00A17FDB" w:rsidP="00A17FDB"/>
    <w:sdt>
      <w:sdtPr>
        <w:id w:val="-1390799729"/>
        <w:docPartObj>
          <w:docPartGallery w:val="Cover Pages"/>
          <w:docPartUnique/>
        </w:docPartObj>
      </w:sdtPr>
      <w:sdtEndPr>
        <w:rPr>
          <w:rFonts w:ascii="Times New Roman" w:eastAsiaTheme="majorEastAsia" w:hAnsi="Times New Roman" w:cs="Times New Roman"/>
          <w:b/>
          <w:color w:val="2F5496" w:themeColor="accent1" w:themeShade="BF"/>
          <w:sz w:val="48"/>
          <w:szCs w:val="48"/>
          <w:lang w:val="en-GB"/>
        </w:rPr>
      </w:sdtEndPr>
      <w:sdtContent>
        <w:p w14:paraId="686DD0F3" w14:textId="77777777" w:rsidR="00A17FDB" w:rsidRDefault="00A17FDB" w:rsidP="00A17FDB"/>
        <w:tbl>
          <w:tblPr>
            <w:tblpPr w:leftFromText="187" w:rightFromText="187" w:vertAnchor="page" w:horzAnchor="margin" w:tblpXSpec="center" w:tblpY="5120"/>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17FDB" w:rsidRPr="001264F2" w14:paraId="0D41AFCA" w14:textId="77777777" w:rsidTr="000053DD">
            <w:tc>
              <w:tcPr>
                <w:tcW w:w="7405" w:type="dxa"/>
                <w:tcMar>
                  <w:top w:w="216" w:type="dxa"/>
                  <w:left w:w="115" w:type="dxa"/>
                  <w:bottom w:w="216" w:type="dxa"/>
                  <w:right w:w="115" w:type="dxa"/>
                </w:tcMar>
              </w:tcPr>
              <w:p w14:paraId="57F5D6E3" w14:textId="77777777" w:rsidR="00A17FDB" w:rsidRPr="001264F2" w:rsidRDefault="00A17FDB" w:rsidP="000053DD">
                <w:pPr>
                  <w:pStyle w:val="NoSpacing"/>
                  <w:rPr>
                    <w:color w:val="000000" w:themeColor="text1"/>
                    <w:sz w:val="40"/>
                    <w:szCs w:val="36"/>
                  </w:rPr>
                </w:pPr>
                <w:r>
                  <w:rPr>
                    <w:color w:val="000000" w:themeColor="text1"/>
                    <w:sz w:val="40"/>
                    <w:szCs w:val="36"/>
                  </w:rPr>
                  <w:t xml:space="preserve">Children, young </w:t>
                </w:r>
                <w:proofErr w:type="gramStart"/>
                <w:r>
                  <w:rPr>
                    <w:color w:val="000000" w:themeColor="text1"/>
                    <w:sz w:val="40"/>
                    <w:szCs w:val="36"/>
                  </w:rPr>
                  <w:t>people</w:t>
                </w:r>
                <w:proofErr w:type="gramEnd"/>
                <w:r>
                  <w:rPr>
                    <w:color w:val="000000" w:themeColor="text1"/>
                    <w:sz w:val="40"/>
                    <w:szCs w:val="36"/>
                  </w:rPr>
                  <w:t xml:space="preserve"> and families</w:t>
                </w:r>
              </w:p>
            </w:tc>
          </w:tr>
          <w:tr w:rsidR="00A17FDB" w:rsidRPr="001264F2" w14:paraId="527367B0" w14:textId="77777777" w:rsidTr="000053DD">
            <w:tc>
              <w:tcPr>
                <w:tcW w:w="7405" w:type="dxa"/>
              </w:tcPr>
              <w:sdt>
                <w:sdtPr>
                  <w:rPr>
                    <w:rFonts w:asciiTheme="majorHAnsi" w:eastAsiaTheme="majorEastAsia" w:hAnsiTheme="majorHAnsi" w:cstheme="majorBidi"/>
                    <w:b/>
                    <w:bCs/>
                    <w:color w:val="000000" w:themeColor="text1"/>
                    <w:sz w:val="56"/>
                    <w:szCs w:val="56"/>
                  </w:rPr>
                  <w:alias w:val="Title"/>
                  <w:id w:val="13406919"/>
                  <w:placeholder>
                    <w:docPart w:val="8746DFD7499B4204ACDFA6DE0D56536E"/>
                  </w:placeholder>
                  <w:dataBinding w:prefixMappings="xmlns:ns0='http://schemas.openxmlformats.org/package/2006/metadata/core-properties' xmlns:ns1='http://purl.org/dc/elements/1.1/'" w:xpath="/ns0:coreProperties[1]/ns1:title[1]" w:storeItemID="{6C3C8BC8-F283-45AE-878A-BAB7291924A1}"/>
                  <w:text/>
                </w:sdtPr>
                <w:sdtContent>
                  <w:p w14:paraId="2C018C62" w14:textId="2165EED3" w:rsidR="00A17FDB" w:rsidRPr="00A17FDB" w:rsidRDefault="00A17FDB" w:rsidP="000053DD">
                    <w:pPr>
                      <w:pStyle w:val="NoSpacing"/>
                      <w:spacing w:line="216" w:lineRule="auto"/>
                      <w:rPr>
                        <w:rFonts w:asciiTheme="majorHAnsi" w:eastAsiaTheme="majorEastAsia" w:hAnsiTheme="majorHAnsi" w:cstheme="majorBidi"/>
                        <w:b/>
                        <w:bCs/>
                        <w:color w:val="000000" w:themeColor="text1"/>
                        <w:sz w:val="56"/>
                        <w:szCs w:val="56"/>
                      </w:rPr>
                    </w:pPr>
                    <w:r w:rsidRPr="00A17FDB">
                      <w:rPr>
                        <w:rFonts w:asciiTheme="majorHAnsi" w:eastAsiaTheme="majorEastAsia" w:hAnsiTheme="majorHAnsi" w:cstheme="majorBidi"/>
                        <w:b/>
                        <w:bCs/>
                        <w:color w:val="000000" w:themeColor="text1"/>
                        <w:sz w:val="56"/>
                        <w:szCs w:val="56"/>
                      </w:rPr>
                      <w:t xml:space="preserve">Essay – </w:t>
                    </w:r>
                    <w:proofErr w:type="spellStart"/>
                    <w:r w:rsidRPr="00A17FDB">
                      <w:rPr>
                        <w:rFonts w:asciiTheme="majorHAnsi" w:eastAsiaTheme="majorEastAsia" w:hAnsiTheme="majorHAnsi" w:cstheme="majorBidi"/>
                        <w:b/>
                        <w:bCs/>
                        <w:color w:val="000000" w:themeColor="text1"/>
                        <w:sz w:val="56"/>
                        <w:szCs w:val="56"/>
                      </w:rPr>
                      <w:t>Safegaurding</w:t>
                    </w:r>
                    <w:proofErr w:type="spellEnd"/>
                    <w:r w:rsidRPr="00A17FDB">
                      <w:rPr>
                        <w:rFonts w:asciiTheme="majorHAnsi" w:eastAsiaTheme="majorEastAsia" w:hAnsiTheme="majorHAnsi" w:cstheme="majorBidi"/>
                        <w:b/>
                        <w:bCs/>
                        <w:color w:val="000000" w:themeColor="text1"/>
                        <w:sz w:val="56"/>
                        <w:szCs w:val="56"/>
                      </w:rPr>
                      <w:t xml:space="preserve"> in children </w:t>
                    </w:r>
                  </w:p>
                </w:sdtContent>
              </w:sdt>
            </w:tc>
          </w:tr>
          <w:tr w:rsidR="00A17FDB" w:rsidRPr="001264F2" w14:paraId="23D3D406" w14:textId="77777777" w:rsidTr="000053DD">
            <w:tc>
              <w:tcPr>
                <w:tcW w:w="7405" w:type="dxa"/>
                <w:tcMar>
                  <w:top w:w="216" w:type="dxa"/>
                  <w:left w:w="115" w:type="dxa"/>
                  <w:bottom w:w="216" w:type="dxa"/>
                  <w:right w:w="115" w:type="dxa"/>
                </w:tcMar>
              </w:tcPr>
              <w:tbl>
                <w:tblPr>
                  <w:tblpPr w:leftFromText="187" w:rightFromText="187" w:vertAnchor="page" w:horzAnchor="margin" w:tblpY="1"/>
                  <w:tblW w:w="4976" w:type="pct"/>
                  <w:tblLook w:val="04A0" w:firstRow="1" w:lastRow="0" w:firstColumn="1" w:lastColumn="0" w:noHBand="0" w:noVBand="1"/>
                </w:tblPr>
                <w:tblGrid>
                  <w:gridCol w:w="6946"/>
                </w:tblGrid>
                <w:tr w:rsidR="00A17FDB" w:rsidRPr="001264F2" w14:paraId="14E30852" w14:textId="77777777" w:rsidTr="000053DD">
                  <w:tc>
                    <w:tcPr>
                      <w:tcW w:w="7140" w:type="dxa"/>
                      <w:tcMar>
                        <w:top w:w="216" w:type="dxa"/>
                        <w:left w:w="115" w:type="dxa"/>
                        <w:bottom w:w="216" w:type="dxa"/>
                        <w:right w:w="115" w:type="dxa"/>
                      </w:tcMar>
                    </w:tcPr>
                    <w:sdt>
                      <w:sdtPr>
                        <w:rPr>
                          <w:color w:val="000000" w:themeColor="text1"/>
                          <w:sz w:val="32"/>
                          <w:szCs w:val="32"/>
                        </w:rPr>
                        <w:alias w:val="Author"/>
                        <w:id w:val="13406928"/>
                        <w:placeholder>
                          <w:docPart w:val="A353CD09DEE14620966BD99AB28C5EB1"/>
                        </w:placeholder>
                        <w:dataBinding w:prefixMappings="xmlns:ns0='http://schemas.openxmlformats.org/package/2006/metadata/core-properties' xmlns:ns1='http://purl.org/dc/elements/1.1/'" w:xpath="/ns0:coreProperties[1]/ns1:creator[1]" w:storeItemID="{6C3C8BC8-F283-45AE-878A-BAB7291924A1}"/>
                        <w:text/>
                      </w:sdtPr>
                      <w:sdtContent>
                        <w:p w14:paraId="305DADD8" w14:textId="1E6B3718" w:rsidR="00A17FDB" w:rsidRPr="001264F2" w:rsidRDefault="00A17FDB" w:rsidP="000053DD">
                          <w:pPr>
                            <w:pStyle w:val="NoSpacing"/>
                            <w:rPr>
                              <w:color w:val="000000" w:themeColor="text1"/>
                              <w:sz w:val="28"/>
                              <w:szCs w:val="28"/>
                            </w:rPr>
                          </w:pPr>
                          <w:r>
                            <w:rPr>
                              <w:color w:val="000000" w:themeColor="text1"/>
                              <w:sz w:val="32"/>
                              <w:szCs w:val="32"/>
                            </w:rPr>
                            <w:t>Aqsa Butt</w:t>
                          </w:r>
                        </w:p>
                      </w:sdtContent>
                    </w:sdt>
                  </w:tc>
                </w:tr>
              </w:tbl>
              <w:p w14:paraId="64C2E4E3" w14:textId="77777777" w:rsidR="00A17FDB" w:rsidRPr="001264F2" w:rsidRDefault="00A17FDB" w:rsidP="000053DD">
                <w:pPr>
                  <w:pStyle w:val="NoSpacing"/>
                  <w:rPr>
                    <w:color w:val="000000" w:themeColor="text1"/>
                    <w:sz w:val="24"/>
                  </w:rPr>
                </w:pPr>
                <w:r>
                  <w:rPr>
                    <w:noProof/>
                  </w:rPr>
                  <mc:AlternateContent>
                    <mc:Choice Requires="wps">
                      <w:drawing>
                        <wp:anchor distT="45720" distB="45720" distL="114300" distR="114300" simplePos="0" relativeHeight="251659264" behindDoc="0" locked="0" layoutInCell="1" allowOverlap="1" wp14:anchorId="6918528C" wp14:editId="6523B64D">
                          <wp:simplePos x="0" y="0"/>
                          <wp:positionH relativeFrom="column">
                            <wp:posOffset>27283</wp:posOffset>
                          </wp:positionH>
                          <wp:positionV relativeFrom="paragraph">
                            <wp:posOffset>604301</wp:posOffset>
                          </wp:positionV>
                          <wp:extent cx="1983105" cy="412750"/>
                          <wp:effectExtent l="10160" t="7620" r="698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412750"/>
                                  </a:xfrm>
                                  <a:prstGeom prst="rect">
                                    <a:avLst/>
                                  </a:prstGeom>
                                  <a:noFill/>
                                  <a:ln w="9525">
                                    <a:solidFill>
                                      <a:srgbClr val="F8F8F8">
                                        <a:alpha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5F3A341" w14:textId="77777777" w:rsidR="00A17FDB" w:rsidRPr="00F26FE3" w:rsidRDefault="00A17FDB" w:rsidP="00A17FDB">
                                      <w:r w:rsidRPr="00F26FE3">
                                        <w:rPr>
                                          <w:rFonts w:ascii="Arial" w:hAnsi="Arial" w:cs="Arial"/>
                                          <w:color w:val="3B3838" w:themeColor="background2" w:themeShade="40"/>
                                        </w:rPr>
                                        <w:t xml:space="preserve">Dr </w:t>
                                      </w:r>
                                      <w:proofErr w:type="spellStart"/>
                                      <w:r w:rsidRPr="00F26FE3">
                                        <w:rPr>
                                          <w:rFonts w:ascii="Arial" w:hAnsi="Arial" w:cs="Arial"/>
                                          <w:color w:val="3B3838" w:themeColor="background2" w:themeShade="40"/>
                                        </w:rPr>
                                        <w:t>Crisford</w:t>
                                      </w:r>
                                      <w:proofErr w:type="spellEnd"/>
                                      <w:r w:rsidRPr="00F26FE3">
                                        <w:rPr>
                                          <w:rFonts w:ascii="Arial" w:hAnsi="Arial" w:cs="Arial"/>
                                          <w:color w:val="3B3838" w:themeColor="background2" w:themeShade="40"/>
                                        </w:rPr>
                                        <w:t xml:space="preserve"> </w:t>
                                      </w:r>
                                      <w:proofErr w:type="spellStart"/>
                                      <w:r w:rsidRPr="00F26FE3">
                                        <w:rPr>
                                          <w:rFonts w:ascii="Arial" w:hAnsi="Arial" w:cs="Arial"/>
                                          <w:color w:val="3B3838" w:themeColor="background2" w:themeShade="40"/>
                                        </w:rPr>
                                        <w:t>Chogugudza</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918528C" id="_x0000_t202" coordsize="21600,21600" o:spt="202" path="m,l,21600r21600,l21600,xe">
                          <v:stroke joinstyle="miter"/>
                          <v:path gradientshapeok="t" o:connecttype="rect"/>
                        </v:shapetype>
                        <v:shape id="Text Box 2" o:spid="_x0000_s1026" type="#_x0000_t202" style="position:absolute;margin-left:2.15pt;margin-top:47.6pt;width:156.15pt;height:3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" filled="f" strokecolor="#f8f8f8">
                          <v:stroke opacity="0"/>
                          <v:textbox style="mso-fit-shape-to-text:t">
                            <w:txbxContent>
                              <w:p w14:paraId="25F3A341" w14:textId="77777777" w:rsidR="00A17FDB" w:rsidRPr="00F26FE3" w:rsidRDefault="00A17FDB" w:rsidP="00A17FDB">
                                <w:r w:rsidRPr="00F26FE3">
                                  <w:rPr>
                                    <w:rFonts w:ascii="Arial" w:hAnsi="Arial" w:cs="Arial"/>
                                    <w:color w:val="3B3838" w:themeColor="background2" w:themeShade="40"/>
                                  </w:rPr>
                                  <w:t xml:space="preserve">Dr </w:t>
                                </w:r>
                                <w:proofErr w:type="spellStart"/>
                                <w:r w:rsidRPr="00F26FE3">
                                  <w:rPr>
                                    <w:rFonts w:ascii="Arial" w:hAnsi="Arial" w:cs="Arial"/>
                                    <w:color w:val="3B3838" w:themeColor="background2" w:themeShade="40"/>
                                  </w:rPr>
                                  <w:t>Crisford</w:t>
                                </w:r>
                                <w:proofErr w:type="spellEnd"/>
                                <w:r w:rsidRPr="00F26FE3">
                                  <w:rPr>
                                    <w:rFonts w:ascii="Arial" w:hAnsi="Arial" w:cs="Arial"/>
                                    <w:color w:val="3B3838" w:themeColor="background2" w:themeShade="40"/>
                                  </w:rPr>
                                  <w:t xml:space="preserve"> </w:t>
                                </w:r>
                                <w:proofErr w:type="spellStart"/>
                                <w:r w:rsidRPr="00F26FE3">
                                  <w:rPr>
                                    <w:rFonts w:ascii="Arial" w:hAnsi="Arial" w:cs="Arial"/>
                                    <w:color w:val="3B3838" w:themeColor="background2" w:themeShade="40"/>
                                  </w:rPr>
                                  <w:t>Chogugudza</w:t>
                                </w:r>
                                <w:proofErr w:type="spellEnd"/>
                              </w:p>
                            </w:txbxContent>
                          </v:textbox>
                          <w10:wrap type="square"/>
                        </v:shape>
                      </w:pict>
                    </mc:Fallback>
                  </mc:AlternateContent>
                </w:r>
              </w:p>
            </w:tc>
          </w:tr>
        </w:tbl>
        <w:p w14:paraId="1079B1D0" w14:textId="77777777" w:rsidR="00A17FDB" w:rsidRPr="008504FB" w:rsidRDefault="00A17FDB" w:rsidP="00A17FDB">
          <w:pPr>
            <w:spacing w:after="160" w:line="259" w:lineRule="auto"/>
            <w:rPr>
              <w:rFonts w:ascii="Times New Roman" w:eastAsiaTheme="majorEastAsia" w:hAnsi="Times New Roman" w:cs="Times New Roman"/>
              <w:b/>
              <w:color w:val="2F5496" w:themeColor="accent1" w:themeShade="BF"/>
              <w:sz w:val="48"/>
              <w:szCs w:val="48"/>
              <w:lang w:val="en-GB"/>
            </w:rPr>
          </w:pPr>
          <w:r w:rsidRPr="001264F2">
            <w:rPr>
              <w:rFonts w:ascii="Times New Roman" w:eastAsiaTheme="majorEastAsia" w:hAnsi="Times New Roman" w:cs="Times New Roman"/>
              <w:b/>
              <w:color w:val="000000" w:themeColor="text1"/>
              <w:sz w:val="48"/>
              <w:szCs w:val="48"/>
              <w:lang w:val="en-GB"/>
            </w:rPr>
            <w:br w:type="page"/>
          </w:r>
        </w:p>
      </w:sdtContent>
    </w:sdt>
    <w:p w14:paraId="27A744EB" w14:textId="77777777" w:rsidR="00A17FDB" w:rsidRDefault="00A17FDB" w:rsidP="00A17FDB">
      <w:pPr>
        <w:spacing w:line="360" w:lineRule="auto"/>
        <w:jc w:val="center"/>
        <w:rPr>
          <w:rFonts w:ascii="Arial" w:hAnsi="Arial" w:cs="Arial"/>
          <w:sz w:val="24"/>
          <w:szCs w:val="24"/>
        </w:rPr>
      </w:pPr>
      <w:r>
        <w:rPr>
          <w:rFonts w:ascii="Arial" w:hAnsi="Arial" w:cs="Arial"/>
          <w:b/>
          <w:sz w:val="24"/>
          <w:szCs w:val="24"/>
        </w:rPr>
        <w:lastRenderedPageBreak/>
        <w:t>Safeguarding</w:t>
      </w:r>
      <w:r>
        <w:rPr>
          <w:rFonts w:ascii="Arial" w:hAnsi="Arial" w:cs="Arial"/>
          <w:sz w:val="24"/>
          <w:szCs w:val="24"/>
        </w:rPr>
        <w:t xml:space="preserve"> </w:t>
      </w:r>
      <w:r>
        <w:rPr>
          <w:rFonts w:ascii="Arial" w:hAnsi="Arial" w:cs="Arial"/>
          <w:b/>
          <w:sz w:val="24"/>
          <w:szCs w:val="24"/>
        </w:rPr>
        <w:t>in</w:t>
      </w:r>
      <w:r>
        <w:rPr>
          <w:rFonts w:ascii="Arial" w:hAnsi="Arial" w:cs="Arial"/>
          <w:sz w:val="24"/>
          <w:szCs w:val="24"/>
        </w:rPr>
        <w:t xml:space="preserve"> </w:t>
      </w:r>
      <w:r>
        <w:rPr>
          <w:rFonts w:ascii="Arial" w:hAnsi="Arial" w:cs="Arial"/>
          <w:b/>
          <w:sz w:val="24"/>
          <w:szCs w:val="24"/>
        </w:rPr>
        <w:t>children</w:t>
      </w:r>
    </w:p>
    <w:p w14:paraId="570BA25E"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Safeguarding is an act to guard children from any kind of harm, abuse, </w:t>
      </w:r>
      <w:proofErr w:type="gramStart"/>
      <w:r>
        <w:rPr>
          <w:rFonts w:ascii="Arial" w:hAnsi="Arial" w:cs="Arial"/>
          <w:sz w:val="24"/>
          <w:szCs w:val="24"/>
        </w:rPr>
        <w:t>maltreatment</w:t>
      </w:r>
      <w:proofErr w:type="gramEnd"/>
      <w:r>
        <w:rPr>
          <w:rFonts w:ascii="Arial" w:hAnsi="Arial" w:cs="Arial"/>
          <w:sz w:val="24"/>
          <w:szCs w:val="24"/>
        </w:rPr>
        <w:t xml:space="preserve"> and neglect, as well as, ensuring they are being well looked after in an appropriate environment valuable for their overall wellbeing and development. Additionally, administering effective care under the vigorous supervision to enable them to acquire high quality of life and become a potent individual (UK Government, 2008). Increase in the crime rate against children in the form of abuse and neglect has compelled the ministry to take serious actions throughout the history. The objective behind the issuance of statutory guidance of safeguarding children is to influence more people, interacting with children whether they belong to healthcare setup or they may be individuals and professionals working in organization dealing with children, and teachers and heads in educational institutes, to work together in safeguarding children (UK government, 2018). High profile child abuse cases involving death of Victoria Climbie (2000), Peter Connelly (2007), Daniel Pelka (2012) and many others </w:t>
      </w:r>
      <w:proofErr w:type="gramStart"/>
      <w:r>
        <w:rPr>
          <w:rFonts w:ascii="Arial" w:hAnsi="Arial" w:cs="Arial"/>
          <w:sz w:val="24"/>
          <w:szCs w:val="24"/>
        </w:rPr>
        <w:t>similar to</w:t>
      </w:r>
      <w:proofErr w:type="gramEnd"/>
      <w:r>
        <w:rPr>
          <w:rFonts w:ascii="Arial" w:hAnsi="Arial" w:cs="Arial"/>
          <w:sz w:val="24"/>
          <w:szCs w:val="24"/>
        </w:rPr>
        <w:t xml:space="preserve"> them have led the government to regulate the laws and policies previously made in order to strengthen the role of local authorities, social services departments and organizations working for the welfare of children.</w:t>
      </w:r>
    </w:p>
    <w:p w14:paraId="7460D66C"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Failure in fulfilling child’s basic requirements of life including food, shelter, </w:t>
      </w:r>
      <w:proofErr w:type="gramStart"/>
      <w:r>
        <w:rPr>
          <w:rFonts w:ascii="Arial" w:hAnsi="Arial" w:cs="Arial"/>
          <w:sz w:val="24"/>
          <w:szCs w:val="24"/>
        </w:rPr>
        <w:t>health-care</w:t>
      </w:r>
      <w:proofErr w:type="gramEnd"/>
      <w:r>
        <w:rPr>
          <w:rFonts w:ascii="Arial" w:hAnsi="Arial" w:cs="Arial"/>
          <w:sz w:val="24"/>
          <w:szCs w:val="24"/>
        </w:rPr>
        <w:t xml:space="preserve">, financial and emotional needs is referred to as negligence in childcare. </w:t>
      </w:r>
      <w:proofErr w:type="gramStart"/>
      <w:r>
        <w:rPr>
          <w:rFonts w:ascii="Arial" w:hAnsi="Arial" w:cs="Arial"/>
          <w:sz w:val="24"/>
          <w:szCs w:val="24"/>
        </w:rPr>
        <w:t>According</w:t>
      </w:r>
      <w:proofErr w:type="gramEnd"/>
      <w:r>
        <w:rPr>
          <w:rFonts w:ascii="Arial" w:hAnsi="Arial" w:cs="Arial"/>
          <w:sz w:val="24"/>
          <w:szCs w:val="24"/>
        </w:rPr>
        <w:t xml:space="preserve"> the Crime Survey for England and Wales (CSEW), in 2019 more than 25,000 cases referred to child protection plans (CPPs) were of neglected children whereas ratio of children been emotionally, physically and sexually assaulted reported was also exceedingly high, as recorded by ONS (Office for National Statistics, 2021). From the information gathered from the case study of family B, the adolescent boy was found under the supervision of local authorities who had been separated from his family and was without anywhere to live. It was obvious that he was not doing so well under their care either therefore was referred by Youth Offending Team. In addition to that school related issues, housing and behavioral issues were also residing in the boy’s family. Youth offending team (YOT) intended to safeguard the young boy who might have gotten himself into trouble with the law, and to prevent him from committing serious crimes. Analyzing the background of the boy’s family and the places where he had spent his time the most such as home, school, clubs etc., gave them better idea of the circumstances that were causing vulnerability of the boy, hence focused on </w:t>
      </w:r>
      <w:r>
        <w:rPr>
          <w:rFonts w:ascii="Arial" w:hAnsi="Arial" w:cs="Arial"/>
          <w:sz w:val="24"/>
          <w:szCs w:val="24"/>
        </w:rPr>
        <w:lastRenderedPageBreak/>
        <w:t>working on them instead. This is known as contextual safeguarding, it helps to identify the places where the vulnerable individuals have their close links to and targeting such places would help to understand their needs in a better way and making those places safer for them to visit (</w:t>
      </w:r>
      <w:r>
        <w:rPr>
          <w:rFonts w:ascii="Arial" w:hAnsi="Arial" w:cs="Arial"/>
          <w:color w:val="000000"/>
          <w:sz w:val="24"/>
          <w:szCs w:val="24"/>
          <w:shd w:val="clear" w:color="auto" w:fill="FFFFFF"/>
        </w:rPr>
        <w:t>NSPCC Child Protection in Sport Unit, 2021</w:t>
      </w:r>
      <w:r>
        <w:rPr>
          <w:rFonts w:ascii="Arial" w:hAnsi="Arial" w:cs="Arial"/>
          <w:sz w:val="24"/>
          <w:szCs w:val="24"/>
        </w:rPr>
        <w:t>).</w:t>
      </w:r>
    </w:p>
    <w:p w14:paraId="420EEB1D"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According to the legal frameworks of working together to safeguard children, it is everyone’s responsibility to protect and make an inquiry for children and young people who are suffering or are suspected to suffer from significant harm (HM Government, 2018). It is important to take initiatives as early as possible for safety and promotion of welfare of the children. Abuse in any form leads to poor mental health and could be related to the way of turning an abused into an abuser himself/herself later in life. As far as most of the England policies concern the safety of children in every aspect, there has still been seen a remarkable increase in the cases of child’s sexual abuse in the recent years (</w:t>
      </w:r>
      <w:proofErr w:type="spellStart"/>
      <w:r>
        <w:rPr>
          <w:rFonts w:ascii="Arial" w:hAnsi="Arial" w:cs="Arial"/>
          <w:sz w:val="24"/>
          <w:szCs w:val="24"/>
        </w:rPr>
        <w:t>BoltBurdonKemp</w:t>
      </w:r>
      <w:proofErr w:type="spellEnd"/>
      <w:r>
        <w:rPr>
          <w:rFonts w:ascii="Arial" w:hAnsi="Arial" w:cs="Arial"/>
          <w:sz w:val="24"/>
          <w:szCs w:val="24"/>
        </w:rPr>
        <w:t xml:space="preserve">, 2021).  Many examples are as well present in the past relating to the children being exploited, abducted, manipulated, </w:t>
      </w:r>
      <w:proofErr w:type="gramStart"/>
      <w:r>
        <w:rPr>
          <w:rFonts w:ascii="Arial" w:hAnsi="Arial" w:cs="Arial"/>
          <w:sz w:val="24"/>
          <w:szCs w:val="24"/>
        </w:rPr>
        <w:t>enticed</w:t>
      </w:r>
      <w:proofErr w:type="gramEnd"/>
      <w:r>
        <w:rPr>
          <w:rFonts w:ascii="Arial" w:hAnsi="Arial" w:cs="Arial"/>
          <w:sz w:val="24"/>
          <w:szCs w:val="24"/>
        </w:rPr>
        <w:t xml:space="preserve"> and deceived by the people they already knew and trusted the most. Failure of local authorities to abide by the laws and weak policies were mainly the reason behind the continual happening of these cases in the past. However, strong modification in these policies, with every </w:t>
      </w:r>
      <w:proofErr w:type="gramStart"/>
      <w:r>
        <w:rPr>
          <w:rFonts w:ascii="Arial" w:hAnsi="Arial" w:cs="Arial"/>
          <w:sz w:val="24"/>
          <w:szCs w:val="24"/>
        </w:rPr>
        <w:t>high profile</w:t>
      </w:r>
      <w:proofErr w:type="gramEnd"/>
      <w:r>
        <w:rPr>
          <w:rFonts w:ascii="Arial" w:hAnsi="Arial" w:cs="Arial"/>
          <w:sz w:val="24"/>
          <w:szCs w:val="24"/>
        </w:rPr>
        <w:t xml:space="preserve"> case been surfacing throughout the history, has controlled the abuse against children to certain extent.</w:t>
      </w:r>
    </w:p>
    <w:p w14:paraId="515E975E"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In UK, it is illegal to entice children or people under the age of eighteen to engage in sexual activity, whether it may be through arranged meeting in person or through online grooming. To prevent this heinous crime and many others against children, the Children Act 1989, had published series of action plans in favor of children’s protection. According to Lord Chancellor, “This Act (1989) is the most comprehensive and far-reaching reform of child law which has come before parliament in living memory" (Andy Elvin, 2019).  Section 47 of this Act states, that immediate investigation must take place if the child has been suspected to be treated poorly. So much so this Act has aimed to strengthen the protection of children while taking account of their consent on the decisions made on their upbringing. With the joint effort of parents and local </w:t>
      </w:r>
      <w:proofErr w:type="gramStart"/>
      <w:r>
        <w:rPr>
          <w:rFonts w:ascii="Arial" w:hAnsi="Arial" w:cs="Arial"/>
          <w:sz w:val="24"/>
          <w:szCs w:val="24"/>
        </w:rPr>
        <w:t>authorities</w:t>
      </w:r>
      <w:proofErr w:type="gramEnd"/>
      <w:r>
        <w:rPr>
          <w:rFonts w:ascii="Arial" w:hAnsi="Arial" w:cs="Arial"/>
          <w:sz w:val="24"/>
          <w:szCs w:val="24"/>
        </w:rPr>
        <w:t xml:space="preserve"> additional needs of the child must be fulfilled (the Children Act, 1989). Besides existence of this law, in 2000, heart wrenching incident occurred, where an </w:t>
      </w:r>
      <w:proofErr w:type="gramStart"/>
      <w:r>
        <w:rPr>
          <w:rFonts w:ascii="Arial" w:hAnsi="Arial" w:cs="Arial"/>
          <w:sz w:val="24"/>
          <w:szCs w:val="24"/>
        </w:rPr>
        <w:t>eight year old</w:t>
      </w:r>
      <w:proofErr w:type="gramEnd"/>
      <w:r>
        <w:rPr>
          <w:rFonts w:ascii="Arial" w:hAnsi="Arial" w:cs="Arial"/>
          <w:sz w:val="24"/>
          <w:szCs w:val="24"/>
        </w:rPr>
        <w:t xml:space="preserve"> Victoria Climbie, had been tortured and murdered by her guardians. The episode raised an issue on inequity between children belonging </w:t>
      </w:r>
      <w:r>
        <w:rPr>
          <w:rFonts w:ascii="Arial" w:hAnsi="Arial" w:cs="Arial"/>
          <w:sz w:val="24"/>
          <w:szCs w:val="24"/>
        </w:rPr>
        <w:lastRenderedPageBreak/>
        <w:t xml:space="preserve">to different cultures and races coming in the way on provision of same rights and protection to children (Harding, L., 2021). In 2002, Lord Laming reviewed the case of Victoria and encapsulated some important drawbacks demonstrating disjointed services being exercised between professionals and organizations, in his report, which brought into existence the initiative led by government in the name of ‘Every Child Matters (2003)’. Amalgamation of healthcare, education, social care service sector took place and formulation of multidisciplinary team was brought up </w:t>
      </w:r>
      <w:proofErr w:type="gramStart"/>
      <w:r>
        <w:rPr>
          <w:rFonts w:ascii="Arial" w:hAnsi="Arial" w:cs="Arial"/>
          <w:sz w:val="24"/>
          <w:szCs w:val="24"/>
        </w:rPr>
        <w:t>in order to</w:t>
      </w:r>
      <w:proofErr w:type="gramEnd"/>
      <w:r>
        <w:rPr>
          <w:rFonts w:ascii="Arial" w:hAnsi="Arial" w:cs="Arial"/>
          <w:sz w:val="24"/>
          <w:szCs w:val="24"/>
        </w:rPr>
        <w:t xml:space="preserve"> cater instant care or protection for the children in need (Ken Reid, 2005).  </w:t>
      </w:r>
    </w:p>
    <w:p w14:paraId="34E1D734"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Major changes in protection policies took place to improve five potential outcomes (SHEEP) of every child regardless of their race and culture (</w:t>
      </w:r>
      <w:hyperlink r:id="rId4" w:history="1">
        <w:r>
          <w:rPr>
            <w:rStyle w:val="Hyperlink"/>
            <w:rFonts w:ascii="Arial" w:hAnsi="Arial" w:cs="Arial"/>
            <w:bCs/>
            <w:sz w:val="24"/>
            <w:szCs w:val="24"/>
          </w:rPr>
          <w:t>David Batty</w:t>
        </w:r>
      </w:hyperlink>
      <w:r>
        <w:rPr>
          <w:rFonts w:ascii="Arial" w:hAnsi="Arial" w:cs="Arial"/>
          <w:sz w:val="24"/>
          <w:szCs w:val="24"/>
        </w:rPr>
        <w:t>, 2009). SHEEP is an abbreviation of, every child must be provided with safety and good health, must enjoy life, and become economically potent while contributing positively to the community. The recommendations made by Lord Laming, resulted in creation of latest programs for tracking records and prompt reporting system of child abuse incidences and made the organizations to work in a multidisciplinary manner to reduce the rate of child abuse or neglect (Lord Laming, 2003). Under the Child Protection Act, the state is held responsible for the protection of the children whose parents are not willing to provide them protection and those without parents. In addition to this, the law enforced to prohibit the person to be appointed supervision of children who was having criminal record on violence in the past. The emergence of these policies on safeguarding children was the result of the elevation in the cases of child sexual abuse occurring in healthcare units, in their residences and educational institutes (</w:t>
      </w:r>
      <w:r>
        <w:rPr>
          <w:rFonts w:ascii="Arial" w:hAnsi="Arial" w:cs="Arial"/>
          <w:color w:val="000000"/>
          <w:sz w:val="24"/>
          <w:szCs w:val="24"/>
          <w:shd w:val="clear" w:color="auto" w:fill="FFFFFF"/>
        </w:rPr>
        <w:t>Bingham, A., et al., 2016</w:t>
      </w:r>
      <w:r>
        <w:rPr>
          <w:rFonts w:ascii="Arial" w:hAnsi="Arial" w:cs="Arial"/>
          <w:sz w:val="24"/>
          <w:szCs w:val="24"/>
        </w:rPr>
        <w:t xml:space="preserve">). Through this Act, it was made mandatory to report immediately if any individual identifies a child suspected of any kind of abuse or harm (UK Government, 2004). The </w:t>
      </w:r>
      <w:proofErr w:type="gramStart"/>
      <w:r>
        <w:rPr>
          <w:rFonts w:ascii="Arial" w:hAnsi="Arial" w:cs="Arial"/>
          <w:sz w:val="24"/>
          <w:szCs w:val="24"/>
        </w:rPr>
        <w:t>law imposed</w:t>
      </w:r>
      <w:proofErr w:type="gramEnd"/>
      <w:r>
        <w:rPr>
          <w:rFonts w:ascii="Arial" w:hAnsi="Arial" w:cs="Arial"/>
          <w:sz w:val="24"/>
          <w:szCs w:val="24"/>
        </w:rPr>
        <w:t xml:space="preserve"> duties on the professionals dealing with children to report such incidences and in case they failed to do so on purpose would result in their suspension. Alongside the safeguarding guidelines issued under this Act to prevent the children from being harmed, procurement of rigorous penalties on the suspect was as well laid down. </w:t>
      </w:r>
    </w:p>
    <w:p w14:paraId="5709A880"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In 2004, government revised few guidelines issued in the Children Act 1989. With the new amendments, there was an appointment of a commissioner whose duty was to invent opportunities for welfare of the children and contribute to long-term changes in the system working to secure lives of many children and families (UK </w:t>
      </w:r>
      <w:r>
        <w:rPr>
          <w:rFonts w:ascii="Arial" w:hAnsi="Arial" w:cs="Arial"/>
          <w:sz w:val="24"/>
          <w:szCs w:val="24"/>
        </w:rPr>
        <w:lastRenderedPageBreak/>
        <w:t xml:space="preserve">government, 2004). Moreover, under the section 11, the law enforced arrangement of temporary accommodation for homeless young people with proper healthcare and education facilities by local authorities.   It is genuinely seen that implementation and enforcement of law doesn’t happen right </w:t>
      </w:r>
      <w:proofErr w:type="gramStart"/>
      <w:r>
        <w:rPr>
          <w:rFonts w:ascii="Arial" w:hAnsi="Arial" w:cs="Arial"/>
          <w:sz w:val="24"/>
          <w:szCs w:val="24"/>
        </w:rPr>
        <w:t>away,</w:t>
      </w:r>
      <w:proofErr w:type="gramEnd"/>
      <w:r>
        <w:rPr>
          <w:rFonts w:ascii="Arial" w:hAnsi="Arial" w:cs="Arial"/>
          <w:sz w:val="24"/>
          <w:szCs w:val="24"/>
        </w:rPr>
        <w:t xml:space="preserve"> it takes centuries to put policies into practice. Therefore in 2016, almost more than 12,000 homeless individuals aged between 16 and 17 had been identified by the local authorities among which most were refugees, young people having trouble with law, asylum seekers and street children (EHR, 2021). However, till now many care leavers (unregistered) are seen missing out opportunities to receive facilitated accommodations by the state hence this could be related to the situation of an adolescent boy belonging to the family B in our case study. </w:t>
      </w:r>
    </w:p>
    <w:p w14:paraId="289222B3"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In 2007, </w:t>
      </w:r>
      <w:proofErr w:type="gramStart"/>
      <w:r>
        <w:rPr>
          <w:rFonts w:ascii="Arial" w:hAnsi="Arial" w:cs="Arial"/>
          <w:sz w:val="24"/>
          <w:szCs w:val="24"/>
        </w:rPr>
        <w:t>an another</w:t>
      </w:r>
      <w:proofErr w:type="gramEnd"/>
      <w:r>
        <w:rPr>
          <w:rFonts w:ascii="Arial" w:hAnsi="Arial" w:cs="Arial"/>
          <w:sz w:val="24"/>
          <w:szCs w:val="24"/>
        </w:rPr>
        <w:t xml:space="preserve"> serious case occurred where a baby Peter was murdered, at the hands of his mother, and two more people involved in the family, with more than 50 injuries found on his body (the Guardian, 2021). From the inquiry made on the case it was revealed that despite regular visits being paid by social workers, health professional and police in the last eight months of the baby’s life, he had to give his life at the hands of cruelty. If the officials would have acted upon early according to the law on the appearance of warning signs, the child’s life could have been saved (BBC, 2019). Therefore, this gave rise to the law on imposing penalties on individuals on failing to report child abuse. </w:t>
      </w:r>
    </w:p>
    <w:p w14:paraId="0949EB99"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In 2010, statutory guidelines were issued based on the recommendation given in Lord Laming report, to prevent considerable </w:t>
      </w:r>
      <w:proofErr w:type="gramStart"/>
      <w:r>
        <w:rPr>
          <w:rFonts w:ascii="Arial" w:hAnsi="Arial" w:cs="Arial"/>
          <w:sz w:val="24"/>
          <w:szCs w:val="24"/>
        </w:rPr>
        <w:t>amount</w:t>
      </w:r>
      <w:proofErr w:type="gramEnd"/>
      <w:r>
        <w:rPr>
          <w:rFonts w:ascii="Arial" w:hAnsi="Arial" w:cs="Arial"/>
          <w:sz w:val="24"/>
          <w:szCs w:val="24"/>
        </w:rPr>
        <w:t xml:space="preserve"> of children from harm. Three partners were appointed Local Safeguarding Children Board (LSCB) including local authorities, </w:t>
      </w:r>
      <w:proofErr w:type="gramStart"/>
      <w:r>
        <w:rPr>
          <w:rFonts w:ascii="Arial" w:hAnsi="Arial" w:cs="Arial"/>
          <w:sz w:val="24"/>
          <w:szCs w:val="24"/>
        </w:rPr>
        <w:t>police</w:t>
      </w:r>
      <w:proofErr w:type="gramEnd"/>
      <w:r>
        <w:rPr>
          <w:rFonts w:ascii="Arial" w:hAnsi="Arial" w:cs="Arial"/>
          <w:sz w:val="24"/>
          <w:szCs w:val="24"/>
        </w:rPr>
        <w:t xml:space="preserve"> and clinical commissioning groups (CCGs). Their roles and responsibilities were to assess the effectiveness of services provided to the vulnerable families and children, inclusive of provision of safe environment for the children’s development and proactively responding to prevent children from abuse and suffering (HM Government, 2010). Effectiveness in protection plans through statutory guidelines gave rise to efficient system that assigned duties to individuals on every level to act appropriately to safeguard as many children and young people as possible. Following year, in 2011, Professor Eileen Munro published a report on establishing child centered approach to upgrade the system and recommended new practices to improve safeguarding procedures of vulnerable children (Department of Education, </w:t>
      </w:r>
      <w:r>
        <w:rPr>
          <w:rFonts w:ascii="Arial" w:hAnsi="Arial" w:cs="Arial"/>
          <w:sz w:val="24"/>
          <w:szCs w:val="24"/>
        </w:rPr>
        <w:lastRenderedPageBreak/>
        <w:t xml:space="preserve">2011). She focused more on to exercise professional judgment to analyze children and families in need. With the presence of robust management and properly trained frontline support, appropriate timely decision could be taken to help unsafe children, young </w:t>
      </w:r>
      <w:proofErr w:type="gramStart"/>
      <w:r>
        <w:rPr>
          <w:rFonts w:ascii="Arial" w:hAnsi="Arial" w:cs="Arial"/>
          <w:sz w:val="24"/>
          <w:szCs w:val="24"/>
        </w:rPr>
        <w:t>people</w:t>
      </w:r>
      <w:proofErr w:type="gramEnd"/>
      <w:r>
        <w:rPr>
          <w:rFonts w:ascii="Arial" w:hAnsi="Arial" w:cs="Arial"/>
          <w:sz w:val="24"/>
          <w:szCs w:val="24"/>
        </w:rPr>
        <w:t xml:space="preserve"> and families. The report concentrated on to revise statutory guidance relating to the role of multiple agencies to work together effectively while incorporating good practices. Hence, according to Munro, preventative services and early interventions would be beneficial in reducing abuse and neglect. </w:t>
      </w:r>
    </w:p>
    <w:p w14:paraId="73DFF364"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Regardless of all the support given to Munro’s suggestions and recognizing her recommendations in future policy making, another incident involving the murder of a four year old Daniel Pelka, took place </w:t>
      </w:r>
      <w:proofErr w:type="gramStart"/>
      <w:r>
        <w:rPr>
          <w:rFonts w:ascii="Arial" w:hAnsi="Arial" w:cs="Arial"/>
          <w:sz w:val="24"/>
          <w:szCs w:val="24"/>
        </w:rPr>
        <w:t>in  2012</w:t>
      </w:r>
      <w:proofErr w:type="gramEnd"/>
      <w:r>
        <w:rPr>
          <w:rFonts w:ascii="Arial" w:hAnsi="Arial" w:cs="Arial"/>
          <w:sz w:val="24"/>
          <w:szCs w:val="24"/>
        </w:rPr>
        <w:t xml:space="preserve">. He was said to be beaten to death by his own mother and </w:t>
      </w:r>
      <w:proofErr w:type="gramStart"/>
      <w:r>
        <w:rPr>
          <w:rFonts w:ascii="Arial" w:hAnsi="Arial" w:cs="Arial"/>
          <w:sz w:val="24"/>
          <w:szCs w:val="24"/>
        </w:rPr>
        <w:t>step-father</w:t>
      </w:r>
      <w:proofErr w:type="gramEnd"/>
      <w:r>
        <w:rPr>
          <w:rFonts w:ascii="Arial" w:hAnsi="Arial" w:cs="Arial"/>
          <w:sz w:val="24"/>
          <w:szCs w:val="24"/>
        </w:rPr>
        <w:t xml:space="preserve"> (Helen </w:t>
      </w:r>
      <w:proofErr w:type="spellStart"/>
      <w:r>
        <w:rPr>
          <w:rFonts w:ascii="Arial" w:hAnsi="Arial" w:cs="Arial"/>
          <w:sz w:val="24"/>
          <w:szCs w:val="24"/>
        </w:rPr>
        <w:t>Pidd</w:t>
      </w:r>
      <w:proofErr w:type="spellEnd"/>
      <w:r>
        <w:rPr>
          <w:rFonts w:ascii="Arial" w:hAnsi="Arial" w:cs="Arial"/>
          <w:sz w:val="24"/>
          <w:szCs w:val="24"/>
        </w:rPr>
        <w:t xml:space="preserve">, 2016). The extent of abuse he was enduring, went unnoticed by the professionals including his teachers, his doctor and the police officials who had been visiting his house regularly in response to consistently reported domestic violence. Even one month before his death, a community health worker misinterpreted the cause of his unnatural weight loss and anticipated worms the reason behind it instead of child abuse. Stealing lunchboxes in school and his constantly </w:t>
      </w:r>
      <w:proofErr w:type="gramStart"/>
      <w:r>
        <w:rPr>
          <w:rFonts w:ascii="Arial" w:hAnsi="Arial" w:cs="Arial"/>
          <w:sz w:val="24"/>
          <w:szCs w:val="24"/>
        </w:rPr>
        <w:t>starved-appearance</w:t>
      </w:r>
      <w:proofErr w:type="gramEnd"/>
      <w:r>
        <w:rPr>
          <w:rFonts w:ascii="Arial" w:hAnsi="Arial" w:cs="Arial"/>
          <w:sz w:val="24"/>
          <w:szCs w:val="24"/>
        </w:rPr>
        <w:t xml:space="preserve"> neither had once signaled the teachers that the boy might be suffering from abuse.  </w:t>
      </w:r>
      <w:proofErr w:type="gramStart"/>
      <w:r>
        <w:rPr>
          <w:rFonts w:ascii="Arial" w:hAnsi="Arial" w:cs="Arial"/>
          <w:sz w:val="24"/>
          <w:szCs w:val="24"/>
        </w:rPr>
        <w:t>In spite of</w:t>
      </w:r>
      <w:proofErr w:type="gramEnd"/>
      <w:r>
        <w:rPr>
          <w:rFonts w:ascii="Arial" w:hAnsi="Arial" w:cs="Arial"/>
          <w:sz w:val="24"/>
          <w:szCs w:val="24"/>
        </w:rPr>
        <w:t xml:space="preserve"> obvious bruises and injury marks present on his face and body, the professionals dealing with the child observed highly dysfunctional approach to children’s safeguarding issues.</w:t>
      </w:r>
    </w:p>
    <w:p w14:paraId="718946F9"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Continuous accession of serious cases led the government to reform present set of legislations into more reliable fragments by investigating the root causes of vulnerability and planning things one step ahead. Children and Families Act, in 2014, brought in policies for the vulnerable children who were suspected to become victim of child abuse. These children either were facing unfavorable circumstances due to their parents getting separated or they were children with special needs. Witnessing family violence deleteriously impacts children’s behavior and psychological health therefore, it was necessary to </w:t>
      </w:r>
      <w:proofErr w:type="gramStart"/>
      <w:r>
        <w:rPr>
          <w:rFonts w:ascii="Arial" w:hAnsi="Arial" w:cs="Arial"/>
          <w:sz w:val="24"/>
          <w:szCs w:val="24"/>
        </w:rPr>
        <w:t>take into account</w:t>
      </w:r>
      <w:proofErr w:type="gramEnd"/>
      <w:r>
        <w:rPr>
          <w:rFonts w:ascii="Arial" w:hAnsi="Arial" w:cs="Arial"/>
          <w:sz w:val="24"/>
          <w:szCs w:val="24"/>
        </w:rPr>
        <w:t xml:space="preserve"> principals of their safety by involvement of local authorities and social care sectors. Where the Act extended the time of stay of children with special educational needs with their foster parents, changes in the adoption policies took place </w:t>
      </w:r>
      <w:proofErr w:type="gramStart"/>
      <w:r>
        <w:rPr>
          <w:rFonts w:ascii="Arial" w:hAnsi="Arial" w:cs="Arial"/>
          <w:sz w:val="24"/>
          <w:szCs w:val="24"/>
        </w:rPr>
        <w:t>in order to</w:t>
      </w:r>
      <w:proofErr w:type="gramEnd"/>
      <w:r>
        <w:rPr>
          <w:rFonts w:ascii="Arial" w:hAnsi="Arial" w:cs="Arial"/>
          <w:sz w:val="24"/>
          <w:szCs w:val="24"/>
        </w:rPr>
        <w:t xml:space="preserve"> provide children with safer environment while fulfilling their developmental needs (UK government, 2014). </w:t>
      </w:r>
    </w:p>
    <w:p w14:paraId="3A74C434" w14:textId="77777777" w:rsidR="00A17FDB" w:rsidRDefault="00A17FDB" w:rsidP="00A17FDB">
      <w:pPr>
        <w:spacing w:line="360" w:lineRule="auto"/>
        <w:ind w:firstLine="720"/>
        <w:jc w:val="both"/>
        <w:rPr>
          <w:rFonts w:ascii="Arial" w:hAnsi="Arial" w:cs="Arial"/>
          <w:sz w:val="24"/>
          <w:szCs w:val="24"/>
        </w:rPr>
      </w:pPr>
      <w:proofErr w:type="spellStart"/>
      <w:r>
        <w:rPr>
          <w:rFonts w:ascii="Arial" w:hAnsi="Arial" w:cs="Arial"/>
          <w:sz w:val="24"/>
          <w:szCs w:val="24"/>
        </w:rPr>
        <w:lastRenderedPageBreak/>
        <w:t>Ofsted</w:t>
      </w:r>
      <w:proofErr w:type="spellEnd"/>
      <w:r>
        <w:rPr>
          <w:rFonts w:ascii="Arial" w:hAnsi="Arial" w:cs="Arial"/>
          <w:sz w:val="24"/>
          <w:szCs w:val="24"/>
        </w:rPr>
        <w:t xml:space="preserve"> strategies published in 2018 underpin policies, which guaranteed on protecting the children from maltreatment and taking suitable actions that could favor the best outcomes. Care and support guidance were presented to establish rights of vulnerable adults to live safely and free from abuse. </w:t>
      </w:r>
      <w:proofErr w:type="gramStart"/>
      <w:r>
        <w:rPr>
          <w:rFonts w:ascii="Arial" w:hAnsi="Arial" w:cs="Arial"/>
          <w:sz w:val="24"/>
          <w:szCs w:val="24"/>
        </w:rPr>
        <w:t>In order to</w:t>
      </w:r>
      <w:proofErr w:type="gramEnd"/>
      <w:r>
        <w:rPr>
          <w:rFonts w:ascii="Arial" w:hAnsi="Arial" w:cs="Arial"/>
          <w:sz w:val="24"/>
          <w:szCs w:val="24"/>
        </w:rPr>
        <w:t xml:space="preserve"> take decisions for their welfare; their consent, views, feelings and beliefs were to be considered at first while recognizing complex interpersonal relationships (</w:t>
      </w:r>
      <w:proofErr w:type="spellStart"/>
      <w:r>
        <w:rPr>
          <w:rFonts w:ascii="Arial" w:hAnsi="Arial" w:cs="Arial"/>
          <w:sz w:val="24"/>
          <w:szCs w:val="24"/>
        </w:rPr>
        <w:t>Ofsted</w:t>
      </w:r>
      <w:proofErr w:type="spellEnd"/>
      <w:r>
        <w:rPr>
          <w:rFonts w:ascii="Arial" w:hAnsi="Arial" w:cs="Arial"/>
          <w:sz w:val="24"/>
          <w:szCs w:val="24"/>
        </w:rPr>
        <w:t xml:space="preserve"> safeguarding policy, 2021). </w:t>
      </w:r>
      <w:proofErr w:type="spellStart"/>
      <w:r>
        <w:rPr>
          <w:rFonts w:ascii="Arial" w:hAnsi="Arial" w:cs="Arial"/>
          <w:sz w:val="24"/>
          <w:szCs w:val="24"/>
        </w:rPr>
        <w:t>Ofsted</w:t>
      </w:r>
      <w:proofErr w:type="spellEnd"/>
      <w:r>
        <w:rPr>
          <w:rFonts w:ascii="Arial" w:hAnsi="Arial" w:cs="Arial"/>
          <w:sz w:val="24"/>
          <w:szCs w:val="24"/>
        </w:rPr>
        <w:t xml:space="preserve"> deals with allegation of misconduct toward children and adults and provide training to the staff to fully understand their safeguarding responsibilities, update their knowledge frequently and not to ignore any suspicions concerning an adult or child being at risk. </w:t>
      </w:r>
      <w:proofErr w:type="gramStart"/>
      <w:r>
        <w:rPr>
          <w:rFonts w:ascii="Arial" w:hAnsi="Arial" w:cs="Arial"/>
          <w:sz w:val="24"/>
          <w:szCs w:val="24"/>
        </w:rPr>
        <w:t>After all is said and done, there</w:t>
      </w:r>
      <w:proofErr w:type="gramEnd"/>
      <w:r>
        <w:rPr>
          <w:rFonts w:ascii="Arial" w:hAnsi="Arial" w:cs="Arial"/>
          <w:sz w:val="24"/>
          <w:szCs w:val="24"/>
        </w:rPr>
        <w:t xml:space="preserve"> is still dire need of improvement and learning on how to protect vulnerable children and adults. The children who had been harmed seriously under the care of their providers, raises the question about the </w:t>
      </w:r>
      <w:proofErr w:type="spellStart"/>
      <w:r>
        <w:rPr>
          <w:rFonts w:ascii="Arial" w:hAnsi="Arial" w:cs="Arial"/>
          <w:sz w:val="24"/>
          <w:szCs w:val="24"/>
        </w:rPr>
        <w:t>Ofsted</w:t>
      </w:r>
      <w:proofErr w:type="spellEnd"/>
      <w:r>
        <w:rPr>
          <w:rFonts w:ascii="Arial" w:hAnsi="Arial" w:cs="Arial"/>
          <w:sz w:val="24"/>
          <w:szCs w:val="24"/>
        </w:rPr>
        <w:t xml:space="preserve"> practices been exercised then. In depth reviews of the actions taken by officers, contractors and multiple agencies involved must be administered </w:t>
      </w:r>
      <w:proofErr w:type="gramStart"/>
      <w:r>
        <w:rPr>
          <w:rFonts w:ascii="Arial" w:hAnsi="Arial" w:cs="Arial"/>
          <w:sz w:val="24"/>
          <w:szCs w:val="24"/>
        </w:rPr>
        <w:t>in order to</w:t>
      </w:r>
      <w:proofErr w:type="gramEnd"/>
      <w:r>
        <w:rPr>
          <w:rFonts w:ascii="Arial" w:hAnsi="Arial" w:cs="Arial"/>
          <w:sz w:val="24"/>
          <w:szCs w:val="24"/>
        </w:rPr>
        <w:t xml:space="preserve"> find the loopholes and respond proactively to fill those loopholes.</w:t>
      </w:r>
    </w:p>
    <w:p w14:paraId="2C97E193" w14:textId="77777777" w:rsidR="00A17FDB" w:rsidRDefault="00A17FDB" w:rsidP="00A17FDB">
      <w:pPr>
        <w:spacing w:line="360" w:lineRule="auto"/>
        <w:ind w:firstLine="720"/>
        <w:jc w:val="both"/>
        <w:rPr>
          <w:rFonts w:ascii="Arial" w:hAnsi="Arial" w:cs="Arial"/>
          <w:sz w:val="24"/>
          <w:szCs w:val="24"/>
        </w:rPr>
      </w:pPr>
      <w:r>
        <w:rPr>
          <w:rFonts w:ascii="Arial" w:hAnsi="Arial" w:cs="Arial"/>
          <w:sz w:val="24"/>
          <w:szCs w:val="24"/>
        </w:rPr>
        <w:t xml:space="preserve">It was gathered from the interviews that many deputy directors and social workers involved with high profile child cases lost their jobs due to repeatedly missing the signs of abuse and neglect. Most of them were known as best among other professionals in that field. Poor ethics and weak bonding within communities has become prevalent since the past few decades and have given rise to fragmented society with increasing number of isolated families depending more on the state. There must be an improvement to take place in training the staff members and the professionals. Making their placement for extended period of time in various sector so that they can obtain </w:t>
      </w:r>
      <w:proofErr w:type="gramStart"/>
      <w:r>
        <w:rPr>
          <w:rFonts w:ascii="Arial" w:hAnsi="Arial" w:cs="Arial"/>
          <w:sz w:val="24"/>
          <w:szCs w:val="24"/>
        </w:rPr>
        <w:t>reality based</w:t>
      </w:r>
      <w:proofErr w:type="gramEnd"/>
      <w:r>
        <w:rPr>
          <w:rFonts w:ascii="Arial" w:hAnsi="Arial" w:cs="Arial"/>
          <w:sz w:val="24"/>
          <w:szCs w:val="24"/>
        </w:rPr>
        <w:t xml:space="preserve"> learning which would help them become efficient and would enable them to provide reliable services. Lessons must be learnt from the errors and near misses made in the past to improve practices and making society much safer for the children and families to live in.</w:t>
      </w:r>
    </w:p>
    <w:p w14:paraId="59B58058" w14:textId="4EC6AFC1" w:rsidR="00A17FDB" w:rsidRDefault="00A17FDB" w:rsidP="00A17FDB">
      <w:pPr>
        <w:spacing w:line="360" w:lineRule="auto"/>
        <w:ind w:firstLine="720"/>
        <w:jc w:val="both"/>
        <w:rPr>
          <w:rFonts w:ascii="Arial" w:hAnsi="Arial" w:cs="Arial"/>
          <w:sz w:val="24"/>
          <w:szCs w:val="24"/>
        </w:rPr>
      </w:pPr>
    </w:p>
    <w:p w14:paraId="37515847" w14:textId="46B47B7A" w:rsidR="003A0B90" w:rsidRDefault="003A0B90" w:rsidP="00A17FDB">
      <w:pPr>
        <w:spacing w:line="360" w:lineRule="auto"/>
        <w:ind w:firstLine="720"/>
        <w:jc w:val="both"/>
        <w:rPr>
          <w:rFonts w:ascii="Arial" w:hAnsi="Arial" w:cs="Arial"/>
          <w:sz w:val="24"/>
          <w:szCs w:val="24"/>
        </w:rPr>
      </w:pPr>
    </w:p>
    <w:p w14:paraId="14F1CF70" w14:textId="77777777" w:rsidR="003A0B90" w:rsidRDefault="003A0B90" w:rsidP="00A17FDB">
      <w:pPr>
        <w:spacing w:line="360" w:lineRule="auto"/>
        <w:ind w:firstLine="720"/>
        <w:jc w:val="both"/>
        <w:rPr>
          <w:rFonts w:ascii="Arial" w:hAnsi="Arial" w:cs="Arial"/>
          <w:sz w:val="24"/>
          <w:szCs w:val="24"/>
        </w:rPr>
      </w:pPr>
    </w:p>
    <w:p w14:paraId="230995CC" w14:textId="77777777" w:rsidR="00A17FDB" w:rsidRDefault="00A17FDB" w:rsidP="00A17FDB"/>
    <w:p w14:paraId="41C4872E" w14:textId="77777777" w:rsidR="00A17FDB" w:rsidRDefault="00A17FDB" w:rsidP="00A17FDB">
      <w:pPr>
        <w:spacing w:line="360" w:lineRule="auto"/>
        <w:rPr>
          <w:rFonts w:ascii="Arial" w:hAnsi="Arial" w:cs="Arial"/>
          <w:sz w:val="24"/>
          <w:szCs w:val="24"/>
        </w:rPr>
      </w:pPr>
      <w:r>
        <w:rPr>
          <w:rFonts w:ascii="Arial" w:hAnsi="Arial" w:cs="Arial"/>
          <w:b/>
          <w:sz w:val="24"/>
          <w:szCs w:val="24"/>
        </w:rPr>
        <w:lastRenderedPageBreak/>
        <w:t>References</w:t>
      </w:r>
      <w:r>
        <w:rPr>
          <w:rFonts w:ascii="Arial" w:hAnsi="Arial" w:cs="Arial"/>
          <w:sz w:val="24"/>
          <w:szCs w:val="24"/>
        </w:rPr>
        <w:t>:</w:t>
      </w:r>
    </w:p>
    <w:p w14:paraId="2B82C1E9"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Anthony, A., 2021. </w:t>
      </w:r>
      <w:r>
        <w:rPr>
          <w:rFonts w:ascii="Arial" w:hAnsi="Arial" w:cs="Arial"/>
          <w:i/>
          <w:iCs/>
          <w:color w:val="000000"/>
          <w:sz w:val="24"/>
          <w:szCs w:val="24"/>
          <w:shd w:val="clear" w:color="auto" w:fill="FFFFFF"/>
        </w:rPr>
        <w:t xml:space="preserve">Baby P: born into a nightmare of abuse, </w:t>
      </w:r>
      <w:proofErr w:type="gramStart"/>
      <w:r>
        <w:rPr>
          <w:rFonts w:ascii="Arial" w:hAnsi="Arial" w:cs="Arial"/>
          <w:i/>
          <w:iCs/>
          <w:color w:val="000000"/>
          <w:sz w:val="24"/>
          <w:szCs w:val="24"/>
          <w:shd w:val="clear" w:color="auto" w:fill="FFFFFF"/>
        </w:rPr>
        <w:t>violence</w:t>
      </w:r>
      <w:proofErr w:type="gramEnd"/>
      <w:r>
        <w:rPr>
          <w:rFonts w:ascii="Arial" w:hAnsi="Arial" w:cs="Arial"/>
          <w:i/>
          <w:iCs/>
          <w:color w:val="000000"/>
          <w:sz w:val="24"/>
          <w:szCs w:val="24"/>
          <w:shd w:val="clear" w:color="auto" w:fill="FFFFFF"/>
        </w:rPr>
        <w:t xml:space="preserve"> and despair, he never stood a chance</w:t>
      </w:r>
      <w:r>
        <w:rPr>
          <w:rFonts w:ascii="Arial" w:hAnsi="Arial" w:cs="Arial"/>
          <w:color w:val="000000"/>
          <w:sz w:val="24"/>
          <w:szCs w:val="24"/>
          <w:shd w:val="clear" w:color="auto" w:fill="FFFFFF"/>
        </w:rPr>
        <w:t>. [online] the Guardian. Available at: &lt;https://www.theguardian.com/society/2009/aug/16/baby-p-family&gt; [Accessed 5 August 2021].</w:t>
      </w:r>
    </w:p>
    <w:p w14:paraId="5255C516"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Assets.publishing.service.gov.uk. 2021. [online] Available at: &lt;https://assets.publishing.service.gov.uk/government/uploads/system/uploads/attachment_data/file/175391/Munro-Review.pdf&gt; [Accessed 5 August 2021].</w:t>
      </w:r>
    </w:p>
    <w:p w14:paraId="3F76B4BC"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Batty, D., 2021. </w:t>
      </w:r>
      <w:r>
        <w:rPr>
          <w:rFonts w:ascii="Arial" w:hAnsi="Arial" w:cs="Arial"/>
          <w:i/>
          <w:iCs/>
          <w:color w:val="000000"/>
          <w:sz w:val="24"/>
          <w:szCs w:val="24"/>
          <w:shd w:val="clear" w:color="auto" w:fill="FFFFFF"/>
        </w:rPr>
        <w:t>Lord Laming's recommendations on child protection</w:t>
      </w:r>
      <w:r>
        <w:rPr>
          <w:rFonts w:ascii="Arial" w:hAnsi="Arial" w:cs="Arial"/>
          <w:color w:val="000000"/>
          <w:sz w:val="24"/>
          <w:szCs w:val="24"/>
          <w:shd w:val="clear" w:color="auto" w:fill="FFFFFF"/>
        </w:rPr>
        <w:t>. [online] the Guardian. Available at: &lt;https://www.theguardian.com/society/2009/mar/12/child-protection-main-points&gt; [Accessed 4 August 2021].</w:t>
      </w:r>
    </w:p>
    <w:p w14:paraId="48005EAC"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BBC News. 2021. </w:t>
      </w:r>
      <w:r>
        <w:rPr>
          <w:rFonts w:ascii="Arial" w:hAnsi="Arial" w:cs="Arial"/>
          <w:i/>
          <w:iCs/>
          <w:color w:val="000000"/>
          <w:sz w:val="24"/>
          <w:szCs w:val="24"/>
          <w:shd w:val="clear" w:color="auto" w:fill="FFFFFF"/>
        </w:rPr>
        <w:t>Baby P Peter Connelly's mother Tracey denied parole for third time</w:t>
      </w:r>
      <w:r>
        <w:rPr>
          <w:rFonts w:ascii="Arial" w:hAnsi="Arial" w:cs="Arial"/>
          <w:color w:val="000000"/>
          <w:sz w:val="24"/>
          <w:szCs w:val="24"/>
          <w:shd w:val="clear" w:color="auto" w:fill="FFFFFF"/>
        </w:rPr>
        <w:t>. [online] Available at: &lt;https://www.bbc.com/news/uk-england-london-50684952&gt; [Accessed 5 August 2021].</w:t>
      </w:r>
    </w:p>
    <w:p w14:paraId="513CC62C"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Bingham, A., Delap, L., Jackson, L. and Settle, L., 2016. Historical child sexual abuse in England and Wales: the role of historians. </w:t>
      </w:r>
      <w:r>
        <w:rPr>
          <w:rFonts w:ascii="Arial" w:hAnsi="Arial" w:cs="Arial"/>
          <w:i/>
          <w:iCs/>
          <w:color w:val="000000"/>
          <w:sz w:val="24"/>
          <w:szCs w:val="24"/>
          <w:shd w:val="clear" w:color="auto" w:fill="FFFFFF"/>
        </w:rPr>
        <w:t>History of Education</w:t>
      </w:r>
      <w:r>
        <w:rPr>
          <w:rFonts w:ascii="Arial" w:hAnsi="Arial" w:cs="Arial"/>
          <w:color w:val="000000"/>
          <w:sz w:val="24"/>
          <w:szCs w:val="24"/>
          <w:shd w:val="clear" w:color="auto" w:fill="FFFFFF"/>
        </w:rPr>
        <w:t>, 45(4), pp.411-429.</w:t>
      </w:r>
    </w:p>
    <w:p w14:paraId="238B7016"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Child Protection in Sport Unit (CPSU). 2021. </w:t>
      </w:r>
      <w:r>
        <w:rPr>
          <w:rFonts w:ascii="Arial" w:hAnsi="Arial" w:cs="Arial"/>
          <w:i/>
          <w:iCs/>
          <w:color w:val="000000"/>
          <w:sz w:val="24"/>
          <w:szCs w:val="24"/>
          <w:shd w:val="clear" w:color="auto" w:fill="FFFFFF"/>
        </w:rPr>
        <w:t>What is safeguarding? | NSPCC Child Protection in Sport Unit</w:t>
      </w:r>
      <w:r>
        <w:rPr>
          <w:rFonts w:ascii="Arial" w:hAnsi="Arial" w:cs="Arial"/>
          <w:color w:val="000000"/>
          <w:sz w:val="24"/>
          <w:szCs w:val="24"/>
          <w:shd w:val="clear" w:color="auto" w:fill="FFFFFF"/>
        </w:rPr>
        <w:t>. [online] Available at: &lt;https://thecpsu.org.uk/help-advice/introduction-to-safeguarding/what-is-safeguarding/&gt; [Accessed 6 August 2021].</w:t>
      </w:r>
    </w:p>
    <w:p w14:paraId="3757B743" w14:textId="77777777" w:rsidR="00A17FDB" w:rsidRDefault="00A17FDB" w:rsidP="00A17FD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Equalityhumanrights.com. 2021. </w:t>
      </w:r>
      <w:r>
        <w:rPr>
          <w:rFonts w:ascii="Arial" w:hAnsi="Arial" w:cs="Arial"/>
          <w:i/>
          <w:iCs/>
          <w:sz w:val="24"/>
          <w:szCs w:val="24"/>
          <w:shd w:val="clear" w:color="auto" w:fill="FFFFFF"/>
        </w:rPr>
        <w:t>Children Rights in the UK</w:t>
      </w:r>
      <w:r>
        <w:rPr>
          <w:rFonts w:ascii="Arial" w:hAnsi="Arial" w:cs="Arial"/>
          <w:sz w:val="24"/>
          <w:szCs w:val="24"/>
          <w:shd w:val="clear" w:color="auto" w:fill="FFFFFF"/>
        </w:rPr>
        <w:t>. [online] Available at: &lt;https://www.equalityhumanrights.com/sites/default/files/childrens_rights_in_the_uk.pdf</w:t>
      </w:r>
      <w:r>
        <w:rPr>
          <w:rFonts w:ascii="Arial" w:hAnsi="Arial" w:cs="Arial"/>
          <w:sz w:val="24"/>
          <w:szCs w:val="24"/>
        </w:rPr>
        <w:t>&gt;</w:t>
      </w:r>
      <w:r>
        <w:rPr>
          <w:rFonts w:ascii="Arial" w:hAnsi="Arial" w:cs="Arial"/>
          <w:sz w:val="24"/>
          <w:szCs w:val="24"/>
          <w:shd w:val="clear" w:color="auto" w:fill="FFFFFF"/>
        </w:rPr>
        <w:t xml:space="preserve"> [Accessed 5 August 2021].</w:t>
      </w:r>
    </w:p>
    <w:p w14:paraId="3B1E52D1" w14:textId="77777777" w:rsidR="00A17FDB" w:rsidRDefault="00A17FDB" w:rsidP="00A17FDB">
      <w:pPr>
        <w:spacing w:line="360" w:lineRule="auto"/>
        <w:jc w:val="both"/>
        <w:rPr>
          <w:rFonts w:ascii="Arial" w:hAnsi="Arial" w:cs="Arial"/>
          <w:sz w:val="24"/>
          <w:szCs w:val="24"/>
        </w:rPr>
      </w:pPr>
      <w:r>
        <w:rPr>
          <w:rFonts w:ascii="Arial" w:hAnsi="Arial" w:cs="Arial"/>
          <w:color w:val="000000"/>
          <w:sz w:val="24"/>
          <w:szCs w:val="24"/>
          <w:shd w:val="clear" w:color="auto" w:fill="FFFFFF"/>
        </w:rPr>
        <w:t>GOV.UK. 2021. </w:t>
      </w:r>
      <w:proofErr w:type="spellStart"/>
      <w:r>
        <w:rPr>
          <w:rFonts w:ascii="Arial" w:hAnsi="Arial" w:cs="Arial"/>
          <w:i/>
          <w:iCs/>
          <w:color w:val="000000"/>
          <w:sz w:val="24"/>
          <w:szCs w:val="24"/>
          <w:shd w:val="clear" w:color="auto" w:fill="FFFFFF"/>
        </w:rPr>
        <w:t>Ofsted</w:t>
      </w:r>
      <w:proofErr w:type="spellEnd"/>
      <w:r>
        <w:rPr>
          <w:rFonts w:ascii="Arial" w:hAnsi="Arial" w:cs="Arial"/>
          <w:i/>
          <w:iCs/>
          <w:color w:val="000000"/>
          <w:sz w:val="24"/>
          <w:szCs w:val="24"/>
          <w:shd w:val="clear" w:color="auto" w:fill="FFFFFF"/>
        </w:rPr>
        <w:t xml:space="preserve"> safeguarding policy</w:t>
      </w:r>
      <w:r>
        <w:rPr>
          <w:rFonts w:ascii="Arial" w:hAnsi="Arial" w:cs="Arial"/>
          <w:color w:val="000000"/>
          <w:sz w:val="24"/>
          <w:szCs w:val="24"/>
          <w:shd w:val="clear" w:color="auto" w:fill="FFFFFF"/>
        </w:rPr>
        <w:t>. [online] Available at: &lt;https://www.gov.uk/government/publications/ofsted-safeguarding-policy/ofsted-safeguarding-policy&gt; [Accessed 5 August 2021].</w:t>
      </w:r>
    </w:p>
    <w:p w14:paraId="155BEEB9" w14:textId="77777777" w:rsidR="00A17FDB" w:rsidRDefault="00A17FDB" w:rsidP="00A17FDB">
      <w:pPr>
        <w:tabs>
          <w:tab w:val="left" w:pos="7083"/>
        </w:tabs>
        <w:spacing w:line="360" w:lineRule="auto"/>
        <w:jc w:val="both"/>
        <w:rPr>
          <w:rFonts w:ascii="Arial" w:hAnsi="Arial" w:cs="Arial"/>
          <w:sz w:val="24"/>
          <w:szCs w:val="24"/>
        </w:rPr>
      </w:pPr>
      <w:r>
        <w:rPr>
          <w:rFonts w:ascii="Arial" w:hAnsi="Arial" w:cs="Arial"/>
          <w:color w:val="000000"/>
          <w:sz w:val="24"/>
          <w:szCs w:val="24"/>
          <w:shd w:val="clear" w:color="auto" w:fill="FFFFFF"/>
        </w:rPr>
        <w:t>Harding, L., 2021. </w:t>
      </w:r>
      <w:r>
        <w:rPr>
          <w:rFonts w:ascii="Arial" w:hAnsi="Arial" w:cs="Arial"/>
          <w:i/>
          <w:iCs/>
          <w:color w:val="000000"/>
          <w:sz w:val="24"/>
          <w:szCs w:val="24"/>
          <w:shd w:val="clear" w:color="auto" w:fill="FFFFFF"/>
        </w:rPr>
        <w:t>Victoria Climbié’s mother: ‘I am shocked that I have been attacked for what I did’</w:t>
      </w:r>
      <w:r>
        <w:rPr>
          <w:rFonts w:ascii="Arial" w:hAnsi="Arial" w:cs="Arial"/>
          <w:color w:val="000000"/>
          <w:sz w:val="24"/>
          <w:szCs w:val="24"/>
          <w:shd w:val="clear" w:color="auto" w:fill="FFFFFF"/>
        </w:rPr>
        <w:t>. [online] Mail Online. Available at: &lt;https://www.dailymail.co.uk/home/you/article-1034908/Victoria-Climbi--8217-s-</w:t>
      </w:r>
      <w:r>
        <w:rPr>
          <w:rFonts w:ascii="Arial" w:hAnsi="Arial" w:cs="Arial"/>
          <w:color w:val="000000"/>
          <w:sz w:val="24"/>
          <w:szCs w:val="24"/>
          <w:shd w:val="clear" w:color="auto" w:fill="FFFFFF"/>
        </w:rPr>
        <w:lastRenderedPageBreak/>
        <w:t>mother-speaks--8216-I-shocked-I-attacked-I-did-8217.html&gt; [Accessed 6 August 2021].</w:t>
      </w:r>
    </w:p>
    <w:p w14:paraId="02E1FE09" w14:textId="77777777" w:rsidR="00A17FDB" w:rsidRDefault="00A17FDB" w:rsidP="00A17FD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Reid, K., 2005. The Implications of Every Child Matters and the Children Act for Schools. </w:t>
      </w:r>
      <w:r>
        <w:rPr>
          <w:rFonts w:ascii="Arial" w:hAnsi="Arial" w:cs="Arial"/>
          <w:i/>
          <w:iCs/>
          <w:color w:val="000000"/>
          <w:sz w:val="24"/>
          <w:szCs w:val="24"/>
          <w:shd w:val="clear" w:color="auto" w:fill="FFFFFF"/>
        </w:rPr>
        <w:t>Pastoral Care in Education</w:t>
      </w:r>
      <w:r>
        <w:rPr>
          <w:rFonts w:ascii="Arial" w:hAnsi="Arial" w:cs="Arial"/>
          <w:color w:val="000000"/>
          <w:sz w:val="24"/>
          <w:szCs w:val="24"/>
          <w:shd w:val="clear" w:color="auto" w:fill="FFFFFF"/>
        </w:rPr>
        <w:t>, 23(1), pp.12-18.</w:t>
      </w:r>
    </w:p>
    <w:p w14:paraId="32DB560B" w14:textId="77777777" w:rsidR="00A17FDB" w:rsidRDefault="00A17FDB" w:rsidP="00A17FD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Workingtogetheronline.co.uk. 2021. </w:t>
      </w:r>
      <w:r>
        <w:rPr>
          <w:rFonts w:ascii="Arial" w:hAnsi="Arial" w:cs="Arial"/>
          <w:i/>
          <w:iCs/>
          <w:sz w:val="24"/>
          <w:szCs w:val="24"/>
          <w:shd w:val="clear" w:color="auto" w:fill="FFFFFF"/>
        </w:rPr>
        <w:t>Working together to Safeguard Children</w:t>
      </w:r>
      <w:r>
        <w:rPr>
          <w:rFonts w:ascii="Arial" w:hAnsi="Arial" w:cs="Arial"/>
          <w:sz w:val="24"/>
          <w:szCs w:val="24"/>
          <w:shd w:val="clear" w:color="auto" w:fill="FFFFFF"/>
        </w:rPr>
        <w:t>. [online] Available at:&lt; http://www.workingtogetheronline.co.uk/documents/wt_2010.PDF</w:t>
      </w:r>
      <w:r>
        <w:rPr>
          <w:rFonts w:ascii="Arial" w:hAnsi="Arial" w:cs="Arial"/>
          <w:sz w:val="24"/>
          <w:szCs w:val="24"/>
        </w:rPr>
        <w:t xml:space="preserve">&gt; </w:t>
      </w:r>
      <w:r>
        <w:rPr>
          <w:rFonts w:ascii="Arial" w:hAnsi="Arial" w:cs="Arial"/>
          <w:sz w:val="24"/>
          <w:szCs w:val="24"/>
          <w:shd w:val="clear" w:color="auto" w:fill="FFFFFF"/>
        </w:rPr>
        <w:t>[Accessed 5 August 2021].</w:t>
      </w:r>
    </w:p>
    <w:p w14:paraId="2380B55F" w14:textId="77777777" w:rsidR="00A17FDB" w:rsidRDefault="00A17FDB" w:rsidP="00A17FDB">
      <w:pPr>
        <w:spacing w:line="360" w:lineRule="auto"/>
        <w:rPr>
          <w:rFonts w:ascii="Arial" w:hAnsi="Arial" w:cs="Arial"/>
          <w:color w:val="000000"/>
          <w:sz w:val="24"/>
          <w:szCs w:val="24"/>
          <w:shd w:val="clear" w:color="auto" w:fill="FFFFFF"/>
        </w:rPr>
      </w:pPr>
    </w:p>
    <w:p w14:paraId="1BBAD209" w14:textId="77777777" w:rsidR="00A17FDB" w:rsidRPr="001264F2" w:rsidRDefault="00A17FDB" w:rsidP="00A17FDB">
      <w:pPr>
        <w:spacing w:line="360" w:lineRule="auto"/>
        <w:ind w:firstLine="720"/>
        <w:jc w:val="both"/>
        <w:rPr>
          <w:rFonts w:ascii="Arial" w:hAnsi="Arial" w:cs="Arial"/>
          <w:sz w:val="24"/>
          <w:szCs w:val="24"/>
        </w:rPr>
      </w:pPr>
    </w:p>
    <w:p w14:paraId="45BC4AE0" w14:textId="77777777" w:rsidR="009B351B" w:rsidRDefault="009B351B"/>
    <w:sectPr w:rsidR="009B351B" w:rsidSect="008504FB">
      <w:headerReference w:type="default" r:id="rId5"/>
      <w:footerReference w:type="default" r:id="rId6"/>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837069"/>
      <w:docPartObj>
        <w:docPartGallery w:val="Page Numbers (Bottom of Page)"/>
        <w:docPartUnique/>
      </w:docPartObj>
    </w:sdtPr>
    <w:sdtEndPr>
      <w:rPr>
        <w:noProof/>
      </w:rPr>
    </w:sdtEndPr>
    <w:sdtContent>
      <w:p w14:paraId="644ADCF7" w14:textId="77777777" w:rsidR="008504FB" w:rsidRDefault="003A0B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BE512" w14:textId="77777777" w:rsidR="00BE7611" w:rsidRDefault="003A0B9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81F7" w14:textId="77777777" w:rsidR="0096272A" w:rsidRPr="0096272A" w:rsidRDefault="003A0B90">
    <w:pPr>
      <w:pStyle w:val="Header"/>
      <w:rPr>
        <w:rFonts w:ascii="Arial" w:hAnsi="Arial" w:cs="Arial"/>
      </w:rPr>
    </w:pPr>
    <w:r w:rsidRPr="0096272A">
      <w:rPr>
        <w:rFonts w:ascii="Arial" w:hAnsi="Arial" w:cs="Arial"/>
      </w:rPr>
      <w:t>Aqsa Butt</w:t>
    </w:r>
    <w:r>
      <w:rPr>
        <w:rFonts w:ascii="Arial" w:hAnsi="Arial" w:cs="Arial"/>
      </w:rPr>
      <w:t xml:space="preserve"> – 1914939</w:t>
    </w:r>
    <w:r>
      <w:rPr>
        <w:rFonts w:ascii="Arial" w:hAnsi="Arial" w:cs="Arial"/>
      </w:rPr>
      <w:tab/>
    </w:r>
    <w:r>
      <w:rPr>
        <w:rFonts w:ascii="Arial" w:hAnsi="Arial" w:cs="Arial"/>
      </w:rPr>
      <w:tab/>
      <w:t>BMHP500</w:t>
    </w:r>
    <w:r>
      <w:rPr>
        <w:rFonts w:ascii="Arial" w:hAnsi="Arial" w:cs="Arial"/>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FDB"/>
    <w:rsid w:val="003A0B90"/>
    <w:rsid w:val="009B351B"/>
    <w:rsid w:val="00A17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E768C"/>
  <w15:chartTrackingRefBased/>
  <w15:docId w15:val="{801CE385-3721-41EF-AF12-32DB803E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FDB"/>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A17FDB"/>
    <w:rPr>
      <w:rFonts w:ascii="Times New Roman" w:eastAsiaTheme="minorEastAsia" w:hAnsi="Times New Roman" w:cs="Times New Roman"/>
    </w:rPr>
  </w:style>
  <w:style w:type="paragraph" w:styleId="NoSpacing">
    <w:name w:val="No Spacing"/>
    <w:link w:val="NoSpacingChar"/>
    <w:uiPriority w:val="1"/>
    <w:qFormat/>
    <w:rsid w:val="00A17FDB"/>
    <w:pPr>
      <w:spacing w:after="0" w:line="240" w:lineRule="auto"/>
    </w:pPr>
    <w:rPr>
      <w:rFonts w:ascii="Times New Roman" w:eastAsiaTheme="minorEastAsia" w:hAnsi="Times New Roman" w:cs="Times New Roman"/>
    </w:rPr>
  </w:style>
  <w:style w:type="character" w:styleId="Hyperlink">
    <w:name w:val="Hyperlink"/>
    <w:basedOn w:val="DefaultParagraphFont"/>
    <w:uiPriority w:val="99"/>
    <w:unhideWhenUsed/>
    <w:rsid w:val="00A17FDB"/>
    <w:rPr>
      <w:color w:val="0563C1" w:themeColor="hyperlink"/>
      <w:u w:val="single"/>
    </w:rPr>
  </w:style>
  <w:style w:type="paragraph" w:styleId="Header">
    <w:name w:val="header"/>
    <w:basedOn w:val="Normal"/>
    <w:link w:val="HeaderChar"/>
    <w:uiPriority w:val="99"/>
    <w:unhideWhenUsed/>
    <w:rsid w:val="00A17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FDB"/>
    <w:rPr>
      <w:lang w:val="en-US"/>
    </w:rPr>
  </w:style>
  <w:style w:type="paragraph" w:styleId="Footer">
    <w:name w:val="footer"/>
    <w:basedOn w:val="Normal"/>
    <w:link w:val="FooterChar"/>
    <w:uiPriority w:val="99"/>
    <w:unhideWhenUsed/>
    <w:rsid w:val="00A17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FD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s://www.theguardian.com/profile/davidbatty" TargetMode="Externa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46DFD7499B4204ACDFA6DE0D56536E"/>
        <w:category>
          <w:name w:val="General"/>
          <w:gallery w:val="placeholder"/>
        </w:category>
        <w:types>
          <w:type w:val="bbPlcHdr"/>
        </w:types>
        <w:behaviors>
          <w:behavior w:val="content"/>
        </w:behaviors>
        <w:guid w:val="{63D96914-C90F-40AD-97E5-987D2FC089DB}"/>
      </w:docPartPr>
      <w:docPartBody>
        <w:p w:rsidR="00000000" w:rsidRDefault="00960BBD" w:rsidP="00960BBD">
          <w:pPr>
            <w:pStyle w:val="8746DFD7499B4204ACDFA6DE0D56536E"/>
          </w:pPr>
          <w:r>
            <w:rPr>
              <w:rFonts w:asciiTheme="majorHAnsi" w:eastAsiaTheme="majorEastAsia" w:hAnsiTheme="majorHAnsi" w:cstheme="majorBidi"/>
              <w:color w:val="4472C4" w:themeColor="accent1"/>
              <w:sz w:val="88"/>
              <w:szCs w:val="88"/>
            </w:rPr>
            <w:t>[Document title]</w:t>
          </w:r>
        </w:p>
      </w:docPartBody>
    </w:docPart>
    <w:docPart>
      <w:docPartPr>
        <w:name w:val="A353CD09DEE14620966BD99AB28C5EB1"/>
        <w:category>
          <w:name w:val="General"/>
          <w:gallery w:val="placeholder"/>
        </w:category>
        <w:types>
          <w:type w:val="bbPlcHdr"/>
        </w:types>
        <w:behaviors>
          <w:behavior w:val="content"/>
        </w:behaviors>
        <w:guid w:val="{133C2486-D3EF-44E5-BBC2-684BB8756D96}"/>
      </w:docPartPr>
      <w:docPartBody>
        <w:p w:rsidR="00000000" w:rsidRDefault="00960BBD" w:rsidP="00960BBD">
          <w:pPr>
            <w:pStyle w:val="A353CD09DEE14620966BD99AB28C5EB1"/>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BD"/>
    <w:rsid w:val="008178D0"/>
    <w:rsid w:val="00960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46DFD7499B4204ACDFA6DE0D56536E">
    <w:name w:val="8746DFD7499B4204ACDFA6DE0D56536E"/>
    <w:rsid w:val="00960BBD"/>
  </w:style>
  <w:style w:type="paragraph" w:customStyle="1" w:styleId="A353CD09DEE14620966BD99AB28C5EB1">
    <w:name w:val="A353CD09DEE14620966BD99AB28C5EB1"/>
    <w:rsid w:val="00960B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 Safegaurding in children</dc:title>
  <dc:subject/>
  <dc:creator>Aqsa Butt</dc:creator>
  <cp:keywords/>
  <dc:description/>
  <cp:lastModifiedBy>Mamoona Butt</cp:lastModifiedBy>
  <cp:revision>2</cp:revision>
  <dcterms:created xsi:type="dcterms:W3CDTF">2021-08-12T21:36:00Z</dcterms:created>
  <dcterms:modified xsi:type="dcterms:W3CDTF">2021-08-12T21:38:00Z</dcterms:modified>
</cp:coreProperties>
</file>