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A32F3BF" w14:textId="77777777" w:rsidR="00B322E0" w:rsidRPr="003F5759" w:rsidRDefault="00B322E0">
      <w:pPr>
        <w:jc w:val="center"/>
        <w:rPr>
          <w:rFonts w:ascii="Arial" w:hAnsi="Arial" w:cs="Arial"/>
          <w:b/>
          <w:i/>
          <w:color w:val="auto"/>
          <w:sz w:val="88"/>
          <w:szCs w:val="88"/>
        </w:rPr>
      </w:pPr>
    </w:p>
    <w:p w14:paraId="5FBD8A33" w14:textId="77777777" w:rsidR="00410CBD" w:rsidRPr="003F5759" w:rsidRDefault="00410CBD">
      <w:pPr>
        <w:jc w:val="center"/>
        <w:rPr>
          <w:rFonts w:ascii="Arial" w:hAnsi="Arial" w:cs="Arial"/>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5"/>
        <w:gridCol w:w="7305"/>
      </w:tblGrid>
      <w:tr w:rsidR="00656B94" w:rsidRPr="003F5759" w14:paraId="50EF6A8A" w14:textId="77777777" w:rsidTr="00410CBD">
        <w:trPr>
          <w:trHeight w:val="692"/>
        </w:trPr>
        <w:tc>
          <w:tcPr>
            <w:tcW w:w="2048" w:type="dxa"/>
          </w:tcPr>
          <w:p w14:paraId="056BBFFD" w14:textId="77777777" w:rsidR="00656B94" w:rsidRPr="003F5759" w:rsidRDefault="00656B94" w:rsidP="00F80D70">
            <w:pPr>
              <w:rPr>
                <w:rFonts w:ascii="Arial" w:hAnsi="Arial" w:cs="Arial"/>
                <w:b/>
                <w:i/>
              </w:rPr>
            </w:pPr>
            <w:r w:rsidRPr="003F5759">
              <w:rPr>
                <w:rFonts w:ascii="Arial" w:hAnsi="Arial" w:cs="Arial"/>
                <w:b/>
                <w:i/>
              </w:rPr>
              <w:t>Module</w:t>
            </w:r>
          </w:p>
        </w:tc>
        <w:tc>
          <w:tcPr>
            <w:tcW w:w="7347" w:type="dxa"/>
          </w:tcPr>
          <w:p w14:paraId="11B1113F" w14:textId="77777777" w:rsidR="00656B94" w:rsidRPr="003F5759" w:rsidRDefault="002674EE" w:rsidP="00F80D70">
            <w:pPr>
              <w:rPr>
                <w:rFonts w:ascii="Arial" w:hAnsi="Arial" w:cs="Arial"/>
              </w:rPr>
            </w:pPr>
            <w:r w:rsidRPr="003F5759">
              <w:rPr>
                <w:rFonts w:ascii="Arial" w:hAnsi="Arial" w:cs="Arial"/>
              </w:rPr>
              <w:t>Principles of Health and Social Care Practice</w:t>
            </w:r>
          </w:p>
        </w:tc>
      </w:tr>
      <w:tr w:rsidR="00656B94" w:rsidRPr="003F5759" w14:paraId="223ABE8C" w14:textId="77777777" w:rsidTr="00410CBD">
        <w:trPr>
          <w:trHeight w:val="717"/>
        </w:trPr>
        <w:tc>
          <w:tcPr>
            <w:tcW w:w="2048" w:type="dxa"/>
          </w:tcPr>
          <w:p w14:paraId="0BD70302" w14:textId="77777777" w:rsidR="00656B94" w:rsidRPr="003F5759" w:rsidRDefault="00656B94" w:rsidP="00F80D70">
            <w:pPr>
              <w:rPr>
                <w:rFonts w:ascii="Arial" w:hAnsi="Arial" w:cs="Arial"/>
                <w:b/>
                <w:i/>
              </w:rPr>
            </w:pPr>
            <w:r w:rsidRPr="003F5759">
              <w:rPr>
                <w:rFonts w:ascii="Arial" w:hAnsi="Arial" w:cs="Arial"/>
                <w:b/>
                <w:i/>
              </w:rPr>
              <w:t>Module Code</w:t>
            </w:r>
          </w:p>
        </w:tc>
        <w:tc>
          <w:tcPr>
            <w:tcW w:w="7347" w:type="dxa"/>
          </w:tcPr>
          <w:p w14:paraId="529B1328" w14:textId="77777777" w:rsidR="00656B94" w:rsidRPr="003F5759" w:rsidRDefault="002674EE" w:rsidP="002674EE">
            <w:pPr>
              <w:rPr>
                <w:rFonts w:ascii="Arial" w:hAnsi="Arial" w:cs="Arial"/>
              </w:rPr>
            </w:pPr>
            <w:r w:rsidRPr="003F5759">
              <w:rPr>
                <w:rFonts w:ascii="Arial" w:hAnsi="Arial" w:cs="Arial"/>
              </w:rPr>
              <w:t xml:space="preserve">BMHP5016 </w:t>
            </w:r>
          </w:p>
        </w:tc>
      </w:tr>
      <w:tr w:rsidR="00656B94" w:rsidRPr="003F5759" w14:paraId="71DABE39" w14:textId="77777777" w:rsidTr="00410CBD">
        <w:trPr>
          <w:trHeight w:val="692"/>
        </w:trPr>
        <w:tc>
          <w:tcPr>
            <w:tcW w:w="2048" w:type="dxa"/>
          </w:tcPr>
          <w:p w14:paraId="42ACD29B" w14:textId="77777777" w:rsidR="00656B94" w:rsidRPr="003F5759" w:rsidRDefault="00656B94" w:rsidP="00F80D70">
            <w:pPr>
              <w:rPr>
                <w:rFonts w:ascii="Arial" w:hAnsi="Arial" w:cs="Arial"/>
                <w:b/>
                <w:i/>
              </w:rPr>
            </w:pPr>
            <w:r w:rsidRPr="003F5759">
              <w:rPr>
                <w:rFonts w:ascii="Arial" w:hAnsi="Arial" w:cs="Arial"/>
                <w:b/>
                <w:i/>
              </w:rPr>
              <w:t xml:space="preserve">Student Name/ ID </w:t>
            </w:r>
          </w:p>
        </w:tc>
        <w:tc>
          <w:tcPr>
            <w:tcW w:w="7347" w:type="dxa"/>
          </w:tcPr>
          <w:p w14:paraId="7B1864AA" w14:textId="44D71DD4" w:rsidR="00656B94" w:rsidRPr="003F5759" w:rsidRDefault="005E68BC" w:rsidP="00F80D70">
            <w:pPr>
              <w:rPr>
                <w:rFonts w:ascii="Arial" w:hAnsi="Arial" w:cs="Arial"/>
              </w:rPr>
            </w:pPr>
            <w:r>
              <w:rPr>
                <w:rFonts w:ascii="Arial" w:hAnsi="Arial" w:cs="Arial"/>
              </w:rPr>
              <w:t>Marian lalus</w:t>
            </w:r>
          </w:p>
        </w:tc>
      </w:tr>
      <w:tr w:rsidR="00656B94" w:rsidRPr="003F5759" w14:paraId="03CCF0AA" w14:textId="77777777" w:rsidTr="00410CBD">
        <w:trPr>
          <w:trHeight w:val="692"/>
        </w:trPr>
        <w:tc>
          <w:tcPr>
            <w:tcW w:w="2048" w:type="dxa"/>
          </w:tcPr>
          <w:p w14:paraId="6FC08345" w14:textId="77777777" w:rsidR="00656B94" w:rsidRPr="003F5759" w:rsidRDefault="00656B94" w:rsidP="00F80D70">
            <w:pPr>
              <w:rPr>
                <w:rFonts w:ascii="Arial" w:hAnsi="Arial" w:cs="Arial"/>
                <w:b/>
                <w:i/>
              </w:rPr>
            </w:pPr>
            <w:r w:rsidRPr="003F5759">
              <w:rPr>
                <w:rFonts w:ascii="Arial" w:hAnsi="Arial" w:cs="Arial"/>
                <w:b/>
                <w:i/>
              </w:rPr>
              <w:t>Assignment Title</w:t>
            </w:r>
          </w:p>
        </w:tc>
        <w:tc>
          <w:tcPr>
            <w:tcW w:w="7347" w:type="dxa"/>
          </w:tcPr>
          <w:p w14:paraId="4778E3EE" w14:textId="77777777" w:rsidR="00656B94" w:rsidRPr="003F5759" w:rsidRDefault="002674EE" w:rsidP="00F80D70">
            <w:pPr>
              <w:rPr>
                <w:rFonts w:ascii="Arial" w:hAnsi="Arial" w:cs="Arial"/>
              </w:rPr>
            </w:pPr>
            <w:r w:rsidRPr="003F5759">
              <w:rPr>
                <w:rFonts w:ascii="Arial" w:hAnsi="Arial" w:cs="Arial"/>
              </w:rPr>
              <w:t>Evaluation of Person-Centred Care and Partnership Working within a Care Home Setting for Older Adults Living with Dementia</w:t>
            </w:r>
          </w:p>
        </w:tc>
      </w:tr>
      <w:tr w:rsidR="00656B94" w:rsidRPr="003F5759" w14:paraId="75A4CF4F" w14:textId="77777777" w:rsidTr="00410CBD">
        <w:trPr>
          <w:trHeight w:val="692"/>
        </w:trPr>
        <w:tc>
          <w:tcPr>
            <w:tcW w:w="2048" w:type="dxa"/>
          </w:tcPr>
          <w:p w14:paraId="68395D02" w14:textId="77777777" w:rsidR="00656B94" w:rsidRPr="003F5759" w:rsidRDefault="00656B94" w:rsidP="00F80D70">
            <w:pPr>
              <w:rPr>
                <w:rFonts w:ascii="Arial" w:hAnsi="Arial" w:cs="Arial"/>
                <w:b/>
                <w:i/>
              </w:rPr>
            </w:pPr>
            <w:r w:rsidRPr="003F5759">
              <w:rPr>
                <w:rFonts w:ascii="Arial" w:hAnsi="Arial" w:cs="Arial"/>
                <w:b/>
                <w:i/>
              </w:rPr>
              <w:t>Submission Date</w:t>
            </w:r>
          </w:p>
        </w:tc>
        <w:tc>
          <w:tcPr>
            <w:tcW w:w="7347" w:type="dxa"/>
          </w:tcPr>
          <w:p w14:paraId="7BB1F8DA" w14:textId="1EBEBBE4" w:rsidR="00656B94" w:rsidRPr="003F5759" w:rsidRDefault="005E68BC" w:rsidP="00F80D70">
            <w:pPr>
              <w:rPr>
                <w:rFonts w:ascii="Arial" w:hAnsi="Arial" w:cs="Arial"/>
              </w:rPr>
            </w:pPr>
            <w:r>
              <w:rPr>
                <w:rFonts w:ascii="Arial" w:hAnsi="Arial" w:cs="Arial"/>
              </w:rPr>
              <w:t>31/07/2026</w:t>
            </w:r>
          </w:p>
        </w:tc>
      </w:tr>
    </w:tbl>
    <w:p w14:paraId="4EB1FD2A" w14:textId="77777777" w:rsidR="00793373" w:rsidRPr="003F5759" w:rsidRDefault="009C2D59">
      <w:pPr>
        <w:jc w:val="center"/>
        <w:rPr>
          <w:rFonts w:ascii="Arial" w:hAnsi="Arial" w:cs="Arial"/>
          <w:b/>
          <w:i/>
          <w:color w:val="auto"/>
          <w:sz w:val="72"/>
          <w:szCs w:val="72"/>
        </w:rPr>
      </w:pPr>
      <w:r w:rsidRPr="003F5759">
        <w:rPr>
          <w:rFonts w:ascii="Arial" w:hAnsi="Arial" w:cs="Arial"/>
          <w:b/>
          <w:bCs/>
          <w:i/>
          <w:color w:val="auto"/>
          <w:sz w:val="72"/>
          <w:szCs w:val="72"/>
        </w:rPr>
        <w:t> </w:t>
      </w:r>
      <w:r w:rsidR="00B57A65" w:rsidRPr="003F5759">
        <w:rPr>
          <w:rFonts w:ascii="Arial" w:hAnsi="Arial" w:cs="Arial"/>
          <w:b/>
          <w:i/>
          <w:color w:val="auto"/>
          <w:sz w:val="72"/>
          <w:szCs w:val="72"/>
        </w:rPr>
        <w:t xml:space="preserve"> </w:t>
      </w:r>
    </w:p>
    <w:p w14:paraId="1D4A0AA7" w14:textId="77777777" w:rsidR="00793373" w:rsidRPr="003F5759" w:rsidRDefault="00793373">
      <w:pPr>
        <w:pStyle w:val="ContentsHeading"/>
        <w:pageBreakBefore/>
        <w:rPr>
          <w:rFonts w:ascii="Arial" w:hAnsi="Arial" w:cs="Arial"/>
          <w:color w:val="auto"/>
        </w:rPr>
      </w:pPr>
      <w:r w:rsidRPr="003F5759">
        <w:rPr>
          <w:rFonts w:ascii="Arial" w:hAnsi="Arial" w:cs="Arial"/>
          <w:color w:val="auto"/>
        </w:rPr>
        <w:lastRenderedPageBreak/>
        <w:t>Table of Contents</w:t>
      </w:r>
    </w:p>
    <w:p w14:paraId="3C876CB4" w14:textId="77777777" w:rsidR="00E1157E" w:rsidRPr="003F5759" w:rsidRDefault="00793373">
      <w:pPr>
        <w:pStyle w:val="TOC1"/>
        <w:rPr>
          <w:rFonts w:ascii="Arial" w:eastAsiaTheme="minorEastAsia" w:hAnsi="Arial" w:cs="Arial"/>
          <w:noProof/>
          <w:color w:val="auto"/>
          <w:sz w:val="22"/>
          <w:lang w:eastAsia="en-GB"/>
        </w:rPr>
      </w:pPr>
      <w:r w:rsidRPr="003F5759">
        <w:rPr>
          <w:rFonts w:ascii="Arial" w:hAnsi="Arial" w:cs="Arial"/>
          <w:color w:val="auto"/>
        </w:rPr>
        <w:fldChar w:fldCharType="begin"/>
      </w:r>
      <w:r w:rsidRPr="003F5759">
        <w:rPr>
          <w:rFonts w:ascii="Arial" w:hAnsi="Arial" w:cs="Arial"/>
          <w:color w:val="auto"/>
        </w:rPr>
        <w:instrText xml:space="preserve"> TOC \f \o "1-9" \o "1-9" </w:instrText>
      </w:r>
      <w:r w:rsidRPr="003F5759">
        <w:rPr>
          <w:rFonts w:ascii="Arial" w:hAnsi="Arial" w:cs="Arial"/>
          <w:color w:val="auto"/>
        </w:rPr>
        <w:fldChar w:fldCharType="separate"/>
      </w:r>
      <w:r w:rsidR="00E1157E" w:rsidRPr="003F5759">
        <w:rPr>
          <w:rFonts w:ascii="Arial" w:hAnsi="Arial" w:cs="Arial"/>
          <w:noProof/>
        </w:rPr>
        <w:t>Introduction</w:t>
      </w:r>
      <w:r w:rsidR="00E1157E" w:rsidRPr="003F5759">
        <w:rPr>
          <w:rFonts w:ascii="Arial" w:hAnsi="Arial" w:cs="Arial"/>
          <w:noProof/>
        </w:rPr>
        <w:tab/>
      </w:r>
      <w:r w:rsidR="00E1157E" w:rsidRPr="003F5759">
        <w:rPr>
          <w:rFonts w:ascii="Arial" w:hAnsi="Arial" w:cs="Arial"/>
          <w:noProof/>
        </w:rPr>
        <w:fldChar w:fldCharType="begin"/>
      </w:r>
      <w:r w:rsidR="00E1157E" w:rsidRPr="003F5759">
        <w:rPr>
          <w:rFonts w:ascii="Arial" w:hAnsi="Arial" w:cs="Arial"/>
          <w:noProof/>
        </w:rPr>
        <w:instrText xml:space="preserve"> PAGEREF _Toc236321577 \h </w:instrText>
      </w:r>
      <w:r w:rsidR="00E1157E" w:rsidRPr="003F5759">
        <w:rPr>
          <w:rFonts w:ascii="Arial" w:hAnsi="Arial" w:cs="Arial"/>
          <w:noProof/>
        </w:rPr>
      </w:r>
      <w:r w:rsidR="00E1157E" w:rsidRPr="003F5759">
        <w:rPr>
          <w:rFonts w:ascii="Arial" w:hAnsi="Arial" w:cs="Arial"/>
          <w:noProof/>
        </w:rPr>
        <w:fldChar w:fldCharType="separate"/>
      </w:r>
      <w:r w:rsidR="00E1157E" w:rsidRPr="003F5759">
        <w:rPr>
          <w:rFonts w:ascii="Arial" w:hAnsi="Arial" w:cs="Arial"/>
          <w:noProof/>
        </w:rPr>
        <w:t>3</w:t>
      </w:r>
      <w:r w:rsidR="00E1157E" w:rsidRPr="003F5759">
        <w:rPr>
          <w:rFonts w:ascii="Arial" w:hAnsi="Arial" w:cs="Arial"/>
          <w:noProof/>
        </w:rPr>
        <w:fldChar w:fldCharType="end"/>
      </w:r>
    </w:p>
    <w:p w14:paraId="32620C89"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Definition, Benefits and Limitations of Person-Centred Care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_Toc236321578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4</w:t>
      </w:r>
      <w:r w:rsidRPr="003F5759">
        <w:rPr>
          <w:rFonts w:ascii="Arial" w:hAnsi="Arial" w:cs="Arial"/>
          <w:noProof/>
        </w:rPr>
        <w:fldChar w:fldCharType="end"/>
      </w:r>
    </w:p>
    <w:p w14:paraId="7687A0C2"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Person-Centred Care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_Toc236321579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4</w:t>
      </w:r>
      <w:r w:rsidRPr="003F5759">
        <w:rPr>
          <w:rFonts w:ascii="Arial" w:hAnsi="Arial" w:cs="Arial"/>
          <w:noProof/>
        </w:rPr>
        <w:fldChar w:fldCharType="end"/>
      </w:r>
    </w:p>
    <w:p w14:paraId="4C2F2D22"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Benefits of Person-Centred Care in Dementia Care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_Toc236321580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4</w:t>
      </w:r>
      <w:r w:rsidRPr="003F5759">
        <w:rPr>
          <w:rFonts w:ascii="Arial" w:hAnsi="Arial" w:cs="Arial"/>
          <w:noProof/>
        </w:rPr>
        <w:fldChar w:fldCharType="end"/>
      </w:r>
    </w:p>
    <w:p w14:paraId="48E35887"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Limitations of Person-Centred Care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_Toc236321581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5</w:t>
      </w:r>
      <w:r w:rsidRPr="003F5759">
        <w:rPr>
          <w:rFonts w:ascii="Arial" w:hAnsi="Arial" w:cs="Arial"/>
          <w:noProof/>
        </w:rPr>
        <w:fldChar w:fldCharType="end"/>
      </w:r>
    </w:p>
    <w:p w14:paraId="54C81174"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Critical Examination of Kitwood’s Person-Centred Dementia Care Model</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_Toc236321582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6</w:t>
      </w:r>
      <w:r w:rsidRPr="003F5759">
        <w:rPr>
          <w:rFonts w:ascii="Arial" w:hAnsi="Arial" w:cs="Arial"/>
          <w:noProof/>
        </w:rPr>
        <w:fldChar w:fldCharType="end"/>
      </w:r>
    </w:p>
    <w:p w14:paraId="1A5263E3"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Kitwood’s Model</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_Toc236321583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6</w:t>
      </w:r>
      <w:r w:rsidRPr="003F5759">
        <w:rPr>
          <w:rFonts w:ascii="Arial" w:hAnsi="Arial" w:cs="Arial"/>
          <w:noProof/>
        </w:rPr>
        <w:fldChar w:fldCharType="end"/>
      </w:r>
    </w:p>
    <w:p w14:paraId="65CEBFA6"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Application within a Care Home Setting</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_Toc236321584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7</w:t>
      </w:r>
      <w:r w:rsidRPr="003F5759">
        <w:rPr>
          <w:rFonts w:ascii="Arial" w:hAnsi="Arial" w:cs="Arial"/>
          <w:noProof/>
        </w:rPr>
        <w:fldChar w:fldCharType="end"/>
      </w:r>
    </w:p>
    <w:p w14:paraId="479B2862"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Critical Evaluation</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_Toc236321585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7</w:t>
      </w:r>
      <w:r w:rsidRPr="003F5759">
        <w:rPr>
          <w:rFonts w:ascii="Arial" w:hAnsi="Arial" w:cs="Arial"/>
          <w:noProof/>
        </w:rPr>
        <w:fldChar w:fldCharType="end"/>
      </w:r>
    </w:p>
    <w:p w14:paraId="266912B7"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Ethical Principles in Health and Social Care Practice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_Toc236321586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8</w:t>
      </w:r>
      <w:r w:rsidRPr="003F5759">
        <w:rPr>
          <w:rFonts w:ascii="Arial" w:hAnsi="Arial" w:cs="Arial"/>
          <w:noProof/>
        </w:rPr>
        <w:fldChar w:fldCharType="end"/>
      </w:r>
    </w:p>
    <w:p w14:paraId="27FFCB87"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Partnership Working in Health and Social Care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_Toc236321587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9</w:t>
      </w:r>
      <w:r w:rsidRPr="003F5759">
        <w:rPr>
          <w:rFonts w:ascii="Arial" w:hAnsi="Arial" w:cs="Arial"/>
          <w:noProof/>
        </w:rPr>
        <w:fldChar w:fldCharType="end"/>
      </w:r>
    </w:p>
    <w:p w14:paraId="1B2FB3BE"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Partnership Working in Dementia Care</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_Toc236321588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10</w:t>
      </w:r>
      <w:r w:rsidRPr="003F5759">
        <w:rPr>
          <w:rFonts w:ascii="Arial" w:hAnsi="Arial" w:cs="Arial"/>
          <w:noProof/>
        </w:rPr>
        <w:fldChar w:fldCharType="end"/>
      </w:r>
    </w:p>
    <w:p w14:paraId="100F2E42" w14:textId="77777777" w:rsidR="00E1157E" w:rsidRPr="003F5759" w:rsidRDefault="00E1157E">
      <w:pPr>
        <w:pStyle w:val="TOC2"/>
        <w:rPr>
          <w:rFonts w:ascii="Arial" w:eastAsiaTheme="minorEastAsia" w:hAnsi="Arial" w:cs="Arial"/>
          <w:noProof/>
          <w:color w:val="auto"/>
          <w:sz w:val="22"/>
          <w:lang w:eastAsia="en-GB"/>
        </w:rPr>
      </w:pPr>
      <w:r w:rsidRPr="003F5759">
        <w:rPr>
          <w:rFonts w:ascii="Arial" w:hAnsi="Arial" w:cs="Arial"/>
          <w:noProof/>
        </w:rPr>
        <w:t>Challenges of Partnership Working</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_Toc236321589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11</w:t>
      </w:r>
      <w:r w:rsidRPr="003F5759">
        <w:rPr>
          <w:rFonts w:ascii="Arial" w:hAnsi="Arial" w:cs="Arial"/>
          <w:noProof/>
        </w:rPr>
        <w:fldChar w:fldCharType="end"/>
      </w:r>
    </w:p>
    <w:p w14:paraId="316E503A"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Relevant Policy and Legislation</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_Toc236321590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11</w:t>
      </w:r>
      <w:r w:rsidRPr="003F5759">
        <w:rPr>
          <w:rFonts w:ascii="Arial" w:hAnsi="Arial" w:cs="Arial"/>
          <w:noProof/>
        </w:rPr>
        <w:fldChar w:fldCharType="end"/>
      </w:r>
    </w:p>
    <w:p w14:paraId="70088806"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Recommendations and Conclusion</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_Toc236321591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12</w:t>
      </w:r>
      <w:r w:rsidRPr="003F5759">
        <w:rPr>
          <w:rFonts w:ascii="Arial" w:hAnsi="Arial" w:cs="Arial"/>
          <w:noProof/>
        </w:rPr>
        <w:fldChar w:fldCharType="end"/>
      </w:r>
    </w:p>
    <w:p w14:paraId="12574EE9" w14:textId="77777777" w:rsidR="00E1157E" w:rsidRPr="003F5759" w:rsidRDefault="00E1157E">
      <w:pPr>
        <w:pStyle w:val="TOC1"/>
        <w:rPr>
          <w:rFonts w:ascii="Arial" w:eastAsiaTheme="minorEastAsia" w:hAnsi="Arial" w:cs="Arial"/>
          <w:noProof/>
          <w:color w:val="auto"/>
          <w:sz w:val="22"/>
          <w:lang w:eastAsia="en-GB"/>
        </w:rPr>
      </w:pPr>
      <w:r w:rsidRPr="003F5759">
        <w:rPr>
          <w:rFonts w:ascii="Arial" w:hAnsi="Arial" w:cs="Arial"/>
          <w:noProof/>
        </w:rPr>
        <w:t>References</w:t>
      </w:r>
      <w:r w:rsidRPr="003F5759">
        <w:rPr>
          <w:rFonts w:ascii="Arial" w:hAnsi="Arial" w:cs="Arial"/>
          <w:noProof/>
        </w:rPr>
        <w:tab/>
      </w:r>
      <w:r w:rsidRPr="003F5759">
        <w:rPr>
          <w:rFonts w:ascii="Arial" w:hAnsi="Arial" w:cs="Arial"/>
          <w:noProof/>
        </w:rPr>
        <w:fldChar w:fldCharType="begin"/>
      </w:r>
      <w:r w:rsidRPr="003F5759">
        <w:rPr>
          <w:rFonts w:ascii="Arial" w:hAnsi="Arial" w:cs="Arial"/>
          <w:noProof/>
        </w:rPr>
        <w:instrText xml:space="preserve"> PAGEREF _Toc236321592 \h </w:instrText>
      </w:r>
      <w:r w:rsidRPr="003F5759">
        <w:rPr>
          <w:rFonts w:ascii="Arial" w:hAnsi="Arial" w:cs="Arial"/>
          <w:noProof/>
        </w:rPr>
      </w:r>
      <w:r w:rsidRPr="003F5759">
        <w:rPr>
          <w:rFonts w:ascii="Arial" w:hAnsi="Arial" w:cs="Arial"/>
          <w:noProof/>
        </w:rPr>
        <w:fldChar w:fldCharType="separate"/>
      </w:r>
      <w:r w:rsidRPr="003F5759">
        <w:rPr>
          <w:rFonts w:ascii="Arial" w:hAnsi="Arial" w:cs="Arial"/>
          <w:noProof/>
        </w:rPr>
        <w:t>13</w:t>
      </w:r>
      <w:r w:rsidRPr="003F5759">
        <w:rPr>
          <w:rFonts w:ascii="Arial" w:hAnsi="Arial" w:cs="Arial"/>
          <w:noProof/>
        </w:rPr>
        <w:fldChar w:fldCharType="end"/>
      </w:r>
    </w:p>
    <w:p w14:paraId="3A7AF65E" w14:textId="77777777" w:rsidR="005901D0" w:rsidRPr="003F5759" w:rsidRDefault="00793373" w:rsidP="005901D0">
      <w:pPr>
        <w:pStyle w:val="TOC1"/>
        <w:rPr>
          <w:rFonts w:ascii="Arial" w:hAnsi="Arial" w:cs="Arial"/>
          <w:color w:val="auto"/>
        </w:rPr>
      </w:pPr>
      <w:r w:rsidRPr="003F5759">
        <w:rPr>
          <w:rFonts w:ascii="Arial" w:hAnsi="Arial" w:cs="Arial"/>
          <w:color w:val="auto"/>
        </w:rPr>
        <w:fldChar w:fldCharType="end"/>
      </w:r>
    </w:p>
    <w:p w14:paraId="1A4A570E" w14:textId="77777777" w:rsidR="00524FF4" w:rsidRPr="003F5759" w:rsidRDefault="00524FF4" w:rsidP="00524FF4">
      <w:pPr>
        <w:pStyle w:val="TOC1"/>
        <w:jc w:val="center"/>
        <w:rPr>
          <w:rFonts w:ascii="Arial" w:hAnsi="Arial" w:cs="Arial"/>
          <w:b/>
          <w:color w:val="auto"/>
          <w:sz w:val="28"/>
          <w:szCs w:val="24"/>
        </w:rPr>
      </w:pPr>
      <w:r w:rsidRPr="003F5759">
        <w:rPr>
          <w:rFonts w:ascii="Arial" w:hAnsi="Arial" w:cs="Arial"/>
          <w:b/>
          <w:color w:val="auto"/>
          <w:sz w:val="28"/>
        </w:rPr>
        <w:t>List of Figures</w:t>
      </w:r>
    </w:p>
    <w:p w14:paraId="30FA84EF" w14:textId="77777777" w:rsidR="00524FF4" w:rsidRPr="003F5759" w:rsidRDefault="00524FF4">
      <w:pPr>
        <w:pStyle w:val="TableofFigures"/>
        <w:tabs>
          <w:tab w:val="right" w:leader="dot" w:pos="9350"/>
        </w:tabs>
        <w:rPr>
          <w:rFonts w:ascii="Arial" w:eastAsiaTheme="minorEastAsia" w:hAnsi="Arial" w:cs="Arial"/>
          <w:noProof/>
          <w:color w:val="auto"/>
          <w:sz w:val="22"/>
          <w:lang w:eastAsia="en-GB"/>
        </w:rPr>
      </w:pPr>
      <w:r w:rsidRPr="003F5759">
        <w:rPr>
          <w:rFonts w:ascii="Arial" w:hAnsi="Arial" w:cs="Arial"/>
          <w:color w:val="auto"/>
          <w:szCs w:val="24"/>
        </w:rPr>
        <w:fldChar w:fldCharType="begin"/>
      </w:r>
      <w:r w:rsidRPr="003F5759">
        <w:rPr>
          <w:rFonts w:ascii="Arial" w:hAnsi="Arial" w:cs="Arial"/>
          <w:color w:val="auto"/>
          <w:szCs w:val="24"/>
        </w:rPr>
        <w:instrText xml:space="preserve"> TOC \h \z \c "Figure" </w:instrText>
      </w:r>
      <w:r w:rsidRPr="003F5759">
        <w:rPr>
          <w:rFonts w:ascii="Arial" w:hAnsi="Arial" w:cs="Arial"/>
          <w:color w:val="auto"/>
          <w:szCs w:val="24"/>
        </w:rPr>
        <w:fldChar w:fldCharType="separate"/>
      </w:r>
      <w:hyperlink w:anchor="_Toc236306276" w:history="1">
        <w:r w:rsidRPr="003F5759">
          <w:rPr>
            <w:rStyle w:val="Hyperlink"/>
            <w:rFonts w:ascii="Arial" w:hAnsi="Arial" w:cs="Arial"/>
            <w:noProof/>
          </w:rPr>
          <w:t>Figure 1: PCC Model</w:t>
        </w:r>
        <w:r w:rsidRPr="003F5759">
          <w:rPr>
            <w:rFonts w:ascii="Arial" w:hAnsi="Arial" w:cs="Arial"/>
            <w:noProof/>
            <w:webHidden/>
          </w:rPr>
          <w:tab/>
        </w:r>
        <w:r w:rsidRPr="003F5759">
          <w:rPr>
            <w:rFonts w:ascii="Arial" w:hAnsi="Arial" w:cs="Arial"/>
            <w:noProof/>
            <w:webHidden/>
          </w:rPr>
          <w:fldChar w:fldCharType="begin"/>
        </w:r>
        <w:r w:rsidRPr="003F5759">
          <w:rPr>
            <w:rFonts w:ascii="Arial" w:hAnsi="Arial" w:cs="Arial"/>
            <w:noProof/>
            <w:webHidden/>
          </w:rPr>
          <w:instrText xml:space="preserve"> PAGEREF _Toc236306276 \h </w:instrText>
        </w:r>
        <w:r w:rsidRPr="003F5759">
          <w:rPr>
            <w:rFonts w:ascii="Arial" w:hAnsi="Arial" w:cs="Arial"/>
            <w:noProof/>
            <w:webHidden/>
          </w:rPr>
        </w:r>
        <w:r w:rsidRPr="003F5759">
          <w:rPr>
            <w:rFonts w:ascii="Arial" w:hAnsi="Arial" w:cs="Arial"/>
            <w:noProof/>
            <w:webHidden/>
          </w:rPr>
          <w:fldChar w:fldCharType="separate"/>
        </w:r>
        <w:r w:rsidRPr="003F5759">
          <w:rPr>
            <w:rFonts w:ascii="Arial" w:hAnsi="Arial" w:cs="Arial"/>
            <w:noProof/>
            <w:webHidden/>
          </w:rPr>
          <w:t>3</w:t>
        </w:r>
        <w:r w:rsidRPr="003F5759">
          <w:rPr>
            <w:rFonts w:ascii="Arial" w:hAnsi="Arial" w:cs="Arial"/>
            <w:noProof/>
            <w:webHidden/>
          </w:rPr>
          <w:fldChar w:fldCharType="end"/>
        </w:r>
      </w:hyperlink>
    </w:p>
    <w:p w14:paraId="15CA9E4B" w14:textId="77777777" w:rsidR="00524FF4" w:rsidRPr="003F5759" w:rsidRDefault="00524FF4">
      <w:pPr>
        <w:pStyle w:val="TableofFigures"/>
        <w:tabs>
          <w:tab w:val="right" w:leader="dot" w:pos="9350"/>
        </w:tabs>
        <w:rPr>
          <w:rFonts w:ascii="Arial" w:eastAsiaTheme="minorEastAsia" w:hAnsi="Arial" w:cs="Arial"/>
          <w:noProof/>
          <w:color w:val="auto"/>
          <w:sz w:val="22"/>
          <w:lang w:eastAsia="en-GB"/>
        </w:rPr>
      </w:pPr>
      <w:hyperlink w:anchor="_Toc236306277" w:history="1">
        <w:r w:rsidRPr="003F5759">
          <w:rPr>
            <w:rStyle w:val="Hyperlink"/>
            <w:rFonts w:ascii="Arial" w:hAnsi="Arial" w:cs="Arial"/>
            <w:noProof/>
          </w:rPr>
          <w:t>Figure 2: Person-Cantered Dementia Care</w:t>
        </w:r>
        <w:r w:rsidRPr="003F5759">
          <w:rPr>
            <w:rFonts w:ascii="Arial" w:hAnsi="Arial" w:cs="Arial"/>
            <w:noProof/>
            <w:webHidden/>
          </w:rPr>
          <w:tab/>
        </w:r>
        <w:r w:rsidRPr="003F5759">
          <w:rPr>
            <w:rFonts w:ascii="Arial" w:hAnsi="Arial" w:cs="Arial"/>
            <w:noProof/>
            <w:webHidden/>
          </w:rPr>
          <w:fldChar w:fldCharType="begin"/>
        </w:r>
        <w:r w:rsidRPr="003F5759">
          <w:rPr>
            <w:rFonts w:ascii="Arial" w:hAnsi="Arial" w:cs="Arial"/>
            <w:noProof/>
            <w:webHidden/>
          </w:rPr>
          <w:instrText xml:space="preserve"> PAGEREF _Toc236306277 \h </w:instrText>
        </w:r>
        <w:r w:rsidRPr="003F5759">
          <w:rPr>
            <w:rFonts w:ascii="Arial" w:hAnsi="Arial" w:cs="Arial"/>
            <w:noProof/>
            <w:webHidden/>
          </w:rPr>
        </w:r>
        <w:r w:rsidRPr="003F5759">
          <w:rPr>
            <w:rFonts w:ascii="Arial" w:hAnsi="Arial" w:cs="Arial"/>
            <w:noProof/>
            <w:webHidden/>
          </w:rPr>
          <w:fldChar w:fldCharType="separate"/>
        </w:r>
        <w:r w:rsidRPr="003F5759">
          <w:rPr>
            <w:rFonts w:ascii="Arial" w:hAnsi="Arial" w:cs="Arial"/>
            <w:noProof/>
            <w:webHidden/>
          </w:rPr>
          <w:t>5</w:t>
        </w:r>
        <w:r w:rsidRPr="003F5759">
          <w:rPr>
            <w:rFonts w:ascii="Arial" w:hAnsi="Arial" w:cs="Arial"/>
            <w:noProof/>
            <w:webHidden/>
          </w:rPr>
          <w:fldChar w:fldCharType="end"/>
        </w:r>
      </w:hyperlink>
    </w:p>
    <w:p w14:paraId="19275214" w14:textId="77777777" w:rsidR="00524FF4" w:rsidRPr="003F5759" w:rsidRDefault="00524FF4">
      <w:pPr>
        <w:pStyle w:val="TableofFigures"/>
        <w:tabs>
          <w:tab w:val="right" w:leader="dot" w:pos="9350"/>
        </w:tabs>
        <w:rPr>
          <w:rFonts w:ascii="Arial" w:eastAsiaTheme="minorEastAsia" w:hAnsi="Arial" w:cs="Arial"/>
          <w:noProof/>
          <w:color w:val="auto"/>
          <w:sz w:val="22"/>
          <w:lang w:eastAsia="en-GB"/>
        </w:rPr>
      </w:pPr>
      <w:hyperlink w:anchor="_Toc236306278" w:history="1">
        <w:r w:rsidRPr="003F5759">
          <w:rPr>
            <w:rStyle w:val="Hyperlink"/>
            <w:rFonts w:ascii="Arial" w:hAnsi="Arial" w:cs="Arial"/>
            <w:noProof/>
          </w:rPr>
          <w:t>Figure 3: Kitwood’s flower of person-centred care</w:t>
        </w:r>
        <w:r w:rsidRPr="003F5759">
          <w:rPr>
            <w:rFonts w:ascii="Arial" w:hAnsi="Arial" w:cs="Arial"/>
            <w:noProof/>
            <w:webHidden/>
          </w:rPr>
          <w:tab/>
        </w:r>
        <w:r w:rsidRPr="003F5759">
          <w:rPr>
            <w:rFonts w:ascii="Arial" w:hAnsi="Arial" w:cs="Arial"/>
            <w:noProof/>
            <w:webHidden/>
          </w:rPr>
          <w:fldChar w:fldCharType="begin"/>
        </w:r>
        <w:r w:rsidRPr="003F5759">
          <w:rPr>
            <w:rFonts w:ascii="Arial" w:hAnsi="Arial" w:cs="Arial"/>
            <w:noProof/>
            <w:webHidden/>
          </w:rPr>
          <w:instrText xml:space="preserve"> PAGEREF _Toc236306278 \h </w:instrText>
        </w:r>
        <w:r w:rsidRPr="003F5759">
          <w:rPr>
            <w:rFonts w:ascii="Arial" w:hAnsi="Arial" w:cs="Arial"/>
            <w:noProof/>
            <w:webHidden/>
          </w:rPr>
        </w:r>
        <w:r w:rsidRPr="003F5759">
          <w:rPr>
            <w:rFonts w:ascii="Arial" w:hAnsi="Arial" w:cs="Arial"/>
            <w:noProof/>
            <w:webHidden/>
          </w:rPr>
          <w:fldChar w:fldCharType="separate"/>
        </w:r>
        <w:r w:rsidRPr="003F5759">
          <w:rPr>
            <w:rFonts w:ascii="Arial" w:hAnsi="Arial" w:cs="Arial"/>
            <w:noProof/>
            <w:webHidden/>
          </w:rPr>
          <w:t>6</w:t>
        </w:r>
        <w:r w:rsidRPr="003F5759">
          <w:rPr>
            <w:rFonts w:ascii="Arial" w:hAnsi="Arial" w:cs="Arial"/>
            <w:noProof/>
            <w:webHidden/>
          </w:rPr>
          <w:fldChar w:fldCharType="end"/>
        </w:r>
      </w:hyperlink>
    </w:p>
    <w:p w14:paraId="148490E6" w14:textId="77777777" w:rsidR="00524FF4" w:rsidRPr="003F5759" w:rsidRDefault="00524FF4">
      <w:pPr>
        <w:pStyle w:val="TableofFigures"/>
        <w:tabs>
          <w:tab w:val="right" w:leader="dot" w:pos="9350"/>
        </w:tabs>
        <w:rPr>
          <w:rFonts w:ascii="Arial" w:eastAsiaTheme="minorEastAsia" w:hAnsi="Arial" w:cs="Arial"/>
          <w:noProof/>
          <w:color w:val="auto"/>
          <w:sz w:val="22"/>
          <w:lang w:eastAsia="en-GB"/>
        </w:rPr>
      </w:pPr>
      <w:hyperlink w:anchor="_Toc236306279" w:history="1">
        <w:r w:rsidRPr="003F5759">
          <w:rPr>
            <w:rStyle w:val="Hyperlink"/>
            <w:rFonts w:ascii="Arial" w:hAnsi="Arial" w:cs="Arial"/>
            <w:noProof/>
          </w:rPr>
          <w:t>Figure 4: The Role of Ethical Considerations in Health and Social Care</w:t>
        </w:r>
        <w:r w:rsidRPr="003F5759">
          <w:rPr>
            <w:rFonts w:ascii="Arial" w:hAnsi="Arial" w:cs="Arial"/>
            <w:noProof/>
            <w:webHidden/>
          </w:rPr>
          <w:tab/>
        </w:r>
        <w:r w:rsidRPr="003F5759">
          <w:rPr>
            <w:rFonts w:ascii="Arial" w:hAnsi="Arial" w:cs="Arial"/>
            <w:noProof/>
            <w:webHidden/>
          </w:rPr>
          <w:fldChar w:fldCharType="begin"/>
        </w:r>
        <w:r w:rsidRPr="003F5759">
          <w:rPr>
            <w:rFonts w:ascii="Arial" w:hAnsi="Arial" w:cs="Arial"/>
            <w:noProof/>
            <w:webHidden/>
          </w:rPr>
          <w:instrText xml:space="preserve"> PAGEREF _Toc236306279 \h </w:instrText>
        </w:r>
        <w:r w:rsidRPr="003F5759">
          <w:rPr>
            <w:rFonts w:ascii="Arial" w:hAnsi="Arial" w:cs="Arial"/>
            <w:noProof/>
            <w:webHidden/>
          </w:rPr>
        </w:r>
        <w:r w:rsidRPr="003F5759">
          <w:rPr>
            <w:rFonts w:ascii="Arial" w:hAnsi="Arial" w:cs="Arial"/>
            <w:noProof/>
            <w:webHidden/>
          </w:rPr>
          <w:fldChar w:fldCharType="separate"/>
        </w:r>
        <w:r w:rsidRPr="003F5759">
          <w:rPr>
            <w:rFonts w:ascii="Arial" w:hAnsi="Arial" w:cs="Arial"/>
            <w:noProof/>
            <w:webHidden/>
          </w:rPr>
          <w:t>8</w:t>
        </w:r>
        <w:r w:rsidRPr="003F5759">
          <w:rPr>
            <w:rFonts w:ascii="Arial" w:hAnsi="Arial" w:cs="Arial"/>
            <w:noProof/>
            <w:webHidden/>
          </w:rPr>
          <w:fldChar w:fldCharType="end"/>
        </w:r>
      </w:hyperlink>
    </w:p>
    <w:p w14:paraId="3CB793E8" w14:textId="77777777" w:rsidR="00524FF4" w:rsidRPr="003F5759" w:rsidRDefault="00524FF4">
      <w:pPr>
        <w:pStyle w:val="TableofFigures"/>
        <w:tabs>
          <w:tab w:val="right" w:leader="dot" w:pos="9350"/>
        </w:tabs>
        <w:rPr>
          <w:rFonts w:ascii="Arial" w:eastAsiaTheme="minorEastAsia" w:hAnsi="Arial" w:cs="Arial"/>
          <w:noProof/>
          <w:color w:val="auto"/>
          <w:sz w:val="22"/>
          <w:lang w:eastAsia="en-GB"/>
        </w:rPr>
      </w:pPr>
      <w:hyperlink w:anchor="_Toc236306280" w:history="1">
        <w:r w:rsidRPr="003F5759">
          <w:rPr>
            <w:rStyle w:val="Hyperlink"/>
            <w:rFonts w:ascii="Arial" w:hAnsi="Arial" w:cs="Arial"/>
            <w:noProof/>
          </w:rPr>
          <w:t>Figure 5: Partnership Working in Health and Social Care</w:t>
        </w:r>
        <w:r w:rsidRPr="003F5759">
          <w:rPr>
            <w:rFonts w:ascii="Arial" w:hAnsi="Arial" w:cs="Arial"/>
            <w:noProof/>
            <w:webHidden/>
          </w:rPr>
          <w:tab/>
        </w:r>
        <w:r w:rsidRPr="003F5759">
          <w:rPr>
            <w:rFonts w:ascii="Arial" w:hAnsi="Arial" w:cs="Arial"/>
            <w:noProof/>
            <w:webHidden/>
          </w:rPr>
          <w:fldChar w:fldCharType="begin"/>
        </w:r>
        <w:r w:rsidRPr="003F5759">
          <w:rPr>
            <w:rFonts w:ascii="Arial" w:hAnsi="Arial" w:cs="Arial"/>
            <w:noProof/>
            <w:webHidden/>
          </w:rPr>
          <w:instrText xml:space="preserve"> PAGEREF _Toc236306280 \h </w:instrText>
        </w:r>
        <w:r w:rsidRPr="003F5759">
          <w:rPr>
            <w:rFonts w:ascii="Arial" w:hAnsi="Arial" w:cs="Arial"/>
            <w:noProof/>
            <w:webHidden/>
          </w:rPr>
        </w:r>
        <w:r w:rsidRPr="003F5759">
          <w:rPr>
            <w:rFonts w:ascii="Arial" w:hAnsi="Arial" w:cs="Arial"/>
            <w:noProof/>
            <w:webHidden/>
          </w:rPr>
          <w:fldChar w:fldCharType="separate"/>
        </w:r>
        <w:r w:rsidRPr="003F5759">
          <w:rPr>
            <w:rFonts w:ascii="Arial" w:hAnsi="Arial" w:cs="Arial"/>
            <w:noProof/>
            <w:webHidden/>
          </w:rPr>
          <w:t>9</w:t>
        </w:r>
        <w:r w:rsidRPr="003F5759">
          <w:rPr>
            <w:rFonts w:ascii="Arial" w:hAnsi="Arial" w:cs="Arial"/>
            <w:noProof/>
            <w:webHidden/>
          </w:rPr>
          <w:fldChar w:fldCharType="end"/>
        </w:r>
      </w:hyperlink>
    </w:p>
    <w:p w14:paraId="69B208A4" w14:textId="77777777" w:rsidR="00793373" w:rsidRPr="003F5759" w:rsidRDefault="00524FF4">
      <w:pPr>
        <w:rPr>
          <w:rFonts w:ascii="Arial" w:hAnsi="Arial" w:cs="Arial"/>
          <w:color w:val="auto"/>
          <w:szCs w:val="24"/>
        </w:rPr>
      </w:pPr>
      <w:r w:rsidRPr="003F5759">
        <w:rPr>
          <w:rFonts w:ascii="Arial" w:hAnsi="Arial" w:cs="Arial"/>
          <w:color w:val="auto"/>
          <w:szCs w:val="24"/>
        </w:rPr>
        <w:fldChar w:fldCharType="end"/>
      </w:r>
    </w:p>
    <w:p w14:paraId="6E0261DA" w14:textId="77777777" w:rsidR="00FA3835" w:rsidRPr="003F5759" w:rsidRDefault="00FA3835">
      <w:pPr>
        <w:rPr>
          <w:rFonts w:ascii="Arial" w:hAnsi="Arial" w:cs="Arial"/>
          <w:color w:val="auto"/>
          <w:szCs w:val="24"/>
        </w:rPr>
      </w:pPr>
    </w:p>
    <w:p w14:paraId="6C70E613" w14:textId="77777777" w:rsidR="00FA3835" w:rsidRPr="003F5759" w:rsidRDefault="00FA3835">
      <w:pPr>
        <w:rPr>
          <w:rFonts w:ascii="Arial" w:hAnsi="Arial" w:cs="Arial"/>
          <w:color w:val="auto"/>
          <w:szCs w:val="24"/>
        </w:rPr>
      </w:pPr>
    </w:p>
    <w:p w14:paraId="423746BC" w14:textId="77777777" w:rsidR="0093725C" w:rsidRPr="003F5759" w:rsidRDefault="006407FE" w:rsidP="00F623A0">
      <w:pPr>
        <w:pStyle w:val="Heading1"/>
        <w:ind w:left="0" w:firstLine="0"/>
        <w:rPr>
          <w:rFonts w:ascii="Arial" w:hAnsi="Arial" w:cs="Arial"/>
        </w:rPr>
      </w:pPr>
      <w:r w:rsidRPr="003F5759">
        <w:rPr>
          <w:rFonts w:ascii="Arial" w:hAnsi="Arial" w:cs="Arial"/>
        </w:rPr>
        <w:br w:type="page"/>
      </w:r>
      <w:bookmarkStart w:id="0" w:name="_Toc236321577"/>
      <w:r w:rsidR="00607926" w:rsidRPr="003F5759">
        <w:rPr>
          <w:rFonts w:ascii="Arial" w:hAnsi="Arial" w:cs="Arial"/>
        </w:rPr>
        <w:lastRenderedPageBreak/>
        <w:t>Introduction</w:t>
      </w:r>
      <w:bookmarkEnd w:id="0"/>
    </w:p>
    <w:p w14:paraId="5DA1806C" w14:textId="77777777" w:rsidR="00E01E4D" w:rsidRPr="003F5759" w:rsidRDefault="008C680E" w:rsidP="002674EE">
      <w:pPr>
        <w:rPr>
          <w:rFonts w:ascii="Arial" w:hAnsi="Arial" w:cs="Arial"/>
        </w:rPr>
      </w:pPr>
      <w:r w:rsidRPr="003F5759">
        <w:rPr>
          <w:rFonts w:ascii="Arial" w:hAnsi="Arial" w:cs="Arial"/>
        </w:rPr>
        <w:t>Person-Centered Care (</w:t>
      </w:r>
      <w:r w:rsidR="00E01E4D" w:rsidRPr="003F5759">
        <w:rPr>
          <w:rFonts w:ascii="Arial" w:hAnsi="Arial" w:cs="Arial"/>
        </w:rPr>
        <w:t>PCC</w:t>
      </w:r>
      <w:r w:rsidRPr="003F5759">
        <w:rPr>
          <w:rFonts w:ascii="Arial" w:hAnsi="Arial" w:cs="Arial"/>
        </w:rPr>
        <w:t>)</w:t>
      </w:r>
      <w:r w:rsidR="00E01E4D" w:rsidRPr="003F5759">
        <w:rPr>
          <w:rFonts w:ascii="Arial" w:hAnsi="Arial" w:cs="Arial"/>
        </w:rPr>
        <w:t xml:space="preserve"> is a model in which health and social care services recognise individuals’ values, preferences, experiences, identity, and individual needs by placing them at the heart of care planning and decision-making. In the case of dementia care, PCC is vital as it seeks to uphold a person’s dignity and acknowledges his/her identity despite having dementia</w:t>
      </w:r>
      <w:r w:rsidR="00FE21D9" w:rsidRPr="003F5759">
        <w:rPr>
          <w:rFonts w:ascii="Arial" w:hAnsi="Arial" w:cs="Arial"/>
        </w:rPr>
        <w:t xml:space="preserve"> (Byrne, Baldwin and Harvey, 2020)</w:t>
      </w:r>
      <w:r w:rsidR="00E01E4D" w:rsidRPr="003F5759">
        <w:rPr>
          <w:rFonts w:ascii="Arial" w:hAnsi="Arial" w:cs="Arial"/>
        </w:rPr>
        <w:t>. The tenets of person-centred dementia care include individuality, relationships, the person’s view and contributions from carers for enhancing wellbeing. This report will focus on care homes for people with dementia and the Person-Centred Dementia Care Model, which was developed by Tom Kitwood. The model is a basis of PCC practice. This report will analyse the strengths and weaknesses of PCC, ethical considerations, partnership work between health and social care practitioners, legislation and policies and make suggestions for the future improvement of dementia care practice</w:t>
      </w:r>
      <w:r w:rsidR="00FE21D9" w:rsidRPr="003F5759">
        <w:rPr>
          <w:rFonts w:ascii="Arial" w:hAnsi="Arial" w:cs="Arial"/>
        </w:rPr>
        <w:t xml:space="preserve"> (Lee, Lee and Kim, 2020)</w:t>
      </w:r>
      <w:r w:rsidR="00E01E4D" w:rsidRPr="003F5759">
        <w:rPr>
          <w:rFonts w:ascii="Arial" w:hAnsi="Arial" w:cs="Arial"/>
        </w:rPr>
        <w:t>.</w:t>
      </w:r>
    </w:p>
    <w:p w14:paraId="17C89F2E" w14:textId="77777777" w:rsidR="008C680E" w:rsidRPr="003F5759" w:rsidRDefault="008C680E" w:rsidP="008C680E">
      <w:pPr>
        <w:keepNext/>
        <w:jc w:val="center"/>
        <w:rPr>
          <w:rFonts w:ascii="Arial" w:hAnsi="Arial" w:cs="Arial"/>
        </w:rPr>
      </w:pPr>
      <w:r w:rsidRPr="003F5759">
        <w:rPr>
          <w:rFonts w:ascii="Arial" w:hAnsi="Arial" w:cs="Arial"/>
          <w:noProof/>
          <w:lang w:eastAsia="en-GB"/>
        </w:rPr>
        <w:drawing>
          <wp:inline distT="0" distB="0" distL="0" distR="0" wp14:anchorId="08B1D816" wp14:editId="5EA49B64">
            <wp:extent cx="3486150" cy="3425734"/>
            <wp:effectExtent l="0" t="0" r="0" b="3810"/>
            <wp:docPr id="2" name="Picture 2" descr="Person-Cente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Centered Ca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97677" cy="3437061"/>
                    </a:xfrm>
                    <a:prstGeom prst="rect">
                      <a:avLst/>
                    </a:prstGeom>
                    <a:noFill/>
                    <a:ln>
                      <a:noFill/>
                    </a:ln>
                  </pic:spPr>
                </pic:pic>
              </a:graphicData>
            </a:graphic>
          </wp:inline>
        </w:drawing>
      </w:r>
    </w:p>
    <w:p w14:paraId="068F696D" w14:textId="77777777" w:rsidR="008C680E" w:rsidRPr="003F5759" w:rsidRDefault="008C680E" w:rsidP="008C680E">
      <w:pPr>
        <w:pStyle w:val="Caption"/>
        <w:jc w:val="center"/>
        <w:rPr>
          <w:rFonts w:ascii="Arial" w:hAnsi="Arial" w:cs="Arial"/>
        </w:rPr>
      </w:pPr>
      <w:bookmarkStart w:id="1" w:name="_Toc236306276"/>
      <w:r w:rsidRPr="003F5759">
        <w:rPr>
          <w:rFonts w:ascii="Arial" w:hAnsi="Arial" w:cs="Arial"/>
        </w:rPr>
        <w:t xml:space="preserve">Figure </w:t>
      </w:r>
      <w:r w:rsidRPr="003F5759">
        <w:rPr>
          <w:rFonts w:ascii="Arial" w:hAnsi="Arial" w:cs="Arial"/>
        </w:rPr>
        <w:fldChar w:fldCharType="begin"/>
      </w:r>
      <w:r w:rsidRPr="003F5759">
        <w:rPr>
          <w:rFonts w:ascii="Arial" w:hAnsi="Arial" w:cs="Arial"/>
        </w:rPr>
        <w:instrText xml:space="preserve"> SEQ Figure \* ARABIC </w:instrText>
      </w:r>
      <w:r w:rsidRPr="003F5759">
        <w:rPr>
          <w:rFonts w:ascii="Arial" w:hAnsi="Arial" w:cs="Arial"/>
        </w:rPr>
        <w:fldChar w:fldCharType="separate"/>
      </w:r>
      <w:r w:rsidR="00472FBC" w:rsidRPr="003F5759">
        <w:rPr>
          <w:rFonts w:ascii="Arial" w:hAnsi="Arial" w:cs="Arial"/>
          <w:noProof/>
        </w:rPr>
        <w:t>1</w:t>
      </w:r>
      <w:r w:rsidRPr="003F5759">
        <w:rPr>
          <w:rFonts w:ascii="Arial" w:hAnsi="Arial" w:cs="Arial"/>
        </w:rPr>
        <w:fldChar w:fldCharType="end"/>
      </w:r>
      <w:r w:rsidRPr="003F5759">
        <w:rPr>
          <w:rFonts w:ascii="Arial" w:hAnsi="Arial" w:cs="Arial"/>
        </w:rPr>
        <w:t>: PCC Model</w:t>
      </w:r>
      <w:bookmarkEnd w:id="1"/>
    </w:p>
    <w:p w14:paraId="46CC398A" w14:textId="77777777" w:rsidR="008C680E" w:rsidRPr="003F5759" w:rsidRDefault="008C680E" w:rsidP="008C680E">
      <w:pPr>
        <w:pStyle w:val="Caption"/>
        <w:jc w:val="center"/>
        <w:rPr>
          <w:rFonts w:ascii="Arial" w:hAnsi="Arial" w:cs="Arial"/>
        </w:rPr>
      </w:pPr>
      <w:r w:rsidRPr="003F5759">
        <w:rPr>
          <w:rFonts w:ascii="Arial" w:hAnsi="Arial" w:cs="Arial"/>
        </w:rPr>
        <w:t>Source: (American Association of Colleges of Nursing, 2023)</w:t>
      </w:r>
    </w:p>
    <w:p w14:paraId="23C82CCA" w14:textId="77777777" w:rsidR="00E01E4D" w:rsidRPr="003F5759" w:rsidRDefault="00E01E4D" w:rsidP="00E8435F">
      <w:pPr>
        <w:pStyle w:val="Heading1"/>
        <w:rPr>
          <w:rFonts w:ascii="Arial" w:hAnsi="Arial" w:cs="Arial"/>
        </w:rPr>
      </w:pPr>
      <w:bookmarkStart w:id="2" w:name="_Toc236321578"/>
      <w:r w:rsidRPr="003F5759">
        <w:rPr>
          <w:rFonts w:ascii="Arial" w:hAnsi="Arial" w:cs="Arial"/>
        </w:rPr>
        <w:lastRenderedPageBreak/>
        <w:t>Definition, Benefits and Limitations of Person-C</w:t>
      </w:r>
      <w:r w:rsidR="00E8435F" w:rsidRPr="003F5759">
        <w:rPr>
          <w:rFonts w:ascii="Arial" w:hAnsi="Arial" w:cs="Arial"/>
        </w:rPr>
        <w:t>entred Care</w:t>
      </w:r>
      <w:bookmarkEnd w:id="2"/>
    </w:p>
    <w:p w14:paraId="516B0A10" w14:textId="77777777" w:rsidR="00E01E4D" w:rsidRPr="003F5759" w:rsidRDefault="00E01E4D" w:rsidP="00E8435F">
      <w:pPr>
        <w:pStyle w:val="Heading2"/>
        <w:rPr>
          <w:rFonts w:ascii="Arial" w:hAnsi="Arial" w:cs="Arial"/>
        </w:rPr>
      </w:pPr>
      <w:bookmarkStart w:id="3" w:name="_Toc236321579"/>
      <w:r w:rsidRPr="003F5759">
        <w:rPr>
          <w:rFonts w:ascii="Arial" w:hAnsi="Arial" w:cs="Arial"/>
        </w:rPr>
        <w:t>Person-Centred Care</w:t>
      </w:r>
      <w:bookmarkEnd w:id="3"/>
    </w:p>
    <w:p w14:paraId="126DE8FF" w14:textId="77777777" w:rsidR="00E8435F" w:rsidRPr="003F5759" w:rsidRDefault="00E8435F" w:rsidP="00E8435F">
      <w:pPr>
        <w:rPr>
          <w:rFonts w:ascii="Arial" w:hAnsi="Arial" w:cs="Arial"/>
        </w:rPr>
      </w:pPr>
      <w:r w:rsidRPr="003F5759">
        <w:rPr>
          <w:rFonts w:ascii="Arial" w:hAnsi="Arial" w:cs="Arial"/>
        </w:rPr>
        <w:t>The concept of PCC refers to a practice which prioritizes an individual who requires care as a centre of the assessment process, the development of care plans and decision making. Instead of concentrating on the health problems, PCC recognizes a person as a unique entity, whose needs include experiences, preferences, values, beliefs, relationships and personal requirements. In dementia care homes, where elderly people are taken care of, PCC is very significant as the mental changes may lead to the situation when people are treated solely according to their illness. The main message of person-centred dementia care is that people suffering from dementia continue to have identity, emotions, rights and history which should be respected</w:t>
      </w:r>
      <w:r w:rsidR="00FE21D9" w:rsidRPr="003F5759">
        <w:rPr>
          <w:rFonts w:ascii="Arial" w:hAnsi="Arial" w:cs="Arial"/>
        </w:rPr>
        <w:t xml:space="preserve"> (Amin, 2025)</w:t>
      </w:r>
      <w:r w:rsidRPr="003F5759">
        <w:rPr>
          <w:rFonts w:ascii="Arial" w:hAnsi="Arial" w:cs="Arial"/>
        </w:rPr>
        <w:t>.</w:t>
      </w:r>
    </w:p>
    <w:p w14:paraId="1D9048AB" w14:textId="77777777" w:rsidR="008C680E" w:rsidRPr="003F5759" w:rsidRDefault="00E8435F" w:rsidP="00F16A9B">
      <w:pPr>
        <w:rPr>
          <w:rFonts w:ascii="Arial" w:hAnsi="Arial" w:cs="Arial"/>
        </w:rPr>
      </w:pPr>
      <w:r w:rsidRPr="003F5759">
        <w:rPr>
          <w:rFonts w:ascii="Arial" w:hAnsi="Arial" w:cs="Arial"/>
        </w:rPr>
        <w:tab/>
        <w:t>An essential value of PCC is dignity and autonomy. It means encouraging people to make their choices and to be involved in the decision making process related to their care. At the same time, people have the opportunity to take control of their lives whenever it is possible. For example, knowing a lifestyle, the routine, the culture and the interests of the residents in dementia care home makes care workers able to assist people according to their requirements, instead of using the uniform approaches</w:t>
      </w:r>
      <w:r w:rsidR="00FE21D9" w:rsidRPr="003F5759">
        <w:rPr>
          <w:rFonts w:ascii="Arial" w:hAnsi="Arial" w:cs="Arial"/>
        </w:rPr>
        <w:t xml:space="preserve"> (Engle et al., 2021)</w:t>
      </w:r>
      <w:r w:rsidRPr="003F5759">
        <w:rPr>
          <w:rFonts w:ascii="Arial" w:hAnsi="Arial" w:cs="Arial"/>
        </w:rPr>
        <w:t>.</w:t>
      </w:r>
      <w:r w:rsidR="00E01E4D" w:rsidRPr="003F5759">
        <w:rPr>
          <w:rFonts w:ascii="Arial" w:hAnsi="Arial" w:cs="Arial"/>
        </w:rPr>
        <w:t xml:space="preserve"> </w:t>
      </w:r>
    </w:p>
    <w:p w14:paraId="43408D48" w14:textId="77777777" w:rsidR="00E01E4D" w:rsidRPr="003F5759" w:rsidRDefault="00E01E4D" w:rsidP="00E8435F">
      <w:pPr>
        <w:pStyle w:val="Heading2"/>
        <w:rPr>
          <w:rFonts w:ascii="Arial" w:hAnsi="Arial" w:cs="Arial"/>
        </w:rPr>
      </w:pPr>
      <w:bookmarkStart w:id="4" w:name="_Toc236321580"/>
      <w:r w:rsidRPr="003F5759">
        <w:rPr>
          <w:rFonts w:ascii="Arial" w:hAnsi="Arial" w:cs="Arial"/>
        </w:rPr>
        <w:t>Benefits of Person-Centred Care in Dementia Care</w:t>
      </w:r>
      <w:bookmarkEnd w:id="4"/>
    </w:p>
    <w:p w14:paraId="1E78CFBC" w14:textId="77777777" w:rsidR="00E8435F" w:rsidRPr="003F5759" w:rsidRDefault="00E8435F" w:rsidP="00E8435F">
      <w:pPr>
        <w:rPr>
          <w:rFonts w:ascii="Arial" w:hAnsi="Arial" w:cs="Arial"/>
        </w:rPr>
      </w:pPr>
      <w:r w:rsidRPr="003F5759">
        <w:rPr>
          <w:rFonts w:ascii="Arial" w:hAnsi="Arial" w:cs="Arial"/>
        </w:rPr>
        <w:t>The first key advantage of PCC is dignity and quality of life. Knowing about the background of a particular individual, care staff may deliver proper assistance which will help to ensure emotional well-being. It can be achieved through allowing residents to follow their routines or engage in certain activities related to their earlier preferences</w:t>
      </w:r>
      <w:r w:rsidR="00F72CF4" w:rsidRPr="003F5759">
        <w:rPr>
          <w:rFonts w:ascii="Arial" w:hAnsi="Arial" w:cs="Arial"/>
        </w:rPr>
        <w:t xml:space="preserve"> (Santana et al., 2018)</w:t>
      </w:r>
      <w:r w:rsidRPr="003F5759">
        <w:rPr>
          <w:rFonts w:ascii="Arial" w:hAnsi="Arial" w:cs="Arial"/>
        </w:rPr>
        <w:t>.</w:t>
      </w:r>
    </w:p>
    <w:p w14:paraId="1BC62B34" w14:textId="77777777" w:rsidR="00E8435F" w:rsidRPr="003F5759" w:rsidRDefault="00E8435F" w:rsidP="00E8435F">
      <w:pPr>
        <w:rPr>
          <w:rFonts w:ascii="Arial" w:hAnsi="Arial" w:cs="Arial"/>
        </w:rPr>
      </w:pPr>
      <w:r w:rsidRPr="003F5759">
        <w:rPr>
          <w:rFonts w:ascii="Arial" w:hAnsi="Arial" w:cs="Arial"/>
        </w:rPr>
        <w:tab/>
        <w:t xml:space="preserve">The second key advantage of PCC is that it fosters independence through concentrating on strengths of individuals instead of focusing on their limitations. Assisting residents to perform some activities related to self-care, making choices in relation to daily activities or taking part in decisions is useful to preserve their abilities and boost confidence. As per the NICE guidance, it is recommended to involve residents who have </w:t>
      </w:r>
      <w:r w:rsidRPr="003F5759">
        <w:rPr>
          <w:rFonts w:ascii="Arial" w:hAnsi="Arial" w:cs="Arial"/>
        </w:rPr>
        <w:lastRenderedPageBreak/>
        <w:t>dementia in making decisions regarding care, taking into consideration their preferences, routines and background.</w:t>
      </w:r>
    </w:p>
    <w:p w14:paraId="1C741D72" w14:textId="77777777" w:rsidR="00E01E4D" w:rsidRPr="003F5759" w:rsidRDefault="00E8435F" w:rsidP="00E8435F">
      <w:pPr>
        <w:rPr>
          <w:rFonts w:ascii="Arial" w:hAnsi="Arial" w:cs="Arial"/>
        </w:rPr>
      </w:pPr>
      <w:r w:rsidRPr="003F5759">
        <w:rPr>
          <w:rFonts w:ascii="Arial" w:hAnsi="Arial" w:cs="Arial"/>
        </w:rPr>
        <w:tab/>
        <w:t>The third advantage of PCC is fostering positive relationship between residents and care professionals due to their efforts to know the individuals better. In case of dementia care, good relationships become especially important.</w:t>
      </w:r>
    </w:p>
    <w:p w14:paraId="2D9A50B1" w14:textId="77777777" w:rsidR="007E2606" w:rsidRPr="003F5759" w:rsidRDefault="007E2606" w:rsidP="007E2606">
      <w:pPr>
        <w:keepNext/>
        <w:jc w:val="center"/>
        <w:rPr>
          <w:rFonts w:ascii="Arial" w:hAnsi="Arial" w:cs="Arial"/>
        </w:rPr>
      </w:pPr>
      <w:r w:rsidRPr="003F5759">
        <w:rPr>
          <w:rFonts w:ascii="Arial" w:hAnsi="Arial" w:cs="Arial"/>
          <w:noProof/>
          <w:lang w:eastAsia="en-GB"/>
        </w:rPr>
        <w:drawing>
          <wp:inline distT="0" distB="0" distL="0" distR="0" wp14:anchorId="1AEB255A" wp14:editId="4A04A092">
            <wp:extent cx="4381500" cy="4133850"/>
            <wp:effectExtent l="0" t="0" r="0" b="0"/>
            <wp:docPr id="3" name="Picture 3" descr="Person-Centered Dementia Care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Centered Dementia Care Present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4133850"/>
                    </a:xfrm>
                    <a:prstGeom prst="rect">
                      <a:avLst/>
                    </a:prstGeom>
                    <a:noFill/>
                    <a:ln>
                      <a:noFill/>
                    </a:ln>
                  </pic:spPr>
                </pic:pic>
              </a:graphicData>
            </a:graphic>
          </wp:inline>
        </w:drawing>
      </w:r>
    </w:p>
    <w:p w14:paraId="14166B92" w14:textId="77777777" w:rsidR="007E2606" w:rsidRPr="003F5759" w:rsidRDefault="007E2606" w:rsidP="007E2606">
      <w:pPr>
        <w:pStyle w:val="Caption"/>
        <w:jc w:val="center"/>
        <w:rPr>
          <w:rFonts w:ascii="Arial" w:hAnsi="Arial" w:cs="Arial"/>
        </w:rPr>
      </w:pPr>
      <w:bookmarkStart w:id="5" w:name="_Toc236306277"/>
      <w:r w:rsidRPr="003F5759">
        <w:rPr>
          <w:rFonts w:ascii="Arial" w:hAnsi="Arial" w:cs="Arial"/>
        </w:rPr>
        <w:t xml:space="preserve">Figure </w:t>
      </w:r>
      <w:r w:rsidRPr="003F5759">
        <w:rPr>
          <w:rFonts w:ascii="Arial" w:hAnsi="Arial" w:cs="Arial"/>
        </w:rPr>
        <w:fldChar w:fldCharType="begin"/>
      </w:r>
      <w:r w:rsidRPr="003F5759">
        <w:rPr>
          <w:rFonts w:ascii="Arial" w:hAnsi="Arial" w:cs="Arial"/>
        </w:rPr>
        <w:instrText xml:space="preserve"> SEQ Figure \* ARABIC </w:instrText>
      </w:r>
      <w:r w:rsidRPr="003F5759">
        <w:rPr>
          <w:rFonts w:ascii="Arial" w:hAnsi="Arial" w:cs="Arial"/>
        </w:rPr>
        <w:fldChar w:fldCharType="separate"/>
      </w:r>
      <w:r w:rsidR="00472FBC" w:rsidRPr="003F5759">
        <w:rPr>
          <w:rFonts w:ascii="Arial" w:hAnsi="Arial" w:cs="Arial"/>
          <w:noProof/>
        </w:rPr>
        <w:t>2</w:t>
      </w:r>
      <w:r w:rsidRPr="003F5759">
        <w:rPr>
          <w:rFonts w:ascii="Arial" w:hAnsi="Arial" w:cs="Arial"/>
        </w:rPr>
        <w:fldChar w:fldCharType="end"/>
      </w:r>
      <w:r w:rsidRPr="003F5759">
        <w:rPr>
          <w:rFonts w:ascii="Arial" w:hAnsi="Arial" w:cs="Arial"/>
        </w:rPr>
        <w:t>: Person-Cantered Dementia Care</w:t>
      </w:r>
      <w:bookmarkEnd w:id="5"/>
    </w:p>
    <w:p w14:paraId="3B298EA4" w14:textId="77777777" w:rsidR="007E2606" w:rsidRPr="003F5759" w:rsidRDefault="007E2606" w:rsidP="007E2606">
      <w:pPr>
        <w:pStyle w:val="Caption"/>
        <w:jc w:val="center"/>
        <w:rPr>
          <w:rFonts w:ascii="Arial" w:hAnsi="Arial" w:cs="Arial"/>
        </w:rPr>
      </w:pPr>
      <w:r w:rsidRPr="003F5759">
        <w:rPr>
          <w:rFonts w:ascii="Arial" w:hAnsi="Arial" w:cs="Arial"/>
        </w:rPr>
        <w:t>Source: (Gregg, 2023)</w:t>
      </w:r>
    </w:p>
    <w:p w14:paraId="4451F1CF" w14:textId="77777777" w:rsidR="00E01E4D" w:rsidRPr="003F5759" w:rsidRDefault="00E01E4D" w:rsidP="00E01E4D">
      <w:pPr>
        <w:pStyle w:val="Heading2"/>
        <w:rPr>
          <w:rFonts w:ascii="Arial" w:hAnsi="Arial" w:cs="Arial"/>
        </w:rPr>
      </w:pPr>
      <w:bookmarkStart w:id="6" w:name="_Toc236321581"/>
      <w:r w:rsidRPr="003F5759">
        <w:rPr>
          <w:rFonts w:ascii="Arial" w:hAnsi="Arial" w:cs="Arial"/>
        </w:rPr>
        <w:t>Limitations of Person-Centred Care</w:t>
      </w:r>
      <w:bookmarkEnd w:id="6"/>
    </w:p>
    <w:p w14:paraId="16B66FF0" w14:textId="77777777" w:rsidR="00E8435F" w:rsidRPr="003F5759" w:rsidRDefault="00E8435F" w:rsidP="00E8435F">
      <w:pPr>
        <w:rPr>
          <w:rFonts w:ascii="Arial" w:hAnsi="Arial" w:cs="Arial"/>
        </w:rPr>
      </w:pPr>
      <w:r w:rsidRPr="003F5759">
        <w:rPr>
          <w:rFonts w:ascii="Arial" w:hAnsi="Arial" w:cs="Arial"/>
        </w:rPr>
        <w:t>However, the application of PCC is not without limitations. Firstly, time constraints in the care environment might restrict the staff’s capacity to offer personalized care. The shortage of staff and heavy workload alongside other caregiving priorities might lead to an approach that is task-oriented instead of being personalized.</w:t>
      </w:r>
    </w:p>
    <w:p w14:paraId="6FF10694" w14:textId="77777777" w:rsidR="00E8435F" w:rsidRPr="003F5759" w:rsidRDefault="00E8435F" w:rsidP="00E8435F">
      <w:pPr>
        <w:rPr>
          <w:rFonts w:ascii="Arial" w:hAnsi="Arial" w:cs="Arial"/>
        </w:rPr>
      </w:pPr>
      <w:r w:rsidRPr="003F5759">
        <w:rPr>
          <w:rFonts w:ascii="Arial" w:hAnsi="Arial" w:cs="Arial"/>
        </w:rPr>
        <w:tab/>
        <w:t xml:space="preserve">Secondly, another limitation is inadequate training of staff. Personalized care requires that the staff have knowledge of dementia and communication approaches, as </w:t>
      </w:r>
      <w:r w:rsidRPr="003F5759">
        <w:rPr>
          <w:rFonts w:ascii="Arial" w:hAnsi="Arial" w:cs="Arial"/>
        </w:rPr>
        <w:lastRenderedPageBreak/>
        <w:t>well as the significance of individual identity. As indicated by NICE, dementia care staff training must include knowing how individuals are unique and how their identity should be respected</w:t>
      </w:r>
      <w:r w:rsidR="00F72CF4" w:rsidRPr="003F5759">
        <w:rPr>
          <w:rFonts w:ascii="Arial" w:hAnsi="Arial" w:cs="Arial"/>
        </w:rPr>
        <w:t xml:space="preserve"> (Noushin Mousazadeh et al., 2025)</w:t>
      </w:r>
      <w:r w:rsidRPr="003F5759">
        <w:rPr>
          <w:rFonts w:ascii="Arial" w:hAnsi="Arial" w:cs="Arial"/>
        </w:rPr>
        <w:t>.</w:t>
      </w:r>
    </w:p>
    <w:p w14:paraId="0C96450B" w14:textId="77777777" w:rsidR="00A2491D" w:rsidRPr="003F5759" w:rsidRDefault="00E8435F" w:rsidP="00E8435F">
      <w:pPr>
        <w:rPr>
          <w:rFonts w:ascii="Arial" w:hAnsi="Arial" w:cs="Arial"/>
        </w:rPr>
      </w:pPr>
      <w:r w:rsidRPr="003F5759">
        <w:rPr>
          <w:rFonts w:ascii="Arial" w:hAnsi="Arial" w:cs="Arial"/>
        </w:rPr>
        <w:tab/>
        <w:t>Furthermore, professionals may find it challenging to balance individual choices and duties for ensuring the safety of the residents. For instance, a resident who prefers independence can pose dangers to themselves in terms of falling and getting hurt.</w:t>
      </w:r>
    </w:p>
    <w:p w14:paraId="7BE37269" w14:textId="77777777" w:rsidR="00A2491D" w:rsidRPr="003F5759" w:rsidRDefault="00A2491D" w:rsidP="000541DE">
      <w:pPr>
        <w:pStyle w:val="Heading1"/>
        <w:rPr>
          <w:rFonts w:ascii="Arial" w:hAnsi="Arial" w:cs="Arial"/>
        </w:rPr>
      </w:pPr>
      <w:bookmarkStart w:id="7" w:name="_Toc236321582"/>
      <w:r w:rsidRPr="003F5759">
        <w:rPr>
          <w:rFonts w:ascii="Arial" w:hAnsi="Arial" w:cs="Arial"/>
        </w:rPr>
        <w:t>Critical Examination of Kitwood’s Person-Centred Dementia Care Model</w:t>
      </w:r>
      <w:bookmarkEnd w:id="7"/>
      <w:r w:rsidRPr="003F5759">
        <w:rPr>
          <w:rFonts w:ascii="Arial" w:hAnsi="Arial" w:cs="Arial"/>
        </w:rPr>
        <w:t xml:space="preserve"> </w:t>
      </w:r>
    </w:p>
    <w:p w14:paraId="5FA927EB" w14:textId="77777777" w:rsidR="005A200C" w:rsidRPr="003F5759" w:rsidRDefault="000541DE" w:rsidP="005A200C">
      <w:pPr>
        <w:pStyle w:val="Heading2"/>
        <w:rPr>
          <w:rFonts w:ascii="Arial" w:hAnsi="Arial" w:cs="Arial"/>
        </w:rPr>
      </w:pPr>
      <w:bookmarkStart w:id="8" w:name="_Toc236321583"/>
      <w:r w:rsidRPr="003F5759">
        <w:rPr>
          <w:rFonts w:ascii="Arial" w:hAnsi="Arial" w:cs="Arial"/>
        </w:rPr>
        <w:t>Kitwood’s Model</w:t>
      </w:r>
      <w:bookmarkEnd w:id="8"/>
    </w:p>
    <w:p w14:paraId="776D5349" w14:textId="77777777" w:rsidR="000541DE" w:rsidRPr="003F5759" w:rsidRDefault="005A200C" w:rsidP="000541DE">
      <w:pPr>
        <w:rPr>
          <w:rFonts w:ascii="Arial" w:hAnsi="Arial" w:cs="Arial"/>
        </w:rPr>
      </w:pPr>
      <w:r w:rsidRPr="003F5759">
        <w:rPr>
          <w:rFonts w:ascii="Arial" w:hAnsi="Arial" w:cs="Arial"/>
        </w:rPr>
        <w:t>One of the most significant models from the theoretical perspective on person-centered care (PCC) for dementia is Tom Kitwood’s Person-Centered Dementia Care Model. This model was developed in the 1990s, when Kitwood criticized existing medical approaches that saw dementia mainly as a medical condition based on cognitive deterioration. Instead, Kitwood believed that people with dementia had to be considered as individuals with their identity, emotions, relationships and personal experience. In his view, dementia care had to preserve personhood, which meant treating people with respect as valuable individuals and having meaningful social relations with them. The key idea of this model is that people with dementia cannot be identified solely in terms of their cognitive deficits. Identity of a person, which includes the history of his or her life, personality and preferences, has to be taken into account</w:t>
      </w:r>
      <w:r w:rsidR="00695565" w:rsidRPr="003F5759">
        <w:rPr>
          <w:rFonts w:ascii="Arial" w:hAnsi="Arial" w:cs="Arial"/>
        </w:rPr>
        <w:t xml:space="preserve"> (Tieu and Matthews, 2023)</w:t>
      </w:r>
      <w:r w:rsidRPr="003F5759">
        <w:rPr>
          <w:rFonts w:ascii="Arial" w:hAnsi="Arial" w:cs="Arial"/>
        </w:rPr>
        <w:t>.</w:t>
      </w:r>
    </w:p>
    <w:p w14:paraId="38210D75" w14:textId="77777777" w:rsidR="007E2606" w:rsidRPr="003F5759" w:rsidRDefault="007E2606" w:rsidP="007E2606">
      <w:pPr>
        <w:keepNext/>
        <w:jc w:val="center"/>
        <w:rPr>
          <w:rFonts w:ascii="Arial" w:hAnsi="Arial" w:cs="Arial"/>
        </w:rPr>
      </w:pPr>
      <w:r w:rsidRPr="003F5759">
        <w:rPr>
          <w:rFonts w:ascii="Arial" w:hAnsi="Arial" w:cs="Arial"/>
          <w:noProof/>
          <w:lang w:eastAsia="en-GB"/>
        </w:rPr>
        <w:lastRenderedPageBreak/>
        <w:drawing>
          <wp:inline distT="0" distB="0" distL="0" distR="0" wp14:anchorId="30DB7445" wp14:editId="6EF434E7">
            <wp:extent cx="3800475" cy="3746066"/>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00475" cy="3746066"/>
                    </a:xfrm>
                    <a:prstGeom prst="rect">
                      <a:avLst/>
                    </a:prstGeom>
                  </pic:spPr>
                </pic:pic>
              </a:graphicData>
            </a:graphic>
          </wp:inline>
        </w:drawing>
      </w:r>
    </w:p>
    <w:p w14:paraId="670E1798" w14:textId="77777777" w:rsidR="007E2606" w:rsidRPr="003F5759" w:rsidRDefault="007E2606" w:rsidP="007E2606">
      <w:pPr>
        <w:pStyle w:val="Caption"/>
        <w:jc w:val="center"/>
        <w:rPr>
          <w:rFonts w:ascii="Arial" w:hAnsi="Arial" w:cs="Arial"/>
        </w:rPr>
      </w:pPr>
      <w:bookmarkStart w:id="9" w:name="_Toc236306278"/>
      <w:r w:rsidRPr="003F5759">
        <w:rPr>
          <w:rFonts w:ascii="Arial" w:hAnsi="Arial" w:cs="Arial"/>
        </w:rPr>
        <w:t xml:space="preserve">Figure </w:t>
      </w:r>
      <w:r w:rsidRPr="003F5759">
        <w:rPr>
          <w:rFonts w:ascii="Arial" w:hAnsi="Arial" w:cs="Arial"/>
        </w:rPr>
        <w:fldChar w:fldCharType="begin"/>
      </w:r>
      <w:r w:rsidRPr="003F5759">
        <w:rPr>
          <w:rFonts w:ascii="Arial" w:hAnsi="Arial" w:cs="Arial"/>
        </w:rPr>
        <w:instrText xml:space="preserve"> SEQ Figure \* ARABIC </w:instrText>
      </w:r>
      <w:r w:rsidRPr="003F5759">
        <w:rPr>
          <w:rFonts w:ascii="Arial" w:hAnsi="Arial" w:cs="Arial"/>
        </w:rPr>
        <w:fldChar w:fldCharType="separate"/>
      </w:r>
      <w:r w:rsidR="00472FBC" w:rsidRPr="003F5759">
        <w:rPr>
          <w:rFonts w:ascii="Arial" w:hAnsi="Arial" w:cs="Arial"/>
          <w:noProof/>
        </w:rPr>
        <w:t>3</w:t>
      </w:r>
      <w:r w:rsidRPr="003F5759">
        <w:rPr>
          <w:rFonts w:ascii="Arial" w:hAnsi="Arial" w:cs="Arial"/>
        </w:rPr>
        <w:fldChar w:fldCharType="end"/>
      </w:r>
      <w:r w:rsidRPr="003F5759">
        <w:rPr>
          <w:rFonts w:ascii="Arial" w:hAnsi="Arial" w:cs="Arial"/>
        </w:rPr>
        <w:t>: Kitwood’s flower of person-centred care</w:t>
      </w:r>
      <w:bookmarkEnd w:id="9"/>
    </w:p>
    <w:p w14:paraId="22AC171C" w14:textId="77777777" w:rsidR="007E2606" w:rsidRPr="003F5759" w:rsidRDefault="007E2606" w:rsidP="007E2606">
      <w:pPr>
        <w:pStyle w:val="Caption"/>
        <w:jc w:val="center"/>
        <w:rPr>
          <w:rFonts w:ascii="Arial" w:hAnsi="Arial" w:cs="Arial"/>
        </w:rPr>
      </w:pPr>
      <w:r w:rsidRPr="003F5759">
        <w:rPr>
          <w:rFonts w:ascii="Arial" w:hAnsi="Arial" w:cs="Arial"/>
        </w:rPr>
        <w:t>Source: (Lewington, Berragan and Kuruvilla, 2024)</w:t>
      </w:r>
    </w:p>
    <w:p w14:paraId="3EFF4E6F" w14:textId="77777777" w:rsidR="000541DE" w:rsidRPr="003F5759" w:rsidRDefault="000541DE" w:rsidP="005A200C">
      <w:pPr>
        <w:pStyle w:val="Heading2"/>
        <w:rPr>
          <w:rFonts w:ascii="Arial" w:hAnsi="Arial" w:cs="Arial"/>
        </w:rPr>
      </w:pPr>
      <w:bookmarkStart w:id="10" w:name="_Toc236321584"/>
      <w:r w:rsidRPr="003F5759">
        <w:rPr>
          <w:rFonts w:ascii="Arial" w:hAnsi="Arial" w:cs="Arial"/>
        </w:rPr>
        <w:t>Application within a Care Home Setting</w:t>
      </w:r>
      <w:bookmarkEnd w:id="10"/>
    </w:p>
    <w:p w14:paraId="6370DA2E" w14:textId="77777777" w:rsidR="005A200C" w:rsidRPr="003F5759" w:rsidRDefault="005A200C" w:rsidP="005A200C">
      <w:pPr>
        <w:rPr>
          <w:rFonts w:ascii="Arial" w:hAnsi="Arial" w:cs="Arial"/>
        </w:rPr>
      </w:pPr>
      <w:r w:rsidRPr="003F5759">
        <w:rPr>
          <w:rFonts w:ascii="Arial" w:hAnsi="Arial" w:cs="Arial"/>
        </w:rPr>
        <w:t>In a care home where there are older people with dementia, the approach of Kitwood could be used by gaining comprehensive knowledge about the individual needs of every resident. For instance, caregivers can obtain relevant information about the past profession, families, culture, interests and habits of residents to develop individual care plans</w:t>
      </w:r>
      <w:r w:rsidR="00695565" w:rsidRPr="003F5759">
        <w:rPr>
          <w:rFonts w:ascii="Arial" w:hAnsi="Arial" w:cs="Arial"/>
        </w:rPr>
        <w:t xml:space="preserve"> (Sun et al., 2025)</w:t>
      </w:r>
      <w:r w:rsidRPr="003F5759">
        <w:rPr>
          <w:rFonts w:ascii="Arial" w:hAnsi="Arial" w:cs="Arial"/>
        </w:rPr>
        <w:t>.</w:t>
      </w:r>
    </w:p>
    <w:p w14:paraId="7B6EF917" w14:textId="77777777" w:rsidR="005A200C" w:rsidRPr="003F5759" w:rsidRDefault="005A200C" w:rsidP="005A200C">
      <w:pPr>
        <w:rPr>
          <w:rFonts w:ascii="Arial" w:hAnsi="Arial" w:cs="Arial"/>
        </w:rPr>
      </w:pPr>
      <w:r w:rsidRPr="003F5759">
        <w:rPr>
          <w:rFonts w:ascii="Arial" w:hAnsi="Arial" w:cs="Arial"/>
        </w:rPr>
        <w:tab/>
        <w:t>Gaining familiarity through personalized daily routines is another benefit. It will entail helping them to eat their favorite foods, sleep when necessary and engage in activities that they enjoyed previously. The involvement of the family is very important because they can help to provide useful information about the individual.</w:t>
      </w:r>
    </w:p>
    <w:p w14:paraId="6B56D426" w14:textId="77777777" w:rsidR="000541DE" w:rsidRPr="003F5759" w:rsidRDefault="000541DE" w:rsidP="005A200C">
      <w:pPr>
        <w:pStyle w:val="Heading2"/>
        <w:rPr>
          <w:rFonts w:ascii="Arial" w:hAnsi="Arial" w:cs="Arial"/>
        </w:rPr>
      </w:pPr>
      <w:bookmarkStart w:id="11" w:name="_Toc236321585"/>
      <w:r w:rsidRPr="003F5759">
        <w:rPr>
          <w:rFonts w:ascii="Arial" w:hAnsi="Arial" w:cs="Arial"/>
        </w:rPr>
        <w:t>Critical Evaluation</w:t>
      </w:r>
      <w:bookmarkEnd w:id="11"/>
    </w:p>
    <w:p w14:paraId="7D15AC1D" w14:textId="77777777" w:rsidR="005A200C" w:rsidRPr="003F5759" w:rsidRDefault="005A200C" w:rsidP="005A200C">
      <w:pPr>
        <w:rPr>
          <w:rFonts w:ascii="Arial" w:hAnsi="Arial" w:cs="Arial"/>
        </w:rPr>
      </w:pPr>
      <w:r w:rsidRPr="003F5759">
        <w:rPr>
          <w:rFonts w:ascii="Arial" w:hAnsi="Arial" w:cs="Arial"/>
        </w:rPr>
        <w:t xml:space="preserve">One significant advantage of Kitwood’s model is that it respects people’s dignity by enabling them to be treated as humans and not patients suffering from some illness. The </w:t>
      </w:r>
      <w:r w:rsidRPr="003F5759">
        <w:rPr>
          <w:rFonts w:ascii="Arial" w:hAnsi="Arial" w:cs="Arial"/>
        </w:rPr>
        <w:lastRenderedPageBreak/>
        <w:t>model also fosters the emotional wellbeing of people with dementia through creating positive relationships and engaging the individuals in meaningful ways. This is one of the models that have had a major impact on the development of current dementia care as it has shifted the focus from a task-oriented approach to a relationship-</w:t>
      </w:r>
      <w:r w:rsidR="00695565" w:rsidRPr="003F5759">
        <w:rPr>
          <w:rFonts w:ascii="Arial" w:hAnsi="Arial" w:cs="Arial"/>
        </w:rPr>
        <w:t>cantered</w:t>
      </w:r>
      <w:r w:rsidRPr="003F5759">
        <w:rPr>
          <w:rFonts w:ascii="Arial" w:hAnsi="Arial" w:cs="Arial"/>
        </w:rPr>
        <w:t xml:space="preserve"> care</w:t>
      </w:r>
      <w:r w:rsidR="00695565" w:rsidRPr="003F5759">
        <w:rPr>
          <w:rFonts w:ascii="Arial" w:hAnsi="Arial" w:cs="Arial"/>
        </w:rPr>
        <w:t xml:space="preserve"> (Kaufmann and Engel, 2014)</w:t>
      </w:r>
      <w:r w:rsidRPr="003F5759">
        <w:rPr>
          <w:rFonts w:ascii="Arial" w:hAnsi="Arial" w:cs="Arial"/>
        </w:rPr>
        <w:t>.</w:t>
      </w:r>
    </w:p>
    <w:p w14:paraId="4378CD8B" w14:textId="77777777" w:rsidR="00783D9C" w:rsidRPr="003F5759" w:rsidRDefault="005A200C" w:rsidP="005A200C">
      <w:pPr>
        <w:rPr>
          <w:rFonts w:ascii="Arial" w:hAnsi="Arial" w:cs="Arial"/>
        </w:rPr>
      </w:pPr>
      <w:r w:rsidRPr="003F5759">
        <w:rPr>
          <w:rFonts w:ascii="Arial" w:hAnsi="Arial" w:cs="Arial"/>
        </w:rPr>
        <w:tab/>
        <w:t>Despite the usefulness of the model in promoting PCC, there are some limitations that arise when implementing it in practice. One of them is the need to have enough nursing staff to make the model effective. Moreover, nurses should have proper training and commitment from the organization. Nurses may find it difficult to deliver personalized services because of time pressure and heavy workloads. Another limitation arises when the patient’s preferences conflict with the professional obligations of nurses in terms of safety of the client</w:t>
      </w:r>
      <w:r w:rsidR="00695565" w:rsidRPr="003F5759">
        <w:rPr>
          <w:rFonts w:ascii="Arial" w:hAnsi="Arial" w:cs="Arial"/>
        </w:rPr>
        <w:t xml:space="preserve"> (Moore et al., 2017)</w:t>
      </w:r>
      <w:r w:rsidRPr="003F5759">
        <w:rPr>
          <w:rFonts w:ascii="Arial" w:hAnsi="Arial" w:cs="Arial"/>
        </w:rPr>
        <w:t>.</w:t>
      </w:r>
    </w:p>
    <w:p w14:paraId="0C7234D3" w14:textId="77777777" w:rsidR="00783D9C" w:rsidRPr="003F5759" w:rsidRDefault="00783D9C" w:rsidP="00783D9C">
      <w:pPr>
        <w:pStyle w:val="Heading1"/>
        <w:rPr>
          <w:rFonts w:ascii="Arial" w:hAnsi="Arial" w:cs="Arial"/>
        </w:rPr>
      </w:pPr>
      <w:bookmarkStart w:id="12" w:name="_Toc236321586"/>
      <w:r w:rsidRPr="003F5759">
        <w:rPr>
          <w:rFonts w:ascii="Arial" w:hAnsi="Arial" w:cs="Arial"/>
        </w:rPr>
        <w:t>Ethical Principles in Health and Social Care Practice</w:t>
      </w:r>
      <w:bookmarkEnd w:id="12"/>
    </w:p>
    <w:p w14:paraId="146148A3" w14:textId="77777777" w:rsidR="00783D9C" w:rsidRPr="003F5759" w:rsidRDefault="00783D9C" w:rsidP="00783D9C">
      <w:pPr>
        <w:rPr>
          <w:rFonts w:ascii="Arial" w:hAnsi="Arial" w:cs="Arial"/>
        </w:rPr>
      </w:pPr>
      <w:r w:rsidRPr="003F5759">
        <w:rPr>
          <w:rFonts w:ascii="Arial" w:hAnsi="Arial" w:cs="Arial"/>
        </w:rPr>
        <w:t>Ethical principles help in making decisions in order to safeguard the rights, dignity, and wellbeing of individuals. Four general ethical principles of health care are autonomy, beneficence, non-maleficence and justice which help in ethical decision-making.</w:t>
      </w:r>
    </w:p>
    <w:p w14:paraId="732C61B7" w14:textId="77777777" w:rsidR="00783D9C" w:rsidRPr="003F5759" w:rsidRDefault="00783D9C" w:rsidP="00783D9C">
      <w:pPr>
        <w:rPr>
          <w:rFonts w:ascii="Arial" w:hAnsi="Arial" w:cs="Arial"/>
          <w:b/>
        </w:rPr>
      </w:pPr>
      <w:r w:rsidRPr="003F5759">
        <w:rPr>
          <w:rFonts w:ascii="Arial" w:hAnsi="Arial" w:cs="Arial"/>
          <w:b/>
        </w:rPr>
        <w:t>Autonomy</w:t>
      </w:r>
    </w:p>
    <w:p w14:paraId="08AD94C8" w14:textId="77777777" w:rsidR="00783D9C" w:rsidRPr="003F5759" w:rsidRDefault="00783D9C" w:rsidP="00783D9C">
      <w:pPr>
        <w:rPr>
          <w:rFonts w:ascii="Arial" w:hAnsi="Arial" w:cs="Arial"/>
        </w:rPr>
      </w:pPr>
      <w:r w:rsidRPr="003F5759">
        <w:rPr>
          <w:rFonts w:ascii="Arial" w:hAnsi="Arial" w:cs="Arial"/>
        </w:rPr>
        <w:t>The principle of autonomy helps in respecting the right of a person to have the freedom of making decisions regarding their health and treatment. In dementia care within a care home, professionals need to ensure that an individual is able to exercise their autonomy in matters relating to health and welfare. This can be done through allowing people the chance to decide on issues relating to daily activities, meals, clothes and even activities. Autonomy entails good communication and provision of relevant information</w:t>
      </w:r>
      <w:r w:rsidR="00FE1B5C" w:rsidRPr="003F5759">
        <w:rPr>
          <w:rFonts w:ascii="Arial" w:hAnsi="Arial" w:cs="Arial"/>
        </w:rPr>
        <w:t xml:space="preserve"> (Varkey, 2021)</w:t>
      </w:r>
      <w:r w:rsidRPr="003F5759">
        <w:rPr>
          <w:rFonts w:ascii="Arial" w:hAnsi="Arial" w:cs="Arial"/>
        </w:rPr>
        <w:t>.</w:t>
      </w:r>
    </w:p>
    <w:p w14:paraId="06317455" w14:textId="77777777" w:rsidR="00783D9C" w:rsidRPr="003F5759" w:rsidRDefault="00783D9C" w:rsidP="00783D9C">
      <w:pPr>
        <w:rPr>
          <w:rFonts w:ascii="Arial" w:hAnsi="Arial" w:cs="Arial"/>
          <w:b/>
        </w:rPr>
      </w:pPr>
      <w:r w:rsidRPr="003F5759">
        <w:rPr>
          <w:rFonts w:ascii="Arial" w:hAnsi="Arial" w:cs="Arial"/>
          <w:b/>
        </w:rPr>
        <w:t>Beneficence</w:t>
      </w:r>
    </w:p>
    <w:p w14:paraId="324892C8" w14:textId="77777777" w:rsidR="00783D9C" w:rsidRPr="003F5759" w:rsidRDefault="00783D9C" w:rsidP="00783D9C">
      <w:pPr>
        <w:rPr>
          <w:rFonts w:ascii="Arial" w:hAnsi="Arial" w:cs="Arial"/>
        </w:rPr>
      </w:pPr>
      <w:r w:rsidRPr="003F5759">
        <w:rPr>
          <w:rFonts w:ascii="Arial" w:hAnsi="Arial" w:cs="Arial"/>
        </w:rPr>
        <w:t>This involves professionals acting in the best interest of the people they serve by ensuring their wellbeing through health improvement interventions. In dementia care, this is achieved through activities and maintenance of social relationships.</w:t>
      </w:r>
    </w:p>
    <w:p w14:paraId="2533DB73" w14:textId="77777777" w:rsidR="00783D9C" w:rsidRPr="003F5759" w:rsidRDefault="00783D9C" w:rsidP="00783D9C">
      <w:pPr>
        <w:rPr>
          <w:rFonts w:ascii="Arial" w:hAnsi="Arial" w:cs="Arial"/>
          <w:b/>
          <w:bCs/>
        </w:rPr>
      </w:pPr>
      <w:r w:rsidRPr="003F5759">
        <w:rPr>
          <w:rFonts w:ascii="Arial" w:hAnsi="Arial" w:cs="Arial"/>
          <w:b/>
          <w:bCs/>
        </w:rPr>
        <w:t>Non-maleficence</w:t>
      </w:r>
    </w:p>
    <w:p w14:paraId="5176879E" w14:textId="77777777" w:rsidR="00783D9C" w:rsidRPr="003F5759" w:rsidRDefault="00783D9C" w:rsidP="00783D9C">
      <w:pPr>
        <w:rPr>
          <w:rFonts w:ascii="Arial" w:hAnsi="Arial" w:cs="Arial"/>
          <w:bCs/>
        </w:rPr>
      </w:pPr>
      <w:r w:rsidRPr="003F5759">
        <w:rPr>
          <w:rFonts w:ascii="Arial" w:hAnsi="Arial" w:cs="Arial"/>
          <w:bCs/>
        </w:rPr>
        <w:t xml:space="preserve">Non-maleficence entails refraining from actions that can cause harm. Care practitioners should weigh the promotion of autonomy against safeguarding individuals from harm </w:t>
      </w:r>
      <w:r w:rsidRPr="003F5759">
        <w:rPr>
          <w:rFonts w:ascii="Arial" w:hAnsi="Arial" w:cs="Arial"/>
          <w:bCs/>
        </w:rPr>
        <w:lastRenderedPageBreak/>
        <w:t>where possible. For instance, enabling someone to walk on their own may promote autonomy; however, care practitioners need to identify potential risks like falling.</w:t>
      </w:r>
    </w:p>
    <w:p w14:paraId="4B3DA51E" w14:textId="77777777" w:rsidR="00783D9C" w:rsidRPr="003F5759" w:rsidRDefault="00783D9C" w:rsidP="00783D9C">
      <w:pPr>
        <w:rPr>
          <w:rFonts w:ascii="Arial" w:hAnsi="Arial" w:cs="Arial"/>
          <w:b/>
          <w:bCs/>
        </w:rPr>
      </w:pPr>
      <w:r w:rsidRPr="003F5759">
        <w:rPr>
          <w:rFonts w:ascii="Arial" w:hAnsi="Arial" w:cs="Arial"/>
          <w:b/>
          <w:bCs/>
        </w:rPr>
        <w:t>Justice and Confidentiality</w:t>
      </w:r>
    </w:p>
    <w:p w14:paraId="16F45F3F" w14:textId="77777777" w:rsidR="00783D9C" w:rsidRPr="003F5759" w:rsidRDefault="00783D9C" w:rsidP="00783D9C">
      <w:pPr>
        <w:rPr>
          <w:rFonts w:ascii="Arial" w:hAnsi="Arial" w:cs="Arial"/>
          <w:bCs/>
        </w:rPr>
      </w:pPr>
      <w:r w:rsidRPr="003F5759">
        <w:rPr>
          <w:rFonts w:ascii="Arial" w:hAnsi="Arial" w:cs="Arial"/>
          <w:bCs/>
        </w:rPr>
        <w:t>Justice entails providing care for all people without discriminating based on age, disabilities, or any health condition. In addition, confidentiality is an important ethical issue as partnership working will entail sharing information</w:t>
      </w:r>
      <w:r w:rsidR="002145C4" w:rsidRPr="003F5759">
        <w:rPr>
          <w:rFonts w:ascii="Arial" w:hAnsi="Arial" w:cs="Arial"/>
          <w:bCs/>
        </w:rPr>
        <w:t xml:space="preserve"> (Luggar-Schmit, 2024)</w:t>
      </w:r>
      <w:r w:rsidRPr="003F5759">
        <w:rPr>
          <w:rFonts w:ascii="Arial" w:hAnsi="Arial" w:cs="Arial"/>
          <w:bCs/>
        </w:rPr>
        <w:t>.</w:t>
      </w:r>
    </w:p>
    <w:p w14:paraId="37F6A437" w14:textId="77777777" w:rsidR="00472FBC" w:rsidRPr="003F5759" w:rsidRDefault="00472FBC" w:rsidP="00472FBC">
      <w:pPr>
        <w:keepNext/>
        <w:jc w:val="center"/>
        <w:rPr>
          <w:rFonts w:ascii="Arial" w:hAnsi="Arial" w:cs="Arial"/>
        </w:rPr>
      </w:pPr>
      <w:r w:rsidRPr="003F5759">
        <w:rPr>
          <w:rFonts w:ascii="Arial" w:hAnsi="Arial" w:cs="Arial"/>
          <w:noProof/>
          <w:lang w:eastAsia="en-GB"/>
        </w:rPr>
        <w:drawing>
          <wp:inline distT="0" distB="0" distL="0" distR="0" wp14:anchorId="2E90E7B1" wp14:editId="0815454D">
            <wp:extent cx="4867275" cy="3244850"/>
            <wp:effectExtent l="0" t="0" r="9525" b="0"/>
            <wp:docPr id="4" name="Picture 4" descr="The Role Of Ethical Considerations In Health And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ole Of Ethical Considerations In Health And Social Ca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7275" cy="3244850"/>
                    </a:xfrm>
                    <a:prstGeom prst="rect">
                      <a:avLst/>
                    </a:prstGeom>
                    <a:noFill/>
                    <a:ln>
                      <a:noFill/>
                    </a:ln>
                  </pic:spPr>
                </pic:pic>
              </a:graphicData>
            </a:graphic>
          </wp:inline>
        </w:drawing>
      </w:r>
    </w:p>
    <w:p w14:paraId="0C06B1E4" w14:textId="77777777" w:rsidR="00472FBC" w:rsidRPr="003F5759" w:rsidRDefault="00472FBC" w:rsidP="00472FBC">
      <w:pPr>
        <w:pStyle w:val="Caption"/>
        <w:jc w:val="center"/>
        <w:rPr>
          <w:rFonts w:ascii="Arial" w:hAnsi="Arial" w:cs="Arial"/>
        </w:rPr>
      </w:pPr>
      <w:bookmarkStart w:id="13" w:name="_Toc236306279"/>
      <w:r w:rsidRPr="003F5759">
        <w:rPr>
          <w:rFonts w:ascii="Arial" w:hAnsi="Arial" w:cs="Arial"/>
        </w:rPr>
        <w:t xml:space="preserve">Figure </w:t>
      </w:r>
      <w:r w:rsidRPr="003F5759">
        <w:rPr>
          <w:rFonts w:ascii="Arial" w:hAnsi="Arial" w:cs="Arial"/>
        </w:rPr>
        <w:fldChar w:fldCharType="begin"/>
      </w:r>
      <w:r w:rsidRPr="003F5759">
        <w:rPr>
          <w:rFonts w:ascii="Arial" w:hAnsi="Arial" w:cs="Arial"/>
        </w:rPr>
        <w:instrText xml:space="preserve"> SEQ Figure \* ARABIC </w:instrText>
      </w:r>
      <w:r w:rsidRPr="003F5759">
        <w:rPr>
          <w:rFonts w:ascii="Arial" w:hAnsi="Arial" w:cs="Arial"/>
        </w:rPr>
        <w:fldChar w:fldCharType="separate"/>
      </w:r>
      <w:r w:rsidRPr="003F5759">
        <w:rPr>
          <w:rFonts w:ascii="Arial" w:hAnsi="Arial" w:cs="Arial"/>
          <w:noProof/>
        </w:rPr>
        <w:t>4</w:t>
      </w:r>
      <w:r w:rsidRPr="003F5759">
        <w:rPr>
          <w:rFonts w:ascii="Arial" w:hAnsi="Arial" w:cs="Arial"/>
        </w:rPr>
        <w:fldChar w:fldCharType="end"/>
      </w:r>
      <w:r w:rsidRPr="003F5759">
        <w:rPr>
          <w:rFonts w:ascii="Arial" w:hAnsi="Arial" w:cs="Arial"/>
        </w:rPr>
        <w:t>: The Role of Ethical Considerations in Health and Social Care</w:t>
      </w:r>
      <w:bookmarkEnd w:id="13"/>
    </w:p>
    <w:p w14:paraId="77E33E7B" w14:textId="77777777" w:rsidR="00472FBC" w:rsidRPr="003F5759" w:rsidRDefault="00472FBC" w:rsidP="00472FBC">
      <w:pPr>
        <w:pStyle w:val="Caption"/>
        <w:jc w:val="center"/>
        <w:rPr>
          <w:rFonts w:ascii="Arial" w:hAnsi="Arial" w:cs="Arial"/>
          <w:bCs/>
        </w:rPr>
      </w:pPr>
      <w:r w:rsidRPr="003F5759">
        <w:rPr>
          <w:rFonts w:ascii="Arial" w:hAnsi="Arial" w:cs="Arial"/>
        </w:rPr>
        <w:t>Source: (Beaumont, 2024)</w:t>
      </w:r>
    </w:p>
    <w:p w14:paraId="63E0FFE6" w14:textId="77777777" w:rsidR="00783D9C" w:rsidRPr="003F5759" w:rsidRDefault="00783D9C" w:rsidP="004410D9">
      <w:pPr>
        <w:pStyle w:val="Heading1"/>
        <w:rPr>
          <w:rFonts w:ascii="Arial" w:hAnsi="Arial" w:cs="Arial"/>
        </w:rPr>
      </w:pPr>
      <w:bookmarkStart w:id="14" w:name="_Toc236321587"/>
      <w:r w:rsidRPr="003F5759">
        <w:rPr>
          <w:rFonts w:ascii="Arial" w:hAnsi="Arial" w:cs="Arial"/>
        </w:rPr>
        <w:t>Partnership Working in Health and Social Care</w:t>
      </w:r>
      <w:bookmarkEnd w:id="14"/>
    </w:p>
    <w:p w14:paraId="49C60720" w14:textId="77777777" w:rsidR="004410D9" w:rsidRPr="003F5759" w:rsidRDefault="004410D9" w:rsidP="004410D9">
      <w:pPr>
        <w:rPr>
          <w:rFonts w:ascii="Arial" w:hAnsi="Arial" w:cs="Arial"/>
        </w:rPr>
      </w:pPr>
      <w:r w:rsidRPr="003F5759">
        <w:rPr>
          <w:rFonts w:ascii="Arial" w:hAnsi="Arial" w:cs="Arial"/>
        </w:rPr>
        <w:t>Partnering in health and social care means the process of working together in cooperation with diverse persons and organisations in order to provide a safe and effective form of care according to the specific needs of the individual receiving the care. Partnering involves active engagement of the individual, his/her family members, health and social care professionals as well as community services. Partnership working facilitates the provision of person-centred care since it ensures collaborative decision-making in accordance with the specific preferences, needs and interests of the individual</w:t>
      </w:r>
      <w:r w:rsidR="002145C4" w:rsidRPr="003F5759">
        <w:rPr>
          <w:rFonts w:ascii="Arial" w:hAnsi="Arial" w:cs="Arial"/>
        </w:rPr>
        <w:t xml:space="preserve"> (Jobe, Lindberg and Engström, 2020)</w:t>
      </w:r>
      <w:r w:rsidRPr="003F5759">
        <w:rPr>
          <w:rFonts w:ascii="Arial" w:hAnsi="Arial" w:cs="Arial"/>
        </w:rPr>
        <w:t>.</w:t>
      </w:r>
    </w:p>
    <w:p w14:paraId="4D0C3808" w14:textId="77777777" w:rsidR="00472FBC" w:rsidRPr="003F5759" w:rsidRDefault="00472FBC" w:rsidP="00472FBC">
      <w:pPr>
        <w:keepNext/>
        <w:jc w:val="center"/>
        <w:rPr>
          <w:rFonts w:ascii="Arial" w:hAnsi="Arial" w:cs="Arial"/>
        </w:rPr>
      </w:pPr>
      <w:r w:rsidRPr="003F5759">
        <w:rPr>
          <w:rFonts w:ascii="Arial" w:hAnsi="Arial" w:cs="Arial"/>
          <w:noProof/>
          <w:lang w:eastAsia="en-GB"/>
        </w:rPr>
        <w:lastRenderedPageBreak/>
        <w:drawing>
          <wp:inline distT="0" distB="0" distL="0" distR="0" wp14:anchorId="238B8FE0" wp14:editId="3D7B6A62">
            <wp:extent cx="5105400" cy="3388873"/>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10882" cy="3392512"/>
                    </a:xfrm>
                    <a:prstGeom prst="rect">
                      <a:avLst/>
                    </a:prstGeom>
                  </pic:spPr>
                </pic:pic>
              </a:graphicData>
            </a:graphic>
          </wp:inline>
        </w:drawing>
      </w:r>
    </w:p>
    <w:p w14:paraId="68CE69D7" w14:textId="77777777" w:rsidR="00472FBC" w:rsidRPr="003F5759" w:rsidRDefault="00472FBC" w:rsidP="00472FBC">
      <w:pPr>
        <w:pStyle w:val="Caption"/>
        <w:jc w:val="center"/>
        <w:rPr>
          <w:rFonts w:ascii="Arial" w:hAnsi="Arial" w:cs="Arial"/>
        </w:rPr>
      </w:pPr>
      <w:bookmarkStart w:id="15" w:name="_Toc236306280"/>
      <w:r w:rsidRPr="003F5759">
        <w:rPr>
          <w:rFonts w:ascii="Arial" w:hAnsi="Arial" w:cs="Arial"/>
        </w:rPr>
        <w:t xml:space="preserve">Figure </w:t>
      </w:r>
      <w:r w:rsidRPr="003F5759">
        <w:rPr>
          <w:rFonts w:ascii="Arial" w:hAnsi="Arial" w:cs="Arial"/>
        </w:rPr>
        <w:fldChar w:fldCharType="begin"/>
      </w:r>
      <w:r w:rsidRPr="003F5759">
        <w:rPr>
          <w:rFonts w:ascii="Arial" w:hAnsi="Arial" w:cs="Arial"/>
        </w:rPr>
        <w:instrText xml:space="preserve"> SEQ Figure \* ARABIC </w:instrText>
      </w:r>
      <w:r w:rsidRPr="003F5759">
        <w:rPr>
          <w:rFonts w:ascii="Arial" w:hAnsi="Arial" w:cs="Arial"/>
        </w:rPr>
        <w:fldChar w:fldCharType="separate"/>
      </w:r>
      <w:r w:rsidRPr="003F5759">
        <w:rPr>
          <w:rFonts w:ascii="Arial" w:hAnsi="Arial" w:cs="Arial"/>
          <w:noProof/>
        </w:rPr>
        <w:t>5</w:t>
      </w:r>
      <w:r w:rsidRPr="003F5759">
        <w:rPr>
          <w:rFonts w:ascii="Arial" w:hAnsi="Arial" w:cs="Arial"/>
        </w:rPr>
        <w:fldChar w:fldCharType="end"/>
      </w:r>
      <w:r w:rsidRPr="003F5759">
        <w:rPr>
          <w:rFonts w:ascii="Arial" w:hAnsi="Arial" w:cs="Arial"/>
        </w:rPr>
        <w:t>: Partnership Working in Health and Social Care</w:t>
      </w:r>
      <w:bookmarkEnd w:id="15"/>
    </w:p>
    <w:p w14:paraId="51BF3C43" w14:textId="77777777" w:rsidR="00472FBC" w:rsidRPr="003F5759" w:rsidRDefault="00472FBC" w:rsidP="00472FBC">
      <w:pPr>
        <w:pStyle w:val="Caption"/>
        <w:jc w:val="center"/>
        <w:rPr>
          <w:rFonts w:ascii="Arial" w:hAnsi="Arial" w:cs="Arial"/>
        </w:rPr>
      </w:pPr>
      <w:r w:rsidRPr="003F5759">
        <w:rPr>
          <w:rFonts w:ascii="Arial" w:hAnsi="Arial" w:cs="Arial"/>
        </w:rPr>
        <w:t>Source: (Morgan, 2025)</w:t>
      </w:r>
    </w:p>
    <w:p w14:paraId="3077CA68" w14:textId="77777777" w:rsidR="004410D9" w:rsidRPr="003F5759" w:rsidRDefault="004410D9" w:rsidP="004410D9">
      <w:pPr>
        <w:pStyle w:val="Heading2"/>
        <w:rPr>
          <w:rFonts w:ascii="Arial" w:hAnsi="Arial" w:cs="Arial"/>
        </w:rPr>
      </w:pPr>
      <w:bookmarkStart w:id="16" w:name="_Toc236321588"/>
      <w:r w:rsidRPr="003F5759">
        <w:rPr>
          <w:rFonts w:ascii="Arial" w:hAnsi="Arial" w:cs="Arial"/>
        </w:rPr>
        <w:t>Partnership Working in Dementia Care</w:t>
      </w:r>
      <w:bookmarkEnd w:id="16"/>
    </w:p>
    <w:p w14:paraId="7E9CB91D" w14:textId="77777777" w:rsidR="00475ECB" w:rsidRPr="003F5759" w:rsidRDefault="003E0C47" w:rsidP="00475ECB">
      <w:pPr>
        <w:rPr>
          <w:rFonts w:ascii="Arial" w:hAnsi="Arial" w:cs="Arial"/>
        </w:rPr>
      </w:pPr>
      <w:r w:rsidRPr="003F5759">
        <w:rPr>
          <w:rFonts w:ascii="Arial" w:hAnsi="Arial" w:cs="Arial"/>
        </w:rPr>
        <w:t>In a care home environment where there are older people with dementia, partnership working entails a combination of different professionals working together to provide individualized care.</w:t>
      </w:r>
    </w:p>
    <w:p w14:paraId="5D769CB9" w14:textId="77777777" w:rsidR="004410D9" w:rsidRPr="003F5759" w:rsidRDefault="004410D9" w:rsidP="003E0C47">
      <w:pPr>
        <w:pStyle w:val="ListParagraph"/>
        <w:numPr>
          <w:ilvl w:val="0"/>
          <w:numId w:val="32"/>
        </w:numPr>
        <w:rPr>
          <w:rFonts w:ascii="Arial" w:hAnsi="Arial" w:cs="Arial"/>
        </w:rPr>
      </w:pPr>
      <w:r w:rsidRPr="003F5759">
        <w:rPr>
          <w:rFonts w:ascii="Arial" w:hAnsi="Arial" w:cs="Arial"/>
          <w:b/>
          <w:bCs/>
        </w:rPr>
        <w:t>Care workers</w:t>
      </w:r>
      <w:r w:rsidRPr="003F5759">
        <w:rPr>
          <w:rFonts w:ascii="Arial" w:hAnsi="Arial" w:cs="Arial"/>
        </w:rPr>
        <w:t xml:space="preserve"> play an important role through daily observation, personal care support and identifying changes in residents’ behaviour, health or emotional wellbeing. Their close contact with residents allows them to contribute valuable information to care planning.</w:t>
      </w:r>
    </w:p>
    <w:p w14:paraId="2A67438B" w14:textId="77777777" w:rsidR="004410D9" w:rsidRPr="003F5759" w:rsidRDefault="004410D9" w:rsidP="004410D9">
      <w:pPr>
        <w:pStyle w:val="ListParagraph"/>
        <w:numPr>
          <w:ilvl w:val="0"/>
          <w:numId w:val="32"/>
        </w:numPr>
        <w:rPr>
          <w:rFonts w:ascii="Arial" w:hAnsi="Arial" w:cs="Arial"/>
        </w:rPr>
      </w:pPr>
      <w:r w:rsidRPr="003F5759">
        <w:rPr>
          <w:rFonts w:ascii="Arial" w:hAnsi="Arial" w:cs="Arial"/>
          <w:b/>
          <w:bCs/>
        </w:rPr>
        <w:t>Nurses</w:t>
      </w:r>
      <w:r w:rsidRPr="003F5759">
        <w:rPr>
          <w:rFonts w:ascii="Arial" w:hAnsi="Arial" w:cs="Arial"/>
        </w:rPr>
        <w:t xml:space="preserve"> support health monitoring, medication management and communication of clinical concerns. They help coordinate healthcare needs and ensure appropriate interventions are provided.</w:t>
      </w:r>
    </w:p>
    <w:p w14:paraId="5696F945" w14:textId="77777777" w:rsidR="004410D9" w:rsidRPr="003F5759" w:rsidRDefault="004410D9" w:rsidP="004410D9">
      <w:pPr>
        <w:pStyle w:val="ListParagraph"/>
        <w:numPr>
          <w:ilvl w:val="0"/>
          <w:numId w:val="32"/>
        </w:numPr>
        <w:rPr>
          <w:rFonts w:ascii="Arial" w:hAnsi="Arial" w:cs="Arial"/>
        </w:rPr>
      </w:pPr>
      <w:r w:rsidRPr="003F5759">
        <w:rPr>
          <w:rFonts w:ascii="Arial" w:hAnsi="Arial" w:cs="Arial"/>
          <w:b/>
          <w:bCs/>
        </w:rPr>
        <w:t>General practitioners (GPs)</w:t>
      </w:r>
      <w:r w:rsidRPr="003F5759">
        <w:rPr>
          <w:rFonts w:ascii="Arial" w:hAnsi="Arial" w:cs="Arial"/>
        </w:rPr>
        <w:t xml:space="preserve"> contribute through medical assessment, diagnosis, treatment decisions and management of long-term health conditions.</w:t>
      </w:r>
    </w:p>
    <w:p w14:paraId="78E5BABB" w14:textId="77777777" w:rsidR="004410D9" w:rsidRPr="003F5759" w:rsidRDefault="004410D9" w:rsidP="004410D9">
      <w:pPr>
        <w:pStyle w:val="ListParagraph"/>
        <w:numPr>
          <w:ilvl w:val="0"/>
          <w:numId w:val="32"/>
        </w:numPr>
        <w:rPr>
          <w:rFonts w:ascii="Arial" w:hAnsi="Arial" w:cs="Arial"/>
        </w:rPr>
      </w:pPr>
      <w:r w:rsidRPr="003F5759">
        <w:rPr>
          <w:rFonts w:ascii="Arial" w:hAnsi="Arial" w:cs="Arial"/>
          <w:b/>
          <w:bCs/>
        </w:rPr>
        <w:t>Social workers</w:t>
      </w:r>
      <w:r w:rsidRPr="003F5759">
        <w:rPr>
          <w:rFonts w:ascii="Arial" w:hAnsi="Arial" w:cs="Arial"/>
        </w:rPr>
        <w:t xml:space="preserve"> support care planning, safeguarding responsibilities and ensuring that individuals receive appropriate services based on their needs and rights.</w:t>
      </w:r>
    </w:p>
    <w:p w14:paraId="2039A301" w14:textId="77777777" w:rsidR="004410D9" w:rsidRPr="003F5759" w:rsidRDefault="004410D9" w:rsidP="004410D9">
      <w:pPr>
        <w:pStyle w:val="ListParagraph"/>
        <w:numPr>
          <w:ilvl w:val="0"/>
          <w:numId w:val="32"/>
        </w:numPr>
        <w:rPr>
          <w:rFonts w:ascii="Arial" w:hAnsi="Arial" w:cs="Arial"/>
        </w:rPr>
      </w:pPr>
      <w:r w:rsidRPr="003F5759">
        <w:rPr>
          <w:rFonts w:ascii="Arial" w:hAnsi="Arial" w:cs="Arial"/>
          <w:b/>
          <w:bCs/>
        </w:rPr>
        <w:lastRenderedPageBreak/>
        <w:t>Occupational therapists</w:t>
      </w:r>
      <w:r w:rsidRPr="003F5759">
        <w:rPr>
          <w:rFonts w:ascii="Arial" w:hAnsi="Arial" w:cs="Arial"/>
        </w:rPr>
        <w:t xml:space="preserve"> promote independence by assessing abilities, recommending adaptations and supporting individuals to maintain meaningful activities.</w:t>
      </w:r>
    </w:p>
    <w:p w14:paraId="5E2F15A2" w14:textId="77777777" w:rsidR="004410D9" w:rsidRPr="003F5759" w:rsidRDefault="004410D9" w:rsidP="002145C4">
      <w:pPr>
        <w:pStyle w:val="ListParagraph"/>
        <w:numPr>
          <w:ilvl w:val="0"/>
          <w:numId w:val="32"/>
        </w:numPr>
        <w:rPr>
          <w:rFonts w:ascii="Arial" w:hAnsi="Arial" w:cs="Arial"/>
        </w:rPr>
      </w:pPr>
      <w:r w:rsidRPr="003F5759">
        <w:rPr>
          <w:rFonts w:ascii="Arial" w:hAnsi="Arial" w:cs="Arial"/>
          <w:b/>
          <w:bCs/>
        </w:rPr>
        <w:t>Families and carers</w:t>
      </w:r>
      <w:r w:rsidRPr="003F5759">
        <w:rPr>
          <w:rFonts w:ascii="Arial" w:hAnsi="Arial" w:cs="Arial"/>
        </w:rPr>
        <w:t xml:space="preserve"> contribute personal knowledge about the individual’s history, preferences, routines and values, helping professionals provide more personalised support</w:t>
      </w:r>
      <w:r w:rsidR="002145C4" w:rsidRPr="003F5759">
        <w:rPr>
          <w:rFonts w:ascii="Arial" w:hAnsi="Arial" w:cs="Arial"/>
        </w:rPr>
        <w:t xml:space="preserve"> (Hoek et al., 2020)</w:t>
      </w:r>
      <w:r w:rsidRPr="003F5759">
        <w:rPr>
          <w:rFonts w:ascii="Arial" w:hAnsi="Arial" w:cs="Arial"/>
        </w:rPr>
        <w:t>.</w:t>
      </w:r>
    </w:p>
    <w:p w14:paraId="4F5DD180" w14:textId="77777777" w:rsidR="004410D9" w:rsidRPr="003F5759" w:rsidRDefault="004410D9" w:rsidP="004410D9">
      <w:pPr>
        <w:numPr>
          <w:ilvl w:val="0"/>
          <w:numId w:val="1"/>
        </w:numPr>
        <w:tabs>
          <w:tab w:val="clear" w:pos="0"/>
        </w:tabs>
        <w:rPr>
          <w:rFonts w:ascii="Arial" w:hAnsi="Arial" w:cs="Arial"/>
          <w:b/>
          <w:bCs/>
        </w:rPr>
      </w:pPr>
      <w:r w:rsidRPr="003F5759">
        <w:rPr>
          <w:rFonts w:ascii="Arial" w:hAnsi="Arial" w:cs="Arial"/>
          <w:b/>
          <w:bCs/>
        </w:rPr>
        <w:t>5.3 Benefits of Partnership Working</w:t>
      </w:r>
    </w:p>
    <w:p w14:paraId="5D3AF9AF" w14:textId="77777777" w:rsidR="004410D9" w:rsidRPr="003F5759" w:rsidRDefault="003E0C47" w:rsidP="004410D9">
      <w:pPr>
        <w:rPr>
          <w:rFonts w:ascii="Arial" w:hAnsi="Arial" w:cs="Arial"/>
        </w:rPr>
      </w:pPr>
      <w:r w:rsidRPr="003F5759">
        <w:rPr>
          <w:rFonts w:ascii="Arial" w:hAnsi="Arial" w:cs="Arial"/>
        </w:rPr>
        <w:t>Effective partnership working can enhance communication among professionals, hence providing more consistent and coordinated care. Partnership working helps in adopting a holistic perspective, as it takes into consideration the physical, psychological, social and emotional well-being of the person instead of looking at just one dimension of health. Collaboration can also minimize overlapping services and avoid conflicting approaches by different</w:t>
      </w:r>
      <w:r w:rsidR="002145C4" w:rsidRPr="003F5759">
        <w:rPr>
          <w:rFonts w:ascii="Arial" w:hAnsi="Arial" w:cs="Arial"/>
        </w:rPr>
        <w:t xml:space="preserve"> (Sauvage and Ahluwalia, 2016).</w:t>
      </w:r>
    </w:p>
    <w:p w14:paraId="3A8994C7" w14:textId="77777777" w:rsidR="004410D9" w:rsidRPr="003F5759" w:rsidRDefault="004410D9" w:rsidP="004410D9">
      <w:pPr>
        <w:pStyle w:val="Heading2"/>
        <w:rPr>
          <w:rFonts w:ascii="Arial" w:hAnsi="Arial" w:cs="Arial"/>
        </w:rPr>
      </w:pPr>
      <w:bookmarkStart w:id="17" w:name="_Toc236321589"/>
      <w:r w:rsidRPr="003F5759">
        <w:rPr>
          <w:rFonts w:ascii="Arial" w:hAnsi="Arial" w:cs="Arial"/>
        </w:rPr>
        <w:t>Challenges of Partnership Working</w:t>
      </w:r>
      <w:bookmarkEnd w:id="17"/>
    </w:p>
    <w:p w14:paraId="4B1D66D7" w14:textId="77777777" w:rsidR="004410D9" w:rsidRPr="003F5759" w:rsidRDefault="004410D9" w:rsidP="004410D9">
      <w:pPr>
        <w:rPr>
          <w:rFonts w:ascii="Arial" w:hAnsi="Arial" w:cs="Arial"/>
        </w:rPr>
      </w:pPr>
      <w:r w:rsidRPr="003F5759">
        <w:rPr>
          <w:rFonts w:ascii="Arial" w:hAnsi="Arial" w:cs="Arial"/>
        </w:rPr>
        <w:t>Nevertheless, partnership working has its weaknesses. Failure to communicate effectively between the different services may lead to delays, lack of information exchange or poor quality of care. Divergent objectives and approaches by the professionals can cause conflicts while making decisions. Confidentiality issues may also present a barrier to information exchange between the organi</w:t>
      </w:r>
      <w:r w:rsidR="00475ECB" w:rsidRPr="003F5759">
        <w:rPr>
          <w:rFonts w:ascii="Arial" w:hAnsi="Arial" w:cs="Arial"/>
        </w:rPr>
        <w:t>s</w:t>
      </w:r>
      <w:r w:rsidRPr="003F5759">
        <w:rPr>
          <w:rFonts w:ascii="Arial" w:hAnsi="Arial" w:cs="Arial"/>
        </w:rPr>
        <w:t>ations. Moreover, shortage of resources and staffing may hinder partnership working</w:t>
      </w:r>
      <w:r w:rsidR="002145C4" w:rsidRPr="003F5759">
        <w:rPr>
          <w:rFonts w:ascii="Arial" w:hAnsi="Arial" w:cs="Arial"/>
        </w:rPr>
        <w:t xml:space="preserve"> (Zwisler, Sauer and Shoultz, 2024)</w:t>
      </w:r>
      <w:r w:rsidRPr="003F5759">
        <w:rPr>
          <w:rFonts w:ascii="Arial" w:hAnsi="Arial" w:cs="Arial"/>
        </w:rPr>
        <w:t>.</w:t>
      </w:r>
    </w:p>
    <w:p w14:paraId="41FF2A0F" w14:textId="77777777" w:rsidR="00475ECB" w:rsidRPr="003F5759" w:rsidRDefault="00475ECB" w:rsidP="00475ECB">
      <w:pPr>
        <w:pStyle w:val="Heading1"/>
        <w:rPr>
          <w:rFonts w:ascii="Arial" w:hAnsi="Arial" w:cs="Arial"/>
        </w:rPr>
      </w:pPr>
      <w:bookmarkStart w:id="18" w:name="_Toc236321590"/>
      <w:r w:rsidRPr="003F5759">
        <w:rPr>
          <w:rFonts w:ascii="Arial" w:hAnsi="Arial" w:cs="Arial"/>
        </w:rPr>
        <w:t>Relevant Policy and Legislation</w:t>
      </w:r>
      <w:bookmarkEnd w:id="18"/>
    </w:p>
    <w:p w14:paraId="74FD6720" w14:textId="77777777" w:rsidR="00475ECB" w:rsidRPr="003F5759" w:rsidRDefault="00475ECB" w:rsidP="00475ECB">
      <w:pPr>
        <w:rPr>
          <w:rFonts w:ascii="Arial" w:hAnsi="Arial" w:cs="Arial"/>
        </w:rPr>
      </w:pPr>
      <w:r w:rsidRPr="003F5759">
        <w:rPr>
          <w:rFonts w:ascii="Arial" w:hAnsi="Arial" w:cs="Arial"/>
        </w:rPr>
        <w:t>Practices of health and social care within dementia services are regulated by legislation and policy which emphasize individual rights, safeguarding, equality, and person-centered approach. The Care Act 2014 is especially important because it puts well-being in the focus of adult social care provision. It obliges care and support decisions to take into account the needs, goals, preferences and wishes of the individual while promoting engagement in assessment and care planning. In care homes, it allows people with dementia to have better control of their lives and decisions</w:t>
      </w:r>
      <w:r w:rsidR="002145C4" w:rsidRPr="003F5759">
        <w:rPr>
          <w:rFonts w:ascii="Arial" w:hAnsi="Arial" w:cs="Arial"/>
        </w:rPr>
        <w:t xml:space="preserve"> (Gov.UK, 2014)</w:t>
      </w:r>
      <w:r w:rsidRPr="003F5759">
        <w:rPr>
          <w:rFonts w:ascii="Arial" w:hAnsi="Arial" w:cs="Arial"/>
        </w:rPr>
        <w:t>.</w:t>
      </w:r>
    </w:p>
    <w:p w14:paraId="386A231F" w14:textId="77777777" w:rsidR="00475ECB" w:rsidRPr="003F5759" w:rsidRDefault="00475ECB" w:rsidP="00475ECB">
      <w:pPr>
        <w:rPr>
          <w:rFonts w:ascii="Arial" w:hAnsi="Arial" w:cs="Arial"/>
        </w:rPr>
      </w:pPr>
      <w:r w:rsidRPr="003F5759">
        <w:rPr>
          <w:rFonts w:ascii="Arial" w:hAnsi="Arial" w:cs="Arial"/>
        </w:rPr>
        <w:lastRenderedPageBreak/>
        <w:tab/>
        <w:t>The Mental Capacity Act 2005 is also very important because it concerns the cases when an individual can be not able to make certain decisions due to his/her dementia. The Act assumes the presumption of capacity, the obligation of professionals to help the person in decision-making and makes provision for best-interest decision making in case of capacity absence</w:t>
      </w:r>
      <w:r w:rsidR="002145C4" w:rsidRPr="003F5759">
        <w:rPr>
          <w:rFonts w:ascii="Arial" w:hAnsi="Arial" w:cs="Arial"/>
        </w:rPr>
        <w:t xml:space="preserve"> (GOV.UK, 2005)</w:t>
      </w:r>
      <w:r w:rsidRPr="003F5759">
        <w:rPr>
          <w:rFonts w:ascii="Arial" w:hAnsi="Arial" w:cs="Arial"/>
        </w:rPr>
        <w:t xml:space="preserve">.  </w:t>
      </w:r>
    </w:p>
    <w:p w14:paraId="5AD236B3" w14:textId="77777777" w:rsidR="00475ECB" w:rsidRPr="003F5759" w:rsidRDefault="00475ECB" w:rsidP="00475ECB">
      <w:pPr>
        <w:rPr>
          <w:rFonts w:ascii="Arial" w:hAnsi="Arial" w:cs="Arial"/>
        </w:rPr>
      </w:pPr>
      <w:r w:rsidRPr="003F5759">
        <w:rPr>
          <w:rFonts w:ascii="Arial" w:hAnsi="Arial" w:cs="Arial"/>
        </w:rPr>
        <w:tab/>
        <w:t>The Data Protection Act 2018/UK GDPR helps to maintain safe partnership working by providing for secure management of personal data and appropriate information exchange between professionals. The Equality Act 2010 guarantees people protection against discrimination and equal access to health and social care</w:t>
      </w:r>
      <w:r w:rsidR="002145C4" w:rsidRPr="003F5759">
        <w:rPr>
          <w:rFonts w:ascii="Arial" w:hAnsi="Arial" w:cs="Arial"/>
        </w:rPr>
        <w:t xml:space="preserve"> (GOV.UK, 2018)</w:t>
      </w:r>
      <w:r w:rsidRPr="003F5759">
        <w:rPr>
          <w:rFonts w:ascii="Arial" w:hAnsi="Arial" w:cs="Arial"/>
        </w:rPr>
        <w:t>.</w:t>
      </w:r>
    </w:p>
    <w:p w14:paraId="4D895415" w14:textId="77777777" w:rsidR="005B6BF7" w:rsidRPr="003F5759" w:rsidRDefault="005B6BF7" w:rsidP="005B6BF7">
      <w:pPr>
        <w:pStyle w:val="Heading1"/>
        <w:rPr>
          <w:rFonts w:ascii="Arial" w:hAnsi="Arial" w:cs="Arial"/>
        </w:rPr>
      </w:pPr>
      <w:bookmarkStart w:id="19" w:name="_Toc236321591"/>
      <w:r w:rsidRPr="003F5759">
        <w:rPr>
          <w:rFonts w:ascii="Arial" w:hAnsi="Arial" w:cs="Arial"/>
        </w:rPr>
        <w:t>Recommendations and Conclusion</w:t>
      </w:r>
      <w:bookmarkEnd w:id="19"/>
    </w:p>
    <w:p w14:paraId="286B886A" w14:textId="77777777" w:rsidR="00397A18" w:rsidRPr="003F5759" w:rsidRDefault="00397A18" w:rsidP="00397A18">
      <w:pPr>
        <w:rPr>
          <w:rFonts w:ascii="Arial" w:hAnsi="Arial" w:cs="Arial"/>
        </w:rPr>
      </w:pPr>
      <w:r w:rsidRPr="003F5759">
        <w:rPr>
          <w:rFonts w:ascii="Arial" w:hAnsi="Arial" w:cs="Arial"/>
        </w:rPr>
        <w:t>Recommendations to improve person-centred dementia care in care homes include the following. First, it is recommended to increase the person-centred care training of care staff. The benefits include enhanced understanding of the needs of residents, their ways of communication and life history leading to better dementia care. NICE advises the training of dementia care staff in order to promote the principles of person-centred and outcome-focused practice. Second, improved communication systems between health and social care organisations will lead to better continuity of care, fewer mistakes and professionals having enough information to make decisions. Good communication training proved to improve carers’ knowledge and communication skills in dementia care. Third, increasing the participation of family members and residents in decision-making will allow for more personalized decisions.</w:t>
      </w:r>
    </w:p>
    <w:p w14:paraId="405D1BBB" w14:textId="77777777" w:rsidR="00475ECB" w:rsidRPr="003F5759" w:rsidRDefault="00397A18" w:rsidP="00397A18">
      <w:pPr>
        <w:rPr>
          <w:rFonts w:ascii="Arial" w:hAnsi="Arial" w:cs="Arial"/>
        </w:rPr>
      </w:pPr>
      <w:r w:rsidRPr="003F5759">
        <w:rPr>
          <w:rFonts w:ascii="Arial" w:hAnsi="Arial" w:cs="Arial"/>
        </w:rPr>
        <w:tab/>
        <w:t>Importance of person-centred care in dementia services lies in protecting the dignity, identity and choice of the person suffering from dementia. There is a solid theoretical basis of person-centred care in dementia services provided by Kitwood’s Person-Centred Dementia Care Model. But the successful implementation of the theory depends upon effective partnership of residents, family and professionals. Legislation and policies help maintain the safety, ethics, inclusiveness and individual focus of care.</w:t>
      </w:r>
    </w:p>
    <w:p w14:paraId="4EFDAAE0" w14:textId="77777777" w:rsidR="00524FF4" w:rsidRPr="003F5759" w:rsidRDefault="00524FF4" w:rsidP="00397A18">
      <w:pPr>
        <w:rPr>
          <w:rFonts w:ascii="Arial" w:hAnsi="Arial" w:cs="Arial"/>
        </w:rPr>
      </w:pPr>
    </w:p>
    <w:p w14:paraId="74913A53" w14:textId="77777777" w:rsidR="00524FF4" w:rsidRPr="003F5759" w:rsidRDefault="00524FF4">
      <w:pPr>
        <w:suppressAutoHyphens w:val="0"/>
        <w:spacing w:line="240" w:lineRule="auto"/>
        <w:jc w:val="left"/>
        <w:rPr>
          <w:rFonts w:ascii="Arial" w:hAnsi="Arial" w:cs="Arial"/>
        </w:rPr>
      </w:pPr>
      <w:r w:rsidRPr="003F5759">
        <w:rPr>
          <w:rFonts w:ascii="Arial" w:hAnsi="Arial" w:cs="Arial"/>
        </w:rPr>
        <w:br w:type="page"/>
      </w:r>
    </w:p>
    <w:p w14:paraId="02777206" w14:textId="77777777" w:rsidR="00524FF4" w:rsidRPr="003F5759" w:rsidRDefault="00524FF4" w:rsidP="00524FF4">
      <w:pPr>
        <w:pStyle w:val="Heading1"/>
        <w:rPr>
          <w:rFonts w:ascii="Arial" w:hAnsi="Arial" w:cs="Arial"/>
        </w:rPr>
      </w:pPr>
      <w:bookmarkStart w:id="20" w:name="_Toc236321592"/>
      <w:r w:rsidRPr="003F5759">
        <w:rPr>
          <w:rFonts w:ascii="Arial" w:hAnsi="Arial" w:cs="Arial"/>
        </w:rPr>
        <w:lastRenderedPageBreak/>
        <w:t>References</w:t>
      </w:r>
      <w:bookmarkEnd w:id="20"/>
    </w:p>
    <w:p w14:paraId="3B5E0B00"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American Association of Colleges of Nursing (2023). </w:t>
      </w:r>
      <w:r w:rsidRPr="005A3938">
        <w:rPr>
          <w:rFonts w:ascii="Arial" w:eastAsia="Times New Roman" w:hAnsi="Arial" w:cs="Arial"/>
          <w:i/>
          <w:iCs/>
          <w:color w:val="auto"/>
          <w:szCs w:val="24"/>
          <w:lang w:eastAsia="en-GB"/>
        </w:rPr>
        <w:t>Person-centered care</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www.aacnnursing.org</w:t>
      </w:r>
      <w:r w:rsidRPr="005A3938">
        <w:rPr>
          <w:rFonts w:ascii="Arial" w:eastAsia="Times New Roman" w:hAnsi="Arial" w:cs="Arial"/>
          <w:color w:val="auto"/>
          <w:szCs w:val="24"/>
          <w:lang w:eastAsia="en-GB"/>
        </w:rPr>
        <w:t xml:space="preserve">. Available at: </w:t>
      </w:r>
      <w:hyperlink r:id="rId13" w:history="1">
        <w:r w:rsidRPr="003F5759">
          <w:rPr>
            <w:rStyle w:val="Hyperlink"/>
            <w:rFonts w:ascii="Arial" w:eastAsia="Times New Roman" w:hAnsi="Arial" w:cs="Arial"/>
            <w:szCs w:val="24"/>
            <w:lang w:eastAsia="en-GB"/>
          </w:rPr>
          <w:t>https://www.aacnnursing.org/5B-Tool-Kit/Themes/Person-Centered-Care</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21D8C909"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Amin, S.N. (2025). Understanding Patient-Centered Care (PCC) and Shared Decision-Making (SDM) for Strengthening Doc-tor-Patient Relationships: A Model-Based Review with Implications for Central Police Hospital, Bangladesh. 1(2), pp.1–16. </w:t>
      </w:r>
      <w:r w:rsidRPr="003F5759">
        <w:rPr>
          <w:rFonts w:ascii="Arial" w:eastAsia="Times New Roman" w:hAnsi="Arial" w:cs="Arial"/>
          <w:color w:val="auto"/>
          <w:szCs w:val="24"/>
          <w:lang w:eastAsia="en-GB"/>
        </w:rPr>
        <w:t xml:space="preserve">doi: </w:t>
      </w:r>
      <w:hyperlink r:id="rId14" w:history="1">
        <w:r w:rsidRPr="003F5759">
          <w:rPr>
            <w:rStyle w:val="Hyperlink"/>
            <w:rFonts w:ascii="Arial" w:eastAsia="Times New Roman" w:hAnsi="Arial" w:cs="Arial"/>
            <w:szCs w:val="24"/>
            <w:lang w:eastAsia="en-GB"/>
          </w:rPr>
          <w:t>https://doi.org/10.63539/isrn.2025008</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14A51412"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Beaumont, M. (2024). </w:t>
      </w:r>
      <w:r w:rsidRPr="005A3938">
        <w:rPr>
          <w:rFonts w:ascii="Arial" w:eastAsia="Times New Roman" w:hAnsi="Arial" w:cs="Arial"/>
          <w:i/>
          <w:iCs/>
          <w:color w:val="auto"/>
          <w:szCs w:val="24"/>
          <w:lang w:eastAsia="en-GB"/>
        </w:rPr>
        <w:t>Balancing ethical considerations in health and social care</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Online Learning College</w:t>
      </w:r>
      <w:r w:rsidRPr="005A3938">
        <w:rPr>
          <w:rFonts w:ascii="Arial" w:eastAsia="Times New Roman" w:hAnsi="Arial" w:cs="Arial"/>
          <w:color w:val="auto"/>
          <w:szCs w:val="24"/>
          <w:lang w:eastAsia="en-GB"/>
        </w:rPr>
        <w:t xml:space="preserve">. Available at: </w:t>
      </w:r>
      <w:hyperlink r:id="rId15" w:history="1">
        <w:r w:rsidRPr="003F5759">
          <w:rPr>
            <w:rStyle w:val="Hyperlink"/>
            <w:rFonts w:ascii="Arial" w:eastAsia="Times New Roman" w:hAnsi="Arial" w:cs="Arial"/>
            <w:szCs w:val="24"/>
            <w:lang w:eastAsia="en-GB"/>
          </w:rPr>
          <w:t>https://online-learning-college.com/knowledge-hub/care/balancing-ethical-considerations-health-social-care/</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1BFFBA0D"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Byrne, A.-L., Baldwin, A. and Harvey, C. (2020). Whose centre is it anyway? Defining person-centred care in nursing: An integrative review. </w:t>
      </w:r>
      <w:r w:rsidRPr="005A3938">
        <w:rPr>
          <w:rFonts w:ascii="Arial" w:eastAsia="Times New Roman" w:hAnsi="Arial" w:cs="Arial"/>
          <w:i/>
          <w:iCs/>
          <w:color w:val="auto"/>
          <w:szCs w:val="24"/>
          <w:lang w:eastAsia="en-GB"/>
        </w:rPr>
        <w:t>PLOS ONE</w:t>
      </w:r>
      <w:r w:rsidRPr="005A3938">
        <w:rPr>
          <w:rFonts w:ascii="Arial" w:eastAsia="Times New Roman" w:hAnsi="Arial" w:cs="Arial"/>
          <w:color w:val="auto"/>
          <w:szCs w:val="24"/>
          <w:lang w:eastAsia="en-GB"/>
        </w:rPr>
        <w:t xml:space="preserve">, 15(3). </w:t>
      </w:r>
      <w:r w:rsidRPr="003F5759">
        <w:rPr>
          <w:rFonts w:ascii="Arial" w:eastAsia="Times New Roman" w:hAnsi="Arial" w:cs="Arial"/>
          <w:color w:val="auto"/>
          <w:szCs w:val="24"/>
          <w:lang w:eastAsia="en-GB"/>
        </w:rPr>
        <w:t xml:space="preserve">doi: </w:t>
      </w:r>
      <w:hyperlink r:id="rId16" w:history="1">
        <w:r w:rsidRPr="003F5759">
          <w:rPr>
            <w:rStyle w:val="Hyperlink"/>
            <w:rFonts w:ascii="Arial" w:eastAsia="Times New Roman" w:hAnsi="Arial" w:cs="Arial"/>
            <w:szCs w:val="24"/>
            <w:lang w:eastAsia="en-GB"/>
          </w:rPr>
          <w:t>https://doi.org/10.1371/journal.pone.0229923</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3C915173"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Engle, R.L., Mohr, D.C., Holmes, S.K., Seibert, M.N., Afable, M., Leyson, J. and Meterko, M. (2021). Evidence-based practice and patient-centered care: doing both well. </w:t>
      </w:r>
      <w:r w:rsidRPr="005A3938">
        <w:rPr>
          <w:rFonts w:ascii="Arial" w:eastAsia="Times New Roman" w:hAnsi="Arial" w:cs="Arial"/>
          <w:i/>
          <w:iCs/>
          <w:color w:val="auto"/>
          <w:szCs w:val="24"/>
          <w:lang w:eastAsia="en-GB"/>
        </w:rPr>
        <w:t>Health Care Management Review</w:t>
      </w:r>
      <w:r w:rsidRPr="005A3938">
        <w:rPr>
          <w:rFonts w:ascii="Arial" w:eastAsia="Times New Roman" w:hAnsi="Arial" w:cs="Arial"/>
          <w:color w:val="auto"/>
          <w:szCs w:val="24"/>
          <w:lang w:eastAsia="en-GB"/>
        </w:rPr>
        <w:t xml:space="preserve">, 46(3), pp.174–184. </w:t>
      </w:r>
      <w:r w:rsidRPr="003F5759">
        <w:rPr>
          <w:rFonts w:ascii="Arial" w:eastAsia="Times New Roman" w:hAnsi="Arial" w:cs="Arial"/>
          <w:color w:val="auto"/>
          <w:szCs w:val="24"/>
          <w:lang w:eastAsia="en-GB"/>
        </w:rPr>
        <w:t xml:space="preserve">doi: </w:t>
      </w:r>
      <w:hyperlink r:id="rId17" w:history="1">
        <w:r w:rsidRPr="003F5759">
          <w:rPr>
            <w:rStyle w:val="Hyperlink"/>
            <w:rFonts w:ascii="Arial" w:eastAsia="Times New Roman" w:hAnsi="Arial" w:cs="Arial"/>
            <w:szCs w:val="24"/>
            <w:lang w:eastAsia="en-GB"/>
          </w:rPr>
          <w:t>https://doi.org/10.1097/HMR.0000000000000254</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2DEE829E"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GOV.UK (2005). </w:t>
      </w:r>
      <w:r w:rsidRPr="005A3938">
        <w:rPr>
          <w:rFonts w:ascii="Arial" w:eastAsia="Times New Roman" w:hAnsi="Arial" w:cs="Arial"/>
          <w:i/>
          <w:iCs/>
          <w:color w:val="auto"/>
          <w:szCs w:val="24"/>
          <w:lang w:eastAsia="en-GB"/>
        </w:rPr>
        <w:t>mental capacity act 2005</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Legislation.gov.uk</w:t>
      </w:r>
      <w:r w:rsidRPr="005A3938">
        <w:rPr>
          <w:rFonts w:ascii="Arial" w:eastAsia="Times New Roman" w:hAnsi="Arial" w:cs="Arial"/>
          <w:color w:val="auto"/>
          <w:szCs w:val="24"/>
          <w:lang w:eastAsia="en-GB"/>
        </w:rPr>
        <w:t xml:space="preserve">. GOV.UK. Available at: </w:t>
      </w:r>
      <w:hyperlink r:id="rId18" w:history="1">
        <w:r w:rsidRPr="003F5759">
          <w:rPr>
            <w:rStyle w:val="Hyperlink"/>
            <w:rFonts w:ascii="Arial" w:eastAsia="Times New Roman" w:hAnsi="Arial" w:cs="Arial"/>
            <w:szCs w:val="24"/>
            <w:lang w:eastAsia="en-GB"/>
          </w:rPr>
          <w:t>https://www.legislation.gov.uk/ukpga/2005/9/contents</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3215B912"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Gov.UK (2014). </w:t>
      </w:r>
      <w:r w:rsidRPr="005A3938">
        <w:rPr>
          <w:rFonts w:ascii="Arial" w:eastAsia="Times New Roman" w:hAnsi="Arial" w:cs="Arial"/>
          <w:i/>
          <w:iCs/>
          <w:color w:val="auto"/>
          <w:szCs w:val="24"/>
          <w:lang w:eastAsia="en-GB"/>
        </w:rPr>
        <w:t>care act 2014</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Legislation.gov.uk</w:t>
      </w:r>
      <w:r w:rsidRPr="005A3938">
        <w:rPr>
          <w:rFonts w:ascii="Arial" w:eastAsia="Times New Roman" w:hAnsi="Arial" w:cs="Arial"/>
          <w:color w:val="auto"/>
          <w:szCs w:val="24"/>
          <w:lang w:eastAsia="en-GB"/>
        </w:rPr>
        <w:t xml:space="preserve">. Available at: </w:t>
      </w:r>
      <w:hyperlink r:id="rId19" w:history="1">
        <w:r w:rsidRPr="003F5759">
          <w:rPr>
            <w:rStyle w:val="Hyperlink"/>
            <w:rFonts w:ascii="Arial" w:eastAsia="Times New Roman" w:hAnsi="Arial" w:cs="Arial"/>
            <w:szCs w:val="24"/>
            <w:lang w:eastAsia="en-GB"/>
          </w:rPr>
          <w:t>https://www.legislation.gov.uk/ukpga/2014/23/contents</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0669C0EF"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GOV.UK (2018). </w:t>
      </w:r>
      <w:r w:rsidRPr="005A3938">
        <w:rPr>
          <w:rFonts w:ascii="Arial" w:eastAsia="Times New Roman" w:hAnsi="Arial" w:cs="Arial"/>
          <w:i/>
          <w:iCs/>
          <w:color w:val="auto"/>
          <w:szCs w:val="24"/>
          <w:lang w:eastAsia="en-GB"/>
        </w:rPr>
        <w:t>data protection act 2018</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legislation.gov.uk</w:t>
      </w:r>
      <w:r w:rsidRPr="005A3938">
        <w:rPr>
          <w:rFonts w:ascii="Arial" w:eastAsia="Times New Roman" w:hAnsi="Arial" w:cs="Arial"/>
          <w:color w:val="auto"/>
          <w:szCs w:val="24"/>
          <w:lang w:eastAsia="en-GB"/>
        </w:rPr>
        <w:t xml:space="preserve">. Available at: </w:t>
      </w:r>
      <w:hyperlink r:id="rId20" w:history="1">
        <w:r w:rsidRPr="003F5759">
          <w:rPr>
            <w:rStyle w:val="Hyperlink"/>
            <w:rFonts w:ascii="Arial" w:eastAsia="Times New Roman" w:hAnsi="Arial" w:cs="Arial"/>
            <w:szCs w:val="24"/>
            <w:lang w:eastAsia="en-GB"/>
          </w:rPr>
          <w:t>https://www.legislation.gov.uk/ukpga/2018/12/contents</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221B38B0"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Gregg, B. (2023). Person-first, dementia second: person-centered approaches to dementia care. [online] Available at: </w:t>
      </w:r>
      <w:hyperlink r:id="rId21" w:history="1">
        <w:r w:rsidRPr="003F5759">
          <w:rPr>
            <w:rStyle w:val="Hyperlink"/>
            <w:rFonts w:ascii="Arial" w:eastAsia="Times New Roman" w:hAnsi="Arial" w:cs="Arial"/>
            <w:szCs w:val="24"/>
            <w:lang w:eastAsia="en-GB"/>
          </w:rPr>
          <w:t>https://irp.cdn-website.com/608b4d2b/files/uploaded/Gregg-PPT-Person-Centered-Approaches-to-Dementia-Care-9-14-23.pdf</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095A83B2"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Hoek, L.J., van Haastregt, J.C., de Vries, E., Backhaus, R., Hamers, J.P. and Verbeek, H. (2020). Partnerships in nursing homes: how do family caregivers of residents with dementia perceive collaboration with staff? </w:t>
      </w:r>
      <w:r w:rsidRPr="005A3938">
        <w:rPr>
          <w:rFonts w:ascii="Arial" w:eastAsia="Times New Roman" w:hAnsi="Arial" w:cs="Arial"/>
          <w:i/>
          <w:iCs/>
          <w:color w:val="auto"/>
          <w:szCs w:val="24"/>
          <w:lang w:eastAsia="en-GB"/>
        </w:rPr>
        <w:t>Dementia</w:t>
      </w:r>
      <w:r w:rsidRPr="005A3938">
        <w:rPr>
          <w:rFonts w:ascii="Arial" w:eastAsia="Times New Roman" w:hAnsi="Arial" w:cs="Arial"/>
          <w:color w:val="auto"/>
          <w:szCs w:val="24"/>
          <w:lang w:eastAsia="en-GB"/>
        </w:rPr>
        <w:t xml:space="preserve">, 20(5), p.147130122096223. </w:t>
      </w:r>
      <w:r w:rsidRPr="003F5759">
        <w:rPr>
          <w:rFonts w:ascii="Arial" w:eastAsia="Times New Roman" w:hAnsi="Arial" w:cs="Arial"/>
          <w:color w:val="auto"/>
          <w:szCs w:val="24"/>
          <w:lang w:eastAsia="en-GB"/>
        </w:rPr>
        <w:t xml:space="preserve">doi: </w:t>
      </w:r>
      <w:hyperlink r:id="rId22" w:history="1">
        <w:r w:rsidRPr="003F5759">
          <w:rPr>
            <w:rStyle w:val="Hyperlink"/>
            <w:rFonts w:ascii="Arial" w:eastAsia="Times New Roman" w:hAnsi="Arial" w:cs="Arial"/>
            <w:szCs w:val="24"/>
            <w:lang w:eastAsia="en-GB"/>
          </w:rPr>
          <w:t>https://doi.org/10.1177/1471301220962235</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707AE947"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Jobe, I., Lindberg, B. and Engström, Å. (2020). Health and social care professionals’ experiences of collaborative planning—Applying the person</w:t>
      </w:r>
      <w:r w:rsidRPr="005A3938">
        <w:rPr>
          <w:rFonts w:ascii="Cambria Math" w:eastAsia="Times New Roman" w:hAnsi="Cambria Math" w:cs="Cambria Math"/>
          <w:color w:val="auto"/>
          <w:szCs w:val="24"/>
          <w:lang w:eastAsia="en-GB"/>
        </w:rPr>
        <w:t>‐</w:t>
      </w:r>
      <w:r w:rsidRPr="005A3938">
        <w:rPr>
          <w:rFonts w:ascii="Arial" w:eastAsia="Times New Roman" w:hAnsi="Arial" w:cs="Arial"/>
          <w:color w:val="auto"/>
          <w:szCs w:val="24"/>
          <w:lang w:eastAsia="en-GB"/>
        </w:rPr>
        <w:t xml:space="preserve">centred practice framework. </w:t>
      </w:r>
      <w:r w:rsidRPr="005A3938">
        <w:rPr>
          <w:rFonts w:ascii="Arial" w:eastAsia="Times New Roman" w:hAnsi="Arial" w:cs="Arial"/>
          <w:i/>
          <w:iCs/>
          <w:color w:val="auto"/>
          <w:szCs w:val="24"/>
          <w:lang w:eastAsia="en-GB"/>
        </w:rPr>
        <w:t>Nursing Open</w:t>
      </w:r>
      <w:r w:rsidRPr="005A3938">
        <w:rPr>
          <w:rFonts w:ascii="Arial" w:eastAsia="Times New Roman" w:hAnsi="Arial" w:cs="Arial"/>
          <w:color w:val="auto"/>
          <w:szCs w:val="24"/>
          <w:lang w:eastAsia="en-GB"/>
        </w:rPr>
        <w:t xml:space="preserve">, 7(6). </w:t>
      </w:r>
      <w:r w:rsidRPr="003F5759">
        <w:rPr>
          <w:rFonts w:ascii="Arial" w:eastAsia="Times New Roman" w:hAnsi="Arial" w:cs="Arial"/>
          <w:color w:val="auto"/>
          <w:szCs w:val="24"/>
          <w:lang w:eastAsia="en-GB"/>
        </w:rPr>
        <w:t xml:space="preserve">doi: </w:t>
      </w:r>
      <w:hyperlink r:id="rId23" w:history="1">
        <w:r w:rsidRPr="003F5759">
          <w:rPr>
            <w:rStyle w:val="Hyperlink"/>
            <w:rFonts w:ascii="Arial" w:eastAsia="Times New Roman" w:hAnsi="Arial" w:cs="Arial"/>
            <w:szCs w:val="24"/>
            <w:lang w:eastAsia="en-GB"/>
          </w:rPr>
          <w:t>https://doi.org/10.1002/nop2.597</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365429AD"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lastRenderedPageBreak/>
        <w:t xml:space="preserve">Kaufmann, E.G. and Engel, S.A. (2014). Dementia and well-being: a conceptual framework based on tom kitwood’s model of needs. </w:t>
      </w:r>
      <w:r w:rsidRPr="005A3938">
        <w:rPr>
          <w:rFonts w:ascii="Arial" w:eastAsia="Times New Roman" w:hAnsi="Arial" w:cs="Arial"/>
          <w:i/>
          <w:iCs/>
          <w:color w:val="auto"/>
          <w:szCs w:val="24"/>
          <w:lang w:eastAsia="en-GB"/>
        </w:rPr>
        <w:t>Dementia</w:t>
      </w:r>
      <w:r w:rsidRPr="005A3938">
        <w:rPr>
          <w:rFonts w:ascii="Arial" w:eastAsia="Times New Roman" w:hAnsi="Arial" w:cs="Arial"/>
          <w:color w:val="auto"/>
          <w:szCs w:val="24"/>
          <w:lang w:eastAsia="en-GB"/>
        </w:rPr>
        <w:t xml:space="preserve">, 15(4), pp.774–788. </w:t>
      </w:r>
      <w:r w:rsidRPr="003F5759">
        <w:rPr>
          <w:rFonts w:ascii="Arial" w:eastAsia="Times New Roman" w:hAnsi="Arial" w:cs="Arial"/>
          <w:color w:val="auto"/>
          <w:szCs w:val="24"/>
          <w:lang w:eastAsia="en-GB"/>
        </w:rPr>
        <w:t xml:space="preserve">doi: </w:t>
      </w:r>
      <w:hyperlink r:id="rId24" w:history="1">
        <w:r w:rsidRPr="003F5759">
          <w:rPr>
            <w:rStyle w:val="Hyperlink"/>
            <w:rFonts w:ascii="Arial" w:eastAsia="Times New Roman" w:hAnsi="Arial" w:cs="Arial"/>
            <w:szCs w:val="24"/>
            <w:lang w:eastAsia="en-GB"/>
          </w:rPr>
          <w:t>https://doi.org/10.1177/1471301214539690</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55CFA671"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Lee, K.H., Lee, J.Y. and Kim, B. (2020). Person-centered care in persons living with dementia: A systematic review and meta-analysis. </w:t>
      </w:r>
      <w:r w:rsidRPr="005A3938">
        <w:rPr>
          <w:rFonts w:ascii="Arial" w:eastAsia="Times New Roman" w:hAnsi="Arial" w:cs="Arial"/>
          <w:i/>
          <w:iCs/>
          <w:color w:val="auto"/>
          <w:szCs w:val="24"/>
          <w:lang w:eastAsia="en-GB"/>
        </w:rPr>
        <w:t>The Gerontologist</w:t>
      </w:r>
      <w:r w:rsidRPr="005A3938">
        <w:rPr>
          <w:rFonts w:ascii="Arial" w:eastAsia="Times New Roman" w:hAnsi="Arial" w:cs="Arial"/>
          <w:color w:val="auto"/>
          <w:szCs w:val="24"/>
          <w:lang w:eastAsia="en-GB"/>
        </w:rPr>
        <w:t xml:space="preserve">, 62(4), pp.253–264. </w:t>
      </w:r>
      <w:r w:rsidRPr="003F5759">
        <w:rPr>
          <w:rFonts w:ascii="Arial" w:eastAsia="Times New Roman" w:hAnsi="Arial" w:cs="Arial"/>
          <w:color w:val="auto"/>
          <w:szCs w:val="24"/>
          <w:lang w:eastAsia="en-GB"/>
        </w:rPr>
        <w:t xml:space="preserve">doi: </w:t>
      </w:r>
      <w:hyperlink r:id="rId25" w:history="1">
        <w:r w:rsidRPr="003F5759">
          <w:rPr>
            <w:rStyle w:val="Hyperlink"/>
            <w:rFonts w:ascii="Arial" w:eastAsia="Times New Roman" w:hAnsi="Arial" w:cs="Arial"/>
            <w:szCs w:val="24"/>
            <w:lang w:eastAsia="en-GB"/>
          </w:rPr>
          <w:t>https://doi.org/10.1093/geront/gnaa207</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1A3119AA"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Lewington, K., Berragan, L. and Kuruvilla, T. (2024). Trauma</w:t>
      </w:r>
      <w:r w:rsidRPr="005A3938">
        <w:rPr>
          <w:rFonts w:ascii="Cambria Math" w:eastAsia="Times New Roman" w:hAnsi="Cambria Math" w:cs="Cambria Math"/>
          <w:color w:val="auto"/>
          <w:szCs w:val="24"/>
          <w:lang w:eastAsia="en-GB"/>
        </w:rPr>
        <w:t>‐</w:t>
      </w:r>
      <w:r w:rsidRPr="005A3938">
        <w:rPr>
          <w:rFonts w:ascii="Arial" w:eastAsia="Times New Roman" w:hAnsi="Arial" w:cs="Arial"/>
          <w:color w:val="auto"/>
          <w:szCs w:val="24"/>
          <w:lang w:eastAsia="en-GB"/>
        </w:rPr>
        <w:t xml:space="preserve">informed approach to managing behaviour in dementia. </w:t>
      </w:r>
      <w:r w:rsidRPr="005A3938">
        <w:rPr>
          <w:rFonts w:ascii="Arial" w:eastAsia="Times New Roman" w:hAnsi="Arial" w:cs="Arial"/>
          <w:i/>
          <w:iCs/>
          <w:color w:val="auto"/>
          <w:szCs w:val="24"/>
          <w:lang w:eastAsia="en-GB"/>
        </w:rPr>
        <w:t>Progress in neurology and psychiatry</w:t>
      </w:r>
      <w:r w:rsidRPr="005A3938">
        <w:rPr>
          <w:rFonts w:ascii="Arial" w:eastAsia="Times New Roman" w:hAnsi="Arial" w:cs="Arial"/>
          <w:color w:val="auto"/>
          <w:szCs w:val="24"/>
          <w:lang w:eastAsia="en-GB"/>
        </w:rPr>
        <w:t xml:space="preserve">, 28(2), pp.19–22. </w:t>
      </w:r>
      <w:r w:rsidRPr="003F5759">
        <w:rPr>
          <w:rFonts w:ascii="Arial" w:eastAsia="Times New Roman" w:hAnsi="Arial" w:cs="Arial"/>
          <w:color w:val="auto"/>
          <w:szCs w:val="24"/>
          <w:lang w:eastAsia="en-GB"/>
        </w:rPr>
        <w:t xml:space="preserve">doi: </w:t>
      </w:r>
      <w:hyperlink r:id="rId26" w:history="1">
        <w:r w:rsidRPr="003F5759">
          <w:rPr>
            <w:rStyle w:val="Hyperlink"/>
            <w:rFonts w:ascii="Arial" w:eastAsia="Times New Roman" w:hAnsi="Arial" w:cs="Arial"/>
            <w:szCs w:val="24"/>
            <w:lang w:eastAsia="en-GB"/>
          </w:rPr>
          <w:t>https://doi.org/10.1002/pnp.833</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68B255B6"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Luggar-Schmit, K. (2024). </w:t>
      </w:r>
      <w:r w:rsidRPr="005A3938">
        <w:rPr>
          <w:rFonts w:ascii="Arial" w:eastAsia="Times New Roman" w:hAnsi="Arial" w:cs="Arial"/>
          <w:i/>
          <w:iCs/>
          <w:color w:val="auto"/>
          <w:szCs w:val="24"/>
          <w:lang w:eastAsia="en-GB"/>
        </w:rPr>
        <w:t>Nonmaleficence in nursing: Nursing ethics breakdown</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Nursing CE Central</w:t>
      </w:r>
      <w:r w:rsidRPr="005A3938">
        <w:rPr>
          <w:rFonts w:ascii="Arial" w:eastAsia="Times New Roman" w:hAnsi="Arial" w:cs="Arial"/>
          <w:color w:val="auto"/>
          <w:szCs w:val="24"/>
          <w:lang w:eastAsia="en-GB"/>
        </w:rPr>
        <w:t xml:space="preserve">. Available at: </w:t>
      </w:r>
      <w:hyperlink r:id="rId27" w:history="1">
        <w:r w:rsidRPr="003F5759">
          <w:rPr>
            <w:rStyle w:val="Hyperlink"/>
            <w:rFonts w:ascii="Arial" w:eastAsia="Times New Roman" w:hAnsi="Arial" w:cs="Arial"/>
            <w:szCs w:val="24"/>
            <w:lang w:eastAsia="en-GB"/>
          </w:rPr>
          <w:t>https://nursingcecentral.com/nonmaleficence-in-nursing/</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1C8F27D9"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Moore, L., Britten, N., Lydahl, D., Naldemirci, Ö., Elam, M. and Wolf, A. (2017). Barriers and facilitators to the implementation of person-centred care in different healthcare contexts. </w:t>
      </w:r>
      <w:r w:rsidRPr="005A3938">
        <w:rPr>
          <w:rFonts w:ascii="Arial" w:eastAsia="Times New Roman" w:hAnsi="Arial" w:cs="Arial"/>
          <w:i/>
          <w:iCs/>
          <w:color w:val="auto"/>
          <w:szCs w:val="24"/>
          <w:lang w:eastAsia="en-GB"/>
        </w:rPr>
        <w:t>Scandinavian Journal of Caring Sciences</w:t>
      </w:r>
      <w:r w:rsidRPr="005A3938">
        <w:rPr>
          <w:rFonts w:ascii="Arial" w:eastAsia="Times New Roman" w:hAnsi="Arial" w:cs="Arial"/>
          <w:color w:val="auto"/>
          <w:szCs w:val="24"/>
          <w:lang w:eastAsia="en-GB"/>
        </w:rPr>
        <w:t xml:space="preserve">, 31(4), pp.662–673. </w:t>
      </w:r>
      <w:r w:rsidRPr="003F5759">
        <w:rPr>
          <w:rFonts w:ascii="Arial" w:eastAsia="Times New Roman" w:hAnsi="Arial" w:cs="Arial"/>
          <w:color w:val="auto"/>
          <w:szCs w:val="24"/>
          <w:lang w:eastAsia="en-GB"/>
        </w:rPr>
        <w:t xml:space="preserve">doi: </w:t>
      </w:r>
      <w:hyperlink r:id="rId28" w:history="1">
        <w:r w:rsidRPr="003F5759">
          <w:rPr>
            <w:rStyle w:val="Hyperlink"/>
            <w:rFonts w:ascii="Arial" w:eastAsia="Times New Roman" w:hAnsi="Arial" w:cs="Arial"/>
            <w:szCs w:val="24"/>
            <w:lang w:eastAsia="en-GB"/>
          </w:rPr>
          <w:t>https://doi.org/https://doi.org/10.1111/scs.12376</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3AF8658E"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Morgan, M. (2025). </w:t>
      </w:r>
      <w:r w:rsidRPr="005A3938">
        <w:rPr>
          <w:rFonts w:ascii="Arial" w:eastAsia="Times New Roman" w:hAnsi="Arial" w:cs="Arial"/>
          <w:i/>
          <w:iCs/>
          <w:color w:val="auto"/>
          <w:szCs w:val="24"/>
          <w:lang w:eastAsia="en-GB"/>
        </w:rPr>
        <w:t>What is partnership working in health and social care?</w:t>
      </w:r>
      <w:r w:rsidRPr="005A3938">
        <w:rPr>
          <w:rFonts w:ascii="Arial" w:eastAsia="Times New Roman" w:hAnsi="Arial" w:cs="Arial"/>
          <w:color w:val="auto"/>
          <w:szCs w:val="24"/>
          <w:lang w:eastAsia="en-GB"/>
        </w:rPr>
        <w:t xml:space="preserve"> [online] </w:t>
      </w:r>
      <w:r w:rsidRPr="005A3938">
        <w:rPr>
          <w:rFonts w:ascii="Arial" w:eastAsia="Times New Roman" w:hAnsi="Arial" w:cs="Arial"/>
          <w:i/>
          <w:iCs/>
          <w:color w:val="auto"/>
          <w:szCs w:val="24"/>
          <w:lang w:eastAsia="en-GB"/>
        </w:rPr>
        <w:t>Academy for Health &amp; Fitness</w:t>
      </w:r>
      <w:r w:rsidRPr="005A3938">
        <w:rPr>
          <w:rFonts w:ascii="Arial" w:eastAsia="Times New Roman" w:hAnsi="Arial" w:cs="Arial"/>
          <w:color w:val="auto"/>
          <w:szCs w:val="24"/>
          <w:lang w:eastAsia="en-GB"/>
        </w:rPr>
        <w:t xml:space="preserve">. Available at: </w:t>
      </w:r>
      <w:hyperlink r:id="rId29" w:history="1">
        <w:r w:rsidRPr="003F5759">
          <w:rPr>
            <w:rStyle w:val="Hyperlink"/>
            <w:rFonts w:ascii="Arial" w:eastAsia="Times New Roman" w:hAnsi="Arial" w:cs="Arial"/>
            <w:szCs w:val="24"/>
            <w:lang w:eastAsia="en-GB"/>
          </w:rPr>
          <w:t>https://uk.hfonline.org/what-is-partnership-working-in-health-and-social-care/</w:t>
        </w:r>
      </w:hyperlink>
      <w:r w:rsidRPr="003F5759">
        <w:rPr>
          <w:rFonts w:ascii="Arial" w:eastAsia="Times New Roman" w:hAnsi="Arial" w:cs="Arial"/>
          <w:color w:val="auto"/>
          <w:szCs w:val="24"/>
          <w:lang w:eastAsia="en-GB"/>
        </w:rPr>
        <w:t xml:space="preserve"> </w:t>
      </w:r>
      <w:r w:rsidRPr="005A3938">
        <w:rPr>
          <w:rFonts w:ascii="Arial" w:eastAsia="Times New Roman" w:hAnsi="Arial" w:cs="Arial"/>
          <w:color w:val="auto"/>
          <w:szCs w:val="24"/>
          <w:lang w:eastAsia="en-GB"/>
        </w:rPr>
        <w:t xml:space="preserve"> [Accessed 30 July 2026].</w:t>
      </w:r>
    </w:p>
    <w:p w14:paraId="665CDB7D"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Noushin Mousazadeh, Faezeh Babaieasl, Samaneh Bagherian and Sogand Mivehchi (2025). The spectrum of person-centered care: from luxury to necessity: a descriptive qualitative study. </w:t>
      </w:r>
      <w:r w:rsidRPr="005A3938">
        <w:rPr>
          <w:rFonts w:ascii="Arial" w:eastAsia="Times New Roman" w:hAnsi="Arial" w:cs="Arial"/>
          <w:i/>
          <w:iCs/>
          <w:color w:val="auto"/>
          <w:szCs w:val="24"/>
          <w:lang w:eastAsia="en-GB"/>
        </w:rPr>
        <w:t>BMC Nursing</w:t>
      </w:r>
      <w:r w:rsidRPr="005A3938">
        <w:rPr>
          <w:rFonts w:ascii="Arial" w:eastAsia="Times New Roman" w:hAnsi="Arial" w:cs="Arial"/>
          <w:color w:val="auto"/>
          <w:szCs w:val="24"/>
          <w:lang w:eastAsia="en-GB"/>
        </w:rPr>
        <w:t xml:space="preserve">, 24(1). </w:t>
      </w:r>
      <w:r w:rsidRPr="003F5759">
        <w:rPr>
          <w:rFonts w:ascii="Arial" w:eastAsia="Times New Roman" w:hAnsi="Arial" w:cs="Arial"/>
          <w:color w:val="auto"/>
          <w:szCs w:val="24"/>
          <w:lang w:eastAsia="en-GB"/>
        </w:rPr>
        <w:t xml:space="preserve">doi: </w:t>
      </w:r>
      <w:hyperlink r:id="rId30" w:history="1">
        <w:r w:rsidRPr="003F5759">
          <w:rPr>
            <w:rStyle w:val="Hyperlink"/>
            <w:rFonts w:ascii="Arial" w:eastAsia="Times New Roman" w:hAnsi="Arial" w:cs="Arial"/>
            <w:szCs w:val="24"/>
            <w:lang w:eastAsia="en-GB"/>
          </w:rPr>
          <w:t>https://doi.org/10.1186/s12912-025-03737-y</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135D41A0"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Santana, M.J., Manalili, K., Jolley, R.J., Zelinsky, S., Quan, H. and Lu, M. (2018). How to practice person-centred care: a conceptual framework. </w:t>
      </w:r>
      <w:r w:rsidRPr="005A3938">
        <w:rPr>
          <w:rFonts w:ascii="Arial" w:eastAsia="Times New Roman" w:hAnsi="Arial" w:cs="Arial"/>
          <w:i/>
          <w:iCs/>
          <w:color w:val="auto"/>
          <w:szCs w:val="24"/>
          <w:lang w:eastAsia="en-GB"/>
        </w:rPr>
        <w:t>Health Expectations</w:t>
      </w:r>
      <w:r w:rsidRPr="005A3938">
        <w:rPr>
          <w:rFonts w:ascii="Arial" w:eastAsia="Times New Roman" w:hAnsi="Arial" w:cs="Arial"/>
          <w:color w:val="auto"/>
          <w:szCs w:val="24"/>
          <w:lang w:eastAsia="en-GB"/>
        </w:rPr>
        <w:t xml:space="preserve">, 21(2), pp.429–440. </w:t>
      </w:r>
      <w:r w:rsidRPr="003F5759">
        <w:rPr>
          <w:rFonts w:ascii="Arial" w:eastAsia="Times New Roman" w:hAnsi="Arial" w:cs="Arial"/>
          <w:color w:val="auto"/>
          <w:szCs w:val="24"/>
          <w:lang w:eastAsia="en-GB"/>
        </w:rPr>
        <w:t xml:space="preserve">doi: </w:t>
      </w:r>
      <w:hyperlink r:id="rId31" w:history="1">
        <w:r w:rsidRPr="003F5759">
          <w:rPr>
            <w:rStyle w:val="Hyperlink"/>
            <w:rFonts w:ascii="Arial" w:eastAsia="Times New Roman" w:hAnsi="Arial" w:cs="Arial"/>
            <w:szCs w:val="24"/>
            <w:lang w:eastAsia="en-GB"/>
          </w:rPr>
          <w:t>https://doi.org/https://doi.org/10.1111/hex.12640</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7BAB4A39"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Sauvage, J. and Ahluwalia, S. (2016). Health and care professionals committed to partnership working: right wall of the house of care framework. </w:t>
      </w:r>
      <w:r w:rsidRPr="005A3938">
        <w:rPr>
          <w:rFonts w:ascii="Arial" w:eastAsia="Times New Roman" w:hAnsi="Arial" w:cs="Arial"/>
          <w:i/>
          <w:iCs/>
          <w:color w:val="auto"/>
          <w:szCs w:val="24"/>
          <w:lang w:eastAsia="en-GB"/>
        </w:rPr>
        <w:t>The British Journal of General Practice</w:t>
      </w:r>
      <w:r w:rsidRPr="005A3938">
        <w:rPr>
          <w:rFonts w:ascii="Arial" w:eastAsia="Times New Roman" w:hAnsi="Arial" w:cs="Arial"/>
          <w:color w:val="auto"/>
          <w:szCs w:val="24"/>
          <w:lang w:eastAsia="en-GB"/>
        </w:rPr>
        <w:t xml:space="preserve">, 66(642), pp.52–53. </w:t>
      </w:r>
      <w:r w:rsidRPr="003F5759">
        <w:rPr>
          <w:rFonts w:ascii="Arial" w:eastAsia="Times New Roman" w:hAnsi="Arial" w:cs="Arial"/>
          <w:color w:val="auto"/>
          <w:szCs w:val="24"/>
          <w:lang w:eastAsia="en-GB"/>
        </w:rPr>
        <w:t xml:space="preserve">doi: </w:t>
      </w:r>
      <w:hyperlink r:id="rId32" w:history="1">
        <w:r w:rsidRPr="003F5759">
          <w:rPr>
            <w:rStyle w:val="Hyperlink"/>
            <w:rFonts w:ascii="Arial" w:eastAsia="Times New Roman" w:hAnsi="Arial" w:cs="Arial"/>
            <w:szCs w:val="24"/>
            <w:lang w:eastAsia="en-GB"/>
          </w:rPr>
          <w:t>https://doi.org/10.3399/bjgp16X683389</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754B6843"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Sun, H., Chai, R., Huang, S., Xue, W., Wang, Z., Yu, X. and Zhu, Z. (2025). Study on the needs of the older adults with dementia in care institutions based on a hierarchical interaction model: a case study of an institution in Hangzhou, China. </w:t>
      </w:r>
      <w:r w:rsidRPr="005A3938">
        <w:rPr>
          <w:rFonts w:ascii="Arial" w:eastAsia="Times New Roman" w:hAnsi="Arial" w:cs="Arial"/>
          <w:i/>
          <w:iCs/>
          <w:color w:val="auto"/>
          <w:szCs w:val="24"/>
          <w:lang w:eastAsia="en-GB"/>
        </w:rPr>
        <w:t>Frontiers in Public Health</w:t>
      </w:r>
      <w:r w:rsidRPr="005A3938">
        <w:rPr>
          <w:rFonts w:ascii="Arial" w:eastAsia="Times New Roman" w:hAnsi="Arial" w:cs="Arial"/>
          <w:color w:val="auto"/>
          <w:szCs w:val="24"/>
          <w:lang w:eastAsia="en-GB"/>
        </w:rPr>
        <w:t xml:space="preserve">, 13. </w:t>
      </w:r>
      <w:r w:rsidRPr="003F5759">
        <w:rPr>
          <w:rFonts w:ascii="Arial" w:eastAsia="Times New Roman" w:hAnsi="Arial" w:cs="Arial"/>
          <w:color w:val="auto"/>
          <w:szCs w:val="24"/>
          <w:lang w:eastAsia="en-GB"/>
        </w:rPr>
        <w:t xml:space="preserve">doi: </w:t>
      </w:r>
      <w:hyperlink r:id="rId33" w:history="1">
        <w:r w:rsidRPr="003F5759">
          <w:rPr>
            <w:rStyle w:val="Hyperlink"/>
            <w:rFonts w:ascii="Arial" w:eastAsia="Times New Roman" w:hAnsi="Arial" w:cs="Arial"/>
            <w:szCs w:val="24"/>
            <w:lang w:eastAsia="en-GB"/>
          </w:rPr>
          <w:t>https://doi.org/10.3389/fpubh.2025.1633806</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68EBC068"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Tieu, M. and Matthews, S. (2023). The relational care framework: Promoting continuity or maintenance of selfhood in person-centered care. </w:t>
      </w:r>
      <w:r w:rsidRPr="005A3938">
        <w:rPr>
          <w:rFonts w:ascii="Arial" w:eastAsia="Times New Roman" w:hAnsi="Arial" w:cs="Arial"/>
          <w:i/>
          <w:iCs/>
          <w:color w:val="auto"/>
          <w:szCs w:val="24"/>
          <w:lang w:eastAsia="en-GB"/>
        </w:rPr>
        <w:t>The Journal of Medicine and Philosophy: A Forum for Bioethics and Philosophy of Medicine</w:t>
      </w:r>
      <w:r w:rsidRPr="005A3938">
        <w:rPr>
          <w:rFonts w:ascii="Arial" w:eastAsia="Times New Roman" w:hAnsi="Arial" w:cs="Arial"/>
          <w:color w:val="auto"/>
          <w:szCs w:val="24"/>
          <w:lang w:eastAsia="en-GB"/>
        </w:rPr>
        <w:t xml:space="preserve">, 49(1). </w:t>
      </w:r>
      <w:r w:rsidRPr="003F5759">
        <w:rPr>
          <w:rFonts w:ascii="Arial" w:eastAsia="Times New Roman" w:hAnsi="Arial" w:cs="Arial"/>
          <w:color w:val="auto"/>
          <w:szCs w:val="24"/>
          <w:lang w:eastAsia="en-GB"/>
        </w:rPr>
        <w:t xml:space="preserve">doi: </w:t>
      </w:r>
      <w:hyperlink r:id="rId34" w:history="1">
        <w:r w:rsidRPr="003F5759">
          <w:rPr>
            <w:rStyle w:val="Hyperlink"/>
            <w:rFonts w:ascii="Arial" w:eastAsia="Times New Roman" w:hAnsi="Arial" w:cs="Arial"/>
            <w:szCs w:val="24"/>
            <w:lang w:eastAsia="en-GB"/>
          </w:rPr>
          <w:t>https://doi.org/10.1093/jmp/jhad044</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37414F8A"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lastRenderedPageBreak/>
        <w:t xml:space="preserve">Varkey, B. (2021). Principles of clinical ethics and their application to practice. </w:t>
      </w:r>
      <w:r w:rsidRPr="005A3938">
        <w:rPr>
          <w:rFonts w:ascii="Arial" w:eastAsia="Times New Roman" w:hAnsi="Arial" w:cs="Arial"/>
          <w:i/>
          <w:iCs/>
          <w:color w:val="auto"/>
          <w:szCs w:val="24"/>
          <w:lang w:eastAsia="en-GB"/>
        </w:rPr>
        <w:t>Medical Principles and Practice</w:t>
      </w:r>
      <w:r w:rsidRPr="005A3938">
        <w:rPr>
          <w:rFonts w:ascii="Arial" w:eastAsia="Times New Roman" w:hAnsi="Arial" w:cs="Arial"/>
          <w:color w:val="auto"/>
          <w:szCs w:val="24"/>
          <w:lang w:eastAsia="en-GB"/>
        </w:rPr>
        <w:t xml:space="preserve">, 30(1), pp.17–28. </w:t>
      </w:r>
      <w:r w:rsidRPr="003F5759">
        <w:rPr>
          <w:rFonts w:ascii="Arial" w:eastAsia="Times New Roman" w:hAnsi="Arial" w:cs="Arial"/>
          <w:color w:val="auto"/>
          <w:szCs w:val="24"/>
          <w:lang w:eastAsia="en-GB"/>
        </w:rPr>
        <w:t xml:space="preserve">doi: </w:t>
      </w:r>
      <w:hyperlink r:id="rId35" w:history="1">
        <w:r w:rsidRPr="003F5759">
          <w:rPr>
            <w:rStyle w:val="Hyperlink"/>
            <w:rFonts w:ascii="Arial" w:eastAsia="Times New Roman" w:hAnsi="Arial" w:cs="Arial"/>
            <w:szCs w:val="24"/>
            <w:lang w:eastAsia="en-GB"/>
          </w:rPr>
          <w:t>https://doi.org/10.1159/000509119</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5F954157" w14:textId="77777777" w:rsidR="005A3938" w:rsidRPr="005A3938" w:rsidRDefault="005A3938" w:rsidP="005A3938">
      <w:pPr>
        <w:suppressAutoHyphens w:val="0"/>
        <w:spacing w:after="240" w:line="240" w:lineRule="auto"/>
        <w:ind w:left="567" w:hanging="567"/>
        <w:rPr>
          <w:rFonts w:ascii="Arial" w:eastAsia="Times New Roman" w:hAnsi="Arial" w:cs="Arial"/>
          <w:color w:val="auto"/>
          <w:szCs w:val="24"/>
          <w:lang w:eastAsia="en-GB"/>
        </w:rPr>
      </w:pPr>
      <w:r w:rsidRPr="005A3938">
        <w:rPr>
          <w:rFonts w:ascii="Arial" w:eastAsia="Times New Roman" w:hAnsi="Arial" w:cs="Arial"/>
          <w:color w:val="auto"/>
          <w:szCs w:val="24"/>
          <w:lang w:eastAsia="en-GB"/>
        </w:rPr>
        <w:t xml:space="preserve">Zwisler, G., Sauer, C.M. and Shoultz, D. (2024). Vital lessons from struggling partnerships and potential partnerships: An international study with leaders across the health sector. </w:t>
      </w:r>
      <w:r w:rsidRPr="005A3938">
        <w:rPr>
          <w:rFonts w:ascii="Arial" w:eastAsia="Times New Roman" w:hAnsi="Arial" w:cs="Arial"/>
          <w:i/>
          <w:iCs/>
          <w:color w:val="auto"/>
          <w:szCs w:val="24"/>
          <w:lang w:eastAsia="en-GB"/>
        </w:rPr>
        <w:t>BMC Health Services Research</w:t>
      </w:r>
      <w:r w:rsidRPr="005A3938">
        <w:rPr>
          <w:rFonts w:ascii="Arial" w:eastAsia="Times New Roman" w:hAnsi="Arial" w:cs="Arial"/>
          <w:color w:val="auto"/>
          <w:szCs w:val="24"/>
          <w:lang w:eastAsia="en-GB"/>
        </w:rPr>
        <w:t xml:space="preserve">, 24(1). </w:t>
      </w:r>
      <w:r w:rsidRPr="003F5759">
        <w:rPr>
          <w:rFonts w:ascii="Arial" w:eastAsia="Times New Roman" w:hAnsi="Arial" w:cs="Arial"/>
          <w:color w:val="auto"/>
          <w:szCs w:val="24"/>
          <w:lang w:eastAsia="en-GB"/>
        </w:rPr>
        <w:t xml:space="preserve">doi: </w:t>
      </w:r>
      <w:hyperlink r:id="rId36" w:history="1">
        <w:r w:rsidRPr="003F5759">
          <w:rPr>
            <w:rStyle w:val="Hyperlink"/>
            <w:rFonts w:ascii="Arial" w:eastAsia="Times New Roman" w:hAnsi="Arial" w:cs="Arial"/>
            <w:szCs w:val="24"/>
            <w:lang w:eastAsia="en-GB"/>
          </w:rPr>
          <w:t>https://doi.org/10.1186/s12913-024-11944-7</w:t>
        </w:r>
      </w:hyperlink>
      <w:r w:rsidRPr="005A3938">
        <w:rPr>
          <w:rFonts w:ascii="Arial" w:eastAsia="Times New Roman" w:hAnsi="Arial" w:cs="Arial"/>
          <w:color w:val="auto"/>
          <w:szCs w:val="24"/>
          <w:lang w:eastAsia="en-GB"/>
        </w:rPr>
        <w:t>.</w:t>
      </w:r>
      <w:r w:rsidRPr="003F5759">
        <w:rPr>
          <w:rFonts w:ascii="Arial" w:eastAsia="Times New Roman" w:hAnsi="Arial" w:cs="Arial"/>
          <w:color w:val="auto"/>
          <w:szCs w:val="24"/>
          <w:lang w:eastAsia="en-GB"/>
        </w:rPr>
        <w:t xml:space="preserve"> </w:t>
      </w:r>
    </w:p>
    <w:p w14:paraId="7BF88922" w14:textId="77777777" w:rsidR="005A3938" w:rsidRPr="003F5759" w:rsidRDefault="005A3938" w:rsidP="005A3938">
      <w:pPr>
        <w:rPr>
          <w:rFonts w:ascii="Arial" w:hAnsi="Arial" w:cs="Arial"/>
        </w:rPr>
      </w:pPr>
    </w:p>
    <w:sectPr w:rsidR="005A3938" w:rsidRPr="003F5759">
      <w:headerReference w:type="even" r:id="rId37"/>
      <w:headerReference w:type="default" r:id="rId38"/>
      <w:footerReference w:type="even" r:id="rId39"/>
      <w:footerReference w:type="default" r:id="rId40"/>
      <w:headerReference w:type="first" r:id="rId41"/>
      <w:footerReference w:type="first" r:id="rId4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A46B9" w14:textId="77777777" w:rsidR="00000A39" w:rsidRDefault="00000A39" w:rsidP="00A87747">
      <w:pPr>
        <w:spacing w:line="240" w:lineRule="auto"/>
      </w:pPr>
      <w:r>
        <w:separator/>
      </w:r>
    </w:p>
  </w:endnote>
  <w:endnote w:type="continuationSeparator" w:id="0">
    <w:p w14:paraId="684C6BEE" w14:textId="77777777" w:rsidR="00000A39" w:rsidRDefault="00000A39"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2FF" w:usb1="400004FF" w:usb2="00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706A4" w14:textId="77777777" w:rsidR="005E68BC" w:rsidRDefault="005E6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FD160" w14:textId="77777777" w:rsidR="00A87747" w:rsidRDefault="00A87747">
    <w:pPr>
      <w:pStyle w:val="Footer"/>
      <w:jc w:val="center"/>
    </w:pPr>
    <w:r>
      <w:fldChar w:fldCharType="begin"/>
    </w:r>
    <w:r>
      <w:instrText xml:space="preserve"> PAGE   \* MERGEFORMAT </w:instrText>
    </w:r>
    <w:r>
      <w:fldChar w:fldCharType="separate"/>
    </w:r>
    <w:r w:rsidR="00E92426">
      <w:rPr>
        <w:noProof/>
      </w:rPr>
      <w:t>13</w:t>
    </w:r>
    <w:r>
      <w:rPr>
        <w:noProof/>
      </w:rPr>
      <w:fldChar w:fldCharType="end"/>
    </w:r>
  </w:p>
  <w:p w14:paraId="15A02C90"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EF61F" w14:textId="77777777" w:rsidR="005E68BC" w:rsidRDefault="005E6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18C24" w14:textId="77777777" w:rsidR="00000A39" w:rsidRDefault="00000A39" w:rsidP="00A87747">
      <w:pPr>
        <w:spacing w:line="240" w:lineRule="auto"/>
      </w:pPr>
      <w:r>
        <w:separator/>
      </w:r>
    </w:p>
  </w:footnote>
  <w:footnote w:type="continuationSeparator" w:id="0">
    <w:p w14:paraId="58138775" w14:textId="77777777" w:rsidR="00000A39" w:rsidRDefault="00000A39"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D2A1F" w14:textId="77777777" w:rsidR="005E68BC" w:rsidRDefault="005E6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F4B1FA" w14:textId="77777777" w:rsidR="005E68BC" w:rsidRDefault="005E6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E2068" w14:textId="77777777" w:rsidR="005E68BC" w:rsidRDefault="005E6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68222D"/>
    <w:multiLevelType w:val="hybridMultilevel"/>
    <w:tmpl w:val="B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1C33BEF"/>
    <w:multiLevelType w:val="hybridMultilevel"/>
    <w:tmpl w:val="25FE0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95F2BA5"/>
    <w:multiLevelType w:val="hybridMultilevel"/>
    <w:tmpl w:val="07D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805156">
    <w:abstractNumId w:val="0"/>
  </w:num>
  <w:num w:numId="2" w16cid:durableId="1943029834">
    <w:abstractNumId w:val="1"/>
  </w:num>
  <w:num w:numId="3" w16cid:durableId="1936595248">
    <w:abstractNumId w:val="10"/>
  </w:num>
  <w:num w:numId="4" w16cid:durableId="1651013538">
    <w:abstractNumId w:val="26"/>
  </w:num>
  <w:num w:numId="5" w16cid:durableId="578448351">
    <w:abstractNumId w:val="9"/>
  </w:num>
  <w:num w:numId="6" w16cid:durableId="436753985">
    <w:abstractNumId w:val="25"/>
  </w:num>
  <w:num w:numId="7" w16cid:durableId="250623594">
    <w:abstractNumId w:val="30"/>
  </w:num>
  <w:num w:numId="8" w16cid:durableId="924539025">
    <w:abstractNumId w:val="20"/>
  </w:num>
  <w:num w:numId="9" w16cid:durableId="807823754">
    <w:abstractNumId w:val="6"/>
  </w:num>
  <w:num w:numId="10" w16cid:durableId="866218994">
    <w:abstractNumId w:val="17"/>
  </w:num>
  <w:num w:numId="11" w16cid:durableId="1353529588">
    <w:abstractNumId w:val="21"/>
  </w:num>
  <w:num w:numId="12" w16cid:durableId="1524245178">
    <w:abstractNumId w:val="12"/>
  </w:num>
  <w:num w:numId="13" w16cid:durableId="1263488937">
    <w:abstractNumId w:val="4"/>
  </w:num>
  <w:num w:numId="14" w16cid:durableId="2046447469">
    <w:abstractNumId w:val="18"/>
  </w:num>
  <w:num w:numId="15" w16cid:durableId="1356078062">
    <w:abstractNumId w:val="5"/>
  </w:num>
  <w:num w:numId="16" w16cid:durableId="812140593">
    <w:abstractNumId w:val="23"/>
  </w:num>
  <w:num w:numId="17" w16cid:durableId="88089014">
    <w:abstractNumId w:val="3"/>
  </w:num>
  <w:num w:numId="18" w16cid:durableId="650672197">
    <w:abstractNumId w:val="19"/>
  </w:num>
  <w:num w:numId="19" w16cid:durableId="225725251">
    <w:abstractNumId w:val="2"/>
  </w:num>
  <w:num w:numId="20" w16cid:durableId="1381976492">
    <w:abstractNumId w:val="28"/>
  </w:num>
  <w:num w:numId="21" w16cid:durableId="2143035333">
    <w:abstractNumId w:val="14"/>
  </w:num>
  <w:num w:numId="22" w16cid:durableId="1635063920">
    <w:abstractNumId w:val="13"/>
  </w:num>
  <w:num w:numId="23" w16cid:durableId="86273740">
    <w:abstractNumId w:val="27"/>
  </w:num>
  <w:num w:numId="24" w16cid:durableId="1448357698">
    <w:abstractNumId w:val="31"/>
  </w:num>
  <w:num w:numId="25" w16cid:durableId="1142961838">
    <w:abstractNumId w:val="7"/>
  </w:num>
  <w:num w:numId="26" w16cid:durableId="2058892286">
    <w:abstractNumId w:val="16"/>
  </w:num>
  <w:num w:numId="27" w16cid:durableId="135294128">
    <w:abstractNumId w:val="15"/>
  </w:num>
  <w:num w:numId="28" w16cid:durableId="1143355960">
    <w:abstractNumId w:val="22"/>
  </w:num>
  <w:num w:numId="29" w16cid:durableId="273680570">
    <w:abstractNumId w:val="8"/>
  </w:num>
  <w:num w:numId="30" w16cid:durableId="496501345">
    <w:abstractNumId w:val="29"/>
  </w:num>
  <w:num w:numId="31" w16cid:durableId="2058628108">
    <w:abstractNumId w:val="11"/>
  </w:num>
  <w:num w:numId="32" w16cid:durableId="91632524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wNawGiZSaALQAAAA=="/>
  </w:docVars>
  <w:rsids>
    <w:rsidRoot w:val="008D09FF"/>
    <w:rsid w:val="00000A39"/>
    <w:rsid w:val="000143B4"/>
    <w:rsid w:val="000157F7"/>
    <w:rsid w:val="000169FC"/>
    <w:rsid w:val="00026F62"/>
    <w:rsid w:val="0003210E"/>
    <w:rsid w:val="00033E1E"/>
    <w:rsid w:val="00043DD1"/>
    <w:rsid w:val="00044E03"/>
    <w:rsid w:val="00051B13"/>
    <w:rsid w:val="000541DE"/>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5C4"/>
    <w:rsid w:val="00214B85"/>
    <w:rsid w:val="002157B6"/>
    <w:rsid w:val="00245957"/>
    <w:rsid w:val="00245FD9"/>
    <w:rsid w:val="0024714F"/>
    <w:rsid w:val="00251842"/>
    <w:rsid w:val="00255300"/>
    <w:rsid w:val="002674EE"/>
    <w:rsid w:val="00267D0D"/>
    <w:rsid w:val="00273F83"/>
    <w:rsid w:val="002923C2"/>
    <w:rsid w:val="0029461D"/>
    <w:rsid w:val="002A218E"/>
    <w:rsid w:val="002B1C88"/>
    <w:rsid w:val="002B6D16"/>
    <w:rsid w:val="002C58C6"/>
    <w:rsid w:val="002C5976"/>
    <w:rsid w:val="002C5AFE"/>
    <w:rsid w:val="002C5DF6"/>
    <w:rsid w:val="002D5608"/>
    <w:rsid w:val="002E2445"/>
    <w:rsid w:val="002E33C5"/>
    <w:rsid w:val="002F3715"/>
    <w:rsid w:val="002F4531"/>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97A18"/>
    <w:rsid w:val="003A21CE"/>
    <w:rsid w:val="003B2223"/>
    <w:rsid w:val="003D2B08"/>
    <w:rsid w:val="003D6472"/>
    <w:rsid w:val="003E0C47"/>
    <w:rsid w:val="003E3CE3"/>
    <w:rsid w:val="003F0194"/>
    <w:rsid w:val="003F2920"/>
    <w:rsid w:val="003F321A"/>
    <w:rsid w:val="003F546F"/>
    <w:rsid w:val="003F5759"/>
    <w:rsid w:val="003F58CF"/>
    <w:rsid w:val="003F652C"/>
    <w:rsid w:val="003F6A34"/>
    <w:rsid w:val="004001C6"/>
    <w:rsid w:val="0040516B"/>
    <w:rsid w:val="00406F8A"/>
    <w:rsid w:val="00410CBD"/>
    <w:rsid w:val="004118BC"/>
    <w:rsid w:val="00412D04"/>
    <w:rsid w:val="00426EFB"/>
    <w:rsid w:val="004275E6"/>
    <w:rsid w:val="00430271"/>
    <w:rsid w:val="0043392D"/>
    <w:rsid w:val="00435F23"/>
    <w:rsid w:val="004410D9"/>
    <w:rsid w:val="00454D5E"/>
    <w:rsid w:val="00454E45"/>
    <w:rsid w:val="00455304"/>
    <w:rsid w:val="00460545"/>
    <w:rsid w:val="0046208D"/>
    <w:rsid w:val="0047293C"/>
    <w:rsid w:val="00472FBC"/>
    <w:rsid w:val="00475ECB"/>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4FF4"/>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200C"/>
    <w:rsid w:val="005A3938"/>
    <w:rsid w:val="005A4881"/>
    <w:rsid w:val="005B1D0F"/>
    <w:rsid w:val="005B3892"/>
    <w:rsid w:val="005B6BF7"/>
    <w:rsid w:val="005C2B38"/>
    <w:rsid w:val="005C6F1F"/>
    <w:rsid w:val="005C729D"/>
    <w:rsid w:val="005C740A"/>
    <w:rsid w:val="005D0099"/>
    <w:rsid w:val="005D49B9"/>
    <w:rsid w:val="005E68BC"/>
    <w:rsid w:val="005F292C"/>
    <w:rsid w:val="0060463A"/>
    <w:rsid w:val="00607926"/>
    <w:rsid w:val="0061173B"/>
    <w:rsid w:val="00615B24"/>
    <w:rsid w:val="00621B9C"/>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948E8"/>
    <w:rsid w:val="006950C7"/>
    <w:rsid w:val="00695565"/>
    <w:rsid w:val="00697727"/>
    <w:rsid w:val="006A724A"/>
    <w:rsid w:val="006B65D2"/>
    <w:rsid w:val="006C51DB"/>
    <w:rsid w:val="006C5469"/>
    <w:rsid w:val="006C5648"/>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3D9C"/>
    <w:rsid w:val="007847BC"/>
    <w:rsid w:val="00784EBE"/>
    <w:rsid w:val="00793373"/>
    <w:rsid w:val="00796A0C"/>
    <w:rsid w:val="007B6BA5"/>
    <w:rsid w:val="007C0686"/>
    <w:rsid w:val="007C1004"/>
    <w:rsid w:val="007C3193"/>
    <w:rsid w:val="007D0A05"/>
    <w:rsid w:val="007D1B17"/>
    <w:rsid w:val="007D4E7D"/>
    <w:rsid w:val="007D6079"/>
    <w:rsid w:val="007E2606"/>
    <w:rsid w:val="007E5D62"/>
    <w:rsid w:val="007E61B3"/>
    <w:rsid w:val="007E79B8"/>
    <w:rsid w:val="007F543B"/>
    <w:rsid w:val="007F5B80"/>
    <w:rsid w:val="007F654B"/>
    <w:rsid w:val="00813D9D"/>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C680E"/>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491D"/>
    <w:rsid w:val="00A2542B"/>
    <w:rsid w:val="00A31089"/>
    <w:rsid w:val="00A60F2E"/>
    <w:rsid w:val="00A62491"/>
    <w:rsid w:val="00A630B9"/>
    <w:rsid w:val="00A64F25"/>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2663"/>
    <w:rsid w:val="00B53E3E"/>
    <w:rsid w:val="00B56352"/>
    <w:rsid w:val="00B57A65"/>
    <w:rsid w:val="00B61DB0"/>
    <w:rsid w:val="00B61FED"/>
    <w:rsid w:val="00B671A3"/>
    <w:rsid w:val="00B702BF"/>
    <w:rsid w:val="00B7065F"/>
    <w:rsid w:val="00B71230"/>
    <w:rsid w:val="00B74848"/>
    <w:rsid w:val="00B87943"/>
    <w:rsid w:val="00B91486"/>
    <w:rsid w:val="00B97BB3"/>
    <w:rsid w:val="00BA2FDA"/>
    <w:rsid w:val="00BA45F5"/>
    <w:rsid w:val="00BA67AD"/>
    <w:rsid w:val="00BC0402"/>
    <w:rsid w:val="00BC3B3A"/>
    <w:rsid w:val="00BD180E"/>
    <w:rsid w:val="00BD411F"/>
    <w:rsid w:val="00BE6EAE"/>
    <w:rsid w:val="00BF4E4E"/>
    <w:rsid w:val="00BF5CCF"/>
    <w:rsid w:val="00BF6034"/>
    <w:rsid w:val="00C00C12"/>
    <w:rsid w:val="00C106CE"/>
    <w:rsid w:val="00C14BE6"/>
    <w:rsid w:val="00C24BF1"/>
    <w:rsid w:val="00C3625A"/>
    <w:rsid w:val="00C41329"/>
    <w:rsid w:val="00C42CEC"/>
    <w:rsid w:val="00C433FF"/>
    <w:rsid w:val="00C47BCC"/>
    <w:rsid w:val="00C52007"/>
    <w:rsid w:val="00C53CCD"/>
    <w:rsid w:val="00C57D30"/>
    <w:rsid w:val="00C63766"/>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B6011"/>
    <w:rsid w:val="00DC13DA"/>
    <w:rsid w:val="00DC49BD"/>
    <w:rsid w:val="00DC5F06"/>
    <w:rsid w:val="00DD45E3"/>
    <w:rsid w:val="00DD6A76"/>
    <w:rsid w:val="00DE0958"/>
    <w:rsid w:val="00DE64C4"/>
    <w:rsid w:val="00DF037E"/>
    <w:rsid w:val="00DF2060"/>
    <w:rsid w:val="00DF6304"/>
    <w:rsid w:val="00E000B9"/>
    <w:rsid w:val="00E01E4D"/>
    <w:rsid w:val="00E039C5"/>
    <w:rsid w:val="00E03A4B"/>
    <w:rsid w:val="00E1157E"/>
    <w:rsid w:val="00E27145"/>
    <w:rsid w:val="00E315EE"/>
    <w:rsid w:val="00E33AC0"/>
    <w:rsid w:val="00E37264"/>
    <w:rsid w:val="00E41AB6"/>
    <w:rsid w:val="00E5396E"/>
    <w:rsid w:val="00E61475"/>
    <w:rsid w:val="00E62EF6"/>
    <w:rsid w:val="00E71F36"/>
    <w:rsid w:val="00E811C1"/>
    <w:rsid w:val="00E8435F"/>
    <w:rsid w:val="00E859FA"/>
    <w:rsid w:val="00E85B3F"/>
    <w:rsid w:val="00E90A5A"/>
    <w:rsid w:val="00E92426"/>
    <w:rsid w:val="00E928CA"/>
    <w:rsid w:val="00E94410"/>
    <w:rsid w:val="00E9780D"/>
    <w:rsid w:val="00EA0745"/>
    <w:rsid w:val="00EA2106"/>
    <w:rsid w:val="00EA7C96"/>
    <w:rsid w:val="00EB02D9"/>
    <w:rsid w:val="00EB0467"/>
    <w:rsid w:val="00EB0C0B"/>
    <w:rsid w:val="00EB1549"/>
    <w:rsid w:val="00EB32F9"/>
    <w:rsid w:val="00EB6093"/>
    <w:rsid w:val="00EC3B38"/>
    <w:rsid w:val="00EC3CED"/>
    <w:rsid w:val="00EC74AE"/>
    <w:rsid w:val="00ED6A6B"/>
    <w:rsid w:val="00EE04C1"/>
    <w:rsid w:val="00EE2BBA"/>
    <w:rsid w:val="00EE58F1"/>
    <w:rsid w:val="00EF0350"/>
    <w:rsid w:val="00F05440"/>
    <w:rsid w:val="00F10C64"/>
    <w:rsid w:val="00F16569"/>
    <w:rsid w:val="00F16A9B"/>
    <w:rsid w:val="00F17CBC"/>
    <w:rsid w:val="00F31831"/>
    <w:rsid w:val="00F320B3"/>
    <w:rsid w:val="00F35020"/>
    <w:rsid w:val="00F42555"/>
    <w:rsid w:val="00F52B0E"/>
    <w:rsid w:val="00F71CCB"/>
    <w:rsid w:val="00F72CF4"/>
    <w:rsid w:val="00F80D70"/>
    <w:rsid w:val="00FA1352"/>
    <w:rsid w:val="00FA1905"/>
    <w:rsid w:val="00FA3835"/>
    <w:rsid w:val="00FB012C"/>
    <w:rsid w:val="00FB44DD"/>
    <w:rsid w:val="00FB5913"/>
    <w:rsid w:val="00FB636C"/>
    <w:rsid w:val="00FD08F7"/>
    <w:rsid w:val="00FE007F"/>
    <w:rsid w:val="00FE1106"/>
    <w:rsid w:val="00FE1B5C"/>
    <w:rsid w:val="00FE21D9"/>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AB47E32"/>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17439642">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797796770">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43872692">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196961561">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388845458">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66393955">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5770704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41114610">
      <w:bodyDiv w:val="1"/>
      <w:marLeft w:val="0"/>
      <w:marRight w:val="0"/>
      <w:marTop w:val="0"/>
      <w:marBottom w:val="0"/>
      <w:divBdr>
        <w:top w:val="none" w:sz="0" w:space="0" w:color="auto"/>
        <w:left w:val="none" w:sz="0" w:space="0" w:color="auto"/>
        <w:bottom w:val="none" w:sz="0" w:space="0" w:color="auto"/>
        <w:right w:val="none" w:sz="0" w:space="0" w:color="auto"/>
      </w:divBdr>
      <w:divsChild>
        <w:div w:id="94207805">
          <w:marLeft w:val="0"/>
          <w:marRight w:val="0"/>
          <w:marTop w:val="0"/>
          <w:marBottom w:val="0"/>
          <w:divBdr>
            <w:top w:val="none" w:sz="0" w:space="0" w:color="auto"/>
            <w:left w:val="none" w:sz="0" w:space="0" w:color="auto"/>
            <w:bottom w:val="none" w:sz="0" w:space="0" w:color="auto"/>
            <w:right w:val="none" w:sz="0" w:space="0" w:color="auto"/>
          </w:divBdr>
        </w:div>
      </w:divsChild>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48853996">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acnnursing.org/5B-Tool-Kit/Themes/Person-Centered-Care" TargetMode="External"/><Relationship Id="rId18" Type="http://schemas.openxmlformats.org/officeDocument/2006/relationships/hyperlink" Target="https://www.legislation.gov.uk/ukpga/2005/9/contents" TargetMode="External"/><Relationship Id="rId26" Type="http://schemas.openxmlformats.org/officeDocument/2006/relationships/hyperlink" Target="https://doi.org/10.1002/pnp.833" TargetMode="External"/><Relationship Id="rId39" Type="http://schemas.openxmlformats.org/officeDocument/2006/relationships/footer" Target="footer1.xml"/><Relationship Id="rId21" Type="http://schemas.openxmlformats.org/officeDocument/2006/relationships/hyperlink" Target="https://irp.cdn-website.com/608b4d2b/files/uploaded/Gregg-PPT-Person-Centered-Approaches-to-Dementia-Care-9-14-23.pdf" TargetMode="External"/><Relationship Id="rId34" Type="http://schemas.openxmlformats.org/officeDocument/2006/relationships/hyperlink" Target="https://doi.org/10.1093/jmp/jhad044"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https://doi.org/10.1371/journal.pone.0229923" TargetMode="External"/><Relationship Id="rId20" Type="http://schemas.openxmlformats.org/officeDocument/2006/relationships/hyperlink" Target="https://www.legislation.gov.uk/ukpga/2018/12/contents" TargetMode="External"/><Relationship Id="rId29" Type="http://schemas.openxmlformats.org/officeDocument/2006/relationships/hyperlink" Target="https://uk.hfonline.org/what-is-partnership-working-in-health-and-social-care/"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177/1471301214539690" TargetMode="External"/><Relationship Id="rId32" Type="http://schemas.openxmlformats.org/officeDocument/2006/relationships/hyperlink" Target="https://doi.org/10.3399/bjgp16X683389"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online-learning-college.com/knowledge-hub/care/balancing-ethical-considerations-health-social-care/" TargetMode="External"/><Relationship Id="rId23" Type="http://schemas.openxmlformats.org/officeDocument/2006/relationships/hyperlink" Target="https://doi.org/10.1002/nop2.597" TargetMode="External"/><Relationship Id="rId28" Type="http://schemas.openxmlformats.org/officeDocument/2006/relationships/hyperlink" Target="https://doi.org/https://doi.org/10.1111/scs.12376" TargetMode="External"/><Relationship Id="rId36" Type="http://schemas.openxmlformats.org/officeDocument/2006/relationships/hyperlink" Target="https://doi.org/10.1186/s12913-024-11944-7" TargetMode="External"/><Relationship Id="rId10" Type="http://schemas.openxmlformats.org/officeDocument/2006/relationships/image" Target="media/image3.png"/><Relationship Id="rId19" Type="http://schemas.openxmlformats.org/officeDocument/2006/relationships/hyperlink" Target="https://www.legislation.gov.uk/ukpga/2014/23/contents" TargetMode="External"/><Relationship Id="rId31" Type="http://schemas.openxmlformats.org/officeDocument/2006/relationships/hyperlink" Target="https://doi.org/https://doi.org/10.1111/hex.1264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63539/isrn.2025008" TargetMode="External"/><Relationship Id="rId22" Type="http://schemas.openxmlformats.org/officeDocument/2006/relationships/hyperlink" Target="https://doi.org/10.1177/1471301220962235" TargetMode="External"/><Relationship Id="rId27" Type="http://schemas.openxmlformats.org/officeDocument/2006/relationships/hyperlink" Target="https://nursingcecentral.com/nonmaleficence-in-nursing/" TargetMode="External"/><Relationship Id="rId30" Type="http://schemas.openxmlformats.org/officeDocument/2006/relationships/hyperlink" Target="https://doi.org/10.1186/s12912-025-03737-y" TargetMode="External"/><Relationship Id="rId35" Type="http://schemas.openxmlformats.org/officeDocument/2006/relationships/hyperlink" Target="https://doi.org/10.1159/000509119"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97/HMR.0000000000000254" TargetMode="External"/><Relationship Id="rId25" Type="http://schemas.openxmlformats.org/officeDocument/2006/relationships/hyperlink" Target="https://doi.org/10.1093/geront/gnaa207" TargetMode="External"/><Relationship Id="rId33" Type="http://schemas.openxmlformats.org/officeDocument/2006/relationships/hyperlink" Target="https://doi.org/10.3389/fpubh.2025.1633806"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FF30-B70C-4730-A001-42BC3EC3A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3424</Words>
  <Characters>21573</Characters>
  <Application>Microsoft Office Word</Application>
  <DocSecurity>0</DocSecurity>
  <Lines>287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Adam Balog</cp:lastModifiedBy>
  <cp:revision>2</cp:revision>
  <cp:lastPrinted>1900-01-01T00:00:00Z</cp:lastPrinted>
  <dcterms:created xsi:type="dcterms:W3CDTF">2026-08-02T19:44:00Z</dcterms:created>
  <dcterms:modified xsi:type="dcterms:W3CDTF">2026-08-02T19:44:00Z</dcterms:modified>
</cp:coreProperties>
</file>